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3546d8k.htm"/>
      <w:bookmarkStart w:id="1" w:name="ksd80354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March 28,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Trapelo Road, Suite 178</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28, 2024, Invivyd, Inc. (the “Company”) issued a press release announcing its financial results for the year ended December 31, 2023, and recent business highlights. A copy of the press release is furnished as Exhibit 99.1 to this Current Report on Form 8-K and is incorporated by reference into this Item 2.02.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03546dex991.htm">
              <w:r>
                <w:rPr>
                  <w:rStyle w:val="InternetLink"/>
                </w:rPr>
                <w:t xml:space="preserve">Press Release, dated March 28,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938" w:type="dxa"/>
        <w:jc w:val="left"/>
        <w:tblInd w:w="0" w:type="dxa"/>
        <w:tblLayout w:type="fixed"/>
        <w:tblCellMar>
          <w:top w:w="0" w:type="dxa"/>
          <w:left w:w="0" w:type="dxa"/>
          <w:bottom w:w="0" w:type="dxa"/>
          <w:right w:w="0" w:type="dxa"/>
        </w:tblCellMar>
      </w:tblPr>
      <w:tblGrid>
        <w:gridCol w:w="2120"/>
        <w:gridCol w:w="60"/>
        <w:gridCol w:w="23"/>
        <w:gridCol w:w="60"/>
        <w:gridCol w:w="365"/>
        <w:gridCol w:w="60"/>
        <w:gridCol w:w="425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803546dex991.htm"/>
      <w:bookmarkStart w:id="3" w:name="ksd803546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Invivyd Reports Full Year 2023 Financial Results and 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Received emergency use authorization for PEMGARDA, a monoclonal antibody (mAb) authorized in the U.S. for pre-exposure prophylaxis (PrEP) of COVID-19 in certain adults and adolescents with moderate-to-severe immune compromise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PEMGARDA product availability in the U.S. anticipated imminently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PEMGARDA is the first authorized mAb from Invivyds INVYMAB</w:t>
            </w:r>
            <w:r>
              <w:rPr>
                <w:rFonts w:ascii="Times New Roman" w:hAnsi="Times New Roman"/>
                <w:sz w:val="20"/>
              </w:rPr>
              <w:t xml:space="preserve"> </w:t>
            </w:r>
            <w:r>
              <w:rPr>
                <w:rFonts w:ascii="Times New Roman" w:hAnsi="Times New Roman"/>
                <w:i/>
                <w:sz w:val="20"/>
              </w:rPr>
              <w:t>platform approach designed to address the challenge of rapid viral evolution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Leveraged INVYMAB platform approach to design VYD2311, the companys next anticipated SARS-CoV-2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Cash and cash equivalents of $200.6</w:t>
            </w:r>
            <w:r>
              <w:rPr>
                <w:rFonts w:ascii="Times New Roman" w:hAnsi="Times New Roman"/>
                <w:sz w:val="20"/>
              </w:rPr>
              <w:t> </w:t>
            </w:r>
            <w:r>
              <w:rPr>
                <w:rFonts w:ascii="Times New Roman" w:hAnsi="Times New Roman"/>
                <w:i/>
                <w:sz w:val="20"/>
              </w:rPr>
              <w:t>million as of December</w:t>
            </w:r>
            <w:r>
              <w:rPr>
                <w:rFonts w:ascii="Times New Roman" w:hAnsi="Times New Roman"/>
                <w:sz w:val="20"/>
              </w:rPr>
              <w:t> </w:t>
            </w:r>
            <w:r>
              <w:rPr>
                <w:rFonts w:ascii="Times New Roman" w:hAnsi="Times New Roman"/>
                <w:i/>
                <w:sz w:val="20"/>
              </w:rPr>
              <w:t>31, 2023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In February 2024, the Company sold shares totaling $40.5</w:t>
            </w:r>
            <w:r>
              <w:rPr>
                <w:rFonts w:ascii="Times New Roman" w:hAnsi="Times New Roman"/>
                <w:sz w:val="20"/>
              </w:rPr>
              <w:t> </w:t>
            </w:r>
            <w:r>
              <w:rPr>
                <w:rFonts w:ascii="Times New Roman" w:hAnsi="Times New Roman"/>
                <w:i/>
                <w:sz w:val="20"/>
              </w:rPr>
              <w:t>million in gross proceeds under its At-the-Market facility further strengthening its balance sheet ahead of PEMGARDA launch</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WALTHAM, Mass., March 28, 2024 (GLOBE NEWSWIRE)  Invivyd, Inc. (Nasdaq: IVVD), a biopharmaceutical company on a mission to protect the vulnerable from serious viral infectious diseases, today announced financial results for the full year ended December 31, 2023 and recent business highlights. </w:t>
      </w:r>
    </w:p>
    <w:p>
      <w:pPr>
        <w:pStyle w:val="TextBody"/>
        <w:bidi w:val="0"/>
        <w:spacing w:before="240" w:after="0"/>
        <w:jc w:val="left"/>
        <w:rPr>
          <w:rFonts w:ascii="Times New Roman" w:hAnsi="Times New Roman"/>
          <w:sz w:val="20"/>
        </w:rPr>
      </w:pPr>
      <w:r>
        <w:rPr>
          <w:rFonts w:ascii="Times New Roman" w:hAnsi="Times New Roman"/>
          <w:sz w:val="20"/>
        </w:rPr>
        <w:t xml:space="preserve">We made remarkable progress throughout 2023 and in recent months. Roughly one year ago we were initiating the Phase 1 clinical trial of VYD222, and today we are incredibly proud to have received emergency use authorization (EUA) of PEMGARDA for PrEP of COVID-19 in certain adults and adolescents (aged 12 or older weighing at least 40kg) in the U.S. with moderate-to-severe immune compromise who are unlikely to mount an adequate response to COVID-19 vaccination, said Dave Hering, Chief Executive Officer of Invivyd. PEMGARDA is the first PrEP mAb to receive an EUA using a rapid immunobridging trial design leveraging a biomarker as a surrogate of clinical efficacy and the first authorized mAb from our novel platform approach designed to rapidly and serially engineer durable mAbs targeting conserved viral epitopes. This exciting milestone is a testament to our teams incredible dedication, skill, and ability to execute to plan. </w:t>
      </w:r>
    </w:p>
    <w:p>
      <w:pPr>
        <w:pStyle w:val="TextBody"/>
        <w:bidi w:val="0"/>
        <w:spacing w:before="240" w:after="0"/>
        <w:jc w:val="left"/>
        <w:rPr>
          <w:rFonts w:ascii="Times New Roman" w:hAnsi="Times New Roman"/>
          <w:sz w:val="20"/>
        </w:rPr>
      </w:pPr>
      <w:r>
        <w:rPr>
          <w:rFonts w:ascii="Times New Roman" w:hAnsi="Times New Roman"/>
          <w:sz w:val="20"/>
        </w:rPr>
        <w:t xml:space="preserve">Mr. Hering continued, With PEMGARDA now authorized and anticipated to be available for order in the U.S. imminently, we are laser-focused on executing our commercial launch plan and look forward to providing insights on key launch metrics as time progresses. With a relatively compact field sales organization, we believe that we can efficiently reach key healthcare practitioners and institutions who care for the highest risk moderately to severely immunocompromised adults and adolescents, with the opportunity to potentially expand our efforts and footprint over time within our authorized population.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Program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PEMGARDA received EUA from U.S. FDA: </w:t>
            </w:r>
            <w:r>
              <w:rPr>
                <w:rFonts w:ascii="Times New Roman" w:hAnsi="Times New Roman"/>
                <w:sz w:val="20"/>
              </w:rPr>
              <w:t xml:space="preserve">On March 22, 2024, PEMGARDA (pemivibart) received EUA from the U.S. Food and Drug Administration (FDA)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response to COVID-19 vaccination. Recipients should not be currently infected with or have had a known recent exposure to an individual infected with SARS-CoV-2. The PEMGARDA EUA is based on the totality of scientific evidence available, including data from the companys CANOPY clinical trial based on an immunobridging approach. The company expects to have PEMGARDA available for order in the U.S. imminently and is preparing for the full commercial launch of PEMGARDA, with the deployment of the contracted field sales force expected in the coming weeks.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Leveraged INVYMAB</w:t>
            </w:r>
            <w:r>
              <w:rPr>
                <w:rFonts w:ascii="Times New Roman" w:hAnsi="Times New Roman"/>
                <w:sz w:val="20"/>
              </w:rPr>
              <w:t xml:space="preserve"> </w:t>
            </w:r>
            <w:r>
              <w:rPr>
                <w:rFonts w:ascii="Times New Roman" w:hAnsi="Times New Roman"/>
                <w:b/>
                <w:sz w:val="20"/>
              </w:rPr>
              <w:t xml:space="preserve">platform approach to design VYD2311, the companys next anticipated anti-SARS-CoV-2 mAb in a planned series of candidates: </w:t>
            </w:r>
            <w:r>
              <w:rPr>
                <w:rFonts w:ascii="Times New Roman" w:hAnsi="Times New Roman"/>
                <w:sz w:val="20"/>
              </w:rPr>
              <w:t xml:space="preserve">In January 2024, Invivyd nominated VYD2311, a mAb optimized for neutralization potency against recent SARS-CoV-2 lineages such as BA.2.86 and JN.1, as a drug candidate. The company expects that VYD2311 will be the next candidate that it advances into clinical development. The company continues to engage with the FDA with the aim of establishing a streamlined development pathway that would allow the company to most efficiently leverage its INVYMAB platform approach to serially generate new or modified mAbs to keep pace with SARS-CoV-2 viral evolution.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Year End 2023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Cash and cash equivalents were $200.6 million as of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Cash Runway:</w:t>
            </w:r>
            <w:r>
              <w:rPr>
                <w:rFonts w:ascii="Times New Roman" w:hAnsi="Times New Roman"/>
                <w:sz w:val="20"/>
              </w:rPr>
              <w:t xml:space="preserve"> Based on current operating plans and excluding anticipated cash collections from PEMGARDA sales, Invivyd expects its existing total cash and cash equivalents will enable the company to fund its operating expenses and capital expenditure requirements into the fourth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Research</w:t>
            </w:r>
            <w:r>
              <w:rPr>
                <w:rFonts w:ascii="Times New Roman" w:hAnsi="Times New Roman"/>
                <w:sz w:val="20"/>
              </w:rPr>
              <w:t> </w:t>
            </w:r>
            <w:r>
              <w:rPr>
                <w:rFonts w:ascii="Times New Roman" w:hAnsi="Times New Roman"/>
                <w:b/>
                <w:sz w:val="20"/>
              </w:rPr>
              <w:t>&amp; Development (R&amp;D) Expenses (including In-Process Research</w:t>
            </w:r>
            <w:r>
              <w:rPr>
                <w:rFonts w:ascii="Times New Roman" w:hAnsi="Times New Roman"/>
                <w:sz w:val="20"/>
              </w:rPr>
              <w:t> </w:t>
            </w:r>
            <w:r>
              <w:rPr>
                <w:rFonts w:ascii="Times New Roman" w:hAnsi="Times New Roman"/>
                <w:b/>
                <w:sz w:val="20"/>
              </w:rPr>
              <w:t>&amp; Development):</w:t>
            </w:r>
            <w:r>
              <w:rPr>
                <w:rFonts w:ascii="Times New Roman" w:hAnsi="Times New Roman"/>
                <w:sz w:val="20"/>
              </w:rPr>
              <w:t xml:space="preserve"> R&amp;D expenses were $163.6 million for the year ended December 31, 2023, compared to $183.6 million for year ended December 31, 2022. This decrease is primarily attributable to a decrease in personnel-related costs in 2023 and to higher clinical trial costs in 2022 due to ongoing adintrevimab clinical trials, with no comparable costs during the same period in 2023 due to the wind-down of adintrevimab clinical trials, partially offset by an increase in commercial manufacturing costs of PEMGARDA and ongoing clinical trial costs associated with our CANOPY clinical trial in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Selling, General</w:t>
            </w:r>
            <w:r>
              <w:rPr>
                <w:rFonts w:ascii="Times New Roman" w:hAnsi="Times New Roman"/>
                <w:sz w:val="20"/>
              </w:rPr>
              <w:t> </w:t>
            </w:r>
            <w:r>
              <w:rPr>
                <w:rFonts w:ascii="Times New Roman" w:hAnsi="Times New Roman"/>
                <w:b/>
                <w:sz w:val="20"/>
              </w:rPr>
              <w:t>&amp; Administrative (SG&amp;A) Expenses:</w:t>
            </w:r>
            <w:r>
              <w:rPr>
                <w:rFonts w:ascii="Times New Roman" w:hAnsi="Times New Roman"/>
                <w:sz w:val="20"/>
              </w:rPr>
              <w:t xml:space="preserve"> SG&amp;A expenses were $49.1 million for the year ended December 31, 2023, compared to $47.0 million for the year ended December 31, 2022. This increase is primarily attributable to an increase in personnel-related costs and commercial costs, partially offset by a decrease in legal and corporate governance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and Net Loss Share: </w:t>
            </w:r>
            <w:r>
              <w:rPr>
                <w:rFonts w:ascii="Times New Roman" w:hAnsi="Times New Roman"/>
                <w:sz w:val="20"/>
              </w:rPr>
              <w:t xml:space="preserve">Net loss was $198.6 million for the year ended December 31, 2023, compared to $241.3 million for the year ended December 31, 2022. Basic and diluted net loss per share was $1.81 for the year ended December 31, 2023, compared to $2.23 for the year ended December 31, 2022.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PEMGARDA </w:t>
      </w:r>
    </w:p>
    <w:p>
      <w:pPr>
        <w:pStyle w:val="TextBody"/>
        <w:bidi w:val="0"/>
        <w:spacing w:before="120" w:after="0"/>
        <w:jc w:val="left"/>
        <w:rPr>
          <w:rFonts w:ascii="Times New Roman" w:hAnsi="Times New Roman"/>
          <w:sz w:val="20"/>
        </w:rPr>
      </w:pPr>
      <w:r>
        <w:rPr>
          <w:rFonts w:ascii="Times New Roman" w:hAnsi="Times New Roman"/>
          <w:sz w:val="20"/>
        </w:rPr>
        <w:t xml:space="preserve">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of COVID-19. PEMGARDA has demonstrated </w:t>
      </w:r>
      <w:r>
        <w:rPr>
          <w:rFonts w:ascii="Times New Roman" w:hAnsi="Times New Roman"/>
          <w:i/>
          <w:sz w:val="20"/>
        </w:rPr>
        <w:t>in vitro</w:t>
      </w:r>
      <w:r>
        <w:rPr>
          <w:rFonts w:ascii="Times New Roman" w:hAnsi="Times New Roman"/>
          <w:sz w:val="20"/>
        </w:rPr>
        <w:t xml:space="preserve"> neutralizing activity in pseudotyped virus-like particle and authentic virus neutralization assays against major SARS-CoV-2 variants, including JN.1, the dominant variant in the U.S. currently according to estimates from the Centers for Disease Control and Prevention. PEMGARDA targets the SARS-CoV-2 spike protein receptor binding domain (RBD), thereby inhibiting virus attachment to the human ACE2 receptor on host cells.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w:t>
      </w:r>
    </w:p>
    <w:p>
      <w:pPr>
        <w:pStyle w:val="TextBody"/>
        <w:bidi w:val="0"/>
        <w:spacing w:before="240" w:after="0"/>
        <w:jc w:val="left"/>
        <w:rPr>
          <w:rFonts w:ascii="Times New Roman" w:hAnsi="Times New Roman"/>
          <w:sz w:val="20"/>
        </w:rPr>
      </w:pPr>
      <w:r>
        <w:rPr>
          <w:rFonts w:ascii="Times New Roman" w:hAnsi="Times New Roman"/>
          <w:sz w:val="20"/>
        </w:rPr>
        <w:t xml:space="preserve">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 </w:t>
      </w:r>
    </w:p>
    <w:p>
      <w:pPr>
        <w:pStyle w:val="TextBody"/>
        <w:bidi w:val="0"/>
        <w:spacing w:before="240" w:after="0"/>
        <w:jc w:val="left"/>
        <w:rPr>
          <w:rFonts w:ascii="Times New Roman" w:hAnsi="Times New Roman"/>
          <w:sz w:val="20"/>
        </w:rPr>
      </w:pPr>
      <w:r>
        <w:rPr>
          <w:rFonts w:ascii="Times New Roman" w:hAnsi="Times New Roman"/>
          <w:sz w:val="20"/>
        </w:rPr>
        <w:t xml:space="preserve">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Invivyd </w:t>
      </w:r>
    </w:p>
    <w:p>
      <w:pPr>
        <w:pStyle w:val="TextBody"/>
        <w:bidi w:val="0"/>
        <w:spacing w:before="120" w:after="0"/>
        <w:jc w:val="left"/>
        <w:rPr>
          <w:rFonts w:ascii="Times New Roman" w:hAnsi="Times New Roman"/>
          <w:sz w:val="20"/>
        </w:rPr>
      </w:pPr>
      <w:r>
        <w:rPr>
          <w:rFonts w:ascii="Times New Roman" w:hAnsi="Times New Roman"/>
          <w:sz w:val="20"/>
        </w:rPr>
        <w:t xml:space="preserve">Invivyd, Inc. (Nasdaq: IVVD) is commercial-stage company on a mission to rapidly and perpetually deliver antibody-based therapies that protect vulnerable people from the devastating consequences of circulating viral threats, beginning with SARS-CoV-2. The companys proprietary INVYMAB platform approach combines state-of-the-art viral surveillance and predictive modeling with advanced antibody engineering. INVYMAB is designed to facilitate the rapid, serial generation of new monoclonal antibodies (mAbs) to keep pace with evolving viral threats. In March 2024, Invivyd received emergency use authorization (EUA) from the U.S. FDA for its first mAb in a planned series of innovative antibody candidates. Visit https://invivyd.com/ to learn more.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potential of PEMGARDA as a mAb for pre-exposure prophylaxis (prevention) of COVID-19 in certain adults and adolescents with moderate-to-severe immune compromise; the companys plans related to the commercialization of PEMGARDA, including its expectations regarding availability and supply of PEMGARDA, as well as the companys plans to provide insights on key launch metrics as time progresses; the ability of the companys INVYMAB platform approach to rapidly and serially engineer durable mAbs targeting conserved epitopes; the companys ongoing research and clinical development efforts, and the timing thereof; the companys expectation that PEMGARDA is the first mAb in a planned series of innovative antibody candidates and VYD2311 will be the next mAb candidate to enter clinical development; the companys expectations to engage with the FDA with the aim of establishing a streamlined development pathway that would allow the company to most efficiently leverage its INVYMAB platform approach to serially generate new or modified mAbs to keep pace with SARS-CoV-2 viral evolution; the future of the COVID-19 landscape, particularly for vulnerable populations; the companys expectations regarding the anticipated timeline of its cash runway; the companys mission to rapidly and perpetually deliver antibody-based therapies that protect vulnerable people from the devastating consequences of circulating viral threats,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how long the EUA granted by the FDA for PEMGARDA will remain in effect and whether the EUA is revoked or revised by the FDA; the companys ability to build and maintain sales, marketing and distribution capabilities to successfully commercialize PEMGARDA; changes in expected or existing competition; the timing and progress of the companys discovery, preclinical and clinical development activities; the outcome of the companys engagement with the FDA on a potential streamlined development pathway; the uncertainties and timing of the regulatory authorization or approval process, and available development and regulatory pathways for authorization or approval of the companys product candidates; changes in the regulatory environment; unexpected safety or efficacy data observed during preclinical studies or clinical trials; the ability to maintain a continued acceptable safety, tolerability and 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rapidly and serially generate durable mAbs that keep pace with SARS-CoV-2 viral evolution or other viral threats; any litigation and other proceedings or government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3"/>
        <w:gridCol w:w="294"/>
        <w:gridCol w:w="195"/>
        <w:gridCol w:w="1224"/>
        <w:gridCol w:w="155"/>
        <w:gridCol w:w="246"/>
        <w:gridCol w:w="195"/>
        <w:gridCol w:w="1224"/>
        <w:gridCol w:w="159"/>
      </w:tblGrid>
      <w:tr>
        <w:trPr/>
        <w:tc>
          <w:tcPr>
            <w:tcW w:w="6513"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1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2022</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283"/>
              <w:jc w:val="left"/>
              <w:rPr>
                <w:b/>
              </w:rPr>
            </w:pPr>
            <w:r>
              <w:rPr>
                <w:b/>
              </w:rPr>
              <w:t>Assets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200,641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92,076</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279,915</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24,240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4,926</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224,881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376,917</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1,896</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2,282</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2,229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3,777</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191</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229,181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383,167</w:t>
            </w:r>
          </w:p>
        </w:tc>
        <w:tc>
          <w:tcPr>
            <w:tcW w:w="159" w:type="dxa"/>
            <w:tcBorders/>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283"/>
              <w:jc w:val="left"/>
              <w:rPr>
                <w:b/>
              </w:rPr>
            </w:pPr>
            <w:r>
              <w:rPr>
                <w:b/>
              </w:rPr>
              <w:t>Liabilities, Preferred Stock and Stockholders Equity</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7,953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1,517</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40,860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21,911</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1,443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1,559</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current liability</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44</w:t>
            </w:r>
          </w:p>
        </w:tc>
        <w:tc>
          <w:tcPr>
            <w:tcW w:w="159" w:type="dxa"/>
            <w:tcBorders/>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50,291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25,031</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722</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2,165</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non-current liability</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Early-exercise liability</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51,713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27,197</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(undesignated), $0.0001 par value; 10,000,000 shares authorized and no shares issued and outstanding at December 31, 2023 and December 31, 2022</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1,000,000,000 shares authorized, 110,160,684 shares issued and outstanding at December 31, 2023; 109,044,046 shares issued and outstanding at December 31, 2022</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909,539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889,657</w:t>
            </w:r>
          </w:p>
        </w:tc>
        <w:tc>
          <w:tcPr>
            <w:tcW w:w="159" w:type="dxa"/>
            <w:tcBorders/>
            <w:vAlign w:val="bottom"/>
          </w:tcPr>
          <w:p>
            <w:pPr>
              <w:pStyle w:val="TableContents"/>
              <w:bidi w:val="0"/>
              <w:spacing w:before="0" w:after="283"/>
              <w:jc w:val="left"/>
              <w:rPr/>
            </w:pPr>
            <w:r>
              <w:rPr/>
              <w:t> </w:t>
            </w:r>
          </w:p>
        </w:tc>
      </w:tr>
      <w:tr>
        <w:trPr/>
        <w:tc>
          <w:tcPr>
            <w:tcW w:w="65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(272</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(732,069</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(533,426</w:t>
            </w:r>
          </w:p>
        </w:tc>
        <w:tc>
          <w:tcPr>
            <w:tcW w:w="159" w:type="dxa"/>
            <w:tcBorders/>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94"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177,468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355,970</w:t>
            </w:r>
          </w:p>
        </w:tc>
        <w:tc>
          <w:tcPr>
            <w:tcW w:w="159" w:type="dxa"/>
            <w:tcBorders/>
            <w:shd w:fill="CCEEFF" w:val="clear"/>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1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preferred stock and stockholders equity</w:t>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229,181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383,167</w:t>
            </w:r>
          </w:p>
        </w:tc>
        <w:tc>
          <w:tcPr>
            <w:tcW w:w="159" w:type="dxa"/>
            <w:tcBorders/>
            <w:vAlign w:val="bottom"/>
          </w:tcPr>
          <w:p>
            <w:pPr>
              <w:pStyle w:val="TableContents"/>
              <w:bidi w:val="0"/>
              <w:spacing w:before="0" w:after="283"/>
              <w:jc w:val="left"/>
              <w:rPr/>
            </w:pPr>
            <w:r>
              <w:rPr/>
              <w:t> </w:t>
            </w:r>
          </w:p>
        </w:tc>
      </w:tr>
      <w:tr>
        <w:trPr/>
        <w:tc>
          <w:tcPr>
            <w:tcW w:w="6513"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9"/>
        <w:gridCol w:w="363"/>
        <w:gridCol w:w="140"/>
        <w:gridCol w:w="1225"/>
        <w:gridCol w:w="155"/>
        <w:gridCol w:w="319"/>
        <w:gridCol w:w="140"/>
        <w:gridCol w:w="1225"/>
        <w:gridCol w:w="159"/>
      </w:tblGrid>
      <w:tr>
        <w:trPr/>
        <w:tc>
          <w:tcPr>
            <w:tcW w:w="6479"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9"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32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158,658</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179,214</w:t>
            </w:r>
          </w:p>
        </w:tc>
        <w:tc>
          <w:tcPr>
            <w:tcW w:w="159" w:type="dxa"/>
            <w:tcBorders/>
            <w:vAlign w:val="bottom"/>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development(2)</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4,975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4,400</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49,125</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47,044</w:t>
            </w:r>
          </w:p>
        </w:tc>
        <w:tc>
          <w:tcPr>
            <w:tcW w:w="159" w:type="dxa"/>
            <w:tcBorders/>
            <w:vAlign w:val="bottom"/>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Warrant expense(3)</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17,373</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212,758</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248,031</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(212,758</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(248,031</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14,115</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6,714</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14,115</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6,714</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(198,643</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(241,317</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 (loss) on available-for-sale securities, net of tax</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(264</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(198,384</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(241,581</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(1.81</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(2.23</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109,526,053</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108,268,289</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$8,418 and $8,154 for the years ended December 31,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$4,975 and $4,400 for the years ended December 31,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related-party amounts of $0 and $17,373 for the years ended December 31, 2023 and 2022, respectively.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IMPORTANT SAFETY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WARNING: ANAPHYLAXIS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Anaphylaxis has been observed with PEMGARDA in 0.6% (4/623) of participants in a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sz w:val="20"/>
              </w:rPr>
              <w:t>Anaphylaxis was reported during the first and second infusion of PEMGARDA</w:t>
            </w:r>
            <w:r>
              <w:rPr>
                <w:rFonts w:ascii="Times New Roman" w:hAnsi="Times New Roman"/>
                <w:b/>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Anaphylaxis can be life-threatening.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4"/>
        <w:gridCol w:w="9392"/>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204"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sz w:val="20"/>
              </w:rPr>
              <w:t>Prior to administering PEMGARDA, consider the potential benefit of COVID-19 prevention along with the risk of anaphylaxis</w:t>
            </w:r>
            <w:r>
              <w:rPr>
                <w:rFonts w:ascii="Times New Roman" w:hAnsi="Times New Roman"/>
                <w:b/>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Administer PEMGARDA only in settings in which healthcare providers have immediate access to medications to treat anaphylaxis and the ability to activate the emergency medical system (EMS), as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Clinically monitor individuals during the infusion and for at least two hours after completion of the infusion.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4"/>
        <w:gridCol w:w="203"/>
        <w:gridCol w:w="9392"/>
      </w:tblGrid>
      <w:tr>
        <w:trPr/>
        <w:tc>
          <w:tcPr>
            <w:tcW w:w="4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 PEMGARDA immediately if signs or symptoms of anaphylaxis or any severe systemic reaction are observed and initiate appropriate medications and/or supportive therapy.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CONTRAINDICATIONS </w:t>
      </w:r>
    </w:p>
    <w:p>
      <w:pPr>
        <w:pStyle w:val="TextBody"/>
        <w:bidi w:val="0"/>
        <w:spacing w:before="120" w:after="0"/>
        <w:jc w:val="left"/>
        <w:rPr>
          <w:rFonts w:ascii="Times New Roman" w:hAnsi="Times New Roman"/>
          <w:sz w:val="20"/>
        </w:rPr>
      </w:pPr>
      <w:r>
        <w:rPr>
          <w:rFonts w:ascii="Times New Roman" w:hAnsi="Times New Roman"/>
          <w:sz w:val="20"/>
        </w:rPr>
        <w:t xml:space="preserve">PEMGARDA is contraindicated in individuals with previous severe hypersensitivity reactions, including anaphylaxis, to any component of PEMGARDA. </w:t>
      </w:r>
    </w:p>
    <w:p>
      <w:pPr>
        <w:pStyle w:val="TextBody"/>
        <w:bidi w:val="0"/>
        <w:spacing w:before="360" w:after="0"/>
        <w:jc w:val="left"/>
        <w:rPr>
          <w:rFonts w:ascii="Times New Roman" w:hAnsi="Times New Roman"/>
          <w:b/>
          <w:sz w:val="20"/>
        </w:rPr>
      </w:pPr>
      <w:r>
        <w:rPr>
          <w:rFonts w:ascii="Times New Roman" w:hAnsi="Times New Roman"/>
          <w:b/>
          <w:sz w:val="20"/>
        </w:rPr>
        <w:t xml:space="preserve">WARNINGS AND PRECAUTIONS </w:t>
      </w:r>
    </w:p>
    <w:p>
      <w:pPr>
        <w:pStyle w:val="TextBody"/>
        <w:bidi w:val="0"/>
        <w:spacing w:before="120" w:after="0"/>
        <w:jc w:val="left"/>
        <w:rPr>
          <w:rFonts w:ascii="Times New Roman" w:hAnsi="Times New Roman"/>
          <w:b/>
          <w:sz w:val="20"/>
        </w:rPr>
      </w:pPr>
      <w:r>
        <w:rPr>
          <w:rFonts w:ascii="Times New Roman" w:hAnsi="Times New Roman"/>
          <w:b/>
          <w:sz w:val="20"/>
        </w:rPr>
        <w:t xml:space="preserve">Hypersensitivity Including Anaphylaxis and Infusion-Related Reactions </w:t>
      </w:r>
    </w:p>
    <w:p>
      <w:pPr>
        <w:pStyle w:val="TextBody"/>
        <w:bidi w:val="0"/>
        <w:spacing w:before="120" w:after="0"/>
        <w:jc w:val="left"/>
        <w:rPr>
          <w:rFonts w:ascii="Times New Roman" w:hAnsi="Times New Roman"/>
          <w:sz w:val="20"/>
        </w:rPr>
      </w:pPr>
      <w:r>
        <w:rPr>
          <w:rFonts w:ascii="Times New Roman" w:hAnsi="Times New Roman"/>
          <w:sz w:val="20"/>
        </w:rPr>
        <w:t xml:space="preserve">Serious hypersensitivity reactions, including anaphylaxis, have been observed with PEMGARDA. If signs and symptoms of a clinically significant hypersensitivity reaction or anaphylaxis occur, immediately discontinue administration, and initiate appropriate medications and/or supportive therapy. Clinically monitor individuals during the 60-minute infusion and for at least two hours after completion of the infusion. </w:t>
      </w:r>
    </w:p>
    <w:p>
      <w:pPr>
        <w:pStyle w:val="TextBody"/>
        <w:bidi w:val="0"/>
        <w:spacing w:before="360" w:after="0"/>
        <w:jc w:val="left"/>
        <w:rPr>
          <w:rFonts w:ascii="Times New Roman" w:hAnsi="Times New Roman"/>
          <w:b/>
          <w:sz w:val="20"/>
        </w:rPr>
      </w:pPr>
      <w:r>
        <w:rPr>
          <w:rFonts w:ascii="Times New Roman" w:hAnsi="Times New Roman"/>
          <w:b/>
          <w:sz w:val="20"/>
        </w:rPr>
        <w:t xml:space="preserve">Risk of Cross-Hypersensitivity With COVID-19 Vaccines </w:t>
      </w:r>
    </w:p>
    <w:p>
      <w:pPr>
        <w:pStyle w:val="TextBody"/>
        <w:bidi w:val="0"/>
        <w:spacing w:before="120" w:after="0"/>
        <w:jc w:val="left"/>
        <w:rPr>
          <w:rFonts w:ascii="Times New Roman" w:hAnsi="Times New Roman"/>
          <w:sz w:val="20"/>
        </w:rPr>
      </w:pPr>
      <w:r>
        <w:rPr>
          <w:rFonts w:ascii="Times New Roman" w:hAnsi="Times New Roman"/>
          <w:sz w:val="20"/>
        </w:rPr>
        <w:t xml:space="preserve">PEMGARDA contains polysorbate 80, which is in some COVID-19 vaccines and is structurally similar to polyethylene glycol (PEG), an ingredient in other COVID-19 vaccines. For individuals with a history of severe hypersensitivity reaction to a COVID-19 vaccine, consider consultation with an allergist-immunologist prior to PEMGARDA administration. 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 for COVID-19 Due to SARS-CoV-2 Viral Variants Not Neutralized by PEMGARDA </w:t>
      </w:r>
    </w:p>
    <w:p>
      <w:pPr>
        <w:pStyle w:val="TextBody"/>
        <w:bidi w:val="0"/>
        <w:spacing w:before="120" w:after="0"/>
        <w:jc w:val="left"/>
        <w:rPr>
          <w:rFonts w:ascii="Times New Roman" w:hAnsi="Times New Roman"/>
          <w:sz w:val="20"/>
        </w:rPr>
      </w:pPr>
      <w:r>
        <w:rPr>
          <w:rFonts w:ascii="Times New Roman" w:hAnsi="Times New Roman"/>
          <w:sz w:val="20"/>
        </w:rPr>
        <w:t xml:space="preserve">Certain SARS-CoV-2 viral variants may emerge that are not neutralized by monoclonal antibodies such as PEMGARDA. PEMGARDA may not be effective at preventing COVID-19 caused by these SARS-CoV-2 viral variants. Inform individuals of the increased risk, compared to other variants, for COVID-19 due to emergent SARS-CoV-2 viral variants not neutralized by PEMGARDA. If signs or symptoms of COVID-19 occur, advise individuals to test for COVID-19 and seek medical attention, including starting treatment for COVID-19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ADVERSE REACTIONS </w:t>
      </w:r>
    </w:p>
    <w:p>
      <w:pPr>
        <w:pStyle w:val="TextBody"/>
        <w:bidi w:val="0"/>
        <w:spacing w:before="120" w:after="0"/>
        <w:jc w:val="left"/>
        <w:rPr>
          <w:rFonts w:ascii="Times New Roman" w:hAnsi="Times New Roman"/>
          <w:sz w:val="20"/>
        </w:rPr>
      </w:pPr>
      <w:r>
        <w:rPr>
          <w:rFonts w:ascii="Times New Roman" w:hAnsi="Times New Roman"/>
          <w:sz w:val="20"/>
        </w:rPr>
        <w:t xml:space="preserve">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w:t>
      </w:r>
    </w:p>
    <w:p>
      <w:pPr>
        <w:pStyle w:val="TextBody"/>
        <w:bidi w:val="0"/>
        <w:spacing w:before="360" w:after="0"/>
        <w:jc w:val="left"/>
        <w:rPr>
          <w:rFonts w:ascii="Times New Roman" w:hAnsi="Times New Roman"/>
          <w:b/>
          <w:sz w:val="20"/>
        </w:rPr>
      </w:pPr>
      <w:r>
        <w:rPr>
          <w:rFonts w:ascii="Times New Roman" w:hAnsi="Times New Roman"/>
          <w:b/>
          <w:sz w:val="20"/>
        </w:rPr>
        <w:t xml:space="preserve">USE IN SPECIFIC POPULATIONS </w:t>
      </w:r>
    </w:p>
    <w:p>
      <w:pPr>
        <w:pStyle w:val="TextBody"/>
        <w:bidi w:val="0"/>
        <w:spacing w:before="120" w:after="0"/>
        <w:jc w:val="left"/>
        <w:rPr>
          <w:rFonts w:ascii="Times New Roman" w:hAnsi="Times New Roman"/>
          <w:b/>
          <w:sz w:val="20"/>
        </w:rPr>
      </w:pPr>
      <w:r>
        <w:rPr>
          <w:rFonts w:ascii="Times New Roman" w:hAnsi="Times New Roman"/>
          <w:b/>
          <w:sz w:val="20"/>
        </w:rPr>
        <w:t xml:space="preserve">Pregnancy </w:t>
      </w:r>
    </w:p>
    <w:p>
      <w:pPr>
        <w:pStyle w:val="TextBody"/>
        <w:bidi w:val="0"/>
        <w:spacing w:before="120" w:after="0"/>
        <w:jc w:val="left"/>
        <w:rPr>
          <w:rFonts w:ascii="Times New Roman" w:hAnsi="Times New Roman"/>
          <w:sz w:val="20"/>
        </w:rPr>
      </w:pPr>
      <w:r>
        <w:rPr>
          <w:rFonts w:ascii="Times New Roman" w:hAnsi="Times New Roman"/>
          <w:sz w:val="20"/>
        </w:rPr>
        <w:t xml:space="preserve">There are insufficient data to evaluate a drug-associated risk of major birth defects, miscarriage, or adverse maternal or fetal outcomes. PEMGARDA should only be used during pregnancy if the potential benefit outweighs the potential risk for the mother and the fetus. </w:t>
      </w:r>
    </w:p>
    <w:p>
      <w:pPr>
        <w:pStyle w:val="TextBody"/>
        <w:bidi w:val="0"/>
        <w:spacing w:before="360" w:after="0"/>
        <w:jc w:val="left"/>
        <w:rPr>
          <w:rFonts w:ascii="Times New Roman" w:hAnsi="Times New Roman"/>
          <w:b/>
          <w:sz w:val="20"/>
        </w:rPr>
      </w:pPr>
      <w:r>
        <w:rPr>
          <w:rFonts w:ascii="Times New Roman" w:hAnsi="Times New Roman"/>
          <w:b/>
          <w:sz w:val="20"/>
        </w:rPr>
        <w:t xml:space="preserve">Lactation </w:t>
      </w:r>
    </w:p>
    <w:p>
      <w:pPr>
        <w:pStyle w:val="TextBody"/>
        <w:bidi w:val="0"/>
        <w:spacing w:before="120" w:after="0"/>
        <w:jc w:val="left"/>
        <w:rPr>
          <w:rFonts w:ascii="Times New Roman" w:hAnsi="Times New Roman"/>
          <w:sz w:val="20"/>
        </w:rPr>
      </w:pPr>
      <w:r>
        <w:rPr>
          <w:rFonts w:ascii="Times New Roman" w:hAnsi="Times New Roman"/>
          <w:sz w:val="20"/>
        </w:rPr>
        <w:t xml:space="preserve">There are no available data on the presence of PEMGARDA in human or animal milk, the effects on the breastfed infant, or the effects on milk production. Maternal IgG is known to be present in human milk. The developmental and health benefits of breastfeeding should be considered along with the mothers clinical need for PEMGARDA and any potential adverse effects on the breastfed infant from PEMGARDA.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Pediatric Use </w:t>
      </w:r>
    </w:p>
    <w:p>
      <w:pPr>
        <w:pStyle w:val="TextBody"/>
        <w:bidi w:val="0"/>
        <w:spacing w:before="120" w:after="0"/>
        <w:jc w:val="left"/>
        <w:rPr>
          <w:rFonts w:ascii="Times New Roman" w:hAnsi="Times New Roman"/>
          <w:sz w:val="20"/>
        </w:rPr>
      </w:pPr>
      <w:r>
        <w:rPr>
          <w:rFonts w:ascii="Times New Roman" w:hAnsi="Times New Roman"/>
          <w:sz w:val="20"/>
        </w:rPr>
        <w:t xml:space="preserve">PEMGARDA is not authorized for use in pediatrics less than 12 years of age or weighing less than 40 kg. The safety and effectiveness of PEMGARDA has not been established in pediatrics. </w:t>
      </w:r>
    </w:p>
    <w:p>
      <w:pPr>
        <w:pStyle w:val="TextBody"/>
        <w:bidi w:val="0"/>
        <w:spacing w:before="360" w:after="0"/>
        <w:jc w:val="left"/>
        <w:rPr>
          <w:rFonts w:ascii="Times New Roman" w:hAnsi="Times New Roman"/>
          <w:b/>
          <w:sz w:val="20"/>
        </w:rPr>
      </w:pPr>
      <w:r>
        <w:rPr>
          <w:rFonts w:ascii="Times New Roman" w:hAnsi="Times New Roman"/>
          <w:b/>
          <w:sz w:val="20"/>
        </w:rPr>
        <w:t xml:space="preserve">EMERGENCY USE AUTHORIZATION (EUA) FOR PEMGARDA </w:t>
      </w:r>
    </w:p>
    <w:p>
      <w:pPr>
        <w:pStyle w:val="TextBody"/>
        <w:bidi w:val="0"/>
        <w:spacing w:before="120" w:after="0"/>
        <w:jc w:val="left"/>
        <w:rPr>
          <w:rFonts w:ascii="Times New Roman" w:hAnsi="Times New Roman"/>
          <w:sz w:val="20"/>
        </w:rPr>
      </w:pPr>
      <w:r>
        <w:rPr>
          <w:rFonts w:ascii="Times New Roman" w:hAnsi="Times New Roman"/>
          <w:sz w:val="20"/>
        </w:rPr>
        <w:t xml:space="preserve">The U.S. Food and Drug Administration (FDA) has issued an EUA for the emergency use of the unapproved product PEMGARDA for the pre-exposure prophylaxis of COVID-19 in adults and adolescents (12 years of age and older weighing at least 40 kg):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 are not currently infected with SARS-CoV-2 and who have not had a known recent exposure to an individual infected with SARS-CoV-2 </w:t>
            </w:r>
            <w:r>
              <w:rPr>
                <w:rFonts w:ascii="Times New Roman" w:hAnsi="Times New Roman"/>
                <w:b/>
                <w:sz w:val="20"/>
              </w:rPr>
              <w:t>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 have moderate-to-severe immune compromise due to a medical condition or receipt of immunosuppressive medications or treatments </w:t>
            </w:r>
            <w:r>
              <w:rPr>
                <w:rFonts w:ascii="Times New Roman" w:hAnsi="Times New Roman"/>
                <w:b/>
                <w:sz w:val="20"/>
              </w:rPr>
              <w:t>and</w:t>
            </w:r>
            <w:r>
              <w:rPr>
                <w:rFonts w:ascii="Times New Roman" w:hAnsi="Times New Roman"/>
                <w:sz w:val="20"/>
              </w:rPr>
              <w:t xml:space="preserve"> are unlikely to mount an adequate response to COVID-19 vaccination.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LIMITATIONS OF AUTHORIZED USE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PEMGARDA is not authorized for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treatment of COVID-19,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post-exposure prophylaxis of COVID-19 in individuals who have been exposed to someone infected with SARS-CoV-2.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 should receive COVID-19 vaccination.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individuals who have recently received a COVID-19 vaccine, PEMGARDA should be administered at least 2 weeks after vaccination.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PEMGARDA may only be prescribed for an individual patient by physicians, advanced practice registered nurses, and physician assistants that are licensed or authorized under State law to prescribe drugs. </w:t>
      </w:r>
    </w:p>
    <w:p>
      <w:pPr>
        <w:pStyle w:val="TextBody"/>
        <w:bidi w:val="0"/>
        <w:spacing w:before="240" w:after="0"/>
        <w:jc w:val="left"/>
        <w:rPr>
          <w:rFonts w:ascii="Times New Roman" w:hAnsi="Times New Roman"/>
          <w:sz w:val="20"/>
        </w:rPr>
      </w:pPr>
      <w:r>
        <w:rPr>
          <w:rFonts w:ascii="Times New Roman" w:hAnsi="Times New Roman"/>
          <w:sz w:val="20"/>
        </w:rPr>
        <w:t xml:space="preserve">PEMGARDA has been authorized by FDA for the emergency use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PEMGARDA is not FDA-approved for any use, including use for pre-exposure prophylaxis of COVID-19. </w:t>
      </w:r>
    </w:p>
    <w:p>
      <w:pPr>
        <w:pStyle w:val="TextBody"/>
        <w:bidi w:val="0"/>
        <w:spacing w:before="240" w:after="0"/>
        <w:jc w:val="left"/>
        <w:rPr>
          <w:rFonts w:ascii="Times New Roman" w:hAnsi="Times New Roman"/>
          <w:sz w:val="20"/>
        </w:rPr>
      </w:pPr>
      <w:r>
        <w:rPr>
          <w:rFonts w:ascii="Times New Roman" w:hAnsi="Times New Roman"/>
          <w:sz w:val="20"/>
        </w:rPr>
        <w:t xml:space="preserve">PEMGARDA is authorized only for the duration of the declaration that circumstances exist justifying the authorization of the emergency use of PEMGARDA under Section 564(b)(1) of the Federal Food Drug, and Cosmetic Act, 21 U.S.C. § 360bbb 3(b)(1), unless the authorization is terminated or revoked sooner. </w:t>
      </w:r>
    </w:p>
    <w:p>
      <w:pPr>
        <w:pStyle w:val="TextBody"/>
        <w:bidi w:val="0"/>
        <w:spacing w:before="240" w:after="0"/>
        <w:jc w:val="left"/>
        <w:rPr>
          <w:rFonts w:ascii="Times New Roman" w:hAnsi="Times New Roman"/>
          <w:sz w:val="20"/>
        </w:rPr>
      </w:pPr>
      <w:r>
        <w:rPr>
          <w:rFonts w:ascii="Times New Roman" w:hAnsi="Times New Roman"/>
          <w:sz w:val="20"/>
        </w:rPr>
        <w:t xml:space="preserve">See full </w:t>
      </w:r>
      <w:r>
        <w:rPr>
          <w:rFonts w:ascii="Times New Roman" w:hAnsi="Times New Roman"/>
          <w:b/>
          <w:sz w:val="20"/>
          <w:u w:val="single"/>
        </w:rPr>
        <w:t>Fact Sheet for Healthcare Providers, Including Boxed Warning</w:t>
      </w:r>
      <w:r>
        <w:rPr>
          <w:rFonts w:ascii="Times New Roman" w:hAnsi="Times New Roman"/>
          <w:sz w:val="20"/>
        </w:rPr>
        <w:t xml:space="preserve"> and </w:t>
      </w:r>
      <w:r>
        <w:rPr>
          <w:rFonts w:ascii="Times New Roman" w:hAnsi="Times New Roman"/>
          <w:b/>
          <w:sz w:val="20"/>
          <w:u w:val="single"/>
        </w:rPr>
        <w:t>Fact Sheet for Patients, Parents, and Caregivers</w:t>
      </w:r>
      <w:r>
        <w:rPr>
          <w:rFonts w:ascii="Times New Roman" w:hAnsi="Times New Roman"/>
          <w:sz w:val="20"/>
        </w:rPr>
        <w:t xml:space="preserve"> for examples of medical conditions or treatments that may result in moderate to severe immune compromise and an inadequate immune response to COVID-19 vaccination, the justification for emergency use of drugs during the COVID-19 pandemic, information on available alternatives, and additional information on COVID-19. The </w:t>
      </w:r>
      <w:r>
        <w:rPr>
          <w:rFonts w:ascii="Times New Roman" w:hAnsi="Times New Roman"/>
          <w:b/>
          <w:sz w:val="20"/>
          <w:u w:val="single"/>
        </w:rPr>
        <w:t>FDA Letter of Authorization</w:t>
      </w:r>
      <w:r>
        <w:rPr>
          <w:rFonts w:ascii="Times New Roman" w:hAnsi="Times New Roman"/>
          <w:sz w:val="20"/>
        </w:rPr>
        <w:t xml:space="preserve"> is also available for reference.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prescribing healthcare provider and/or the providers designee is/are responsible for mandatory reporting of all serious adverse events* and medication errors potentially related to PEMGARDA within 7 calendar days from the healthcare providers awareness of the event, using FDA Form 3500 (for information on how to access this form, see below). The FDA requires that such reports, using FDA Form 3500,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demographics and baseline characteristics (e.g., patient identifier, age or date of birth, sex, weight, ethnicity, and race).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PEMGARDA use for the pre-exposure prophylaxis of COVID-19 under Emergency Use Authorization (EUA) under the </w:t>
            </w:r>
            <w:r>
              <w:rPr>
                <w:rFonts w:ascii="Times New Roman" w:hAnsi="Times New Roman"/>
                <w:b/>
                <w:sz w:val="20"/>
              </w:rPr>
              <w:t>Describe Event, Problem, or Product Use/Medication Error</w:t>
            </w:r>
            <w:r>
              <w:rPr>
                <w:rFonts w:ascii="Times New Roman" w:hAnsi="Times New Roman"/>
                <w:sz w:val="20"/>
              </w:rPr>
              <w:t xml:space="preserve"> heading.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the serious adverse event or medication error (e.g., signs and symptoms, test/laboratory data, complications, timing of drug initiation in relation to the occurrence of the event, duration of the event, treatment required to mitigate the event, evidence of event improvement/disappearance after stopping or reducing the dosage, evidence of event reappearance after reintroduction, clinical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preexisting medical conditions and use of concomitant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the product (e.g., dosage, route of administration, NDC #).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Submit serious adverse event and medication error reports using FDA Form 3500 to FDA MedWatch using one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submit the report online: www.fda.gov/medwatch/report.htm.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submit a postage-paid FDA Form 3500 (https://www.fda.gov/media/76299/download) and return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Mail to MedWatch, 5600 Fishers Lane, Rockville, MD 20852-9787,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Fax to 1-800-FDA (332)-0178,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Call 1-800-FDA (332)-1088 to request a reporting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please provide a copy of all FDA MedWatch forms to: </w:t>
      </w:r>
    </w:p>
    <w:p>
      <w:pPr>
        <w:pStyle w:val="TextBody"/>
        <w:bidi w:val="0"/>
        <w:spacing w:before="120" w:after="0"/>
        <w:jc w:val="left"/>
        <w:rPr>
          <w:rFonts w:ascii="Times New Roman" w:hAnsi="Times New Roman"/>
          <w:sz w:val="20"/>
        </w:rPr>
      </w:pPr>
      <w:r>
        <w:rPr>
          <w:rFonts w:ascii="Times New Roman" w:hAnsi="Times New Roman"/>
          <w:sz w:val="20"/>
        </w:rPr>
        <w:t xml:space="preserve">Invivyd, Inc. </w:t>
      </w:r>
    </w:p>
    <w:p>
      <w:pPr>
        <w:pStyle w:val="TextBody"/>
        <w:bidi w:val="0"/>
        <w:spacing w:before="0" w:after="0"/>
        <w:jc w:val="left"/>
        <w:rPr>
          <w:rFonts w:ascii="Times New Roman" w:hAnsi="Times New Roman"/>
          <w:sz w:val="20"/>
        </w:rPr>
      </w:pPr>
      <w:r>
        <w:rPr>
          <w:rFonts w:ascii="Times New Roman" w:hAnsi="Times New Roman"/>
          <w:sz w:val="20"/>
        </w:rPr>
        <w:t xml:space="preserve">Email: pv@invivyd.com </w:t>
      </w:r>
    </w:p>
    <w:p>
      <w:pPr>
        <w:pStyle w:val="TextBody"/>
        <w:bidi w:val="0"/>
        <w:spacing w:before="0" w:after="0"/>
        <w:jc w:val="left"/>
        <w:rPr>
          <w:rFonts w:ascii="Times New Roman" w:hAnsi="Times New Roman"/>
          <w:sz w:val="20"/>
        </w:rPr>
      </w:pPr>
      <w:r>
        <w:rPr>
          <w:rFonts w:ascii="Times New Roman" w:hAnsi="Times New Roman"/>
          <w:sz w:val="20"/>
        </w:rPr>
        <w:t xml:space="preserve">Or call Invivyd, Inc. at 1-800-890-3385 to report serious adverse events. </w:t>
      </w:r>
    </w:p>
    <w:p>
      <w:pPr>
        <w:pStyle w:val="TextBody"/>
        <w:bidi w:val="0"/>
        <w:spacing w:before="240" w:after="0"/>
        <w:jc w:val="left"/>
        <w:rPr>
          <w:rFonts w:ascii="Times New Roman" w:hAnsi="Times New Roman"/>
          <w:sz w:val="20"/>
        </w:rPr>
      </w:pPr>
      <w:r>
        <w:rPr>
          <w:rFonts w:ascii="Times New Roman" w:hAnsi="Times New Roman"/>
          <w:sz w:val="20"/>
        </w:rPr>
        <w:t xml:space="preserve">The prescribing healthcare provider and/or the providers designee is/are responsible for mandatory responses to requests from FDA for information about serious adverse events and medication errors following receipt of PEMGARDA.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adverse events are defined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life-threatening adverse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Inpatient hospitalization or prolongation of existing hospitalization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persistent or significant incapacity or substantial disruption of the ability to conduct normal life functions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congenital anomaly/birth defect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important medical events, which may require a medical or surgical intervention to prevent death, a life-threatening event, hospitalization, disability, or congenital anomaly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You may report side effects related to Invivyd, Inc. products by sending an email to medinfo@invivyd.com.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Scott Young </w:t>
      </w:r>
    </w:p>
    <w:p>
      <w:pPr>
        <w:pStyle w:val="TextBody"/>
        <w:bidi w:val="0"/>
        <w:spacing w:before="0" w:after="0"/>
        <w:jc w:val="left"/>
        <w:rPr>
          <w:rFonts w:ascii="Times New Roman" w:hAnsi="Times New Roman"/>
          <w:sz w:val="20"/>
        </w:rPr>
      </w:pPr>
      <w:r>
        <w:rPr>
          <w:rFonts w:ascii="Times New Roman" w:hAnsi="Times New Roman"/>
          <w:sz w:val="20"/>
        </w:rPr>
        <w:t xml:space="preserve">(781) 208-1747 </w:t>
      </w:r>
    </w:p>
    <w:p>
      <w:pPr>
        <w:pStyle w:val="TextBody"/>
        <w:bidi w:val="0"/>
        <w:spacing w:before="0" w:after="0"/>
        <w:jc w:val="left"/>
        <w:rPr>
          <w:rFonts w:ascii="Times New Roman" w:hAnsi="Times New Roman"/>
          <w:sz w:val="20"/>
        </w:rPr>
      </w:pPr>
      <w:r>
        <w:rPr>
          <w:rFonts w:ascii="Times New Roman" w:hAnsi="Times New Roman"/>
          <w:sz w:val="20"/>
        </w:rPr>
        <w:t xml:space="preserve">syoung@invivyd.com </w:t>
      </w:r>
    </w:p>
    <w:p>
      <w:pPr>
        <w:pStyle w:val="TextBody"/>
        <w:bidi w:val="0"/>
        <w:spacing w:before="240" w:after="0"/>
        <w:jc w:val="left"/>
        <w:rPr>
          <w:rFonts w:ascii="Times New Roman" w:hAnsi="Times New Roman"/>
          <w:sz w:val="20"/>
        </w:rPr>
      </w:pPr>
      <w:r>
        <w:rPr>
          <w:rFonts w:ascii="Times New Roman" w:hAnsi="Times New Roman"/>
          <w:sz w:val="20"/>
        </w:rPr>
        <w:t xml:space="preserve">Gabriella Linville-Engler </w:t>
      </w:r>
    </w:p>
    <w:p>
      <w:pPr>
        <w:pStyle w:val="TextBody"/>
        <w:bidi w:val="0"/>
        <w:spacing w:before="0" w:after="0"/>
        <w:jc w:val="left"/>
        <w:rPr>
          <w:rFonts w:ascii="Times New Roman" w:hAnsi="Times New Roman"/>
          <w:sz w:val="20"/>
        </w:rPr>
      </w:pPr>
      <w:r>
        <w:rPr>
          <w:rFonts w:ascii="Times New Roman" w:hAnsi="Times New Roman"/>
          <w:sz w:val="20"/>
        </w:rPr>
        <w:t xml:space="preserve">(781) 208-0160 </w:t>
      </w:r>
    </w:p>
    <w:p>
      <w:pPr>
        <w:pStyle w:val="TextBody"/>
        <w:bidi w:val="0"/>
        <w:spacing w:before="0" w:after="0"/>
        <w:jc w:val="left"/>
        <w:rPr>
          <w:rFonts w:ascii="Times New Roman" w:hAnsi="Times New Roman"/>
          <w:sz w:val="20"/>
        </w:rPr>
      </w:pPr>
      <w:r>
        <w:rPr>
          <w:rFonts w:ascii="Times New Roman" w:hAnsi="Times New Roman"/>
          <w:sz w:val="20"/>
        </w:rPr>
        <w:t xml:space="preserve">gengler@invivyd.com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4743</Words>
  <Characters>27345</Characters>
  <CharactersWithSpaces>32368</CharactersWithSpaces>
  <Paragraphs>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