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SCHEDULE 13D/A</w:t>
      </w:r>
    </w:p>
    <w:p>
      <w:pPr>
        <w:spacing w:after="0" w:line="2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(Amendment No. 1)*</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Adagio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2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00534A102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27"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0"/>
          <w:szCs w:val="20"/>
          <w:color w:val="auto"/>
        </w:rPr>
        <w:t>M28 Capital Management LP</w:t>
      </w:r>
    </w:p>
    <w:p>
      <w:pPr>
        <w:ind w:left="4540"/>
        <w:spacing w:after="0" w:line="198" w:lineRule="auto"/>
        <w:rPr>
          <w:sz w:val="20"/>
          <w:szCs w:val="20"/>
          <w:color w:val="auto"/>
        </w:rPr>
      </w:pPr>
      <w:r>
        <w:rPr>
          <w:rFonts w:ascii="Times New Roman" w:cs="Times New Roman" w:eastAsia="Times New Roman" w:hAnsi="Times New Roman"/>
          <w:sz w:val="20"/>
          <w:szCs w:val="20"/>
          <w:color w:val="auto"/>
        </w:rPr>
        <w:t>700 Canal Street, 2</w:t>
      </w:r>
      <w:r>
        <w:rPr>
          <w:rFonts w:ascii="Times New Roman" w:cs="Times New Roman" w:eastAsia="Times New Roman" w:hAnsi="Times New Roman"/>
          <w:sz w:val="32"/>
          <w:szCs w:val="32"/>
          <w:color w:val="auto"/>
          <w:vertAlign w:val="superscript"/>
        </w:rPr>
        <w:t>nd</w:t>
      </w:r>
      <w:r>
        <w:rPr>
          <w:rFonts w:ascii="Times New Roman" w:cs="Times New Roman" w:eastAsia="Times New Roman" w:hAnsi="Times New Roman"/>
          <w:sz w:val="20"/>
          <w:szCs w:val="20"/>
          <w:color w:val="auto"/>
        </w:rPr>
        <w:t xml:space="preserve"> Floor</w:t>
      </w:r>
    </w:p>
    <w:p>
      <w:pPr>
        <w:spacing w:after="0" w:line="1"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20"/>
          <w:szCs w:val="20"/>
          <w:color w:val="auto"/>
        </w:rPr>
        <w:t>Stamford, CT 06902</w:t>
      </w:r>
    </w:p>
    <w:p>
      <w:pPr>
        <w:spacing w:after="0" w:line="2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0"/>
          <w:szCs w:val="20"/>
          <w:color w:val="auto"/>
        </w:rPr>
        <w:t>Eleazer Klein, Esq.</w:t>
      </w:r>
    </w:p>
    <w:p>
      <w:pPr>
        <w:spacing w:after="0" w:line="21"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0"/>
          <w:szCs w:val="20"/>
          <w:color w:val="auto"/>
        </w:rPr>
        <w:t>Adriana Schwartz, Esq.</w:t>
      </w:r>
    </w:p>
    <w:p>
      <w:pPr>
        <w:ind w:left="4600"/>
        <w:spacing w:after="0"/>
        <w:rPr>
          <w:sz w:val="20"/>
          <w:szCs w:val="20"/>
          <w:color w:val="auto"/>
        </w:rPr>
      </w:pPr>
      <w:r>
        <w:rPr>
          <w:rFonts w:ascii="Times New Roman" w:cs="Times New Roman" w:eastAsia="Times New Roman" w:hAnsi="Times New Roman"/>
          <w:sz w:val="20"/>
          <w:szCs w:val="20"/>
          <w:color w:val="auto"/>
        </w:rPr>
        <w:t>Schulte Roth &amp; Zabel LLP</w:t>
      </w:r>
    </w:p>
    <w:p>
      <w:pPr>
        <w:ind w:left="4960"/>
        <w:spacing w:after="0"/>
        <w:rPr>
          <w:sz w:val="20"/>
          <w:szCs w:val="20"/>
          <w:color w:val="auto"/>
        </w:rPr>
      </w:pPr>
      <w:r>
        <w:rPr>
          <w:rFonts w:ascii="Times New Roman" w:cs="Times New Roman" w:eastAsia="Times New Roman" w:hAnsi="Times New Roman"/>
          <w:sz w:val="20"/>
          <w:szCs w:val="20"/>
          <w:color w:val="auto"/>
        </w:rPr>
        <w:t>919 Third Avenue</w:t>
      </w:r>
    </w:p>
    <w:p>
      <w:pPr>
        <w:ind w:left="4800"/>
        <w:spacing w:after="0"/>
        <w:rPr>
          <w:sz w:val="20"/>
          <w:szCs w:val="20"/>
          <w:color w:val="auto"/>
        </w:rPr>
      </w:pPr>
      <w:r>
        <w:rPr>
          <w:rFonts w:ascii="Times New Roman" w:cs="Times New Roman" w:eastAsia="Times New Roman" w:hAnsi="Times New Roman"/>
          <w:sz w:val="20"/>
          <w:szCs w:val="20"/>
          <w:color w:val="auto"/>
        </w:rPr>
        <w:t>New York, NY 10022</w:t>
      </w:r>
    </w:p>
    <w:p>
      <w:pPr>
        <w:ind w:left="5000"/>
        <w:spacing w:after="0"/>
        <w:rPr>
          <w:sz w:val="20"/>
          <w:szCs w:val="20"/>
          <w:color w:val="auto"/>
        </w:rPr>
      </w:pPr>
      <w:r>
        <w:rPr>
          <w:rFonts w:ascii="Times New Roman" w:cs="Times New Roman" w:eastAsia="Times New Roman" w:hAnsi="Times New Roman"/>
          <w:sz w:val="20"/>
          <w:szCs w:val="20"/>
          <w:color w:val="auto"/>
        </w:rPr>
        <w:t>(212) 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0"/>
          <w:szCs w:val="20"/>
          <w:color w:val="auto"/>
        </w:rPr>
        <w:t>(Name, Address and Telephone Number of Person</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Authorized to Receive Notices and Communications)</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April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right="100"/>
        <w:spacing w:after="0" w:line="261" w:lineRule="exact"/>
        <w:rPr>
          <w:sz w:val="20"/>
          <w:szCs w:val="20"/>
          <w:color w:val="auto"/>
        </w:rPr>
      </w:pPr>
      <w:r>
        <w:rPr>
          <w:rFonts w:ascii="Times New Roman" w:cs="Times New Roman" w:eastAsia="Times New Roman" w:hAnsi="Times New Roman"/>
          <w:sz w:val="20"/>
          <w:szCs w:val="20"/>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20"/>
          <w:szCs w:val="20"/>
          <w:color w:val="auto"/>
        </w:rPr>
        <w:t>☐</w:t>
      </w:r>
    </w:p>
    <w:p>
      <w:pPr>
        <w:spacing w:after="0" w:line="18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(Page 1 of 5 Pages)</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ind w:right="340" w:firstLine="8"/>
        <w:spacing w:after="0" w:line="246" w:lineRule="auto"/>
        <w:tabs>
          <w:tab w:leader="none" w:pos="1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5"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320" w:top="436"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00534A102</w:t>
            </w:r>
          </w:p>
        </w:tc>
        <w:tc>
          <w:tcPr>
            <w:tcW w:w="700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SCHEDULE 13D/A</w:t>
            </w:r>
          </w:p>
        </w:tc>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Page 2 of 5 Pages</w:t>
            </w:r>
          </w:p>
        </w:tc>
        <w:tc>
          <w:tcPr>
            <w:tcW w:w="0" w:type="dxa"/>
            <w:vAlign w:val="bottom"/>
          </w:tcPr>
          <w:p>
            <w:pPr>
              <w:spacing w:after="0"/>
              <w:rPr>
                <w:sz w:val="1"/>
                <w:szCs w:val="1"/>
                <w:color w:val="auto"/>
              </w:rPr>
            </w:pPr>
          </w:p>
        </w:tc>
      </w:tr>
      <w:tr>
        <w:trPr>
          <w:trHeight w:val="351"/>
        </w:trPr>
        <w:tc>
          <w:tcPr>
            <w:tcW w:w="166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gridSpan w:val="3"/>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1</w:t>
            </w:r>
          </w:p>
        </w:tc>
        <w:tc>
          <w:tcPr>
            <w:tcW w:w="82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NAME OF REPORTING PERSON</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826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M28 Capital Management LP</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8260" w:type="dxa"/>
            <w:vAlign w:val="bottom"/>
            <w:tcBorders>
              <w:bottom w:val="single" w:sz="8" w:color="auto"/>
            </w:tcBorders>
            <w:gridSpan w:val="3"/>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b w:val="1"/>
                <w:bCs w:val="1"/>
                <w:color w:val="auto"/>
                <w:w w:val="90"/>
              </w:rPr>
              <w:t>2</w:t>
            </w:r>
          </w:p>
        </w:tc>
        <w:tc>
          <w:tcPr>
            <w:tcW w:w="82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1320" w:type="dxa"/>
            <w:vAlign w:val="bottom"/>
            <w:tcBorders>
              <w:right w:val="single" w:sz="8" w:color="auto"/>
            </w:tcBorders>
          </w:tcPr>
          <w:p>
            <w:pPr>
              <w:ind w:left="300"/>
              <w:spacing w:after="0" w:line="250" w:lineRule="exact"/>
              <w:rPr>
                <w:sz w:val="20"/>
                <w:szCs w:val="20"/>
                <w:color w:val="auto"/>
              </w:rPr>
            </w:pPr>
            <w:r>
              <w:rPr>
                <w:rFonts w:ascii="Times New Roman" w:cs="Times New Roman" w:eastAsia="Times New Roman" w:hAnsi="Times New Roman"/>
                <w:sz w:val="22"/>
                <w:szCs w:val="22"/>
                <w:color w:val="auto"/>
              </w:rPr>
              <w:t>(a) ü</w:t>
            </w:r>
          </w:p>
        </w:tc>
        <w:tc>
          <w:tcPr>
            <w:tcW w:w="0" w:type="dxa"/>
            <w:vAlign w:val="bottom"/>
          </w:tcPr>
          <w:p>
            <w:pPr>
              <w:spacing w:after="0"/>
              <w:rPr>
                <w:sz w:val="1"/>
                <w:szCs w:val="1"/>
                <w:color w:val="auto"/>
              </w:rPr>
            </w:pPr>
          </w:p>
        </w:tc>
      </w:tr>
      <w:tr>
        <w:trPr>
          <w:trHeight w:val="297"/>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ind w:left="300"/>
              <w:spacing w:after="0" w:line="253" w:lineRule="exact"/>
              <w:rPr>
                <w:sz w:val="20"/>
                <w:szCs w:val="20"/>
                <w:color w:val="auto"/>
              </w:rPr>
            </w:pPr>
            <w:r>
              <w:rPr>
                <w:rFonts w:ascii="Times New Roman" w:cs="Times New Roman" w:eastAsia="Times New Roman" w:hAnsi="Times New Roman"/>
                <w:sz w:val="22"/>
                <w:szCs w:val="22"/>
                <w:color w:val="auto"/>
              </w:rPr>
              <w:t xml:space="preserve">(b)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316"/>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3</w:t>
            </w:r>
          </w:p>
        </w:tc>
        <w:tc>
          <w:tcPr>
            <w:tcW w:w="82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SEC USE ONLY</w:t>
            </w:r>
          </w:p>
        </w:tc>
        <w:tc>
          <w:tcPr>
            <w:tcW w:w="1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660" w:type="dxa"/>
            <w:vAlign w:val="bottom"/>
            <w:tcBorders>
              <w:left w:val="single" w:sz="8" w:color="auto"/>
              <w:bottom w:val="single" w:sz="8" w:color="auto"/>
              <w:right w:val="single" w:sz="8" w:color="auto"/>
            </w:tcBorders>
          </w:tcPr>
          <w:p>
            <w:pPr>
              <w:spacing w:after="0"/>
              <w:rPr>
                <w:sz w:val="16"/>
                <w:szCs w:val="16"/>
                <w:color w:val="auto"/>
              </w:rPr>
            </w:pPr>
          </w:p>
        </w:tc>
        <w:tc>
          <w:tcPr>
            <w:tcW w:w="8260" w:type="dxa"/>
            <w:vAlign w:val="bottom"/>
            <w:tcBorders>
              <w:bottom w:val="single" w:sz="8" w:color="auto"/>
            </w:tcBorders>
            <w:gridSpan w:val="3"/>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4</w:t>
            </w:r>
          </w:p>
        </w:tc>
        <w:tc>
          <w:tcPr>
            <w:tcW w:w="82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SOURCE OF FUNDS</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AF</w:t>
            </w:r>
          </w:p>
        </w:tc>
        <w:tc>
          <w:tcPr>
            <w:tcW w:w="700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8260" w:type="dxa"/>
            <w:vAlign w:val="bottom"/>
            <w:tcBorders>
              <w:bottom w:val="single" w:sz="8" w:color="auto"/>
            </w:tcBorders>
            <w:gridSpan w:val="3"/>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5</w:t>
            </w:r>
          </w:p>
        </w:tc>
        <w:tc>
          <w:tcPr>
            <w:tcW w:w="82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CHECK BOX IF DISCLOSURE OF LEGAL PROCEEDING IS REQUIRED PURSUANT TO ITEMS</w:t>
            </w:r>
          </w:p>
        </w:tc>
        <w:tc>
          <w:tcPr>
            <w:tcW w:w="1320" w:type="dxa"/>
            <w:vAlign w:val="bottom"/>
            <w:tcBorders>
              <w:right w:val="single" w:sz="8" w:color="auto"/>
            </w:tcBorders>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2(d) or 2(e)</w:t>
            </w:r>
          </w:p>
        </w:tc>
        <w:tc>
          <w:tcPr>
            <w:tcW w:w="700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8260" w:type="dxa"/>
            <w:vAlign w:val="bottom"/>
            <w:tcBorders>
              <w:bottom w:val="single" w:sz="8" w:color="auto"/>
            </w:tcBorders>
            <w:gridSpan w:val="3"/>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6</w:t>
            </w:r>
          </w:p>
        </w:tc>
        <w:tc>
          <w:tcPr>
            <w:tcW w:w="82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Delaware</w:t>
            </w:r>
          </w:p>
        </w:tc>
        <w:tc>
          <w:tcPr>
            <w:tcW w:w="700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7</w:t>
            </w:r>
          </w:p>
        </w:tc>
        <w:tc>
          <w:tcPr>
            <w:tcW w:w="40" w:type="dxa"/>
            <w:vAlign w:val="bottom"/>
          </w:tcPr>
          <w:p>
            <w:pPr>
              <w:spacing w:after="0"/>
              <w:rPr>
                <w:sz w:val="22"/>
                <w:szCs w:val="22"/>
                <w:color w:val="auto"/>
              </w:rPr>
            </w:pPr>
          </w:p>
        </w:tc>
        <w:tc>
          <w:tcPr>
            <w:tcW w:w="7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SOLE VOTING POWER</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NUMBER OF</w:t>
            </w:r>
          </w:p>
        </w:tc>
        <w:tc>
          <w:tcPr>
            <w:tcW w:w="12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70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-0-</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right w:val="single" w:sz="8" w:color="auto"/>
            </w:tcBorders>
            <w:vMerge w:val="continue"/>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660" w:type="dxa"/>
            <w:vAlign w:val="bottom"/>
            <w:tcBorders>
              <w:left w:val="single" w:sz="8" w:color="auto"/>
              <w:right w:val="single" w:sz="8" w:color="auto"/>
            </w:tcBorders>
            <w:vMerge w:val="continue"/>
          </w:tcPr>
          <w:p>
            <w:pPr>
              <w:spacing w:after="0"/>
              <w:rPr>
                <w:sz w:val="4"/>
                <w:szCs w:val="4"/>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8</w:t>
            </w:r>
          </w:p>
        </w:tc>
        <w:tc>
          <w:tcPr>
            <w:tcW w:w="40" w:type="dxa"/>
            <w:vAlign w:val="bottom"/>
          </w:tcPr>
          <w:p>
            <w:pPr>
              <w:spacing w:after="0"/>
              <w:rPr>
                <w:sz w:val="4"/>
                <w:szCs w:val="4"/>
                <w:color w:val="auto"/>
              </w:rPr>
            </w:pPr>
          </w:p>
        </w:tc>
        <w:tc>
          <w:tcPr>
            <w:tcW w:w="70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SHARED VOTING POWER</w:t>
            </w:r>
          </w:p>
        </w:tc>
        <w:tc>
          <w:tcPr>
            <w:tcW w:w="13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SHARES</w:t>
            </w:r>
          </w:p>
        </w:tc>
        <w:tc>
          <w:tcPr>
            <w:tcW w:w="1220" w:type="dxa"/>
            <w:vAlign w:val="bottom"/>
            <w:tcBorders>
              <w:right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BENEFICIALLY</w:t>
            </w:r>
          </w:p>
        </w:tc>
        <w:tc>
          <w:tcPr>
            <w:tcW w:w="12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70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6,398,250</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OWNED BY</w:t>
            </w:r>
          </w:p>
        </w:tc>
        <w:tc>
          <w:tcPr>
            <w:tcW w:w="12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9</w:t>
            </w:r>
          </w:p>
        </w:tc>
        <w:tc>
          <w:tcPr>
            <w:tcW w:w="40" w:type="dxa"/>
            <w:vAlign w:val="bottom"/>
          </w:tcPr>
          <w:p>
            <w:pPr>
              <w:spacing w:after="0"/>
              <w:rPr>
                <w:sz w:val="9"/>
                <w:szCs w:val="9"/>
                <w:color w:val="auto"/>
              </w:rPr>
            </w:pPr>
          </w:p>
        </w:tc>
        <w:tc>
          <w:tcPr>
            <w:tcW w:w="70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SOLE DISPOSITIVE POWER</w:t>
            </w:r>
          </w:p>
        </w:tc>
        <w:tc>
          <w:tcPr>
            <w:tcW w:w="1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660" w:type="dxa"/>
            <w:vAlign w:val="bottom"/>
            <w:tcBorders>
              <w:left w:val="single" w:sz="8" w:color="auto"/>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9"/>
                <w:szCs w:val="19"/>
                <w:color w:val="auto"/>
              </w:rPr>
              <w:t>EACH</w:t>
            </w:r>
          </w:p>
        </w:tc>
        <w:tc>
          <w:tcPr>
            <w:tcW w:w="12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7000" w:type="dxa"/>
            <w:vAlign w:val="bottom"/>
            <w:vMerge w:val="continue"/>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REPORTING</w:t>
            </w:r>
          </w:p>
        </w:tc>
        <w:tc>
          <w:tcPr>
            <w:tcW w:w="12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70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-0-</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1"/>
        </w:trPr>
        <w:tc>
          <w:tcPr>
            <w:tcW w:w="1660" w:type="dxa"/>
            <w:vAlign w:val="bottom"/>
            <w:tcBorders>
              <w:left w:val="single" w:sz="8" w:color="auto"/>
              <w:right w:val="single" w:sz="8" w:color="auto"/>
            </w:tcBorders>
            <w:vMerge w:val="continue"/>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PERSON WITH</w:t>
            </w:r>
          </w:p>
        </w:tc>
        <w:tc>
          <w:tcPr>
            <w:tcW w:w="12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0" w:type="dxa"/>
            <w:vAlign w:val="bottom"/>
            <w:tcBorders>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660" w:type="dxa"/>
            <w:vAlign w:val="bottom"/>
            <w:tcBorders>
              <w:left w:val="single" w:sz="8" w:color="auto"/>
              <w:right w:val="single" w:sz="8" w:color="auto"/>
            </w:tcBorders>
            <w:vMerge w:val="continue"/>
          </w:tcPr>
          <w:p>
            <w:pPr>
              <w:spacing w:after="0"/>
              <w:rPr>
                <w:sz w:val="16"/>
                <w:szCs w:val="16"/>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10</w:t>
            </w:r>
          </w:p>
        </w:tc>
        <w:tc>
          <w:tcPr>
            <w:tcW w:w="40" w:type="dxa"/>
            <w:vAlign w:val="bottom"/>
          </w:tcPr>
          <w:p>
            <w:pPr>
              <w:spacing w:after="0"/>
              <w:rPr>
                <w:sz w:val="16"/>
                <w:szCs w:val="16"/>
                <w:color w:val="auto"/>
              </w:rPr>
            </w:pPr>
          </w:p>
        </w:tc>
        <w:tc>
          <w:tcPr>
            <w:tcW w:w="70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SHARED DISPOSITIVE POWER</w:t>
            </w: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60" w:type="dxa"/>
            <w:vAlign w:val="bottom"/>
            <w:tcBorders>
              <w:left w:val="single" w:sz="8" w:color="auto"/>
              <w:right w:val="single" w:sz="8" w:color="auto"/>
            </w:tcBorders>
          </w:tcPr>
          <w:p>
            <w:pPr>
              <w:spacing w:after="0"/>
              <w:rPr>
                <w:sz w:val="5"/>
                <w:szCs w:val="5"/>
                <w:color w:val="auto"/>
              </w:rPr>
            </w:pPr>
          </w:p>
        </w:tc>
        <w:tc>
          <w:tcPr>
            <w:tcW w:w="122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7000" w:type="dxa"/>
            <w:vAlign w:val="bottom"/>
            <w:vMerge w:val="continue"/>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70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6,398,250</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7040" w:type="dxa"/>
            <w:vAlign w:val="bottom"/>
            <w:tcBorders>
              <w:bottom w:val="single" w:sz="8" w:color="auto"/>
            </w:tcBorders>
            <w:gridSpan w:val="2"/>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11</w:t>
            </w:r>
          </w:p>
        </w:tc>
        <w:tc>
          <w:tcPr>
            <w:tcW w:w="82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6,398,250</w:t>
            </w:r>
          </w:p>
        </w:tc>
        <w:tc>
          <w:tcPr>
            <w:tcW w:w="700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40" w:type="dxa"/>
            <w:vAlign w:val="bottom"/>
            <w:tcBorders>
              <w:bottom w:val="single" w:sz="8" w:color="auto"/>
            </w:tcBorders>
            <w:gridSpan w:val="2"/>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12</w:t>
            </w:r>
          </w:p>
        </w:tc>
        <w:tc>
          <w:tcPr>
            <w:tcW w:w="82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CHECK IF THE AGGREGATE AMOUNT IN ROW (11) EXCLUDES CERTAIN SHARES</w:t>
            </w:r>
          </w:p>
        </w:tc>
        <w:tc>
          <w:tcPr>
            <w:tcW w:w="1320" w:type="dxa"/>
            <w:vAlign w:val="bottom"/>
            <w:tcBorders>
              <w:right w:val="single" w:sz="8" w:color="auto"/>
            </w:tcBorders>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74"/>
        </w:trPr>
        <w:tc>
          <w:tcPr>
            <w:tcW w:w="1660" w:type="dxa"/>
            <w:vAlign w:val="bottom"/>
            <w:tcBorders>
              <w:left w:val="single" w:sz="8" w:color="auto"/>
              <w:bottom w:val="single" w:sz="8" w:color="auto"/>
              <w:right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7040" w:type="dxa"/>
            <w:vAlign w:val="bottom"/>
            <w:tcBorders>
              <w:bottom w:val="single" w:sz="8" w:color="auto"/>
            </w:tcBorders>
            <w:gridSpan w:val="2"/>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13</w:t>
            </w:r>
          </w:p>
        </w:tc>
        <w:tc>
          <w:tcPr>
            <w:tcW w:w="82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PERCENT OF CLASS REPRESENTED BY AMOUNT IN ROW (11)</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5.78%</w:t>
            </w:r>
          </w:p>
        </w:tc>
        <w:tc>
          <w:tcPr>
            <w:tcW w:w="40" w:type="dxa"/>
            <w:vAlign w:val="bottom"/>
          </w:tcPr>
          <w:p>
            <w:pPr>
              <w:spacing w:after="0"/>
              <w:rPr>
                <w:sz w:val="22"/>
                <w:szCs w:val="22"/>
                <w:color w:val="auto"/>
              </w:rPr>
            </w:pPr>
          </w:p>
        </w:tc>
        <w:tc>
          <w:tcPr>
            <w:tcW w:w="700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40" w:type="dxa"/>
            <w:vAlign w:val="bottom"/>
            <w:tcBorders>
              <w:bottom w:val="single" w:sz="8" w:color="auto"/>
            </w:tcBorders>
            <w:gridSpan w:val="2"/>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14</w:t>
            </w:r>
          </w:p>
        </w:tc>
        <w:tc>
          <w:tcPr>
            <w:tcW w:w="82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TYPE OF REPORTING PERSON</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IA</w:t>
            </w:r>
          </w:p>
        </w:tc>
        <w:tc>
          <w:tcPr>
            <w:tcW w:w="700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 w:name="page3"/>
    <w:bookmarkEnd w:id="2"/>
    <w:p>
      <w:pPr>
        <w:spacing w:after="0"/>
        <w:tabs>
          <w:tab w:leader="none" w:pos="484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00534A102</w:t>
      </w:r>
      <w:r>
        <w:rPr>
          <w:sz w:val="20"/>
          <w:szCs w:val="20"/>
          <w:color w:val="auto"/>
        </w:rPr>
        <w:tab/>
      </w:r>
      <w:r>
        <w:rPr>
          <w:rFonts w:ascii="Times New Roman" w:cs="Times New Roman" w:eastAsia="Times New Roman" w:hAnsi="Times New Roman"/>
          <w:sz w:val="18"/>
          <w:szCs w:val="18"/>
          <w:b w:val="1"/>
          <w:bCs w:val="1"/>
          <w:color w:val="auto"/>
        </w:rPr>
        <w:t>SCHEDULE 13D/A</w:t>
      </w:r>
      <w:r>
        <w:rPr>
          <w:sz w:val="20"/>
          <w:szCs w:val="20"/>
          <w:color w:val="auto"/>
        </w:rPr>
        <w:tab/>
      </w:r>
      <w:r>
        <w:rPr>
          <w:rFonts w:ascii="Times New Roman" w:cs="Times New Roman" w:eastAsia="Times New Roman" w:hAnsi="Times New Roman"/>
          <w:sz w:val="17"/>
          <w:szCs w:val="17"/>
          <w:b w:val="1"/>
          <w:bCs w:val="1"/>
          <w:color w:val="auto"/>
        </w:rPr>
        <w:t>Page 3 of 5 Pages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6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1</w:t>
            </w:r>
          </w:p>
        </w:tc>
        <w:tc>
          <w:tcPr>
            <w:tcW w:w="84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NAME OF REPORTING PERSON</w:t>
            </w:r>
          </w:p>
        </w:tc>
        <w:tc>
          <w:tcPr>
            <w:tcW w:w="118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Marc Elia</w:t>
            </w:r>
          </w:p>
        </w:tc>
        <w:tc>
          <w:tcPr>
            <w:tcW w:w="714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8400" w:type="dxa"/>
            <w:vAlign w:val="bottom"/>
            <w:tcBorders>
              <w:bottom w:val="single" w:sz="8" w:color="auto"/>
            </w:tcBorders>
            <w:gridSpan w:val="3"/>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b w:val="1"/>
                <w:bCs w:val="1"/>
                <w:color w:val="auto"/>
                <w:w w:val="90"/>
              </w:rPr>
              <w:t>2</w:t>
            </w:r>
          </w:p>
        </w:tc>
        <w:tc>
          <w:tcPr>
            <w:tcW w:w="84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1180" w:type="dxa"/>
            <w:vAlign w:val="bottom"/>
            <w:tcBorders>
              <w:right w:val="single" w:sz="8" w:color="auto"/>
            </w:tcBorders>
          </w:tcPr>
          <w:p>
            <w:pPr>
              <w:ind w:left="160"/>
              <w:spacing w:after="0" w:line="250" w:lineRule="exact"/>
              <w:rPr>
                <w:sz w:val="20"/>
                <w:szCs w:val="20"/>
                <w:color w:val="auto"/>
              </w:rPr>
            </w:pPr>
            <w:r>
              <w:rPr>
                <w:rFonts w:ascii="Times New Roman" w:cs="Times New Roman" w:eastAsia="Times New Roman" w:hAnsi="Times New Roman"/>
                <w:sz w:val="22"/>
                <w:szCs w:val="22"/>
                <w:color w:val="auto"/>
              </w:rPr>
              <w:t>(a) ü</w:t>
            </w:r>
          </w:p>
        </w:tc>
        <w:tc>
          <w:tcPr>
            <w:tcW w:w="0" w:type="dxa"/>
            <w:vAlign w:val="bottom"/>
          </w:tcPr>
          <w:p>
            <w:pPr>
              <w:spacing w:after="0"/>
              <w:rPr>
                <w:sz w:val="1"/>
                <w:szCs w:val="1"/>
                <w:color w:val="auto"/>
              </w:rPr>
            </w:pPr>
          </w:p>
        </w:tc>
      </w:tr>
      <w:tr>
        <w:trPr>
          <w:trHeight w:val="297"/>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ind w:left="160"/>
              <w:spacing w:after="0" w:line="253" w:lineRule="exact"/>
              <w:rPr>
                <w:sz w:val="20"/>
                <w:szCs w:val="20"/>
                <w:color w:val="auto"/>
              </w:rPr>
            </w:pPr>
            <w:r>
              <w:rPr>
                <w:rFonts w:ascii="Times New Roman" w:cs="Times New Roman" w:eastAsia="Times New Roman" w:hAnsi="Times New Roman"/>
                <w:sz w:val="22"/>
                <w:szCs w:val="22"/>
                <w:color w:val="auto"/>
              </w:rPr>
              <w:t xml:space="preserve">(b)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316"/>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3</w:t>
            </w:r>
          </w:p>
        </w:tc>
        <w:tc>
          <w:tcPr>
            <w:tcW w:w="84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SEC USE ONLY</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660" w:type="dxa"/>
            <w:vAlign w:val="bottom"/>
            <w:tcBorders>
              <w:left w:val="single" w:sz="8" w:color="auto"/>
              <w:bottom w:val="single" w:sz="8" w:color="auto"/>
              <w:right w:val="single" w:sz="8" w:color="auto"/>
            </w:tcBorders>
          </w:tcPr>
          <w:p>
            <w:pPr>
              <w:spacing w:after="0"/>
              <w:rPr>
                <w:sz w:val="16"/>
                <w:szCs w:val="16"/>
                <w:color w:val="auto"/>
              </w:rPr>
            </w:pPr>
          </w:p>
        </w:tc>
        <w:tc>
          <w:tcPr>
            <w:tcW w:w="8400" w:type="dxa"/>
            <w:vAlign w:val="bottom"/>
            <w:tcBorders>
              <w:bottom w:val="single" w:sz="8" w:color="auto"/>
            </w:tcBorders>
            <w:gridSpan w:val="3"/>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4</w:t>
            </w:r>
          </w:p>
        </w:tc>
        <w:tc>
          <w:tcPr>
            <w:tcW w:w="84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SOURCE OF FUNDS</w:t>
            </w: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AF</w:t>
            </w:r>
          </w:p>
        </w:tc>
        <w:tc>
          <w:tcPr>
            <w:tcW w:w="714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8400" w:type="dxa"/>
            <w:vAlign w:val="bottom"/>
            <w:tcBorders>
              <w:bottom w:val="single" w:sz="8" w:color="auto"/>
            </w:tcBorders>
            <w:gridSpan w:val="3"/>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5</w:t>
            </w:r>
          </w:p>
        </w:tc>
        <w:tc>
          <w:tcPr>
            <w:tcW w:w="8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CHECK BOX IF DISCLOSURE OF LEGAL PROCEEDING IS REQUIRED PURSUANT TO ITEMS</w:t>
            </w:r>
          </w:p>
        </w:tc>
        <w:tc>
          <w:tcPr>
            <w:tcW w:w="1180" w:type="dxa"/>
            <w:vAlign w:val="bottom"/>
            <w:tcBorders>
              <w:right w:val="single" w:sz="8" w:color="auto"/>
            </w:tcBorders>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2(d) or 2(e)</w:t>
            </w:r>
          </w:p>
        </w:tc>
        <w:tc>
          <w:tcPr>
            <w:tcW w:w="714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8400" w:type="dxa"/>
            <w:vAlign w:val="bottom"/>
            <w:tcBorders>
              <w:bottom w:val="single" w:sz="8" w:color="auto"/>
            </w:tcBorders>
            <w:gridSpan w:val="3"/>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6</w:t>
            </w:r>
          </w:p>
        </w:tc>
        <w:tc>
          <w:tcPr>
            <w:tcW w:w="84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840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United States</w:t>
            </w: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140" w:type="dxa"/>
            <w:vAlign w:val="bottom"/>
            <w:tcBorders>
              <w:bottom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7</w:t>
            </w:r>
          </w:p>
        </w:tc>
        <w:tc>
          <w:tcPr>
            <w:tcW w:w="40" w:type="dxa"/>
            <w:vAlign w:val="bottom"/>
          </w:tcPr>
          <w:p>
            <w:pPr>
              <w:spacing w:after="0"/>
              <w:rPr>
                <w:sz w:val="22"/>
                <w:szCs w:val="22"/>
                <w:color w:val="auto"/>
              </w:rPr>
            </w:pPr>
          </w:p>
        </w:tc>
        <w:tc>
          <w:tcPr>
            <w:tcW w:w="71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SOLE VOTING POWER</w:t>
            </w: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NUMBER OF</w:t>
            </w:r>
          </w:p>
        </w:tc>
        <w:tc>
          <w:tcPr>
            <w:tcW w:w="12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71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-0-</w:t>
            </w: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right w:val="single" w:sz="8" w:color="auto"/>
            </w:tcBorders>
            <w:vMerge w:val="continue"/>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140" w:type="dxa"/>
            <w:vAlign w:val="bottom"/>
            <w:tcBorders>
              <w:bottom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660" w:type="dxa"/>
            <w:vAlign w:val="bottom"/>
            <w:tcBorders>
              <w:left w:val="single" w:sz="8" w:color="auto"/>
              <w:right w:val="single" w:sz="8" w:color="auto"/>
            </w:tcBorders>
            <w:vMerge w:val="continue"/>
          </w:tcPr>
          <w:p>
            <w:pPr>
              <w:spacing w:after="0"/>
              <w:rPr>
                <w:sz w:val="4"/>
                <w:szCs w:val="4"/>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8</w:t>
            </w:r>
          </w:p>
        </w:tc>
        <w:tc>
          <w:tcPr>
            <w:tcW w:w="40" w:type="dxa"/>
            <w:vAlign w:val="bottom"/>
          </w:tcPr>
          <w:p>
            <w:pPr>
              <w:spacing w:after="0"/>
              <w:rPr>
                <w:sz w:val="4"/>
                <w:szCs w:val="4"/>
                <w:color w:val="auto"/>
              </w:rPr>
            </w:pPr>
          </w:p>
        </w:tc>
        <w:tc>
          <w:tcPr>
            <w:tcW w:w="71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SHARED VOTING POWER</w:t>
            </w:r>
          </w:p>
        </w:tc>
        <w:tc>
          <w:tcPr>
            <w:tcW w:w="1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SHARES</w:t>
            </w:r>
          </w:p>
        </w:tc>
        <w:tc>
          <w:tcPr>
            <w:tcW w:w="1220" w:type="dxa"/>
            <w:vAlign w:val="bottom"/>
            <w:tcBorders>
              <w:right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7140" w:type="dxa"/>
            <w:vAlign w:val="bottom"/>
            <w:vMerge w:val="continue"/>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BENEFICIALLY</w:t>
            </w:r>
          </w:p>
        </w:tc>
        <w:tc>
          <w:tcPr>
            <w:tcW w:w="12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71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6,398,250</w:t>
            </w: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OWNED BY</w:t>
            </w:r>
          </w:p>
        </w:tc>
        <w:tc>
          <w:tcPr>
            <w:tcW w:w="12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140" w:type="dxa"/>
            <w:vAlign w:val="bottom"/>
            <w:tcBorders>
              <w:bottom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9</w:t>
            </w:r>
          </w:p>
        </w:tc>
        <w:tc>
          <w:tcPr>
            <w:tcW w:w="40" w:type="dxa"/>
            <w:vAlign w:val="bottom"/>
          </w:tcPr>
          <w:p>
            <w:pPr>
              <w:spacing w:after="0"/>
              <w:rPr>
                <w:sz w:val="9"/>
                <w:szCs w:val="9"/>
                <w:color w:val="auto"/>
              </w:rPr>
            </w:pPr>
          </w:p>
        </w:tc>
        <w:tc>
          <w:tcPr>
            <w:tcW w:w="71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SOLE DISPOSITIVE POWER</w:t>
            </w:r>
          </w:p>
        </w:tc>
        <w:tc>
          <w:tcPr>
            <w:tcW w:w="11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660" w:type="dxa"/>
            <w:vAlign w:val="bottom"/>
            <w:tcBorders>
              <w:left w:val="single" w:sz="8" w:color="auto"/>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9"/>
                <w:szCs w:val="19"/>
                <w:color w:val="auto"/>
              </w:rPr>
              <w:t>EACH</w:t>
            </w:r>
          </w:p>
        </w:tc>
        <w:tc>
          <w:tcPr>
            <w:tcW w:w="12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7140" w:type="dxa"/>
            <w:vAlign w:val="bottom"/>
            <w:vMerge w:val="continue"/>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REPORTING</w:t>
            </w:r>
          </w:p>
        </w:tc>
        <w:tc>
          <w:tcPr>
            <w:tcW w:w="12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71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-0-</w:t>
            </w: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1"/>
        </w:trPr>
        <w:tc>
          <w:tcPr>
            <w:tcW w:w="1660" w:type="dxa"/>
            <w:vAlign w:val="bottom"/>
            <w:tcBorders>
              <w:left w:val="single" w:sz="8" w:color="auto"/>
              <w:right w:val="single" w:sz="8" w:color="auto"/>
            </w:tcBorders>
            <w:vMerge w:val="continue"/>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PERSON WITH</w:t>
            </w:r>
          </w:p>
        </w:tc>
        <w:tc>
          <w:tcPr>
            <w:tcW w:w="12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14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60" w:type="dxa"/>
            <w:vAlign w:val="bottom"/>
            <w:tcBorders>
              <w:left w:val="single" w:sz="8" w:color="auto"/>
              <w:right w:val="single" w:sz="8" w:color="auto"/>
            </w:tcBorders>
            <w:vMerge w:val="continue"/>
          </w:tcPr>
          <w:p>
            <w:pPr>
              <w:spacing w:after="0"/>
              <w:rPr>
                <w:sz w:val="16"/>
                <w:szCs w:val="16"/>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10</w:t>
            </w:r>
          </w:p>
        </w:tc>
        <w:tc>
          <w:tcPr>
            <w:tcW w:w="40" w:type="dxa"/>
            <w:vAlign w:val="bottom"/>
          </w:tcPr>
          <w:p>
            <w:pPr>
              <w:spacing w:after="0"/>
              <w:rPr>
                <w:sz w:val="16"/>
                <w:szCs w:val="16"/>
                <w:color w:val="auto"/>
              </w:rPr>
            </w:pPr>
          </w:p>
        </w:tc>
        <w:tc>
          <w:tcPr>
            <w:tcW w:w="71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SHARED DISPOSITIVE POWER</w:t>
            </w:r>
          </w:p>
        </w:tc>
        <w:tc>
          <w:tcPr>
            <w:tcW w:w="1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60" w:type="dxa"/>
            <w:vAlign w:val="bottom"/>
            <w:tcBorders>
              <w:left w:val="single" w:sz="8" w:color="auto"/>
              <w:right w:val="single" w:sz="8" w:color="auto"/>
            </w:tcBorders>
          </w:tcPr>
          <w:p>
            <w:pPr>
              <w:spacing w:after="0"/>
              <w:rPr>
                <w:sz w:val="5"/>
                <w:szCs w:val="5"/>
                <w:color w:val="auto"/>
              </w:rPr>
            </w:pPr>
          </w:p>
        </w:tc>
        <w:tc>
          <w:tcPr>
            <w:tcW w:w="122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7140" w:type="dxa"/>
            <w:vAlign w:val="bottom"/>
            <w:vMerge w:val="continue"/>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71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6,398,250</w:t>
            </w: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7180" w:type="dxa"/>
            <w:vAlign w:val="bottom"/>
            <w:tcBorders>
              <w:bottom w:val="single" w:sz="8" w:color="auto"/>
            </w:tcBorders>
            <w:gridSpan w:val="2"/>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11</w:t>
            </w:r>
          </w:p>
        </w:tc>
        <w:tc>
          <w:tcPr>
            <w:tcW w:w="84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6,398,250</w:t>
            </w:r>
          </w:p>
        </w:tc>
        <w:tc>
          <w:tcPr>
            <w:tcW w:w="714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180" w:type="dxa"/>
            <w:vAlign w:val="bottom"/>
            <w:tcBorders>
              <w:bottom w:val="single" w:sz="8" w:color="auto"/>
            </w:tcBorders>
            <w:gridSpan w:val="2"/>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12</w:t>
            </w:r>
          </w:p>
        </w:tc>
        <w:tc>
          <w:tcPr>
            <w:tcW w:w="84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CHECK IF THE AGGREGATE AMOUNT IN ROW (11) EXCLUDES CERTAIN SHARES</w:t>
            </w:r>
          </w:p>
        </w:tc>
        <w:tc>
          <w:tcPr>
            <w:tcW w:w="1180" w:type="dxa"/>
            <w:vAlign w:val="bottom"/>
            <w:tcBorders>
              <w:right w:val="single" w:sz="8" w:color="auto"/>
            </w:tcBorders>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74"/>
        </w:trPr>
        <w:tc>
          <w:tcPr>
            <w:tcW w:w="1660" w:type="dxa"/>
            <w:vAlign w:val="bottom"/>
            <w:tcBorders>
              <w:left w:val="single" w:sz="8" w:color="auto"/>
              <w:bottom w:val="single" w:sz="8" w:color="auto"/>
              <w:right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7180" w:type="dxa"/>
            <w:vAlign w:val="bottom"/>
            <w:tcBorders>
              <w:bottom w:val="single" w:sz="8" w:color="auto"/>
            </w:tcBorders>
            <w:gridSpan w:val="2"/>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13</w:t>
            </w:r>
          </w:p>
        </w:tc>
        <w:tc>
          <w:tcPr>
            <w:tcW w:w="84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PERCENT OF CLASS REPRESENTED BY AMOUNT IN ROW (11)</w:t>
            </w: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5.78%</w:t>
            </w:r>
          </w:p>
        </w:tc>
        <w:tc>
          <w:tcPr>
            <w:tcW w:w="40" w:type="dxa"/>
            <w:vAlign w:val="bottom"/>
          </w:tcPr>
          <w:p>
            <w:pPr>
              <w:spacing w:after="0"/>
              <w:rPr>
                <w:sz w:val="22"/>
                <w:szCs w:val="22"/>
                <w:color w:val="auto"/>
              </w:rPr>
            </w:pPr>
          </w:p>
        </w:tc>
        <w:tc>
          <w:tcPr>
            <w:tcW w:w="714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180" w:type="dxa"/>
            <w:vAlign w:val="bottom"/>
            <w:tcBorders>
              <w:bottom w:val="single" w:sz="8" w:color="auto"/>
            </w:tcBorders>
            <w:gridSpan w:val="2"/>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14</w:t>
            </w:r>
          </w:p>
        </w:tc>
        <w:tc>
          <w:tcPr>
            <w:tcW w:w="84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TYPE OF REPORTING PERSON</w:t>
            </w: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IN</w:t>
            </w:r>
          </w:p>
        </w:tc>
        <w:tc>
          <w:tcPr>
            <w:tcW w:w="714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140" w:type="dxa"/>
            <w:vAlign w:val="bottom"/>
            <w:tcBorders>
              <w:bottom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3" w:name="page4"/>
    <w:bookmarkEnd w:id="3"/>
    <w:p>
      <w:pPr>
        <w:spacing w:after="0"/>
        <w:tabs>
          <w:tab w:leader="none" w:pos="484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00534A102</w:t>
      </w:r>
      <w:r>
        <w:rPr>
          <w:sz w:val="20"/>
          <w:szCs w:val="20"/>
          <w:color w:val="auto"/>
        </w:rPr>
        <w:tab/>
      </w:r>
      <w:r>
        <w:rPr>
          <w:rFonts w:ascii="Times New Roman" w:cs="Times New Roman" w:eastAsia="Times New Roman" w:hAnsi="Times New Roman"/>
          <w:sz w:val="18"/>
          <w:szCs w:val="18"/>
          <w:b w:val="1"/>
          <w:bCs w:val="1"/>
          <w:color w:val="auto"/>
        </w:rPr>
        <w:t>SCHEDULE 13D/A</w:t>
      </w:r>
      <w:r>
        <w:rPr>
          <w:sz w:val="20"/>
          <w:szCs w:val="20"/>
          <w:color w:val="auto"/>
        </w:rPr>
        <w:tab/>
      </w:r>
      <w:r>
        <w:rPr>
          <w:rFonts w:ascii="Times New Roman" w:cs="Times New Roman" w:eastAsia="Times New Roman" w:hAnsi="Times New Roman"/>
          <w:sz w:val="17"/>
          <w:szCs w:val="17"/>
          <w:b w:val="1"/>
          <w:bCs w:val="1"/>
          <w:color w:val="auto"/>
        </w:rPr>
        <w:t>Page 4 of 5 Pages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1.</w:t>
      </w:r>
      <w:r>
        <w:rPr>
          <w:sz w:val="20"/>
          <w:szCs w:val="20"/>
          <w:color w:val="auto"/>
        </w:rPr>
        <w:tab/>
      </w:r>
      <w:r>
        <w:rPr>
          <w:rFonts w:ascii="Times New Roman" w:cs="Times New Roman" w:eastAsia="Times New Roman" w:hAnsi="Times New Roman"/>
          <w:sz w:val="21"/>
          <w:szCs w:val="21"/>
          <w:b w:val="1"/>
          <w:bCs w:val="1"/>
          <w:color w:val="auto"/>
        </w:rPr>
        <w:t>SECURITY AND ISSUER</w:t>
      </w:r>
    </w:p>
    <w:p>
      <w:pPr>
        <w:spacing w:after="0" w:line="237" w:lineRule="exact"/>
        <w:rPr>
          <w:sz w:val="20"/>
          <w:szCs w:val="20"/>
          <w:color w:val="auto"/>
        </w:rPr>
      </w:pPr>
    </w:p>
    <w:p>
      <w:pPr>
        <w:jc w:val="both"/>
        <w:ind w:left="1360" w:right="100"/>
        <w:spacing w:after="0" w:line="236" w:lineRule="auto"/>
        <w:rPr>
          <w:sz w:val="20"/>
          <w:szCs w:val="20"/>
          <w:color w:val="auto"/>
        </w:rPr>
      </w:pPr>
      <w:r>
        <w:rPr>
          <w:rFonts w:ascii="Times New Roman" w:cs="Times New Roman" w:eastAsia="Times New Roman" w:hAnsi="Times New Roman"/>
          <w:sz w:val="22"/>
          <w:szCs w:val="22"/>
          <w:color w:val="auto"/>
        </w:rPr>
        <w:t>The following constitutes Amendment No. 1 (this "</w:t>
      </w:r>
      <w:r>
        <w:rPr>
          <w:rFonts w:ascii="Times New Roman" w:cs="Times New Roman" w:eastAsia="Times New Roman" w:hAnsi="Times New Roman"/>
          <w:sz w:val="22"/>
          <w:szCs w:val="22"/>
          <w:u w:val="single" w:color="auto"/>
          <w:color w:val="auto"/>
        </w:rPr>
        <w:t>Amendment No. 1</w:t>
      </w:r>
      <w:r>
        <w:rPr>
          <w:rFonts w:ascii="Times New Roman" w:cs="Times New Roman" w:eastAsia="Times New Roman" w:hAnsi="Times New Roman"/>
          <w:sz w:val="22"/>
          <w:szCs w:val="22"/>
          <w:color w:val="auto"/>
        </w:rPr>
        <w:t>") to the Schedule 13D filed by the undersigned on April 1, 2022 with respect the shares of Common Stock of the Issuer (the "</w:t>
      </w:r>
      <w:r>
        <w:rPr>
          <w:rFonts w:ascii="Times New Roman" w:cs="Times New Roman" w:eastAsia="Times New Roman" w:hAnsi="Times New Roman"/>
          <w:sz w:val="22"/>
          <w:szCs w:val="22"/>
          <w:u w:val="single" w:color="auto"/>
          <w:color w:val="auto"/>
        </w:rPr>
        <w:t>Original Schedule 13D</w:t>
      </w:r>
      <w:r>
        <w:rPr>
          <w:rFonts w:ascii="Times New Roman" w:cs="Times New Roman" w:eastAsia="Times New Roman" w:hAnsi="Times New Roman"/>
          <w:sz w:val="22"/>
          <w:szCs w:val="22"/>
          <w:color w:val="auto"/>
        </w:rPr>
        <w:t>," together with this Amendment No. 1, the "</w:t>
      </w:r>
      <w:r>
        <w:rPr>
          <w:rFonts w:ascii="Times New Roman" w:cs="Times New Roman" w:eastAsia="Times New Roman" w:hAnsi="Times New Roman"/>
          <w:sz w:val="22"/>
          <w:szCs w:val="22"/>
          <w:u w:val="single" w:color="auto"/>
          <w:color w:val="auto"/>
        </w:rPr>
        <w:t>Schedule 13D</w:t>
      </w:r>
      <w:r>
        <w:rPr>
          <w:rFonts w:ascii="Times New Roman" w:cs="Times New Roman" w:eastAsia="Times New Roman" w:hAnsi="Times New Roman"/>
          <w:sz w:val="22"/>
          <w:szCs w:val="22"/>
          <w:color w:val="auto"/>
        </w:rPr>
        <w:t>"). This Amendment No. 1 amends the Original Schedule 13D as specifically set forth herein. Capitalized terms used herein and not otherwise defined in this Amendment No. 1 have the meanings set forth in the Original Schedule 13D. This Amendment No. 1 amends Items 4, 6 and 7 as set forth below.</w:t>
      </w:r>
    </w:p>
    <w:p>
      <w:pPr>
        <w:spacing w:after="0" w:line="272" w:lineRule="exact"/>
        <w:rPr>
          <w:sz w:val="20"/>
          <w:szCs w:val="20"/>
          <w:color w:val="auto"/>
        </w:rPr>
      </w:pPr>
    </w:p>
    <w:p>
      <w:pPr>
        <w:ind w:left="12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PURPOSE OF TRANSACTION</w:t>
      </w:r>
    </w:p>
    <w:p>
      <w:pPr>
        <w:spacing w:after="0" w:line="2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Item 4 of the Schedule 13D is hereby amended and supplemented as follows:</w:t>
      </w:r>
    </w:p>
    <w:p>
      <w:pPr>
        <w:spacing w:after="0" w:line="233" w:lineRule="exact"/>
        <w:rPr>
          <w:sz w:val="20"/>
          <w:szCs w:val="20"/>
          <w:color w:val="auto"/>
        </w:rPr>
      </w:pPr>
    </w:p>
    <w:p>
      <w:pPr>
        <w:ind w:left="1360" w:right="160"/>
        <w:spacing w:after="0" w:line="233" w:lineRule="auto"/>
        <w:rPr>
          <w:sz w:val="20"/>
          <w:szCs w:val="20"/>
          <w:color w:val="auto"/>
        </w:rPr>
      </w:pPr>
      <w:r>
        <w:rPr>
          <w:rFonts w:ascii="Times New Roman" w:cs="Times New Roman" w:eastAsia="Times New Roman" w:hAnsi="Times New Roman"/>
          <w:sz w:val="22"/>
          <w:szCs w:val="22"/>
          <w:color w:val="auto"/>
        </w:rPr>
        <w:t>On April 25, 2022, Mithril II LP ("</w:t>
      </w:r>
      <w:r>
        <w:rPr>
          <w:rFonts w:ascii="Times New Roman" w:cs="Times New Roman" w:eastAsia="Times New Roman" w:hAnsi="Times New Roman"/>
          <w:sz w:val="22"/>
          <w:szCs w:val="22"/>
          <w:u w:val="single" w:color="auto"/>
          <w:color w:val="auto"/>
        </w:rPr>
        <w:t>Mithril II</w:t>
      </w:r>
      <w:r>
        <w:rPr>
          <w:rFonts w:ascii="Times New Roman" w:cs="Times New Roman" w:eastAsia="Times New Roman" w:hAnsi="Times New Roman"/>
          <w:sz w:val="22"/>
          <w:szCs w:val="22"/>
          <w:color w:val="auto"/>
        </w:rPr>
        <w:t>") submitted to the Issuer a supplement to its notice of intent to nominate the Nominees to the board of directors of the Issuer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March 28, 2022, notifying the Issuer that Mithril II intended to propose an advisory, non-binding stockholder resolution that the Board take all necessary actions to cause the Board to be declassified in advance of the 2023 annual meeting of stockholders of the Issuer (the "</w:t>
      </w:r>
      <w:r>
        <w:rPr>
          <w:rFonts w:ascii="Times New Roman" w:cs="Times New Roman" w:eastAsia="Times New Roman" w:hAnsi="Times New Roman"/>
          <w:sz w:val="22"/>
          <w:szCs w:val="22"/>
          <w:u w:val="single" w:color="auto"/>
          <w:color w:val="auto"/>
        </w:rPr>
        <w:t>2023 Annual Meeting</w:t>
      </w:r>
      <w:r>
        <w:rPr>
          <w:rFonts w:ascii="Times New Roman" w:cs="Times New Roman" w:eastAsia="Times New Roman" w:hAnsi="Times New Roman"/>
          <w:sz w:val="22"/>
          <w:szCs w:val="22"/>
          <w:color w:val="auto"/>
        </w:rPr>
        <w:t>"), such that the term of each Board member expires at the 2023 Annual Meeting and that any director elected to the Board at or after the 2023 Annual Meeting shall be elected on an annual basis (the "</w:t>
      </w:r>
      <w:r>
        <w:rPr>
          <w:rFonts w:ascii="Times New Roman" w:cs="Times New Roman" w:eastAsia="Times New Roman" w:hAnsi="Times New Roman"/>
          <w:sz w:val="22"/>
          <w:szCs w:val="22"/>
          <w:u w:val="single" w:color="auto"/>
          <w:color w:val="auto"/>
        </w:rPr>
        <w:t>Declassification Proposal</w:t>
      </w:r>
      <w:r>
        <w:rPr>
          <w:rFonts w:ascii="Times New Roman" w:cs="Times New Roman" w:eastAsia="Times New Roman" w:hAnsi="Times New Roman"/>
          <w:sz w:val="22"/>
          <w:szCs w:val="22"/>
          <w:color w:val="auto"/>
        </w:rPr>
        <w:t>"). On the same day, Shareholder Group reached an agreement, memorialized in an email dated April 25, 2022, to vote all of their respective shares of the Issuer's Common Stock in favor of the Declassification Proposal at the 2022 Annual Meeting (the “</w:t>
      </w:r>
      <w:r>
        <w:rPr>
          <w:rFonts w:ascii="Times New Roman" w:cs="Times New Roman" w:eastAsia="Times New Roman" w:hAnsi="Times New Roman"/>
          <w:sz w:val="22"/>
          <w:szCs w:val="22"/>
          <w:u w:val="single" w:color="auto"/>
          <w:color w:val="auto"/>
        </w:rPr>
        <w:t>Email Agreement</w:t>
      </w:r>
      <w:r>
        <w:rPr>
          <w:rFonts w:ascii="Times New Roman" w:cs="Times New Roman" w:eastAsia="Times New Roman" w:hAnsi="Times New Roman"/>
          <w:sz w:val="22"/>
          <w:szCs w:val="22"/>
          <w:color w:val="auto"/>
        </w:rPr>
        <w:t>”). The foregoing summary of the Email Agreement is not complete and is qualified in its entirety by the full text of the Email Agreement, which is included as Exhibit C hereto.</w:t>
      </w:r>
    </w:p>
    <w:p>
      <w:pPr>
        <w:spacing w:after="0" w:line="210" w:lineRule="exact"/>
        <w:rPr>
          <w:sz w:val="20"/>
          <w:szCs w:val="20"/>
          <w:color w:val="auto"/>
        </w:rPr>
      </w:pPr>
    </w:p>
    <w:p>
      <w:pPr>
        <w:ind w:left="1360" w:right="180" w:hanging="1241"/>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2"/>
          <w:szCs w:val="22"/>
          <w:b w:val="1"/>
          <w:bCs w:val="1"/>
          <w:color w:val="auto"/>
        </w:rPr>
        <w:t>CONTRACTS, ARRANGEMENTS, UNDERSTANDINGS OR RELATIONSHIPS WITH RESPECT TO SECURITIES OF THE ISSUER</w:t>
      </w:r>
    </w:p>
    <w:p>
      <w:pPr>
        <w:spacing w:after="0" w:line="18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Item 6 of the Schedule 13D is hereby amended and supplanted by the addition of the following:</w:t>
      </w:r>
    </w:p>
    <w:p>
      <w:pPr>
        <w:spacing w:after="0" w:line="233" w:lineRule="exact"/>
        <w:rPr>
          <w:sz w:val="20"/>
          <w:szCs w:val="20"/>
          <w:color w:val="auto"/>
        </w:rPr>
      </w:pPr>
    </w:p>
    <w:p>
      <w:pPr>
        <w:ind w:left="1360" w:right="120"/>
        <w:spacing w:after="0" w:line="258" w:lineRule="auto"/>
        <w:rPr>
          <w:sz w:val="20"/>
          <w:szCs w:val="20"/>
          <w:color w:val="auto"/>
        </w:rPr>
      </w:pPr>
      <w:r>
        <w:rPr>
          <w:rFonts w:ascii="Times New Roman" w:cs="Times New Roman" w:eastAsia="Times New Roman" w:hAnsi="Times New Roman"/>
          <w:sz w:val="22"/>
          <w:szCs w:val="22"/>
          <w:color w:val="auto"/>
        </w:rPr>
        <w:t>The Reporting Person's response to Item 4 in this Amendment No. 2 is incorporated by reference into this Item 6.</w:t>
      </w:r>
    </w:p>
    <w:p>
      <w:pPr>
        <w:spacing w:after="0" w:line="154" w:lineRule="exact"/>
        <w:rPr>
          <w:sz w:val="20"/>
          <w:szCs w:val="20"/>
          <w:color w:val="auto"/>
        </w:rPr>
      </w:pPr>
    </w:p>
    <w:p>
      <w:pPr>
        <w:ind w:left="12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7.</w:t>
      </w:r>
      <w:r>
        <w:rPr>
          <w:sz w:val="20"/>
          <w:szCs w:val="20"/>
          <w:color w:val="auto"/>
        </w:rPr>
        <w:tab/>
      </w:r>
      <w:r>
        <w:rPr>
          <w:rFonts w:ascii="Times New Roman" w:cs="Times New Roman" w:eastAsia="Times New Roman" w:hAnsi="Times New Roman"/>
          <w:sz w:val="21"/>
          <w:szCs w:val="21"/>
          <w:b w:val="1"/>
          <w:bCs w:val="1"/>
          <w:color w:val="auto"/>
        </w:rPr>
        <w:t>MATERIAL TO BE FILED AS EXHIBITS</w:t>
      </w:r>
    </w:p>
    <w:p>
      <w:pPr>
        <w:spacing w:after="0" w:line="2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Item 7 of the Schedule 13D is hereby amended and supplemented as follows:</w:t>
      </w:r>
    </w:p>
    <w:p>
      <w:pPr>
        <w:spacing w:after="0" w:line="233" w:lineRule="exact"/>
        <w:rPr>
          <w:sz w:val="20"/>
          <w:szCs w:val="20"/>
          <w:color w:val="auto"/>
        </w:rPr>
      </w:pPr>
    </w:p>
    <w:p>
      <w:pPr>
        <w:ind w:left="1360" w:right="100" w:hanging="1344"/>
        <w:spacing w:after="0" w:line="258" w:lineRule="auto"/>
        <w:tabs>
          <w:tab w:leader="none" w:pos="134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2"/>
          <w:szCs w:val="22"/>
          <w:color w:val="auto"/>
        </w:rPr>
        <w:t>Email Agreement (incorporated by reference to Exhibit 7 to the Schedule 13D/A filed by Mithril II LP with the SEC on April 26, 2022).</w:t>
      </w:r>
    </w:p>
    <w:p>
      <w:pPr>
        <w:sectPr>
          <w:pgSz w:w="11900" w:h="16838" w:orient="portrait"/>
          <w:cols w:equalWidth="0" w:num="1">
            <w:col w:w="11240"/>
          </w:cols>
          <w:pgMar w:left="320" w:top="225" w:right="339" w:bottom="1440" w:gutter="0" w:footer="0" w:header="0"/>
        </w:sectPr>
      </w:pPr>
    </w:p>
    <w:bookmarkStart w:id="4" w:name="page5"/>
    <w:bookmarkEnd w:id="4"/>
    <w:p>
      <w:pPr>
        <w:spacing w:after="0"/>
        <w:tabs>
          <w:tab w:leader="none" w:pos="484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00534A102</w:t>
      </w:r>
      <w:r>
        <w:rPr>
          <w:sz w:val="20"/>
          <w:szCs w:val="20"/>
          <w:color w:val="auto"/>
        </w:rPr>
        <w:tab/>
      </w:r>
      <w:r>
        <w:rPr>
          <w:rFonts w:ascii="Times New Roman" w:cs="Times New Roman" w:eastAsia="Times New Roman" w:hAnsi="Times New Roman"/>
          <w:sz w:val="18"/>
          <w:szCs w:val="18"/>
          <w:b w:val="1"/>
          <w:bCs w:val="1"/>
          <w:color w:val="auto"/>
        </w:rPr>
        <w:t>SCHEDULE 13D/A</w:t>
      </w:r>
      <w:r>
        <w:rPr>
          <w:sz w:val="20"/>
          <w:szCs w:val="20"/>
          <w:color w:val="auto"/>
        </w:rPr>
        <w:tab/>
      </w:r>
      <w:r>
        <w:rPr>
          <w:rFonts w:ascii="Times New Roman" w:cs="Times New Roman" w:eastAsia="Times New Roman" w:hAnsi="Times New Roman"/>
          <w:sz w:val="17"/>
          <w:szCs w:val="17"/>
          <w:b w:val="1"/>
          <w:bCs w:val="1"/>
          <w:color w:val="auto"/>
        </w:rPr>
        <w:t>Page 5 of 5 Pages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his or its knowledge and belief, the undersigned certifies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April 26, 2022</w:t>
      </w:r>
    </w:p>
    <w:p>
      <w:pPr>
        <w:spacing w:after="0" w:line="200" w:lineRule="exact"/>
        <w:rPr>
          <w:sz w:val="20"/>
          <w:szCs w:val="20"/>
          <w:color w:val="auto"/>
        </w:rPr>
      </w:pPr>
    </w:p>
    <w:p>
      <w:pPr>
        <w:spacing w:after="0" w:line="27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color w:val="auto"/>
        </w:rPr>
        <w:t>M28 CAPITAL MANAGEMENT LP</w:t>
      </w:r>
    </w:p>
    <w:p>
      <w:pPr>
        <w:spacing w:after="0" w:line="23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M28 Capital Management, GP LLC, its general partner</w:t>
      </w:r>
    </w:p>
    <w:p>
      <w:pPr>
        <w:spacing w:after="0" w:line="200" w:lineRule="exact"/>
        <w:rPr>
          <w:sz w:val="20"/>
          <w:szCs w:val="20"/>
          <w:color w:val="auto"/>
        </w:rPr>
      </w:pPr>
    </w:p>
    <w:p>
      <w:pPr>
        <w:spacing w:after="0" w:line="27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 Marc Elia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10795</wp:posOffset>
            </wp:positionV>
            <wp:extent cx="3557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22"/>
          <w:szCs w:val="22"/>
          <w:color w:val="auto"/>
        </w:rPr>
        <w:t>Name: Marc Elia</w:t>
      </w:r>
    </w:p>
    <w:p>
      <w:pPr>
        <w:ind w:left="5660"/>
        <w:spacing w:after="0"/>
        <w:tabs>
          <w:tab w:leader="none" w:pos="63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/s/ Marc Elia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10795</wp:posOffset>
            </wp:positionV>
            <wp:extent cx="3771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b w:val="1"/>
          <w:bCs w:val="1"/>
          <w:color w:val="auto"/>
        </w:rPr>
        <w:t>MARC ELIA</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2022-04-26T10:52:03Z</dcterms:created>
  <dcterms:modified xsi:type="dcterms:W3CDTF">2022-04-26T10:52:03Z</dcterms:modified>
</cp:coreProperties>
</file>