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Polaris Venture Partners V, L.P.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302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03/28/2022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Adagio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ADGI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ONE MARINA PARK DRIVE, 10TH</w:t>
            </w:r>
          </w:p>
        </w:tc>
      </w:tr>
      <w:tr>
        <w:trPr>
          <w:trHeight w:val="300"/>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FLOOR</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02210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jc w:val="right"/>
        <w:spacing w:after="0"/>
        <w:tabs>
          <w:tab w:leader="none" w:pos="1240" w:val="left"/>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4"/>
          <w:szCs w:val="24"/>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5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4"/>
        </w:trPr>
        <w:tc>
          <w:tcPr>
            <w:tcW w:w="20" w:type="dxa"/>
            <w:vAlign w:val="bottom"/>
          </w:tcPr>
          <w:p>
            <w:pPr>
              <w:spacing w:after="0"/>
              <w:rPr>
                <w:sz w:val="3"/>
                <w:szCs w:val="3"/>
                <w:color w:val="auto"/>
              </w:rPr>
            </w:pPr>
          </w:p>
        </w:tc>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70"/>
              <w:spacing w:after="0"/>
              <w:rPr>
                <w:sz w:val="20"/>
                <w:szCs w:val="20"/>
                <w:color w:val="auto"/>
              </w:rPr>
            </w:pPr>
            <w:r>
              <w:rPr>
                <w:rFonts w:ascii="Times New Roman" w:cs="Times New Roman" w:eastAsia="Times New Roman" w:hAnsi="Times New Roman"/>
                <w:sz w:val="20"/>
                <w:szCs w:val="20"/>
                <w:color w:val="0000FF"/>
                <w:w w:val="97"/>
              </w:rPr>
              <w:t>3,120,194</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50"/>
              <w:spacing w:after="0"/>
              <w:rPr>
                <w:sz w:val="20"/>
                <w:szCs w:val="20"/>
                <w:color w:val="auto"/>
              </w:rPr>
            </w:pPr>
            <w:r>
              <w:rPr>
                <w:rFonts w:ascii="Times New Roman" w:cs="Times New Roman" w:eastAsia="Times New Roman" w:hAnsi="Times New Roman"/>
                <w:sz w:val="20"/>
                <w:szCs w:val="20"/>
                <w:color w:val="0000FF"/>
                <w:w w:val="94"/>
              </w:rPr>
              <w:t>60,814</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50"/>
              <w:spacing w:after="0"/>
              <w:rPr>
                <w:sz w:val="20"/>
                <w:szCs w:val="20"/>
                <w:color w:val="auto"/>
              </w:rPr>
            </w:pPr>
            <w:r>
              <w:rPr>
                <w:rFonts w:ascii="Times New Roman" w:cs="Times New Roman" w:eastAsia="Times New Roman" w:hAnsi="Times New Roman"/>
                <w:sz w:val="20"/>
                <w:szCs w:val="20"/>
                <w:color w:val="0000FF"/>
                <w:w w:val="94"/>
              </w:rPr>
              <w:t>21,374</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50"/>
              <w:spacing w:after="0"/>
              <w:rPr>
                <w:sz w:val="20"/>
                <w:szCs w:val="20"/>
                <w:color w:val="auto"/>
              </w:rPr>
            </w:pPr>
            <w:r>
              <w:rPr>
                <w:rFonts w:ascii="Times New Roman" w:cs="Times New Roman" w:eastAsia="Times New Roman" w:hAnsi="Times New Roman"/>
                <w:sz w:val="20"/>
                <w:szCs w:val="20"/>
                <w:color w:val="0000FF"/>
                <w:w w:val="94"/>
              </w:rPr>
              <w:t>31,198</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(4)</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70"/>
              <w:spacing w:after="0"/>
              <w:rPr>
                <w:sz w:val="20"/>
                <w:szCs w:val="20"/>
                <w:color w:val="auto"/>
              </w:rPr>
            </w:pPr>
            <w:r>
              <w:rPr>
                <w:rFonts w:ascii="Times New Roman" w:cs="Times New Roman" w:eastAsia="Times New Roman" w:hAnsi="Times New Roman"/>
                <w:sz w:val="20"/>
                <w:szCs w:val="20"/>
                <w:color w:val="0000FF"/>
                <w:w w:val="97"/>
              </w:rPr>
              <w:t>4,800,460</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(5)(6)</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50"/>
              <w:spacing w:after="0"/>
              <w:rPr>
                <w:sz w:val="20"/>
                <w:szCs w:val="20"/>
                <w:color w:val="auto"/>
              </w:rPr>
            </w:pPr>
            <w:r>
              <w:rPr>
                <w:rFonts w:ascii="Times New Roman" w:cs="Times New Roman" w:eastAsia="Times New Roman" w:hAnsi="Times New Roman"/>
                <w:sz w:val="20"/>
                <w:szCs w:val="20"/>
                <w:color w:val="0000FF"/>
                <w:w w:val="98"/>
              </w:rPr>
              <w:t>497,660</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(7)(8)</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gridSpan w:val="4"/>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5"/>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Polaris Venture Partners V, L.P.</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20" w:type="dxa"/>
            <w:vAlign w:val="bottom"/>
            <w:tcBorders>
              <w:top w:val="single" w:sz="8" w:color="0000EE"/>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620" w:type="dxa"/>
            <w:vAlign w:val="bottom"/>
          </w:tcPr>
          <w:p>
            <w:pPr>
              <w:ind w:left="300"/>
              <w:spacing w:after="0"/>
              <w:rPr>
                <w:sz w:val="20"/>
                <w:szCs w:val="20"/>
                <w:color w:val="auto"/>
              </w:rPr>
            </w:pPr>
            <w:r>
              <w:rPr>
                <w:rFonts w:ascii="Arial" w:cs="Arial" w:eastAsia="Arial" w:hAnsi="Arial"/>
                <w:sz w:val="15"/>
                <w:szCs w:val="15"/>
                <w:color w:val="auto"/>
              </w:rPr>
              <w:t>(First)</w:t>
            </w:r>
          </w:p>
        </w:tc>
        <w:tc>
          <w:tcPr>
            <w:tcW w:w="1280" w:type="dxa"/>
            <w:vAlign w:val="bottom"/>
            <w:gridSpan w:val="3"/>
          </w:tcPr>
          <w:p>
            <w:pPr>
              <w:ind w:left="6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ONE MARINA PARK DRIVE, 10TH</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0000FF"/>
              </w:rPr>
              <w:t>FLOOR</w:t>
            </w: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6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0000FF"/>
              </w:rPr>
              <w:t>02210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gridSpan w:val="2"/>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620" w:type="dxa"/>
            <w:vAlign w:val="bottom"/>
          </w:tcPr>
          <w:p>
            <w:pPr>
              <w:ind w:left="300"/>
              <w:spacing w:after="0"/>
              <w:rPr>
                <w:sz w:val="20"/>
                <w:szCs w:val="20"/>
                <w:color w:val="auto"/>
              </w:rPr>
            </w:pPr>
            <w:r>
              <w:rPr>
                <w:rFonts w:ascii="Arial" w:cs="Arial" w:eastAsia="Arial" w:hAnsi="Arial"/>
                <w:sz w:val="15"/>
                <w:szCs w:val="15"/>
                <w:color w:val="auto"/>
              </w:rPr>
              <w:t>(State)</w:t>
            </w:r>
          </w:p>
        </w:tc>
        <w:tc>
          <w:tcPr>
            <w:tcW w:w="1280" w:type="dxa"/>
            <w:vAlign w:val="bottom"/>
            <w:gridSpan w:val="3"/>
          </w:tcPr>
          <w:p>
            <w:pPr>
              <w:ind w:left="6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2">
        <w:r>
          <w:rPr>
            <w:rFonts w:ascii="Times New Roman" w:cs="Times New Roman" w:eastAsia="Times New Roman" w:hAnsi="Times New Roman"/>
            <w:sz w:val="24"/>
            <w:szCs w:val="24"/>
            <w:u w:val="single" w:color="auto"/>
            <w:color w:val="0000EE"/>
          </w:rPr>
          <w:t>Polaris Venture Partners Entrepreneurs'</w:t>
        </w:r>
      </w:hyperlink>
    </w:p>
    <w:p>
      <w:pPr>
        <w:spacing w:after="0" w:line="1" w:lineRule="exact"/>
        <w:rPr>
          <w:sz w:val="24"/>
          <w:szCs w:val="24"/>
          <w:color w:val="auto"/>
        </w:rPr>
      </w:pPr>
    </w:p>
    <w:p>
      <w:pPr>
        <w:ind w:left="140"/>
        <w:spacing w:after="0"/>
        <w:rPr>
          <w:rFonts w:ascii="Times New Roman" w:cs="Times New Roman" w:eastAsia="Times New Roman" w:hAnsi="Times New Roman"/>
          <w:sz w:val="24"/>
          <w:szCs w:val="24"/>
          <w:u w:val="single" w:color="auto"/>
          <w:color w:val="0000EE"/>
        </w:rPr>
      </w:pPr>
      <w:hyperlink r:id="rId12">
        <w:r>
          <w:rPr>
            <w:rFonts w:ascii="Times New Roman" w:cs="Times New Roman" w:eastAsia="Times New Roman" w:hAnsi="Times New Roman"/>
            <w:sz w:val="24"/>
            <w:szCs w:val="24"/>
            <w:u w:val="single" w:color="auto"/>
            <w:color w:val="0000EE"/>
          </w:rPr>
          <w:t>Fund V, L.P.</w:t>
        </w:r>
      </w:hyperlink>
    </w:p>
    <w:p>
      <w:pPr>
        <w:spacing w:after="0" w:line="343" w:lineRule="exact"/>
        <w:rPr>
          <w:sz w:val="24"/>
          <w:szCs w:val="24"/>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ectPr>
          <w:pgSz w:w="11900" w:h="16838" w:orient="portrait"/>
          <w:cols w:equalWidth="0" w:num="1">
            <w:col w:w="10940"/>
          </w:cols>
          <w:pgMar w:left="480" w:top="230" w:right="479" w:bottom="0" w:gutter="0" w:footer="0" w:header="0"/>
          <w:type w:val="continuous"/>
        </w:sectPr>
      </w:pP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POLARIS PARTNERS</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120"/>
        <w:spacing w:after="0"/>
        <w:rPr>
          <w:sz w:val="20"/>
          <w:szCs w:val="20"/>
          <w:color w:val="auto"/>
        </w:rPr>
      </w:pPr>
      <w:r>
        <w:rPr>
          <w:rFonts w:ascii="Times New Roman" w:cs="Times New Roman" w:eastAsia="Times New Roman" w:hAnsi="Times New Roman"/>
          <w:sz w:val="20"/>
          <w:szCs w:val="20"/>
          <w:color w:val="0000FF"/>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t>ONE MARINA PARK DRIVE, 10TH FL.</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BOSTON</w:t>
            </w:r>
          </w:p>
        </w:tc>
        <w:tc>
          <w:tcPr>
            <w:tcW w:w="12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02210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Polaris Venture Partners Founders' Fund</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V, L.P.</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(Last)</w:t>
            </w:r>
          </w:p>
        </w:tc>
        <w:tc>
          <w:tcPr>
            <w:tcW w:w="1340" w:type="dxa"/>
            <w:vAlign w:val="bottom"/>
          </w:tcPr>
          <w:p>
            <w:pPr>
              <w:ind w:left="120"/>
              <w:spacing w:after="0"/>
              <w:rPr>
                <w:sz w:val="20"/>
                <w:szCs w:val="20"/>
                <w:color w:val="auto"/>
              </w:rPr>
            </w:pPr>
            <w:r>
              <w:rPr>
                <w:rFonts w:ascii="Arial" w:cs="Arial" w:eastAsia="Arial" w:hAnsi="Arial"/>
                <w:sz w:val="15"/>
                <w:szCs w:val="15"/>
                <w:color w:val="auto"/>
              </w:rPr>
              <w:t>(First)</w:t>
            </w:r>
          </w:p>
        </w:tc>
        <w:tc>
          <w:tcPr>
            <w:tcW w:w="1500" w:type="dxa"/>
            <w:vAlign w:val="bottom"/>
          </w:tcPr>
          <w:p>
            <w:pPr>
              <w:ind w:left="1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ONE MARINA PARK DRIVE</w:t>
            </w:r>
          </w:p>
        </w:tc>
        <w:tc>
          <w:tcPr>
            <w:tcW w:w="150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10TH FLOOR</w:t>
            </w: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r>
      <w:tr>
        <w:trPr>
          <w:trHeight w:val="303"/>
        </w:trPr>
        <w:tc>
          <w:tcPr>
            <w:tcW w:w="130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BOSTON</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5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02210</w:t>
            </w:r>
          </w:p>
        </w:tc>
      </w:tr>
      <w:tr>
        <w:trPr>
          <w:trHeight w:val="177"/>
        </w:trPr>
        <w:tc>
          <w:tcPr>
            <w:tcW w:w="2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(City)</w:t>
            </w:r>
          </w:p>
        </w:tc>
        <w:tc>
          <w:tcPr>
            <w:tcW w:w="1340" w:type="dxa"/>
            <w:vAlign w:val="bottom"/>
          </w:tcPr>
          <w:p>
            <w:pPr>
              <w:ind w:left="120"/>
              <w:spacing w:after="0"/>
              <w:rPr>
                <w:sz w:val="20"/>
                <w:szCs w:val="20"/>
                <w:color w:val="auto"/>
              </w:rPr>
            </w:pPr>
            <w:r>
              <w:rPr>
                <w:rFonts w:ascii="Arial" w:cs="Arial" w:eastAsia="Arial" w:hAnsi="Arial"/>
                <w:sz w:val="15"/>
                <w:szCs w:val="15"/>
                <w:color w:val="auto"/>
              </w:rPr>
              <w:t>(State)</w:t>
            </w:r>
          </w:p>
        </w:tc>
        <w:tc>
          <w:tcPr>
            <w:tcW w:w="1500" w:type="dxa"/>
            <w:vAlign w:val="bottom"/>
          </w:tcPr>
          <w:p>
            <w:pPr>
              <w:ind w:left="1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Polaris Venture Partners Special Founders'</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Fund V, L.P.</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(Last)</w:t>
            </w:r>
          </w:p>
        </w:tc>
        <w:tc>
          <w:tcPr>
            <w:tcW w:w="1340" w:type="dxa"/>
            <w:vAlign w:val="bottom"/>
          </w:tcPr>
          <w:p>
            <w:pPr>
              <w:ind w:left="120"/>
              <w:spacing w:after="0"/>
              <w:rPr>
                <w:sz w:val="20"/>
                <w:szCs w:val="20"/>
                <w:color w:val="auto"/>
              </w:rPr>
            </w:pPr>
            <w:r>
              <w:rPr>
                <w:rFonts w:ascii="Arial" w:cs="Arial" w:eastAsia="Arial" w:hAnsi="Arial"/>
                <w:sz w:val="15"/>
                <w:szCs w:val="15"/>
                <w:color w:val="auto"/>
              </w:rPr>
              <w:t>(First)</w:t>
            </w:r>
          </w:p>
        </w:tc>
        <w:tc>
          <w:tcPr>
            <w:tcW w:w="1500" w:type="dxa"/>
            <w:vAlign w:val="bottom"/>
          </w:tcPr>
          <w:p>
            <w:pPr>
              <w:ind w:left="1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ONE MARINA PARK DRIVE</w:t>
            </w:r>
          </w:p>
        </w:tc>
        <w:tc>
          <w:tcPr>
            <w:tcW w:w="150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10TH FLOOR</w:t>
            </w: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r>
      <w:tr>
        <w:trPr>
          <w:trHeight w:val="303"/>
        </w:trPr>
        <w:tc>
          <w:tcPr>
            <w:tcW w:w="130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BOSTON</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5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02110</w:t>
            </w:r>
          </w:p>
        </w:tc>
      </w:tr>
      <w:tr>
        <w:trPr>
          <w:trHeight w:val="177"/>
        </w:trPr>
        <w:tc>
          <w:tcPr>
            <w:tcW w:w="2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(City)</w:t>
            </w:r>
          </w:p>
        </w:tc>
        <w:tc>
          <w:tcPr>
            <w:tcW w:w="1340" w:type="dxa"/>
            <w:vAlign w:val="bottom"/>
          </w:tcPr>
          <w:p>
            <w:pPr>
              <w:ind w:left="120"/>
              <w:spacing w:after="0"/>
              <w:rPr>
                <w:sz w:val="20"/>
                <w:szCs w:val="20"/>
                <w:color w:val="auto"/>
              </w:rPr>
            </w:pPr>
            <w:r>
              <w:rPr>
                <w:rFonts w:ascii="Arial" w:cs="Arial" w:eastAsia="Arial" w:hAnsi="Arial"/>
                <w:sz w:val="15"/>
                <w:szCs w:val="15"/>
                <w:color w:val="auto"/>
              </w:rPr>
              <w:t>(State)</w:t>
            </w:r>
          </w:p>
        </w:tc>
        <w:tc>
          <w:tcPr>
            <w:tcW w:w="1500" w:type="dxa"/>
            <w:vAlign w:val="bottom"/>
          </w:tcPr>
          <w:p>
            <w:pPr>
              <w:ind w:left="1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Polaris Venture Management Co. V,</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L.L.C.</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ONE MARINA PARK DRIVE</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20"/>
                <w:szCs w:val="20"/>
                <w:color w:val="0000FF"/>
              </w:rPr>
              <w:t>10TH FLOOR</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5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02210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gridSpan w:val="2"/>
          </w:tcPr>
          <w:p>
            <w:pPr>
              <w:spacing w:after="0"/>
              <w:rPr>
                <w:sz w:val="8"/>
                <w:szCs w:val="8"/>
                <w:color w:val="auto"/>
              </w:rPr>
            </w:pPr>
          </w:p>
        </w:tc>
        <w:tc>
          <w:tcPr>
            <w:tcW w:w="17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3"/>
          </w:tcPr>
          <w:p>
            <w:pPr>
              <w:spacing w:after="0" w:line="255" w:lineRule="exact"/>
              <w:rPr>
                <w:rFonts w:ascii="Times New Roman" w:cs="Times New Roman" w:eastAsia="Times New Roman" w:hAnsi="Times New Roman"/>
                <w:sz w:val="24"/>
                <w:szCs w:val="24"/>
                <w:color w:val="0000EE"/>
              </w:rPr>
            </w:pPr>
            <w:hyperlink r:id="rId17">
              <w:r>
                <w:rPr>
                  <w:rFonts w:ascii="Times New Roman" w:cs="Times New Roman" w:eastAsia="Times New Roman" w:hAnsi="Times New Roman"/>
                  <w:sz w:val="24"/>
                  <w:szCs w:val="24"/>
                  <w:color w:val="0000EE"/>
                </w:rPr>
                <w:t>Polaris Partners IX, L.P.</w:t>
              </w:r>
            </w:hyperlink>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060" w:type="dxa"/>
            <w:vAlign w:val="bottom"/>
            <w:tcBorders>
              <w:top w:val="single" w:sz="8" w:color="0000EE"/>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ONE MARINA PARK DRIVE</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20"/>
                <w:szCs w:val="20"/>
                <w:color w:val="0000FF"/>
              </w:rPr>
              <w:t>10TH FLOOR</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5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02210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Polaris Partners GP IX, L.L.C.</w:t>
        </w:r>
      </w:hyperlink>
    </w:p>
    <w:p>
      <w:pPr>
        <w:sectPr>
          <w:pgSz w:w="11900" w:h="16838" w:orient="portrait"/>
          <w:cols w:equalWidth="0" w:num="1">
            <w:col w:w="9959"/>
          </w:cols>
          <w:pgMar w:left="500" w:top="154" w:right="1440" w:bottom="0" w:gutter="0" w:footer="0" w:header="0"/>
        </w:sectPr>
      </w:pPr>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ectPr>
          <w:pgSz w:w="11900" w:h="16838" w:orient="portrait"/>
          <w:cols w:equalWidth="0" w:num="1">
            <w:col w:w="9959"/>
          </w:cols>
          <w:pgMar w:left="500" w:top="154" w:right="1440" w:bottom="0" w:gutter="0" w:footer="0" w:header="0"/>
          <w:type w:val="continuous"/>
        </w:sectPr>
      </w:pPr>
    </w:p>
    <w:bookmarkStart w:id="2" w:name="page3"/>
    <w:bookmarkEnd w:id="2"/>
    <w:p>
      <w:pPr>
        <w:ind w:left="120"/>
        <w:spacing w:after="0"/>
        <w:rPr>
          <w:sz w:val="20"/>
          <w:szCs w:val="20"/>
          <w:color w:val="auto"/>
        </w:rPr>
      </w:pPr>
      <w:r>
        <w:rPr>
          <w:rFonts w:ascii="Times New Roman" w:cs="Times New Roman" w:eastAsia="Times New Roman" w:hAnsi="Times New Roman"/>
          <w:sz w:val="20"/>
          <w:szCs w:val="20"/>
          <w:color w:val="0000FF"/>
        </w:rPr>
        <w:t>ONE MARINA PARK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-135255</wp:posOffset>
            </wp:positionV>
            <wp:extent cx="2798445" cy="763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2798445" cy="7635875"/>
                    </a:xfrm>
                    <a:prstGeom prst="rect">
                      <a:avLst/>
                    </a:prstGeom>
                    <a:noFill/>
                  </pic:spPr>
                </pic:pic>
              </a:graphicData>
            </a:graphic>
          </wp:anchor>
        </w:drawing>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10TH FLOOR</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BOSTON</w:t>
            </w:r>
          </w:p>
        </w:tc>
        <w:tc>
          <w:tcPr>
            <w:tcW w:w="12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02210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20">
        <w:r>
          <w:rPr>
            <w:rFonts w:ascii="Times New Roman" w:cs="Times New Roman" w:eastAsia="Times New Roman" w:hAnsi="Times New Roman"/>
            <w:sz w:val="24"/>
            <w:szCs w:val="24"/>
            <w:u w:val="single" w:color="auto"/>
            <w:color w:val="0000EE"/>
          </w:rPr>
          <w:t>Polaris Healthcare Technology</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20">
        <w:r>
          <w:rPr>
            <w:rFonts w:ascii="Times New Roman" w:cs="Times New Roman" w:eastAsia="Times New Roman" w:hAnsi="Times New Roman"/>
            <w:sz w:val="24"/>
            <w:szCs w:val="24"/>
            <w:u w:val="single" w:color="auto"/>
            <w:color w:val="0000EE"/>
          </w:rPr>
          <w:t>Opportunities Fund, L.P.</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(Last)</w:t>
            </w:r>
          </w:p>
        </w:tc>
        <w:tc>
          <w:tcPr>
            <w:tcW w:w="1340" w:type="dxa"/>
            <w:vAlign w:val="bottom"/>
          </w:tcPr>
          <w:p>
            <w:pPr>
              <w:ind w:left="120"/>
              <w:spacing w:after="0"/>
              <w:rPr>
                <w:sz w:val="20"/>
                <w:szCs w:val="20"/>
                <w:color w:val="auto"/>
              </w:rPr>
            </w:pPr>
            <w:r>
              <w:rPr>
                <w:rFonts w:ascii="Arial" w:cs="Arial" w:eastAsia="Arial" w:hAnsi="Arial"/>
                <w:sz w:val="15"/>
                <w:szCs w:val="15"/>
                <w:color w:val="auto"/>
              </w:rPr>
              <w:t>(First)</w:t>
            </w:r>
          </w:p>
        </w:tc>
        <w:tc>
          <w:tcPr>
            <w:tcW w:w="1500" w:type="dxa"/>
            <w:vAlign w:val="bottom"/>
          </w:tcPr>
          <w:p>
            <w:pPr>
              <w:ind w:left="1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ONE MARINA PARK DRIVE</w:t>
            </w:r>
          </w:p>
        </w:tc>
        <w:tc>
          <w:tcPr>
            <w:tcW w:w="150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10TH FLOOR</w:t>
            </w: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r>
      <w:tr>
        <w:trPr>
          <w:trHeight w:val="303"/>
        </w:trPr>
        <w:tc>
          <w:tcPr>
            <w:tcW w:w="130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BOSTON</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5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02210</w:t>
            </w:r>
          </w:p>
        </w:tc>
      </w:tr>
      <w:tr>
        <w:trPr>
          <w:trHeight w:val="177"/>
        </w:trPr>
        <w:tc>
          <w:tcPr>
            <w:tcW w:w="2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(City)</w:t>
            </w:r>
          </w:p>
        </w:tc>
        <w:tc>
          <w:tcPr>
            <w:tcW w:w="1340" w:type="dxa"/>
            <w:vAlign w:val="bottom"/>
          </w:tcPr>
          <w:p>
            <w:pPr>
              <w:ind w:left="120"/>
              <w:spacing w:after="0"/>
              <w:rPr>
                <w:sz w:val="20"/>
                <w:szCs w:val="20"/>
                <w:color w:val="auto"/>
              </w:rPr>
            </w:pPr>
            <w:r>
              <w:rPr>
                <w:rFonts w:ascii="Arial" w:cs="Arial" w:eastAsia="Arial" w:hAnsi="Arial"/>
                <w:sz w:val="15"/>
                <w:szCs w:val="15"/>
                <w:color w:val="auto"/>
              </w:rPr>
              <w:t>(State)</w:t>
            </w:r>
          </w:p>
        </w:tc>
        <w:tc>
          <w:tcPr>
            <w:tcW w:w="1500" w:type="dxa"/>
            <w:vAlign w:val="bottom"/>
          </w:tcPr>
          <w:p>
            <w:pPr>
              <w:ind w:left="1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Polaris Healthcare Technology</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Opportunities Fund GP, L.L.C.</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ONE MARINA PARK DRIVE</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20"/>
                <w:szCs w:val="20"/>
                <w:color w:val="0000FF"/>
              </w:rPr>
              <w:t>10TH FLOOR</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5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02210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2"/>
          </w:tcPr>
          <w:p>
            <w:pPr>
              <w:spacing w:after="0"/>
              <w:rPr>
                <w:sz w:val="8"/>
                <w:szCs w:val="8"/>
                <w:color w:val="auto"/>
              </w:rPr>
            </w:pPr>
          </w:p>
        </w:tc>
        <w:tc>
          <w:tcPr>
            <w:tcW w:w="25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3"/>
          </w:tcPr>
          <w:p>
            <w:pPr>
              <w:spacing w:after="0" w:line="255" w:lineRule="exact"/>
              <w:rPr>
                <w:rFonts w:ascii="Times New Roman" w:cs="Times New Roman" w:eastAsia="Times New Roman" w:hAnsi="Times New Roman"/>
                <w:sz w:val="24"/>
                <w:szCs w:val="24"/>
                <w:color w:val="0000EE"/>
              </w:rPr>
            </w:pPr>
            <w:hyperlink r:id="rId22">
              <w:r>
                <w:rPr>
                  <w:rFonts w:ascii="Times New Roman" w:cs="Times New Roman" w:eastAsia="Times New Roman" w:hAnsi="Times New Roman"/>
                  <w:sz w:val="24"/>
                  <w:szCs w:val="24"/>
                  <w:color w:val="0000EE"/>
                </w:rPr>
                <w:t>Flint Jonathan A</w:t>
              </w:r>
            </w:hyperlink>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ONE MARINA PARK DRIVE</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20"/>
                <w:szCs w:val="20"/>
                <w:color w:val="0000FF"/>
              </w:rPr>
              <w:t>10TH FLOOR</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5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02210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firstLine="5"/>
        <w:spacing w:after="0" w:line="258" w:lineRule="auto"/>
        <w:tabs>
          <w:tab w:leader="none" w:pos="17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shares are held of record by Polaris Venture Partners V, L.P. ("PVP V"). The general partner of PVP V is Polaris Venture Management Co. V, L.L.C. ("PVM V") and may be deemed to have shared voting and investment power with respect to the shares held by PVP V. Each of Jonathan A. Flint ("Flint") and Terrance G. McGuire ("McGuire") are the managing members of PVM V and may be deemed to have shared voting and dispositive power over the shares held by PVP V. Each of PVM V, Flint and McGuire disclaims beneficial ownership of the securities and this report shall not be deemed an admission that any one of them is the beneficial owner of such securities for purposes of Section 16 or for any other purpose, except to the extent of their respective pecuniary interests therein. McGuire is a director of the Issuer and, accordingly, files separate Section 16 reports.</w:t>
      </w:r>
    </w:p>
    <w:p>
      <w:pPr>
        <w:spacing w:after="0" w:line="20" w:lineRule="exact"/>
        <w:rPr>
          <w:rFonts w:ascii="Times New Roman" w:cs="Times New Roman" w:eastAsia="Times New Roman" w:hAnsi="Times New Roman"/>
          <w:sz w:val="14"/>
          <w:szCs w:val="14"/>
          <w:color w:val="008000"/>
        </w:rPr>
      </w:pPr>
    </w:p>
    <w:p>
      <w:pPr>
        <w:ind w:left="20" w:right="160" w:firstLine="5"/>
        <w:spacing w:after="0" w:line="237"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Polaris Venture Partners Entrepreneurs' Fund V, L.P. ("PVPEF V"). The general partner of PVPEF V is PVM V and may be deemed to have shared voting and investment power with respect to the shares held by PVPEF V. Flint and McGuire are the managing members of PVM V and may be deemed to have shared voting and dispositive power over the shares held by PVPEF V. Each of PVM V, Flint and McGuire disclaims beneficial ownership of the securities and this report shall not be deemed an admission that any one of them is the beneficial owner of such securities for purposes of Section 16 or for any other purpose, except to the extent of their respective pecuniary interests therein. McGuire is a director of the Issuer and, accordingly, files separate Section 16 reports.</w:t>
      </w:r>
    </w:p>
    <w:p>
      <w:pPr>
        <w:spacing w:after="0" w:line="33" w:lineRule="exact"/>
        <w:rPr>
          <w:rFonts w:ascii="Times New Roman" w:cs="Times New Roman" w:eastAsia="Times New Roman" w:hAnsi="Times New Roman"/>
          <w:sz w:val="15"/>
          <w:szCs w:val="15"/>
          <w:color w:val="008000"/>
        </w:rPr>
      </w:pPr>
    </w:p>
    <w:p>
      <w:pPr>
        <w:ind w:left="20" w:right="20" w:firstLine="5"/>
        <w:spacing w:after="0" w:line="237"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Polaris Venture Partners Founders' Fund V, L.P. ("PVPFF V"). The general partner of PVPFF V is PVM V and may be deemed to have shared voting and investment power with respect to the shares held by PVPFF V. Flint and McGuire are the managing members of PVM V and may be deemed to have shared voting and dispositive power over the shares held by PVPEF V. Each of PVM V, Flint and McGuire disclaims beneficial ownership of the securities and this report shall not be deemed an admission that any one of them is the beneficial owner of such securities for purposes of Section 16 or for any other purpose, except to the extent of their respective pecuniary interests therein. McGuire is a director of the Issuer and, accordingly, files separate Section 16 reports.</w:t>
      </w:r>
    </w:p>
    <w:p>
      <w:pPr>
        <w:spacing w:after="0" w:line="33" w:lineRule="exact"/>
        <w:rPr>
          <w:rFonts w:ascii="Times New Roman" w:cs="Times New Roman" w:eastAsia="Times New Roman" w:hAnsi="Times New Roman"/>
          <w:sz w:val="15"/>
          <w:szCs w:val="15"/>
          <w:color w:val="008000"/>
        </w:rPr>
      </w:pPr>
    </w:p>
    <w:p>
      <w:pPr>
        <w:ind w:left="20" w:right="40" w:firstLine="5"/>
        <w:spacing w:after="0" w:line="237"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Polaris Venture Partners Special Founders' Fund V, L.P. ("PVPSFF V"). The general partner of PVPSFF V is PVM V and may be deemed to have shared voting and investment power with respect to the shares held by PVPSFF V. Flint and McGuire are the managing members of PVM V and may be deemed to have shared voting and dispositive power over the shares held by PVPEF V. Each of PVM V, Flint and McGuire disclaims beneficial ownership of the securities and this report shall not be deemed an admission that any one of them is the beneficial owner of such securities for purposes of Section 16 or for any other purpose, except to the extent of their respective pecuniary interests therein. McGuire is a director of the Issuer and, accordingly, files separate Section 16 reports.</w:t>
      </w:r>
    </w:p>
    <w:p>
      <w:pPr>
        <w:spacing w:after="0" w:line="33" w:lineRule="exact"/>
        <w:rPr>
          <w:rFonts w:ascii="Times New Roman" w:cs="Times New Roman" w:eastAsia="Times New Roman" w:hAnsi="Times New Roman"/>
          <w:sz w:val="15"/>
          <w:szCs w:val="15"/>
          <w:color w:val="008000"/>
        </w:rPr>
      </w:pPr>
    </w:p>
    <w:p>
      <w:pPr>
        <w:ind w:left="20" w:right="4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Polaris Partners IX, L.P. ("PP IX"). The general partner of PP IX is Polaris Partners GP IX, L.L.C. ("PPGP IX") and may be deemed to have shared voting and investment power with respect to the shares held by PP IX. Each of David Barrett ("Barrett"), Brian Chee ("Chee"), Amir Nashat ("Nashat") and Amy Schulman ("Schulman") are the managing members of PPGP IX (collectively, the "PPGP IX Managing Members"), and McGuire is an interest holder in PPGP IX, and may be deemed to have shared voting and dispositive power over the shares held by PP IX. Each of PPGP IX, the PPGP IX Managing Members and McGuire disclaims beneficial ownership of the</w:t>
      </w:r>
    </w:p>
    <w:p>
      <w:pPr>
        <w:sectPr>
          <w:pgSz w:w="11900" w:h="16838" w:orient="portrait"/>
          <w:cols w:equalWidth="0" w:num="1">
            <w:col w:w="10820"/>
          </w:cols>
          <w:pgMar w:left="500" w:top="124" w:right="579" w:bottom="0" w:gutter="0" w:footer="0" w:header="0"/>
        </w:sectPr>
      </w:pPr>
    </w:p>
    <w:bookmarkStart w:id="3" w:name="page4"/>
    <w:bookmarkEnd w:id="3"/>
    <w:p>
      <w:pPr>
        <w:ind w:right="200"/>
        <w:spacing w:after="0" w:line="259" w:lineRule="auto"/>
        <w:rPr>
          <w:sz w:val="20"/>
          <w:szCs w:val="20"/>
          <w:color w:val="auto"/>
        </w:rPr>
      </w:pPr>
      <w:r>
        <w:rPr>
          <w:rFonts w:ascii="Times New Roman" w:cs="Times New Roman" w:eastAsia="Times New Roman" w:hAnsi="Times New Roman"/>
          <w:sz w:val="15"/>
          <w:szCs w:val="15"/>
          <w:color w:val="008000"/>
        </w:rPr>
        <w:t>securities and this report shall not be deemed an admission that any one of them is the beneficial owner of such securities for purposes of Section 16 or for any other purpose, except to the extent of their respective pecuniary interests therein.</w:t>
      </w:r>
    </w:p>
    <w:p>
      <w:pPr>
        <w:spacing w:after="0" w:line="18" w:lineRule="exact"/>
        <w:rPr>
          <w:sz w:val="20"/>
          <w:szCs w:val="20"/>
          <w:color w:val="auto"/>
        </w:rPr>
      </w:pPr>
    </w:p>
    <w:p>
      <w:pPr>
        <w:ind w:left="160" w:hanging="155"/>
        <w:spacing w:after="0"/>
        <w:tabs>
          <w:tab w:leader="none" w:pos="16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5) McGuire is a director of the Issuer and, accordingly, files separate Section 16 reports.</w:t>
      </w:r>
    </w:p>
    <w:p>
      <w:pPr>
        <w:spacing w:after="0" w:line="52" w:lineRule="exact"/>
        <w:rPr>
          <w:rFonts w:ascii="Times New Roman" w:cs="Times New Roman" w:eastAsia="Times New Roman" w:hAnsi="Times New Roman"/>
          <w:sz w:val="15"/>
          <w:szCs w:val="15"/>
          <w:color w:val="008000"/>
        </w:rPr>
      </w:pPr>
    </w:p>
    <w:p>
      <w:pPr>
        <w:ind w:right="60" w:firstLine="5"/>
        <w:spacing w:after="0" w:line="236"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Polaris Healthcare Technology Opportunities Fund, L.P. ("PHCT"). The general partner of PHCT is Polaris Healthcare Technology Opportunities Fund GP, L.L.C. ("PHCT GP") and may be deemed to have shared voting and investment power with respect to the shares held by PHCT. Each of Barrett, Chee, Nashat and Schulman are the managing members of PHCT GP (collectively, the "PHCT GP Managing Members"), and McGuire is an interest holder in PHCT GP, and may be deemed to have shared voting and dispositive power over the shares held by PHCT. Each of PHCT GP, the PHCT GP Managing Members and McGuire disclaims beneficial ownership of the securities and this report shall not be deemed an admission that any one of them is the beneficial owner of such securities for purposes of Section 16 or for any other purpose, except to the extent of their respective pecuniary interests therein.</w:t>
      </w:r>
    </w:p>
    <w:p>
      <w:pPr>
        <w:spacing w:after="0" w:line="3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7) McGuire is a director of the Issuer and, accordingly, files separate Section 16 reports.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5"/>
          <w:szCs w:val="15"/>
          <w:color w:val="008000"/>
        </w:rPr>
        <w:t>This form 3 is not being filed in connection with the acquisition or deposition of any securities of the issuer. As disclosed by (among others) the Reporting Persons on an amendment to a Report on Schedule 13D filed in respect of the Issuer on the date hereof, on March 28, 2022, Mithril II LP ("Mithril"), and (i) M28 Capital Management LP (together with certain of its affiliates, "M28"), (ii) PVP V, PVPEF V, PVPFF V, PVPSFF V, PP IX, and PHCT (each as defined below, and collectively, "Polaris"), (iii) Adimab, LLC and (iv) Population Health Equity Partners III, L.P., Population Health Equity Partners VII, L.P. and Clive Meanwell ("Population Health"), orally agreed to coordinate and cooperate in certain of their activities with regard to the Issuer, which agreement was subsequently memorialized, also on March 28, 2022, in an email circulated among representatives of such persons. That agreement provides that each such person will vote its shares of Common Stock in favor of the election of certain director nominees at the Issuer's 2022 annual meeting. By virtue of such agreement, the forgoing persons may be deemed to be part of a "group" (within the meaning of Section 13(d)(3) of the Exchange Act) comprised of such persons. The Reporting Persons expressly disclaim beneficial ownership over any Common Stock that they may be deemed to beneficially own solely by reason of the agreement reached among Mithril, M28, Polaris, Adimab, LLC and Population Health, and beneficial ownership of any securities of the Issuer other than those reported on this Form 3.</w:t>
      </w:r>
    </w:p>
    <w:p>
      <w:pPr>
        <w:sectPr>
          <w:pgSz w:w="11900" w:h="16838" w:orient="portrait"/>
          <w:cols w:equalWidth="0" w:num="1">
            <w:col w:w="10640"/>
          </w:cols>
          <w:pgMar w:left="520" w:top="125" w:right="739" w:bottom="0" w:gutter="0" w:footer="0" w:header="0"/>
        </w:sectPr>
      </w:pPr>
    </w:p>
    <w:p>
      <w:pPr>
        <w:spacing w:after="0" w:line="6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Lauren Crockett,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2141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attorney in fact for Polaris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048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Venture Management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936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V,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063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2706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of Polaris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096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2829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32829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Lauren Crockett,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2141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attorney in fact for Polaris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048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Venture Management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936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V,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063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706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of Polaris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096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Entrepreneurs'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792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1379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240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9240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Lauren Crockett,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2141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attorney in fact for Polaris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048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Venture Management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936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V,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063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706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of Polaris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096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Founders' 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839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12839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Lauren Crockett,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2141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attorney in fact for Polaris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048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Venture Management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936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V,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063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706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of Polaris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096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Special Founders' Fund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984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2998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240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9240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Lauren Crockett,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2141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attorney in fact for Polaris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048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Venture Management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936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6228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46228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8742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9874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general counsel for Polaris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397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32397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Partners GP IX,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665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1766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partner of Polaris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539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553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Partners IX,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232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82232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Lauren Crockett,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2141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general counsel for Polaris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397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32397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Partners GP IX,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554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4554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Lauren Crockett,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2141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general counsel for Polaris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397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32397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Healthcare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062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1506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Opportunities Fund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348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1734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936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Polaris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122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9112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Technology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540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954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50927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50927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Lauren Crockett,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2141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general counsel for Polaris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397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32397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Healthcare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0620"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15062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20" w:space="100"/>
            <w:col w:w="1920"/>
          </w:cols>
          <w:pgMar w:left="520" w:top="125" w:right="739" w:bottom="0" w:gutter="0" w:footer="0" w:header="0"/>
          <w:type w:val="continuous"/>
        </w:sectPr>
      </w:pPr>
    </w:p>
    <w:bookmarkStart w:id="4" w:name="page5"/>
    <w:bookmarkEnd w:id="4"/>
    <w:p>
      <w:pPr>
        <w:ind w:left="6540"/>
        <w:spacing w:after="0"/>
        <w:rPr>
          <w:sz w:val="20"/>
          <w:szCs w:val="20"/>
          <w:color w:val="auto"/>
        </w:rPr>
      </w:pPr>
      <w:r>
        <w:rPr>
          <w:rFonts w:ascii="Times New Roman" w:cs="Times New Roman" w:eastAsia="Times New Roman" w:hAnsi="Times New Roman"/>
          <w:sz w:val="20"/>
          <w:szCs w:val="20"/>
          <w:color w:val="0000FF"/>
        </w:rPr>
        <w:t>Opportunities Fund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73480"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17348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27025"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32702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87425"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9874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Attorney-in-Fact Jonathan  03/30/2022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5800"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Flint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234315"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234315" cy="952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6"/>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9"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10" Type="http://schemas.openxmlformats.org/officeDocument/2006/relationships/hyperlink" Target="http://www.sec.gov/cgi-bin/browse-edgar?action=getcompany&amp;CIK=0001439590" TargetMode="External"/><Relationship Id="rId11" Type="http://schemas.openxmlformats.org/officeDocument/2006/relationships/hyperlink" Target="http://www.sec.gov/cgi-bin/browse-edgar?action=getcompany&amp;CIK=0001832038" TargetMode="External"/><Relationship Id="rId12" Type="http://schemas.openxmlformats.org/officeDocument/2006/relationships/hyperlink" Target="http://www.sec.gov/cgi-bin/browse-edgar?action=getcompany&amp;CIK=0001439587" TargetMode="External"/><Relationship Id="rId14" Type="http://schemas.openxmlformats.org/officeDocument/2006/relationships/hyperlink" Target="http://www.sec.gov/cgi-bin/browse-edgar?action=getcompany&amp;CIK=0001439588" TargetMode="External"/><Relationship Id="rId15" Type="http://schemas.openxmlformats.org/officeDocument/2006/relationships/hyperlink" Target="http://www.sec.gov/cgi-bin/browse-edgar?action=getcompany&amp;CIK=0001439586" TargetMode="External"/><Relationship Id="rId16" Type="http://schemas.openxmlformats.org/officeDocument/2006/relationships/hyperlink" Target="http://www.sec.gov/cgi-bin/browse-edgar?action=getcompany&amp;CIK=0001439589" TargetMode="External"/><Relationship Id="rId17" Type="http://schemas.openxmlformats.org/officeDocument/2006/relationships/hyperlink" Target="http://www.sec.gov/cgi-bin/browse-edgar?action=getcompany&amp;CIK=0001779755" TargetMode="External"/><Relationship Id="rId18" Type="http://schemas.openxmlformats.org/officeDocument/2006/relationships/hyperlink" Target="http://www.sec.gov/cgi-bin/browse-edgar?action=getcompany&amp;CIK=0001877150" TargetMode="External"/><Relationship Id="rId20" Type="http://schemas.openxmlformats.org/officeDocument/2006/relationships/hyperlink" Target="http://www.sec.gov/cgi-bin/browse-edgar?action=getcompany&amp;CIK=0001815669" TargetMode="External"/><Relationship Id="rId21" Type="http://schemas.openxmlformats.org/officeDocument/2006/relationships/hyperlink" Target="http://www.sec.gov/cgi-bin/browse-edgar?action=getcompany&amp;CIK=0001815675" TargetMode="External"/><Relationship Id="rId22" Type="http://schemas.openxmlformats.org/officeDocument/2006/relationships/hyperlink" Target="http://www.sec.gov/cgi-bin/browse-edgar?action=getcompany&amp;CIK=00012956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2022-03-30T18:08:52Z</dcterms:created>
  <dcterms:modified xsi:type="dcterms:W3CDTF">2022-03-30T18:08:52Z</dcterms:modified>
</cp:coreProperties>
</file>