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February 3, 2025, Invivyd, Inc. (the “Company”) issued a press release entitled “Invivyd Announces Preliminary Fourth Quarter 2024 Financial Results, Strong Revenue Growth, and Reiterates Goal of Near-Term Profitability” (the “Press Release”), which included the Company’s estimated fourth quarter 2024 PEMGARDA™ (pemivibart) net product revenue, fourth quarter 2024 total operating costs and expenses, and cash and cash equivalents as of December 31, 2024. The amounts included in the Press Release are preliminary and are subject to change upon completion of the Company’s financial closing controls and procedures for the quarter and year ended December 31, 2024, and finalization of the Company’s financial statements. The preliminary financial data included in the Press Release have been prepared by, and are the responsibility of, the Company’s management. These preliminary estimates have not been audited by the Company’s independent registered public accounting firm. Additional information and disclosures would be required for a more complete understanding of the Company’s financial position and results of operations as of December 31, 2024. A copy of the Press Release is filed herewith as Exhibit 99.1 and is incorporated by reference in this Item 2.02.</w:t>
      </w:r>
    </w:p>
    <w:p>
      <w:pPr>
        <w:spacing w:after="0" w:line="184"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February 3, 2025, the Company issued the Press Release, a copy of which is filed herewith as Exhibit 99.1 and is incorporated by reference in this Item 8.01.</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February 3, 2025, the Company issued a press release entitled “Invivyd Announces Positive Phase 1/2 Clinical Data for VYD2311, a Monoclonal Antibody Designed to be a Superior Alternative to COVID-19 Vaccination for the Broad Population.” A copy of the press release is filed herewith as Exhibit 99.2 and is incorporated by reference in this Item 8.01.</w:t>
      </w:r>
    </w:p>
    <w:p>
      <w:pPr>
        <w:spacing w:after="0" w:line="17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February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-20320</wp:posOffset>
            </wp:positionV>
            <wp:extent cx="1741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FF"/>
        </w:rPr>
        <w:t>Press Release, dated February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-7620</wp:posOffset>
            </wp:positionV>
            <wp:extent cx="1741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1805"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3, 2025</w:t>
            </w:r>
          </w:p>
        </w:tc>
        <w:tc>
          <w:tcPr>
            <w:tcW w:w="76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27"/>
        </w:trPr>
        <w:tc>
          <w:tcPr>
            <w:tcW w:w="36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205740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900"/>
        <w:spacing w:after="0"/>
        <w:rPr>
          <w:sz w:val="20"/>
          <w:szCs w:val="20"/>
          <w:color w:val="auto"/>
        </w:rPr>
      </w:pPr>
      <w:r>
        <w:rPr>
          <w:rFonts w:ascii="Calibri" w:cs="Calibri" w:eastAsia="Calibri" w:hAnsi="Calibri"/>
          <w:sz w:val="25"/>
          <w:szCs w:val="25"/>
          <w:color w:val="auto"/>
        </w:rPr>
        <w:t>Invivyd Announces Preliminary Fourth Quarter 2024 Financial Results, Strong Revenue Growth, and Reiterates Goal of Near-Term Proftability</w:t>
      </w:r>
    </w:p>
    <w:p>
      <w:pPr>
        <w:spacing w:after="0" w:line="160" w:lineRule="exact"/>
        <w:rPr>
          <w:sz w:val="20"/>
          <w:szCs w:val="20"/>
          <w:color w:val="auto"/>
        </w:rPr>
      </w:pPr>
    </w:p>
    <w:p>
      <w:pPr>
        <w:ind w:left="760" w:right="260" w:hanging="378"/>
        <w:spacing w:after="0" w:line="23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Preliminary Q4 2024 PEMGARDA™ (pemivibart) net product revenue of $13.8 million, 48% growth over Q3 2024 net product revenue of $9.3 million</w:t>
      </w:r>
    </w:p>
    <w:p>
      <w:pPr>
        <w:ind w:left="760" w:right="22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Preliminary Q4 2024 total operating costs and expenses of approximately $32 million, 55% reduction compared to Q3 2024 operating costs and expenses of $71.6 million</w:t>
      </w:r>
    </w:p>
    <w:p>
      <w:pPr>
        <w:spacing w:after="0" w:line="1"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Preliminary ending 2024 cash and cash equivalents of $69.3 million and $10.9 million of accounts receivable</w:t>
      </w:r>
    </w:p>
    <w:p>
      <w:pPr>
        <w:ind w:left="760" w:right="50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Continues to target near-term (by end of 1H 2025) profitability with existing cash and cash equivalents, anticipated growth of net product revenue, and continued reduction of manufacturing expenses</w:t>
      </w:r>
    </w:p>
    <w:p>
      <w:pPr>
        <w:spacing w:after="0" w:line="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Further update to be provided on Q4 2024 earnings call anticipated in late March in conjunction with Form 10-K filing</w:t>
      </w:r>
    </w:p>
    <w:p>
      <w:pPr>
        <w:spacing w:after="0" w:line="197" w:lineRule="exact"/>
        <w:rPr>
          <w:sz w:val="20"/>
          <w:szCs w:val="20"/>
          <w:color w:val="auto"/>
        </w:rPr>
      </w:pPr>
    </w:p>
    <w:p>
      <w:pPr>
        <w:ind w:right="20"/>
        <w:spacing w:after="0" w:line="284" w:lineRule="auto"/>
        <w:rPr>
          <w:sz w:val="20"/>
          <w:szCs w:val="20"/>
          <w:color w:val="auto"/>
        </w:rPr>
      </w:pPr>
      <w:r>
        <w:rPr>
          <w:rFonts w:ascii="Arial" w:cs="Arial" w:eastAsia="Arial" w:hAnsi="Arial"/>
          <w:sz w:val="19"/>
          <w:szCs w:val="19"/>
          <w:color w:val="auto"/>
        </w:rPr>
        <w:t>WALTHAM, Mass., Feb. 03, 2025 (GLOBE NEWSWIRE) -- Invivyd, Inc. (Nasdaq: IVVD), a biopharmaceutical company devoted to delivering protection from serious viral infectious diseases, today announced preliminary fourth quarter (Q4) financial results.</w:t>
      </w:r>
    </w:p>
    <w:p>
      <w:pPr>
        <w:spacing w:after="0" w:line="50"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Invivyd previously guided expectations to finish 2024 with $65 million or more in cash and cash equivalents and targeted near-term (by end of 1H 2025) profitability with existing cash and cash equivalents, anticipated net product revenue, and various operational efficiency improvements. With operational efficiency improvements underway, the company estimates that Invivyd ended 2024 with $69.3 million in cash and cash equivalents and $10.9 million of outstanding accounts receivable still to convert to cash, and continues to target profitability in the near-term.</w:t>
      </w:r>
    </w:p>
    <w:p>
      <w:pPr>
        <w:spacing w:after="0" w:line="107"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Based on currently available information, the company is announcing preliminary Q4 2024 PEMGARDA™ (pemivibart) net product revenue of $13.8 million, representing a 48% increase over Q3 2024 net product revenue of $9.3 million. Primarily driven by a reduction of manufacturing expenses, Invivyd is also announcing preliminary Q4 2024 total operating costs and expenses of approximately $32 million, representing a 55% reduction compared to Q3 2024 total operating costs and expenses of $71.6 million. Invivyd expects minimal manufacturing expenses in 2025. VYD2311 commercial manufacturing was substantially completed in 2024 to support up to one million doses of VYD2311, if authorized or approved, and related expenses were recorded as research and development expense.</w:t>
      </w:r>
    </w:p>
    <w:p>
      <w:pPr>
        <w:spacing w:after="0" w:line="104" w:lineRule="exact"/>
        <w:rPr>
          <w:sz w:val="20"/>
          <w:szCs w:val="20"/>
          <w:color w:val="auto"/>
        </w:rPr>
      </w:pPr>
    </w:p>
    <w:p>
      <w:pPr>
        <w:ind w:right="320"/>
        <w:spacing w:after="0" w:line="237" w:lineRule="auto"/>
        <w:rPr>
          <w:sz w:val="20"/>
          <w:szCs w:val="20"/>
          <w:color w:val="auto"/>
        </w:rPr>
      </w:pPr>
      <w:r>
        <w:rPr>
          <w:rFonts w:ascii="Arial" w:cs="Arial" w:eastAsia="Arial" w:hAnsi="Arial"/>
          <w:sz w:val="20"/>
          <w:szCs w:val="20"/>
          <w:color w:val="auto"/>
        </w:rPr>
        <w:t>“We are pleased with continued strong top-line revenue growth and execution toward near-term profitability,” noted Bill Duke, Chief Financial Officer of Invivyd. “With a strong balance sheet, anticipated continued growth in revenues and simultaneous reduction in operating expenses, we are well-positioned to support PEMGARDA commercial efforts and look forward to the future of VYD2311.”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949960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PEMGARDA</w:t>
      </w:r>
    </w:p>
    <w:p>
      <w:pPr>
        <w:spacing w:after="0" w:line="6"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PEMGARDA™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and XEC. PEMGARDA targets the SARS-CoV-2 spike protein receptor binding domain (RBD), thereby inhibiting virus attachment to the human ACE2 receptor on host cells.</w:t>
      </w:r>
    </w:p>
    <w:p>
      <w:pPr>
        <w:spacing w:after="0" w:line="104"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91"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PEMGARDA is not authorized for use for treatment of COVID-19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100"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color w:val="auto"/>
        </w:rPr>
        <w:t>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105"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PEMGARDA, and PEMGARDA may not be effective at preventing COVID-19 caused by these SARS-CoV-2 viral variants.</w:t>
      </w:r>
    </w:p>
    <w:p>
      <w:pPr>
        <w:spacing w:after="0" w:line="135"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VYD2311</w:t>
      </w:r>
    </w:p>
    <w:p>
      <w:pPr>
        <w:spacing w:after="0" w:line="6"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pacing w:after="0" w:line="105" w:lineRule="exact"/>
        <w:rPr>
          <w:sz w:val="20"/>
          <w:szCs w:val="20"/>
          <w:color w:val="auto"/>
        </w:rPr>
      </w:pPr>
    </w:p>
    <w:p>
      <w:pPr>
        <w:ind w:right="220"/>
        <w:spacing w:after="0" w:line="233" w:lineRule="auto"/>
        <w:rPr>
          <w:sz w:val="20"/>
          <w:szCs w:val="20"/>
          <w:color w:val="auto"/>
        </w:rPr>
      </w:pPr>
      <w:r>
        <w:rPr>
          <w:rFonts w:ascii="Arial" w:cs="Arial" w:eastAsia="Arial" w:hAnsi="Arial"/>
          <w:sz w:val="20"/>
          <w:szCs w:val="20"/>
          <w:color w:val="auto"/>
        </w:rPr>
        <w:t>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Invivyd</w:t>
      </w:r>
    </w:p>
    <w:p>
      <w:pPr>
        <w:spacing w:after="0" w:line="6"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Preliminary Financial Results</w:t>
      </w:r>
    </w:p>
    <w:p>
      <w:pPr>
        <w:spacing w:after="0" w:line="6"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The preliminary financial results for the fourth quarter 2024 included in this press release are preliminary, unaudited and subject to completion. Such preliminary results are subject to the finalization of quarter-end financial and accounting procedures, and actual results may vary from the preliminary results presented herein. The preliminary financial results represent management’s estimates that constitute forward-looking statements subject to certain risks and uncertainties. These preliminary estimates have not been audited by the company’s independent registered public accounting firm.</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6" w:name="page7"/>
    <w:bookmarkEnd w:id="6"/>
    <w:p>
      <w:pPr>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the company’s preliminary fourth quarter financial results; the company’s goal of near-term profitability; the company’s expectations regarding anticipated net product revenue growth, continued reduction of manufacturing expenses, and operational efficiency improvements; the company’s beliefs about its position to support PEMGARDA commercial efforts and the future of VYD2311; the potential of PEMGARDA as a mAb for pre-exposure prophylaxis (prevention) of COVID-19 in certain adults and adolescents who have moderate-to-severe immune compromise; the potential of VYD2311 as a novel mAb candidate and the potential of VYD2311 to deliver clinically meaningful titer levels through more patient-friendly means; the company’s devotion to delivering protection from serious viral infectious diseases, beginning with SARS-CoV-2;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uncertainties regarding the company’s expectations, projections and estimates regarding future costs and expenses, future revenue, capital requirements, and the availability of and the need for additional financing; whether the company’s cash and cash equivalents are sufficient to support its operating plan for as long as anticipated; uncertainties regarding market acceptance, payor coverage or future revenue generated by PEMGARDA; uncertainties regarding the potential advantages from the company’s planned operational efficiency improvements; the timing, progress and results of the company’s discovery, preclinical and clinical development activities;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potential variability in neutralizing activity of product candidates tested in different assays, such as pseudovirus assays and authentic assays; variability of results in models and methods used to predict activity against SARS-CoV-2 variants; whether the epitope that pemivibart and VYD2311 targets remains structurally intact; whether the company’s product candidates are able to demonstrate and sustain neutralizing activity against major SARS-CoV-2 variants, particularly in the face of viral evolution; changes in the regulatory environment; uncertainties related to the regulatory authorization or approval process, and available development and regulatory pathways; clinical trial site activation or enrollment rates; how long the EUA granted by the FDA for PEMGARDA will remain in effect and whether the EUA is revised or revoked by the FDA; the ability to maintain a continued acceptable safety, tolerability and efficacy profile of any product candidate following regulatory authorization or approval; the company’s ability to maintain and expand sales, marketing and distribution capabilities to successfully commercialize PEMGARDA; changes in expected or existing competition; the company’s reliance on third parties; any change in the preliminary estimates of the company’s Q4 2024 results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974725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p>
      <w:pPr>
        <w:spacing w:after="0" w:line="230" w:lineRule="auto"/>
        <w:rPr>
          <w:sz w:val="20"/>
          <w:szCs w:val="20"/>
          <w:color w:val="auto"/>
        </w:rPr>
      </w:pPr>
      <w:r>
        <w:rPr>
          <w:rFonts w:ascii="Arial" w:cs="Arial" w:eastAsia="Arial" w:hAnsi="Arial"/>
          <w:sz w:val="20"/>
          <w:szCs w:val="20"/>
          <w:color w:val="auto"/>
        </w:rPr>
        <w:t>completion of the company’s financial closing controls and procedures, and finalization of the financial statements;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and the company’s Quarterly Report on Form 10-Q for the quarter ended September 30, 2024, each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This press release contains hyperlinks to information that is not deemed to be incorporated by reference in this press release.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Media Relations</w:t>
      </w:r>
    </w:p>
    <w:p>
      <w:pPr>
        <w:spacing w:after="0" w:line="4" w:lineRule="exact"/>
        <w:rPr>
          <w:sz w:val="20"/>
          <w:szCs w:val="20"/>
          <w:color w:val="auto"/>
        </w:rPr>
      </w:pPr>
    </w:p>
    <w:p>
      <w:pPr>
        <w:ind w:right="9260" w:firstLine="8"/>
        <w:spacing w:after="0" w:line="264"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208-1747 media@invivyd.com</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4" w:lineRule="exact"/>
        <w:rPr>
          <w:sz w:val="20"/>
          <w:szCs w:val="20"/>
          <w:color w:val="auto"/>
        </w:rPr>
      </w:pPr>
    </w:p>
    <w:p>
      <w:pPr>
        <w:ind w:right="9000" w:firstLine="8"/>
        <w:spacing w:after="0" w:line="264"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1398905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4" w:right="539" w:bottom="1440" w:gutter="0" w:footer="0" w:header="0"/>
        </w:sectPr>
      </w:pPr>
    </w:p>
    <w:bookmarkStart w:id="8" w:name="page9"/>
    <w:bookmarkEnd w:id="8"/>
    <w:p>
      <w:pPr>
        <w:jc w:val="right"/>
        <w:spacing w:after="0"/>
        <w:rPr>
          <w:sz w:val="20"/>
          <w:szCs w:val="20"/>
          <w:color w:val="auto"/>
        </w:rPr>
      </w:pPr>
      <w:r>
        <w:rPr>
          <w:rFonts w:ascii="Calibri" w:cs="Calibri" w:eastAsia="Calibri" w:hAnsi="Calibri"/>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205740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40"/>
        <w:spacing w:after="0"/>
        <w:rPr>
          <w:sz w:val="20"/>
          <w:szCs w:val="20"/>
          <w:color w:val="auto"/>
        </w:rPr>
      </w:pPr>
      <w:r>
        <w:rPr>
          <w:rFonts w:ascii="Calibri" w:cs="Calibri" w:eastAsia="Calibri" w:hAnsi="Calibri"/>
          <w:sz w:val="25"/>
          <w:szCs w:val="25"/>
          <w:color w:val="auto"/>
        </w:rPr>
        <w:t>Invivyd Announces Positve Phase 1/2 Clinical Data for VYD2311, a Monoclonal Antbody Designed to be a Superior Alternatve to COVID-19 Vaccinaton for the Broad Populaton</w:t>
      </w:r>
    </w:p>
    <w:p>
      <w:pPr>
        <w:spacing w:after="0" w:line="171" w:lineRule="exact"/>
        <w:rPr>
          <w:sz w:val="20"/>
          <w:szCs w:val="20"/>
          <w:color w:val="auto"/>
        </w:rPr>
      </w:pPr>
    </w:p>
    <w:p>
      <w:pPr>
        <w:ind w:left="760" w:right="540" w:hanging="378"/>
        <w:spacing w:after="0" w:line="234" w:lineRule="auto"/>
        <w:tabs>
          <w:tab w:leader="none" w:pos="76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Recruitment completed and all doses administered for VYD2311 ongoing Phase 1/2 clinical trial (40 subjects) evaluatng 3 routes of administraton</w:t>
      </w:r>
    </w:p>
    <w:p>
      <w:pPr>
        <w:spacing w:after="0" w:line="23" w:lineRule="exact"/>
        <w:rPr>
          <w:rFonts w:ascii="Times New Roman" w:cs="Times New Roman" w:eastAsia="Times New Roman" w:hAnsi="Times New Roman"/>
          <w:sz w:val="20"/>
          <w:szCs w:val="20"/>
          <w:color w:val="auto"/>
        </w:rPr>
      </w:pPr>
    </w:p>
    <w:p>
      <w:pPr>
        <w:ind w:left="760" w:right="260" w:hanging="378"/>
        <w:spacing w:after="0" w:line="234" w:lineRule="auto"/>
        <w:tabs>
          <w:tab w:leader="none" w:pos="76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Phase 1/2 clinical data for VYD2311 to date are positve for both safety and pharmacokinetcs, and are supported by antviral actvity data from Invivyd’s standard virologic assessments</w:t>
      </w:r>
    </w:p>
    <w:p>
      <w:pPr>
        <w:spacing w:after="0" w:line="23" w:lineRule="exact"/>
        <w:rPr>
          <w:rFonts w:ascii="Times New Roman" w:cs="Times New Roman" w:eastAsia="Times New Roman" w:hAnsi="Times New Roman"/>
          <w:sz w:val="20"/>
          <w:szCs w:val="20"/>
          <w:color w:val="auto"/>
        </w:rPr>
      </w:pPr>
    </w:p>
    <w:p>
      <w:pPr>
        <w:ind w:left="1500" w:right="340" w:hanging="369"/>
        <w:spacing w:after="0" w:line="234" w:lineRule="auto"/>
        <w:tabs>
          <w:tab w:leader="none" w:pos="1500" w:val="left"/>
        </w:tabs>
        <w:numPr>
          <w:ilvl w:val="1"/>
          <w:numId w:val="5"/>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Pooled, blinded adverse events (AEs) to date are mild or moderate and thus far deemed unrelated to study drug or largely related to injecton site reacton or infusion reactons</w:t>
      </w:r>
    </w:p>
    <w:p>
      <w:pPr>
        <w:spacing w:after="0" w:line="23" w:lineRule="exact"/>
        <w:rPr>
          <w:rFonts w:ascii="Times New Roman" w:cs="Times New Roman" w:eastAsia="Times New Roman" w:hAnsi="Times New Roman"/>
          <w:sz w:val="20"/>
          <w:szCs w:val="20"/>
          <w:color w:val="auto"/>
        </w:rPr>
      </w:pPr>
    </w:p>
    <w:p>
      <w:pPr>
        <w:ind w:left="1500" w:right="100" w:hanging="369"/>
        <w:spacing w:after="0" w:line="234" w:lineRule="auto"/>
        <w:tabs>
          <w:tab w:leader="none" w:pos="1500" w:val="left"/>
        </w:tabs>
        <w:numPr>
          <w:ilvl w:val="1"/>
          <w:numId w:val="5"/>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As of Day 65, serum concentratons remain high with half-life not yet reached, indicatng potental long clinical dosing interval</w:t>
      </w:r>
    </w:p>
    <w:p>
      <w:pPr>
        <w:spacing w:after="0" w:line="23" w:lineRule="exact"/>
        <w:rPr>
          <w:rFonts w:ascii="Times New Roman" w:cs="Times New Roman" w:eastAsia="Times New Roman" w:hAnsi="Times New Roman"/>
          <w:sz w:val="20"/>
          <w:szCs w:val="20"/>
          <w:color w:val="auto"/>
        </w:rPr>
      </w:pPr>
    </w:p>
    <w:p>
      <w:pPr>
        <w:ind w:left="1500" w:right="640" w:hanging="369"/>
        <w:spacing w:after="0" w:line="234" w:lineRule="auto"/>
        <w:tabs>
          <w:tab w:leader="none" w:pos="1500" w:val="left"/>
        </w:tabs>
        <w:numPr>
          <w:ilvl w:val="1"/>
          <w:numId w:val="5"/>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In vitro neutralizaton potency of VYD2311 assessed across contemporary SARS-CoV-2 variants tested shows an average 17-fold greater neutralizaton potency than pemivibart</w:t>
      </w:r>
    </w:p>
    <w:p>
      <w:pPr>
        <w:spacing w:after="0" w:line="23" w:lineRule="exact"/>
        <w:rPr>
          <w:rFonts w:ascii="Times New Roman" w:cs="Times New Roman" w:eastAsia="Times New Roman" w:hAnsi="Times New Roman"/>
          <w:sz w:val="20"/>
          <w:szCs w:val="20"/>
          <w:color w:val="auto"/>
        </w:rPr>
      </w:pPr>
    </w:p>
    <w:p>
      <w:pPr>
        <w:ind w:left="760" w:right="540" w:hanging="378"/>
        <w:spacing w:after="0" w:line="236" w:lineRule="auto"/>
        <w:tabs>
          <w:tab w:leader="none" w:pos="76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Phase 1/2 clinical data, combined with antviral assessment and COVID-19 antviral correlate of protecton data, including Invivyd’s Phase 3 CANOPY clinical trial data for pemivibart, support a potental clinical profle for VYD2311 with superior efcacy, safety, and durability to COVID-19 vaccines:</w:t>
      </w:r>
    </w:p>
    <w:p>
      <w:pPr>
        <w:spacing w:after="0" w:line="12"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5"/>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Stronger protecton (70-90%) from symptomatc COVID-19 disease</w:t>
      </w:r>
    </w:p>
    <w:p>
      <w:pPr>
        <w:spacing w:after="0" w:line="12"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5"/>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Less frequent (e.g. once- or twice-annual) intramuscular or subcutaneous dosing</w:t>
      </w:r>
    </w:p>
    <w:p>
      <w:pPr>
        <w:spacing w:after="0" w:line="12"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5"/>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More favorable safety and tolerability and, since VYD2311 is not a vaccine, no actvaton of subject immune systems</w:t>
      </w:r>
    </w:p>
    <w:p>
      <w:pPr>
        <w:spacing w:after="0" w:line="1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Profle also suitable as a potental novel, potent, long-actng COVID-19 treatment opton</w:t>
      </w:r>
    </w:p>
    <w:p>
      <w:pPr>
        <w:spacing w:after="0" w:line="252" w:lineRule="exact"/>
        <w:rPr>
          <w:sz w:val="20"/>
          <w:szCs w:val="20"/>
          <w:color w:val="auto"/>
        </w:rPr>
      </w:pPr>
    </w:p>
    <w:p>
      <w:pPr>
        <w:ind w:right="140"/>
        <w:spacing w:after="0" w:line="236" w:lineRule="auto"/>
        <w:rPr>
          <w:sz w:val="20"/>
          <w:szCs w:val="20"/>
          <w:color w:val="auto"/>
        </w:rPr>
      </w:pPr>
      <w:r>
        <w:rPr>
          <w:rFonts w:ascii="Calibri" w:cs="Calibri" w:eastAsia="Calibri" w:hAnsi="Calibri"/>
          <w:sz w:val="20"/>
          <w:szCs w:val="20"/>
          <w:color w:val="auto"/>
        </w:rPr>
        <w:t>WALTHAM, Mass., Feb. 03, 2025 (GLOBE NEWSWIRE) -- Invivyd, Inc. (Nasdaq: IVVD) today announced positve data from its ongoing Phase 1/2 clinical trial of VYD2311, Invivyd’s novel monoclonal antbody (mAb) candidate designed to be a superior alternatve to COVID-19 vaccinaton for the broad populaton as frontline protecton in a convenient form, as well as to provide a novel, potent, long-actng opton for the treatment of COVID-19.</w:t>
      </w:r>
    </w:p>
    <w:p>
      <w:pPr>
        <w:spacing w:after="0" w:line="154" w:lineRule="exact"/>
        <w:rPr>
          <w:sz w:val="20"/>
          <w:szCs w:val="20"/>
          <w:color w:val="auto"/>
        </w:rPr>
      </w:pPr>
    </w:p>
    <w:p>
      <w:pPr>
        <w:ind w:right="620"/>
        <w:spacing w:after="0" w:line="216" w:lineRule="auto"/>
        <w:rPr>
          <w:sz w:val="20"/>
          <w:szCs w:val="20"/>
          <w:color w:val="auto"/>
        </w:rPr>
      </w:pPr>
      <w:r>
        <w:rPr>
          <w:rFonts w:ascii="Calibri" w:cs="Calibri" w:eastAsia="Calibri" w:hAnsi="Calibri"/>
          <w:sz w:val="20"/>
          <w:szCs w:val="20"/>
          <w:color w:val="auto"/>
        </w:rPr>
        <w:t>COVID-19 in 2024 caused approximately 59,000</w:t>
      </w:r>
      <w:r>
        <w:rPr>
          <w:rFonts w:ascii="Calibri" w:cs="Calibri" w:eastAsia="Calibri" w:hAnsi="Calibri"/>
          <w:sz w:val="26"/>
          <w:szCs w:val="26"/>
          <w:color w:val="auto"/>
          <w:vertAlign w:val="superscript"/>
        </w:rPr>
        <w:t>1</w:t>
      </w:r>
      <w:r>
        <w:rPr>
          <w:rFonts w:ascii="Calibri" w:cs="Calibri" w:eastAsia="Calibri" w:hAnsi="Calibri"/>
          <w:sz w:val="20"/>
          <w:szCs w:val="20"/>
          <w:color w:val="auto"/>
        </w:rPr>
        <w:t xml:space="preserve"> deaths, 665,000</w:t>
      </w:r>
      <w:r>
        <w:rPr>
          <w:rFonts w:ascii="Calibri" w:cs="Calibri" w:eastAsia="Calibri" w:hAnsi="Calibri"/>
          <w:sz w:val="26"/>
          <w:szCs w:val="26"/>
          <w:color w:val="auto"/>
          <w:vertAlign w:val="superscript"/>
        </w:rPr>
        <w:t>1</w:t>
      </w:r>
      <w:r>
        <w:rPr>
          <w:rFonts w:ascii="Calibri" w:cs="Calibri" w:eastAsia="Calibri" w:hAnsi="Calibri"/>
          <w:sz w:val="20"/>
          <w:szCs w:val="20"/>
          <w:color w:val="auto"/>
        </w:rPr>
        <w:t xml:space="preserve"> hospitalizatons, and growing burden of Long COVID over tme, despite broadly available and utlized vaccine boosts and small molecule therapy. The inital Phase 1/2 data support VYD2311’s potental as a more efectve and convenient opton to manage this deadly disease.</w:t>
      </w:r>
    </w:p>
    <w:p>
      <w:pPr>
        <w:spacing w:after="0" w:line="159" w:lineRule="exact"/>
        <w:rPr>
          <w:sz w:val="20"/>
          <w:szCs w:val="20"/>
          <w:color w:val="auto"/>
        </w:rPr>
      </w:pPr>
    </w:p>
    <w:p>
      <w:pPr>
        <w:ind w:right="140"/>
        <w:spacing w:after="0" w:line="237" w:lineRule="auto"/>
        <w:rPr>
          <w:sz w:val="20"/>
          <w:szCs w:val="20"/>
          <w:color w:val="auto"/>
        </w:rPr>
      </w:pPr>
      <w:r>
        <w:rPr>
          <w:rFonts w:ascii="Calibri" w:cs="Calibri" w:eastAsia="Calibri" w:hAnsi="Calibri"/>
          <w:sz w:val="20"/>
          <w:szCs w:val="20"/>
          <w:color w:val="auto"/>
        </w:rPr>
        <w:t>Invivyd’s ongoing randomized, double-blind, Phase 1/2 clinical trial is evaluatng the safety and clinical pharmacokinetc (PK) profle of VYD2311 in 40 subjects across multple routes of administraton and dose levels for a single dose, and includes VYD2311 dosed intravenously (IV), intramuscularly (IM), and subcutaneously (SC) in four cohorts of 10 patents each, randomized 8:2 to receive drug or placebo. The Phase 1/2 clinical trial has fully enrolled, and all planned doses have been administered, with only long-term follow-up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9" w:name="page10"/>
    <w:bookmarkEnd w:id="9"/>
    <w:p>
      <w:pPr>
        <w:ind w:right="380"/>
        <w:spacing w:after="0" w:line="234" w:lineRule="auto"/>
        <w:rPr>
          <w:sz w:val="20"/>
          <w:szCs w:val="20"/>
          <w:color w:val="auto"/>
        </w:rPr>
      </w:pPr>
      <w:r>
        <w:rPr>
          <w:rFonts w:ascii="Calibri" w:cs="Calibri" w:eastAsia="Calibri" w:hAnsi="Calibri"/>
          <w:sz w:val="20"/>
          <w:szCs w:val="20"/>
          <w:color w:val="auto"/>
        </w:rPr>
        <w:t>While the Phase 1/2 trial remains blinded, all pooled, blinded adverse events (AEs) identfed to date across all arms remain mild to moderate and largely confned to typical injecton site reactons or infusion reactons.</w:t>
      </w:r>
    </w:p>
    <w:p>
      <w:pPr>
        <w:spacing w:after="0" w:line="158" w:lineRule="exact"/>
        <w:rPr>
          <w:sz w:val="20"/>
          <w:szCs w:val="20"/>
          <w:color w:val="auto"/>
        </w:rPr>
      </w:pPr>
    </w:p>
    <w:p>
      <w:pPr>
        <w:jc w:val="both"/>
        <w:ind w:right="420"/>
        <w:spacing w:after="0" w:line="237" w:lineRule="auto"/>
        <w:rPr>
          <w:sz w:val="20"/>
          <w:szCs w:val="20"/>
          <w:color w:val="auto"/>
        </w:rPr>
      </w:pPr>
      <w:r>
        <w:rPr>
          <w:rFonts w:ascii="Calibri" w:cs="Calibri" w:eastAsia="Calibri" w:hAnsi="Calibri"/>
          <w:sz w:val="20"/>
          <w:szCs w:val="20"/>
          <w:color w:val="auto"/>
        </w:rPr>
        <w:t>A formal estmate of in vivo half-life is not yet available for VYD2311 given the long apparent half-life thus far. As of Day 65, serum concentratons remain high and represent a potental substantal increase in observed half-life of VYD2311 relatve to pemivibart. Analysis for the IM cohort (the most advanced cohort in tme) is tracking generally with the PK profle of adintrevimab, a previous Invivyd mAb with an estmated in vivo half-life of 139 days, as depicted in Figure 1 below. PK analysis of VYD2311 intravenous and subcutaneous cohorts at earlier tmepoints, at either similar doses subcutaneously or higher doses intravenously, are similarly and encouragingly tracking close to the estmated curves for adintrevimab thus far.</w:t>
      </w:r>
    </w:p>
    <w:p>
      <w:pPr>
        <w:spacing w:after="0" w:line="13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Figure 1: Comparison of VYD2311 Measured Serum Concentraton and Modeled Adintrevimab Concentraton at Same Timepoints</w:t>
      </w:r>
    </w:p>
    <w:p>
      <w:pPr>
        <w:spacing w:after="0" w:line="182" w:lineRule="exact"/>
        <w:rPr>
          <w:sz w:val="20"/>
          <w:szCs w:val="20"/>
          <w:color w:val="auto"/>
        </w:rPr>
      </w:pPr>
    </w:p>
    <w:p>
      <w:pPr>
        <w:ind w:right="220"/>
        <w:spacing w:after="0" w:line="242" w:lineRule="auto"/>
        <w:rPr>
          <w:sz w:val="20"/>
          <w:szCs w:val="20"/>
          <w:color w:val="auto"/>
        </w:rPr>
      </w:pPr>
      <w:r>
        <w:rPr>
          <w:sz w:val="1"/>
          <w:szCs w:val="1"/>
          <w:color w:val="auto"/>
        </w:rPr>
        <w:drawing>
          <wp:inline distT="0" distB="0" distL="0" distR="0">
            <wp:extent cx="5349240" cy="20002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000250"/>
                    </a:xfrm>
                    <a:prstGeom prst="rect">
                      <a:avLst/>
                    </a:prstGeom>
                    <a:noFill/>
                    <a:ln>
                      <a:noFill/>
                    </a:ln>
                  </pic:spPr>
                </pic:pic>
              </a:graphicData>
            </a:graphic>
          </wp:inline>
        </w:drawing>
      </w:r>
      <w:r>
        <w:rPr>
          <w:rFonts w:ascii="Calibri" w:cs="Calibri" w:eastAsia="Calibri" w:hAnsi="Calibri"/>
          <w:sz w:val="20"/>
          <w:szCs w:val="20"/>
          <w:color w:val="auto"/>
        </w:rPr>
        <w:t>In vitro neutralizaton data generated contnuously on VYD2311 as part of Invivyd’s industrial virology eforts demonstrate an average potency improvement for VYD2311 of approximately 17-fold compared to pemivibart, which is a beneft that is directly translatable into either an equivalent reducton in dose relatve to PEMGARDA™ (pemivibart), or a corresponding increase in antviral actvity relatve to PEMGARDA at equivalent doses.</w:t>
      </w:r>
    </w:p>
    <w:p>
      <w:pPr>
        <w:spacing w:after="0" w:line="159" w:lineRule="exact"/>
        <w:rPr>
          <w:sz w:val="20"/>
          <w:szCs w:val="20"/>
          <w:color w:val="auto"/>
        </w:rPr>
      </w:pPr>
    </w:p>
    <w:p>
      <w:pPr>
        <w:spacing w:after="0"/>
        <w:rPr>
          <w:sz w:val="20"/>
          <w:szCs w:val="20"/>
          <w:color w:val="auto"/>
        </w:rPr>
      </w:pPr>
      <w:r>
        <w:rPr>
          <w:rFonts w:ascii="Calibri" w:cs="Calibri" w:eastAsia="Calibri" w:hAnsi="Calibri"/>
          <w:sz w:val="20"/>
          <w:szCs w:val="20"/>
          <w:color w:val="auto"/>
        </w:rPr>
        <w:t>Taken together, these VYD2311 safety, PK, and virology data, along with the data from Invivyd’s CANOPY Phase 3 clinical trial for pemivibart</w:t>
      </w:r>
      <w:r>
        <w:rPr>
          <w:rFonts w:ascii="Calibri" w:cs="Calibri" w:eastAsia="Calibri" w:hAnsi="Calibri"/>
          <w:sz w:val="26"/>
          <w:szCs w:val="26"/>
          <w:color w:val="auto"/>
          <w:vertAlign w:val="superscript"/>
        </w:rPr>
        <w:t>2</w:t>
      </w:r>
      <w:r>
        <w:rPr>
          <w:rFonts w:ascii="Calibri" w:cs="Calibri" w:eastAsia="Calibri" w:hAnsi="Calibri"/>
          <w:sz w:val="20"/>
          <w:szCs w:val="20"/>
          <w:color w:val="auto"/>
        </w:rPr>
        <w:t xml:space="preserve"> and other prior mAb pre-exposure prophylaxis studies</w:t>
      </w:r>
      <w:r>
        <w:rPr>
          <w:rFonts w:ascii="Calibri" w:cs="Calibri" w:eastAsia="Calibri" w:hAnsi="Calibri"/>
          <w:sz w:val="26"/>
          <w:szCs w:val="26"/>
          <w:color w:val="auto"/>
          <w:vertAlign w:val="superscript"/>
        </w:rPr>
        <w:t>3</w:t>
      </w:r>
      <w:r>
        <w:rPr>
          <w:rFonts w:ascii="Calibri" w:cs="Calibri" w:eastAsia="Calibri" w:hAnsi="Calibri"/>
          <w:sz w:val="20"/>
          <w:szCs w:val="20"/>
          <w:color w:val="auto"/>
        </w:rPr>
        <w:t>, predict an atractve clinical protectve profle of VYD2311, especially relatve to COVID-19 vaccinaton, including likely highly protectve tters of VYD2311 for up to six months or a year or more following a single dose. Shorter dosing intervals (e.g., quarterly or semi-annual) via either IM injecton by a healthcare provider or at home via SC self-administraton may be atractve for immunocompromised persons or other populatons who may beneft from higher serum virus neutralizing antbody (sVNA) tters and, therefore, higher protecton, and who also do not wish to interact regularly with healthcare infrastructure to acquire protecton from COVID-19. Further, IM administraton or higher doses of VYD2311 via IV infusion may be an atractve profle for purposes of delivering maximum possible antviral actvity to patents in need of treatng actve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1090930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1" w:right="439" w:bottom="1440" w:gutter="0" w:footer="0" w:header="0"/>
        </w:sectPr>
      </w:pPr>
    </w:p>
    <w:bookmarkStart w:id="10" w:name="page11"/>
    <w:bookmarkEnd w:id="10"/>
    <w:p>
      <w:pPr>
        <w:ind w:right="80"/>
        <w:spacing w:after="0" w:line="237" w:lineRule="auto"/>
        <w:rPr>
          <w:sz w:val="20"/>
          <w:szCs w:val="20"/>
          <w:color w:val="auto"/>
        </w:rPr>
      </w:pPr>
      <w:r>
        <w:rPr>
          <w:rFonts w:ascii="Calibri" w:cs="Calibri" w:eastAsia="Calibri" w:hAnsi="Calibri"/>
          <w:sz w:val="20"/>
          <w:szCs w:val="20"/>
          <w:color w:val="auto"/>
        </w:rPr>
        <w:t>“We are thrilled with these Phase 1/2 data for VYD2311, which we designed for the profle we are seeing so far: a potent and long-lastng mAb with the potental to protect people with none of the well-understood limitatons of COVID-19 vaccinaton, and which, if brought to market, we believe can meaningfully interrupt disease in a fashion that is difcult or impossible for COVID-19 vaccinaton to ever achieve,” commented Marc Elia, Chairman of the Invivyd Board of Directors. Mr. Elia contnued, “Use of prior mAbs has been constrained by virus evoluton, but the science we see now from our platorm technology allows us to move game-changing technology like VYD2311 to the center of managing this deadly and pervasive virus. We look forward to collaboratng with the U.S. FDA as we work to advance this important medicine to populatons at highest risk of COVID-19.”</w:t>
      </w:r>
    </w:p>
    <w:p>
      <w:pPr>
        <w:spacing w:after="0" w:line="162"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“Last year, while sadly not broadly appreciated, more Americans died of COVID-19 than of breast cancer, and the growth in the long-term damage caused by COVID-19 (Long Covid) contnues to mount in this endemic, mass disabling phase of our experience with SARS-CoV-2. Tens of millions of Americans remain at risk despite using serial boosts of vaccines that give short and modest protecton from disease. While we are proud of our growing PEMGARDA business serving certain immunocompromised persons, we are seeking to maximize the medical and social impact of Invivyd’s transformatonal science. Deploying a new protectve mAb in the future that has the convenience and scalability of current vaccine boosts but with substantally more atractve protecton, safety, and durability would be a massive step change in medical value for millions of Americans in need,” said Tim Lee, Chief Commercial Ofcer of Invivyd.</w:t>
      </w:r>
    </w:p>
    <w:p>
      <w:pPr>
        <w:spacing w:after="0" w:line="148"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VYD2311 was discovered via Invivyd technology that performs directed evoluton of predicate antbodies toward higher potency against more contemporary SARS-CoV-2 virus lineages and has a highly similar epitope as parent molecule pemivibart and grandparent molecule adintrevimab, which epitope has been genetcally and structurally stable over countless virus variants since the emergence of Omicron phylogeny virus.</w:t>
      </w:r>
    </w:p>
    <w:p>
      <w:pPr>
        <w:spacing w:after="0" w:line="15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VYD2311</w:t>
      </w:r>
    </w:p>
    <w:p>
      <w:pPr>
        <w:spacing w:after="0" w:line="9"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VYD2311 is a novel monoclonal antbody (mAb) candidate being developed for COVID-19 to contnue to address the urgent need for new prophylactc and therapeutc optons. The pharmacokinetc profle and antviral potency of VYD2311 may ofer the ability to deliver clinically meaningful tter levels through more patent-friendly means such as an intramuscular route of administraton.</w:t>
      </w:r>
    </w:p>
    <w:p>
      <w:pPr>
        <w:spacing w:after="0" w:line="157"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VYD2311 was engineered using Invivyd’s proprietary integrated technology platorm and is the product of serial molecular evoluton designed to generate an antbody optmized for neutralizing contemporary virus lineages. VYD2311 leverages the same antbody backbone as pemivibart, Invivyd’s investgatonal mAb granted emergency use authorizaton in the U.S. for the pre-exposure prophylaxis (PrEP) of symptomatc COVID-19 in certain immunocompromised patents, and adintrevimab, Invivyd’s investgatonal mAb that has a robust safety data package and demonstrated clinically meaningful results in global Phase 2/3 clinical trials for the preventon and treatment of COVID-19.</w:t>
      </w:r>
    </w:p>
    <w:p>
      <w:pPr>
        <w:spacing w:after="0" w:line="13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PEMGARDA</w:t>
      </w:r>
    </w:p>
    <w:p>
      <w:pPr>
        <w:spacing w:after="0" w:line="9" w:lineRule="exact"/>
        <w:rPr>
          <w:sz w:val="20"/>
          <w:szCs w:val="20"/>
          <w:color w:val="auto"/>
        </w:rPr>
      </w:pPr>
    </w:p>
    <w:p>
      <w:pPr>
        <w:ind w:right="360"/>
        <w:spacing w:after="0" w:line="236" w:lineRule="auto"/>
        <w:rPr>
          <w:sz w:val="20"/>
          <w:szCs w:val="20"/>
          <w:color w:val="auto"/>
        </w:rPr>
      </w:pPr>
      <w:r>
        <w:rPr>
          <w:rFonts w:ascii="Calibri" w:cs="Calibri" w:eastAsia="Calibri" w:hAnsi="Calibri"/>
          <w:sz w:val="20"/>
          <w:szCs w:val="20"/>
          <w:color w:val="auto"/>
        </w:rPr>
        <w:t>PEMGARDA™ (pemivibart) is a half-life extended investgatonal monoclonal antbody (mAb). PEMGARDA was engineered from adintrevimab, Invivyd’s investgatonal mAb that has a robust safety data package and provided evidence of clinical efcacy in global Phase 2/3 clinical trials for the preventon and treatment of COVID-19. PEMGARDA has demonstrated in vitro neutralizing actvity against major SARS-CoV-2 variants, including JN.1, KP.3.1.1 and XEC. PEMGARDA targets the SARS-CoV-2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11" w:name="page12"/>
    <w:bookmarkEnd w:id="11"/>
    <w:p>
      <w:pPr>
        <w:spacing w:after="0"/>
        <w:rPr>
          <w:sz w:val="20"/>
          <w:szCs w:val="20"/>
          <w:color w:val="auto"/>
        </w:rPr>
      </w:pPr>
      <w:r>
        <w:rPr>
          <w:rFonts w:ascii="Calibri" w:cs="Calibri" w:eastAsia="Calibri" w:hAnsi="Calibri"/>
          <w:sz w:val="20"/>
          <w:szCs w:val="20"/>
          <w:color w:val="auto"/>
        </w:rPr>
        <w:t>spike protein receptor binding domain (RBD), thereby inhibitng virus atachment to the human ACE2 receptor on host cells.</w:t>
      </w:r>
    </w:p>
    <w:p>
      <w:pPr>
        <w:spacing w:after="0" w:line="157"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color w:val="auto"/>
        </w:rPr>
        <w:t>PEMGARDA (pemivibart) injecton (4500 mg), for intravenous use is an investgatonal mAb that has not been approved, but has been authorized for emergency use by the U.S. FDA under an EUA for the pre-exposure prophylaxis (preventon) of COVID-19 in adults and adolescents (12 years of age and older weighing at least 40 kg) who have moderate-to-severe immune compromise due to certain medical conditons or receipt of certain immunosuppressive medicatons or treatments and are unlikely to mount an adequate immune response to COVID-19 vaccinaton. Recipients should not be currently infected with or have had a known recent exposure to an individual infected with SARS-CoV-2.</w:t>
      </w:r>
    </w:p>
    <w:p>
      <w:pPr>
        <w:spacing w:after="0" w:line="147"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PEMGARDA is not authorized for use for treatment of COVID-19 or post-exposure prophylaxis of COVID-19. Pre-exposure prophylaxis with PEMGARDA is not a substtute for vaccinaton in individuals for whom COVID-19 vaccinaton is recommended. Individuals for whom COVID-19 vaccinaton is recommended, including individuals with moderate-to-severe immune compromise who may derive beneft from COVID-19 vaccinatons, should receive COVID-19 vaccinaton. In individuals who have recently received a COVID-19 vaccine, PEMGARDA should be administered at least 2 weeks afer vaccinaton.</w:t>
      </w:r>
    </w:p>
    <w:p>
      <w:pPr>
        <w:spacing w:after="0" w:line="158"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Anaphylaxis has been observed with PEMGARDA and the PEMGARDA Fact Sheet for Healthcare Providers includes a boxed warning for anaphylaxis. The most common adverse events (all grades, incidence ≥2%) observed in partcipants who have moderate-to-severe immune compromise treated with PEMGARDA included systemic and local infusion-related or hypersensitvity reactons, upper respiratory tract infecton, viral infecton, infuenza-like illness, fatgue, headache, and nausea. For additonal informaton, please see the PEMGARDA full product Fact Sheet for Healthcare Providers, including important safety informaton and boxed warning.</w:t>
      </w:r>
    </w:p>
    <w:p>
      <w:pPr>
        <w:spacing w:after="0" w:line="158"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To support the EUA for PEMGARDA, an immunobridging approach was used to determine if PEMGARDA may be efectve for pre-exposure prophylaxis of COVID-19. Immunobridging is based on the serum virus neutralizing tter-efcacy relatonships identfed with other neutralizing human mAbs against SARS-CoV-2. This includes adintrevimab, the parent mAb of pemivibart, and other mAbs that were previously authorized for EUA. There are limitatons of the data supportng the benefts of PEMGARDA. Evidence of clinical efcacy for other neutralizing human mAbs against SARS-CoV-2 was based on diferent populatons and SARS-CoV-2 variants that are no longer circulatng. Further, the variability associated with cell-based EC50 value determinatons, along with limitatons related to pharmacokinetc data and efcacy estmates for the mAbs in prior clinical trials, impact the ability to precisely estmate protectve tter ranges. Additonally, certain SARS-CoV-2 viral variants may emerge that have substantally reduced susceptbility to PEMGARDA, and PEMGARDA may not be efectve at preventng COVID-19 caused by these SARS-CoV-2 viral variants.</w:t>
      </w:r>
    </w:p>
    <w:p>
      <w:pPr>
        <w:spacing w:after="0" w:line="152" w:lineRule="exact"/>
        <w:rPr>
          <w:sz w:val="20"/>
          <w:szCs w:val="20"/>
          <w:color w:val="auto"/>
        </w:rPr>
      </w:pPr>
    </w:p>
    <w:p>
      <w:pPr>
        <w:ind w:right="40"/>
        <w:spacing w:after="0"/>
        <w:rPr>
          <w:sz w:val="20"/>
          <w:szCs w:val="20"/>
          <w:color w:val="auto"/>
        </w:rPr>
      </w:pPr>
      <w:r>
        <w:rPr>
          <w:rFonts w:ascii="Calibri" w:cs="Calibri" w:eastAsia="Calibri" w:hAnsi="Calibri"/>
          <w:sz w:val="20"/>
          <w:szCs w:val="20"/>
          <w:color w:val="auto"/>
        </w:rPr>
        <w:t>The emergency use of PEMGARDA is only authorized for the duraton of the declaraton that circumstances exist justfying the authorizaton of the emergency use of drugs and biological products during the COVID-19 pandemic under Secton 564(b)(1) of the Federal Food, Drug, and Cosmetc Act, 21 U.S.C. § 360bbb-3(b)(1), unless the declaraton is terminated or authorizaton revoked sooner. PEMGARDA is authorized for use only when the combined natonal frequency of variants with substantally reduced susceptbility to PEMGARDA is less than or equal to 90%, based on available informaton including variant susceptbility to PEMGARDA and natonal variant frequencies.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1139190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1" w:right="359" w:bottom="1440" w:gutter="0" w:footer="0" w:header="0"/>
        </w:sectPr>
      </w:pPr>
    </w:p>
    <w:bookmarkStart w:id="12" w:name="page13"/>
    <w:bookmarkEnd w:id="12"/>
    <w:p>
      <w:pPr>
        <w:spacing w:after="0"/>
        <w:rPr>
          <w:sz w:val="20"/>
          <w:szCs w:val="20"/>
          <w:color w:val="auto"/>
        </w:rPr>
      </w:pPr>
      <w:r>
        <w:rPr>
          <w:rFonts w:ascii="Calibri" w:cs="Calibri" w:eastAsia="Calibri" w:hAnsi="Calibri"/>
          <w:sz w:val="20"/>
          <w:szCs w:val="20"/>
          <w:b w:val="1"/>
          <w:bCs w:val="1"/>
          <w:color w:val="auto"/>
        </w:rPr>
        <w:t>About Invivyd</w:t>
      </w:r>
    </w:p>
    <w:p>
      <w:pPr>
        <w:spacing w:after="0" w:line="9"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Invivyd, Inc. (Nasdaq: IVVD) is a biopharmaceutcal company devoted to delivering protecton from serious viral infectous diseases, beginning with SARS-CoV-2. Invivyd deploys a proprietary integrated technology platorm unique in the industry designed to assess, monitor, develop, and adapt to create best in class antbodies. In March 2024, Invivyd received emergency use authorizaton (EUA) from the U.S. FDA for a monoclonal antbody (mAb) in its pipeline of innovatve antbody candidates. Visit htps://invivyd.com/ to learn more.</w:t>
      </w:r>
    </w:p>
    <w:p>
      <w:pPr>
        <w:spacing w:after="0" w:line="15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References</w:t>
      </w:r>
    </w:p>
    <w:p>
      <w:pPr>
        <w:spacing w:after="0" w:line="22" w:lineRule="exact"/>
        <w:rPr>
          <w:sz w:val="20"/>
          <w:szCs w:val="20"/>
          <w:color w:val="auto"/>
        </w:rPr>
      </w:pPr>
    </w:p>
    <w:p>
      <w:pPr>
        <w:ind w:right="60" w:firstLine="8"/>
        <w:spacing w:after="0"/>
        <w:tabs>
          <w:tab w:leader="none" w:pos="97" w:val="left"/>
        </w:tabs>
        <w:numPr>
          <w:ilvl w:val="0"/>
          <w:numId w:val="6"/>
        </w:numPr>
        <w:rPr>
          <w:rFonts w:ascii="Calibri" w:cs="Calibri" w:eastAsia="Calibri" w:hAnsi="Calibri"/>
          <w:sz w:val="25"/>
          <w:szCs w:val="25"/>
          <w:color w:val="auto"/>
          <w:vertAlign w:val="superscript"/>
        </w:rPr>
      </w:pPr>
      <w:r>
        <w:rPr>
          <w:rFonts w:ascii="Calibri" w:cs="Calibri" w:eastAsia="Calibri" w:hAnsi="Calibri"/>
          <w:sz w:val="19"/>
          <w:szCs w:val="19"/>
          <w:color w:val="auto"/>
        </w:rPr>
        <w:t>From October 7, 2023, through September 28, 2024, the 2023-2024 respiratory season; hospitalizatons calculated by Invivyd based on 334.9 million U.S. Census Bureau estmate of U.S. populaton size. Calculatons based on cumulatve rate for each disease state taken from the September 28, 2024, data point. References: CDC. RESP-NET. Accessed January 16, 2025. htps://www.cdc.gov/resp-net/dashboard/?CDC; CDC. COVID Data Tracker. Accessed January 16, 2025. htps://covid.cdc.gov/covid-data-tracker/#trends_weeklydeaths_select</w:t>
      </w:r>
    </w:p>
    <w:p>
      <w:pPr>
        <w:spacing w:after="0" w:line="267" w:lineRule="exact"/>
        <w:rPr>
          <w:sz w:val="20"/>
          <w:szCs w:val="20"/>
          <w:color w:val="auto"/>
        </w:rPr>
      </w:pPr>
    </w:p>
    <w:p>
      <w:pPr>
        <w:ind w:left="120" w:hanging="112"/>
        <w:spacing w:after="0"/>
        <w:tabs>
          <w:tab w:leader="none" w:pos="120" w:val="left"/>
        </w:tabs>
        <w:numPr>
          <w:ilvl w:val="0"/>
          <w:numId w:val="7"/>
        </w:numPr>
        <w:rPr>
          <w:rFonts w:ascii="Calibri" w:cs="Calibri" w:eastAsia="Calibri" w:hAnsi="Calibri"/>
          <w:sz w:val="27"/>
          <w:szCs w:val="27"/>
          <w:color w:val="auto"/>
          <w:vertAlign w:val="superscript"/>
        </w:rPr>
      </w:pPr>
      <w:r>
        <w:rPr>
          <w:rFonts w:ascii="Calibri" w:cs="Calibri" w:eastAsia="Calibri" w:hAnsi="Calibri"/>
          <w:sz w:val="20"/>
          <w:szCs w:val="20"/>
          <w:color w:val="auto"/>
        </w:rPr>
        <w:t>MedRxiv. Accessible here: htps://www.medrxiv.org/content/10.1101/2024.11.11.24317127v1</w:t>
      </w:r>
    </w:p>
    <w:p>
      <w:pPr>
        <w:spacing w:after="0" w:line="171" w:lineRule="exact"/>
        <w:rPr>
          <w:sz w:val="20"/>
          <w:szCs w:val="20"/>
          <w:color w:val="auto"/>
        </w:rPr>
      </w:pPr>
    </w:p>
    <w:p>
      <w:pPr>
        <w:jc w:val="both"/>
        <w:ind w:firstLine="8"/>
        <w:spacing w:after="0" w:line="224" w:lineRule="auto"/>
        <w:tabs>
          <w:tab w:leader="none" w:pos="97" w:val="left"/>
        </w:tabs>
        <w:numPr>
          <w:ilvl w:val="0"/>
          <w:numId w:val="8"/>
        </w:numPr>
        <w:rPr>
          <w:rFonts w:ascii="Calibri" w:cs="Calibri" w:eastAsia="Calibri" w:hAnsi="Calibri"/>
          <w:sz w:val="25"/>
          <w:szCs w:val="25"/>
          <w:color w:val="auto"/>
          <w:vertAlign w:val="superscript"/>
        </w:rPr>
      </w:pPr>
      <w:r>
        <w:rPr>
          <w:rFonts w:ascii="Calibri" w:cs="Calibri" w:eastAsia="Calibri" w:hAnsi="Calibri"/>
          <w:sz w:val="19"/>
          <w:szCs w:val="19"/>
          <w:color w:val="auto"/>
        </w:rPr>
        <w:t>New England Journal of Medicine. Accessible here: Intramuscular AZD7442 (Tixagevimab–Cilgavimab) for Preventon of Covid-19 | New England Journal of Medicine; 2. NATURE Communicatons. Accessible here: Monoclonal antbody levels and protecton from COVID-19 | Nature Communicatons</w:t>
      </w:r>
    </w:p>
    <w:p>
      <w:pPr>
        <w:spacing w:after="0" w:line="15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Note Regarding Forward-Looking Statements</w:t>
      </w:r>
    </w:p>
    <w:p>
      <w:pPr>
        <w:spacing w:after="0" w:line="9" w:lineRule="exact"/>
        <w:rPr>
          <w:sz w:val="20"/>
          <w:szCs w:val="20"/>
          <w:color w:val="auto"/>
        </w:rPr>
      </w:pPr>
    </w:p>
    <w:p>
      <w:pPr>
        <w:ind w:right="80"/>
        <w:spacing w:after="0" w:line="238" w:lineRule="auto"/>
        <w:rPr>
          <w:sz w:val="20"/>
          <w:szCs w:val="20"/>
          <w:color w:val="auto"/>
        </w:rPr>
      </w:pPr>
      <w:r>
        <w:rPr>
          <w:rFonts w:ascii="Calibri" w:cs="Calibri" w:eastAsia="Calibri" w:hAnsi="Calibri"/>
          <w:sz w:val="20"/>
          <w:szCs w:val="20"/>
          <w:color w:val="auto"/>
        </w:rPr>
        <w:t>This press release contains forward-looking statements within the meaning of the Private Securites Litgaton Reform Act of 1995. Words such as “antcipates,” “believes,” “could,” “expects,” “estmates,” “intends,” “potental,” “predicts,” “projects,” and “future” or similar expressions (as well as other words or expressions referencing future events, conditons or circumstances) are intended to identfy forward-looking statements. Forward-looking statements include statements concerning, among other things, the company’s ongoing research and development actvites, as well as future potental research and development eforts; the potental of VYD2311 as a mAb designed to be a superior alternatve to COVID-19 vaccinaton for the broad populaton, and to provide a novel, potent, long-actng COVID-19 treatment opton; the potental clinical profle of VYD2311 with respect to efcacy, safety, and durability; expectatons related to the potental half-life, potency, clinical dosing intervals, and routes of administraton of VYD2311; expectatons regarding the COVID-19 landscape, beliefs about the limitatons of current therapies for COVID-19, and the potental of Invivyd’s platorm technology to contribute to managing COVID-19; the company’s expectaton to collaborate with the U.S. FDA to advance VYD2311; the company’s goal to maximize the medical and social impact of its transformatonal science; the company’s ongoing industrial virology efort; the potental of PEMGARDA as a mAb for pre-exposure prophylaxis (preventon) of COVID-19 in certain adults and adolescents who have moderate-to-severe immune compromise; the company’s devoton to delivering protecton from serious viral infectous diseases, beginning with SARS-CoV-2; and other statements that are not historical fact. The company may not actually achieve the plans, intentons or expectatons disclosed in the company’s forward-looking statements and you should not place undue reliance on the company’s forward-looking statements. These forward-looking statements involve risks and uncertaintes that could cause the company’s actual results to difer materially from the results described in or implied by the forward-looking statements, including, without limitaton: the tming, progress and results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 w:name="page14"/>
    <w:bookmarkEnd w:id="13"/>
    <w:p>
      <w:pPr>
        <w:spacing w:after="0"/>
        <w:rPr>
          <w:sz w:val="20"/>
          <w:szCs w:val="20"/>
          <w:color w:val="auto"/>
        </w:rPr>
      </w:pPr>
      <w:r>
        <w:rPr>
          <w:rFonts w:ascii="Calibri" w:cs="Calibri" w:eastAsia="Calibri" w:hAnsi="Calibri"/>
          <w:sz w:val="20"/>
          <w:szCs w:val="20"/>
          <w:color w:val="auto"/>
        </w:rPr>
        <w:t>discovery, preclinical and clinical development actvites; the risk that results of nonclinical studies or clinical trials may not be predictve of future results, and interim data are subject to further analysis; unexpected safety or efcacy data observed during preclinical studies or clinical trials; the predictability of clinical success of the company’s product candidates based on neutralizing actvity in nonclinical studies; potental variability in neutralizing actvity of product candidates tested in diferent assays, such as pseudovirus assays and authentc assays; variability of results in models and methods used to predict actvity against SARS-CoV-2 variants; whether the epitope that VYD2311 and pemivibart targets remains structurally intact; whether the company’s product candidates are able to demonstrate and sustain neutralizing actvity against major SARS-CoV-2 variants, partcularly in the face of viral evoluton; the ability to gain alignment with the applicable regulatory authorites on the clinical trial design and development pathway for VYD2311, and the tming thereof; changes in the regulatory environment; uncertaintes related to the regulatory authorizaton or approval process, and available development and regulatory pathways; clinical trial site actvaton or enrollment rates; how long the EUA granted by the FDA for PEMGARDA will remain in efect and whether the EUA is revised or revoked by the FDA; the ability to maintain a contnued acceptable safety, tolerability and efcacy profle of any product candidate following regulatory authorizaton or approval; the company’s ability to maintain and expand sales, marketng and distributon capabilites to successfully commercialize PEMGARDA; changes in expected or existng competton; the company’s reliance on third partes; the company’s ability to contnue as a going concern; and whether the company has adequate funding to meet future operatng expenses and capital expenditure requirements. Other factors that may cause the company’s actual results to difer materially from those expressed or implied in the forward-looking statements in this press release are described under the heading “Risk Factors” in the company’s Annual Report on Form 10-K for the year ended December 31, 2023 and the company’s Quarterly Report on Form 10-Q for the quarter ended September 30, 2024, each fled with the Securites and Exchange Commission (SEC), and in the company’s other flings with the SEC, and in its future reports to be fled with the SEC and available at www.sec.gov. Forward-looking statements contained in this press release are made as of this date, and Invivyd undertakes no duty to update such informaton whether as a result of new informaton, future events or otherwise, except as required under applicable law.</w:t>
      </w:r>
    </w:p>
    <w:p>
      <w:pPr>
        <w:spacing w:after="0" w:line="358" w:lineRule="exact"/>
        <w:rPr>
          <w:sz w:val="20"/>
          <w:szCs w:val="20"/>
          <w:color w:val="auto"/>
        </w:rPr>
      </w:pPr>
    </w:p>
    <w:p>
      <w:pPr>
        <w:spacing w:after="0"/>
        <w:rPr>
          <w:sz w:val="20"/>
          <w:szCs w:val="20"/>
          <w:color w:val="auto"/>
        </w:rPr>
      </w:pPr>
      <w:r>
        <w:rPr>
          <w:rFonts w:ascii="Calibri" w:cs="Calibri" w:eastAsia="Calibri" w:hAnsi="Calibri"/>
          <w:sz w:val="20"/>
          <w:szCs w:val="20"/>
          <w:color w:val="auto"/>
        </w:rPr>
        <w:t>This press release contains hyperlinks to informaton that is not deemed to be incorporated by reference in this press release.</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Media Relatons</w:t>
      </w:r>
    </w:p>
    <w:p>
      <w:pPr>
        <w:spacing w:after="0" w:line="9" w:lineRule="exact"/>
        <w:rPr>
          <w:sz w:val="20"/>
          <w:szCs w:val="20"/>
          <w:color w:val="auto"/>
        </w:rPr>
      </w:pPr>
    </w:p>
    <w:p>
      <w:pPr>
        <w:ind w:right="9500" w:firstLine="8"/>
        <w:spacing w:after="0" w:line="254" w:lineRule="auto"/>
        <w:tabs>
          <w:tab w:leader="none" w:pos="476" w:val="left"/>
        </w:tabs>
        <w:numPr>
          <w:ilvl w:val="0"/>
          <w:numId w:val="9"/>
        </w:numPr>
        <w:rPr>
          <w:rFonts w:ascii="Calibri" w:cs="Calibri" w:eastAsia="Calibri" w:hAnsi="Calibri"/>
          <w:sz w:val="19"/>
          <w:szCs w:val="19"/>
          <w:color w:val="auto"/>
        </w:rPr>
      </w:pPr>
      <w:r>
        <w:rPr>
          <w:rFonts w:ascii="Calibri" w:cs="Calibri" w:eastAsia="Calibri" w:hAnsi="Calibri"/>
          <w:sz w:val="19"/>
          <w:szCs w:val="19"/>
          <w:color w:val="auto"/>
        </w:rPr>
        <w:t>208-1747 media@invivyd .com</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Investor Relatons</w:t>
      </w:r>
    </w:p>
    <w:p>
      <w:pPr>
        <w:spacing w:after="0" w:line="9" w:lineRule="exact"/>
        <w:rPr>
          <w:sz w:val="20"/>
          <w:szCs w:val="20"/>
          <w:color w:val="auto"/>
        </w:rPr>
      </w:pPr>
    </w:p>
    <w:p>
      <w:pPr>
        <w:ind w:right="9260" w:firstLine="8"/>
        <w:spacing w:after="0" w:line="234" w:lineRule="auto"/>
        <w:tabs>
          <w:tab w:leader="none" w:pos="476" w:val="left"/>
        </w:tabs>
        <w:numPr>
          <w:ilvl w:val="0"/>
          <w:numId w:val="10"/>
        </w:numPr>
        <w:rPr>
          <w:rFonts w:ascii="Calibri" w:cs="Calibri" w:eastAsia="Calibri" w:hAnsi="Calibri"/>
          <w:sz w:val="20"/>
          <w:szCs w:val="20"/>
          <w:color w:val="auto"/>
        </w:rPr>
      </w:pPr>
      <w:r>
        <w:rPr>
          <w:rFonts w:ascii="Calibri" w:cs="Calibri" w:eastAsia="Calibri" w:hAnsi="Calibri"/>
          <w:sz w:val="20"/>
          <w:szCs w:val="20"/>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1217930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1" w:right="39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781"/>
    </w:lvl>
  </w:abstractNum>
  <w:abstractNum w:abstractNumId="3">
    <w:nsid w:val="41B71EFB"/>
    <w:multiLevelType w:val="hybridMultilevel"/>
    <w:lvl w:ilvl="0">
      <w:lvlJc w:val="left"/>
      <w:lvlText w:val="(%1)"/>
      <w:numFmt w:val="decimal"/>
      <w:start w:val="78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3"/>
      <w:numFmt w:val="bullet"/>
      <w:start w:val="1"/>
    </w:lvl>
  </w:abstractNum>
  <w:abstractNum w:abstractNumId="8">
    <w:nsid w:val="12200854"/>
    <w:multiLevelType w:val="hybridMultilevel"/>
    <w:lvl w:ilvl="0">
      <w:lvlJc w:val="left"/>
      <w:lvlText w:val="(%1)"/>
      <w:numFmt w:val="decimal"/>
      <w:start w:val="781"/>
    </w:lvl>
  </w:abstractNum>
  <w:abstractNum w:abstractNumId="9">
    <w:nsid w:val="4DB127F8"/>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2025-02-03T06:10:49Z</dcterms:created>
  <dcterms:modified xsi:type="dcterms:W3CDTF">2025-02-03T06:10:49Z</dcterms:modified>
</cp:coreProperties>
</file>