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15, 2022 (the “Effective Date”), Invivyd, Inc.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“MSA”). The term of the MSA commenced on the Effective Date and will continue for a period of one year, unless terminated earlier in accordance with its terms. On the Effective Date, the Company and PHP entered into the first work order under the MSA (the “Work Order”), pursuant to which PHP agreed to advise and counsel the Company regarding clinical development and regulatory matters with respect to the Company’s product candidates, including NVD200. The Work Order is effective for six months from the Effective Date and may be extended by written agreement of the Company and PHP. The MSA contains customary confidentiality provisions and representations and warranties of the parties, as well as mutual non-solicitation of certain employees during the term of the MSA and for a period of one year thereafter.</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Work Order, the Company shall pay PHP a cash fee of $500,000 per month during the term of the Work Order for an aggregate fee of $3,000,000 (the “Aggregate Fee”). In the event that (i) the Company terminates the Work Order for any reason other than material breach by PHP or (ii) PHP terminates the Work Order due to material breach by the Company, in each case, pursuant to the terms of the MSA, then the Company would be required to pay PHP the balance of the Aggregate Fee as of the date the Work Order is terminated. The cash fee is subject to change if the parties extend the term of the Work Order in accordance with the terms thereof.</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Effective Date, the Company issued a warrant to purchase shares of common stock, par value $0.0001 per share, of the Company (the “Common Stock”) to PHP (the “Warrant”). The exercise price of the Warrant is $3.48 per share of Common Stock, which is equal to the Nasdaq Official Closing Price of a share of Common Stock on the trading day immediately prior to the Effective Date. The Warrant is exercisable for up to an aggregate of 6,824,712 shares of Common Stock, and vests in three separate tranches as follows:</w:t>
      </w:r>
    </w:p>
    <w:p>
      <w:pPr>
        <w:spacing w:after="0" w:line="85" w:lineRule="exact"/>
        <w:rPr>
          <w:sz w:val="20"/>
          <w:szCs w:val="20"/>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Common Stock underlying the Warrant vests if the Company’s Market Capitalization (as defined below) equals or exceeds $758,517,511.00 by November 15, 2028;</w:t>
      </w:r>
    </w:p>
    <w:p>
      <w:pPr>
        <w:spacing w:after="0" w:line="67" w:lineRule="exact"/>
        <w:rPr>
          <w:rFonts w:ascii="Times New Roman" w:cs="Times New Roman" w:eastAsia="Times New Roman" w:hAnsi="Times New Roman"/>
          <w:sz w:val="18"/>
          <w:szCs w:val="18"/>
          <w:color w:val="auto"/>
        </w:rPr>
      </w:pPr>
    </w:p>
    <w:p>
      <w:pPr>
        <w:ind w:left="960" w:right="1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Common Stock underlying the Warrant vests if the Company’s Market Capitalization equals or exceeds $1,137,776,266.00 by November 15, 2029; and</w:t>
      </w:r>
    </w:p>
    <w:p>
      <w:pPr>
        <w:spacing w:after="0" w:line="67" w:lineRule="exact"/>
        <w:rPr>
          <w:rFonts w:ascii="Times New Roman" w:cs="Times New Roman" w:eastAsia="Times New Roman" w:hAnsi="Times New Roman"/>
          <w:sz w:val="18"/>
          <w:szCs w:val="18"/>
          <w:color w:val="auto"/>
        </w:rPr>
      </w:pPr>
    </w:p>
    <w:p>
      <w:pPr>
        <w:ind w:left="960" w:right="1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Common Stock underlying the Warrant vests if the Company’s Market Capitalization equals or exceeds $1,517,035,022.00 by November 15, 2030.</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purposes of the Warrant, the term “Market Capitalization” means, with respect to a particular trading day, the total value of the outstanding shares of Common Stock on such date, calculated by multiplying the Company’s volume weighted average price for the ten (10) trading days immediately preceding such date by the Company’s total number of outstanding shares of Common Stock as reflected in (i) the Company’s most recent periodic or annual report filed with the U.S. Securities and Exchange Commission (“SEC”) (e.g., Annual Report on Form 10-K or Quarterly Report on Form 10-Q), as the case may be, (ii) a more recent public announcement by the Company or (iii) a more recent written notice by the Company or the Company’s transfer agent setting forth the number of shares of Common Stock outstanding.</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Warrant is exercisable for ten years from the Effective Date with respect to the vested portion(s) of the Warrant. The Warrant may be exercised by cash exercise or, at the election of PHP, by means of “cashless exercise” pursuant to a formula set forth in the Warrant. The Company has also granted PHP certain “piggyback” registration rights requiring the Company to register any shares of Common Stock underlying the Warrant for resale with the SEC, subject to the Company’s existing obligations under that certain Second Amended and Restated Investors’ Rights Agreement, dated April 16, 2021, by and among the Company and the investors party thereto.</w:t>
      </w:r>
    </w:p>
    <w:p>
      <w:pPr>
        <w:sectPr>
          <w:pgSz w:w="11900" w:h="16838" w:orient="portrait"/>
          <w:cols w:equalWidth="0" w:num="1">
            <w:col w:w="11000"/>
          </w:cols>
          <w:pgMar w:left="440" w:top="293" w:right="459" w:bottom="1440" w:gutter="0" w:footer="0" w:header="0"/>
        </w:sectPr>
      </w:pPr>
    </w:p>
    <w:bookmarkStart w:id="2" w:name="page3"/>
    <w:bookmarkEnd w:id="2"/>
    <w:p>
      <w:pPr>
        <w:ind w:right="3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Upon the consummation of a change of control of the Company (as defined in the Warrant) on or prior to November 15, 2028, all of the shares underlying the Warrant would become immediately vested and exercisable; upon the consummation of a change of control of the Company after November 15, 2028 but on or prior to November 15, 2029, the shares underlying the second and third tranches of the Warrant would become immediately vested and exercisable; and upon the consummation of a change of control of the Company after November 15, 2029 but on or prior to November 15, 2030, the shares underlying the third tranche of the Warrant would become immediately vested and exercisable.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Clive Meanwell, M.D. and Tamsin Berry, members of the Company’s Board of Directors, are Managing Partner and Partner of PHP,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the MSA, the Work Order and the Warrant does not purport to be complete and is qualified in its entirety by reference to the complete text of the MSA, the Work Order and the Warrant, respectively, each of which will be filed as an exhibit to the Company’s Annual Report on Form 10-K for the fiscal year ending December 31, 2022.</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regarding the Warrant and the shares of Common Stock issuable upon the exercise thereof included under Item 1.01 of this Current Report on Form 8-K is incorporated herein by reference.</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Warrant and the shares of Common Stock issuable upon exercise thereof are being offered and sold without registration under the Securities Act of 1933, as amended (the “Securities Act”), pursuant to the exemption provided by Section 4(a)(2) of the Securities Act and Rule 506 promulgated thereunder as transactions not involving a public offering, as well as similar exemptions under applicable state securities laws, in reliance upon the following facts: no general solicitation was used in the offer or sale of such securities; the recipient of the securities had adequate access to information about the Company; the recipient of such securities represented its acquisition thereof as principal for its own account and its lack of any arrangements or understandings regarding the distribution of such securities; the recipient of such securities represented its capability of evaluating the merits of an investment in the Company’s securities due to its knowledge, sophistication and experience in business and financial matters; and such securities were issued as restricted securities with restricted legends referring to the Securities Act. No such securities may be offered or sold in the United States in the absence of an effective registration statement or exemption from applicable registration requirements. No statement in this document or the attached exhibits is an offer to purchase or sell or a solicitation of an offer to sell or buy the Company’s securities, and no offer, solicitation or sale will be made in any jurisdiction in which such offer, solicitation or sale is unlawful.</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November 17, 2022, the Company issued a press release announcing the partnership with PHP. A copy of the press release is filed herewith as Exhibit 99.1 and is incorporated by reference in this Item 8.01.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17,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7" w:right="4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940"/>
          </w:cols>
          <w:pgMar w:left="440" w:top="293" w:right="51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INVIVYD ANNOUNCES PARTNERSHIP WITH POPULATION HEALTH PARTNERS TO ACCELERATE CLINICAL DEVELOPMENT IN INFECTIOUS DISEASES INCLUDING COVID-19</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-Broad partnership will strengthen Invivyd’s development platform and organizational capabilities towards acceleration of NVD200 clinical program and future engineered antibodies for COVID-19 and beyond-</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Population Health Partners to integrate best-in-class capabilities to drive speed and efficiency in clinical development, demonstrated by the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PHP’s leadership team at The Medicines Company, Pfizer and elsewhere in the life sciences industry</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WALTHAM, MASS: November 17, 2022 – </w:t>
      </w:r>
      <w:r>
        <w:rPr>
          <w:rFonts w:ascii="Times New Roman" w:cs="Times New Roman" w:eastAsia="Times New Roman" w:hAnsi="Times New Roman"/>
          <w:sz w:val="18"/>
          <w:szCs w:val="18"/>
          <w:color w:val="auto"/>
        </w:rPr>
        <w:t>Invivyd, Inc. (Nasdaq: IVVD), a clinical-stage biopharmaceutical company on a mission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humanity from serious viral respiratory diseases, today announced a partnership with Population Health Partners, L.P. (PHP) a global life-science firm dedicated to solving the health and economic challenges presented by prevalent diseases. Through the partnership, Invivyd will leverage PHP’s best-in-class clinical development and regulatory expertise to help optimize Invivyd’s product development programs.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partnership is a reflection of our commitment to the rapid, capital efficient development of multiple candidates on an ongoing basis to match the pace of SARS-CoV-2 viral evolution and deliver timely, best-in-class antibody solutions for the prevention and treatment of serious diseases,” said Invivyd CEO Dave Hering. “PHP has great experience in helping organizations like ours overcome the industry challenges inherent in navigating trials focused on large population medicine. This collaboration will add very specific skills and capabilities to our own in-house expertise and will bolster our organization. We are excited to work with PHP and its leadership team at this pivotal point in the evolution of our company.”</w:t>
      </w:r>
    </w:p>
    <w:p>
      <w:pPr>
        <w:spacing w:after="0" w:line="18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PHP – an investment firm focused on deploying its proven strategic and operating expertise to solve the health and economic challenges presented by the most prevalent and costly diseases of our time – will advise and counsel Invivyd on clinical trials and strategies to navigate the regulatory process. PHP will also provide change management guidance to strengthen and augment Invivyd’s internal work processes towards achieving maximum speed and efficiency for delivering antibodies for the prevention and treatment of viral infections to high-need populations.</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impressed by the potential of Invivyd’s integrated discovery platform and the energy and commitment of its people, who are laser-focused on combatting viral infections with novel antibody therapies,” said Clive Meanwell, M.D., chairman and managing partner of PHP. “There is a clear, high-value need for effective and durable treatments to help protect the most vulnerable at this endemic stage of SARS-CoV-2. In the recent third fiscal quarter alone, market leaders reported over $1 billion in COVID antibody sales for molecules that are experiencing diminished activity in the face of some new variants of concern, representing a substantial near-term need and opportunity for agile drug discoverers and developers to address a major ongoing commercial opportunity. We look forward to working with Dave and his team to help accelerate their mission in the development of antibody therapies for COVID-19 and beyond.”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Commenting further, PHP partner, Ian Read, said, “Vaccines – particularly those using mRNA technology – have been exceptionally effective in reducing serious illnesses and deaths associated with COVID-19. However, vaccines may be ineffective for people whose immune systems cannot make sufficient neutralizing antibodies on their own in response to vaccines. These – typically immunocompromised – people need and deserve protection, and we believe that injected monoclonal antibodies represent their best hope of living a normal life without untoward risk of COVID-19. Many of these people are asking for an answer. We believe that Invivyd can potentially help them very soon. More broadly, we believe that the medical and market scale of COVID-19 will remain high and that Invivyd’s technology and development platform is positioned to meet this pressing need.”</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Invivyd recently unveiled its evolved integrated discovery platform strategy and NVD200, its new combination candidate for the prevention and treatment of COVID-19, expected to enter the clinic in the first quarter of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Invivyd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IVVD)</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Invivyd, formerly Adagio Therapeutics (Nasdaq: ADGI), is a biopharmaceutical company on a mission to protect humanity from serious viral respiratory diseases. The company is developing antibodies to transcend the limits of naturally occurring immunity and provide superior protection from viral diseases, beginning with COVID-19. Invivyd’s technology works at the intersection of evolutionary virology, predictive modeling, and antibody engineering, and is designed to identify high-quality, long-lasting antibodies with a high barrier to viral escape. The company is generating a robust pipeline of products for use in both prevention and treatment of disease. NVD200, Invivyd’s first antibody combination product candidate for the prevention and treatment of COVID-19, includes a re-engineered version of adintrevimab, an investigational monoclonal antibody which demonstrated clinically meaningful results against multiple variants of concern in global Phase 2/3 clinical trials for the prevention and treatment of COVID-19, prior to the emergence of Omicron. The safety and efficacy of adintrevimab have not been established. The company also has multiple discovery stage candidates for the prevention of seasonal influenza. Visit </w:t>
      </w:r>
      <w:r>
        <w:rPr>
          <w:rFonts w:ascii="Times New Roman" w:cs="Times New Roman" w:eastAsia="Times New Roman" w:hAnsi="Times New Roman"/>
          <w:sz w:val="18"/>
          <w:szCs w:val="18"/>
          <w:u w:val="single" w:color="auto"/>
          <w:color w:val="auto"/>
        </w:rPr>
        <w:t>www.invivyd.com</w:t>
      </w:r>
      <w:r>
        <w:rPr>
          <w:rFonts w:ascii="Times New Roman" w:cs="Times New Roman" w:eastAsia="Times New Roman" w:hAnsi="Times New Roman"/>
          <w:sz w:val="18"/>
          <w:szCs w:val="18"/>
          <w:color w:val="auto"/>
        </w:rPr>
        <w:t xml:space="preserve"> to learn more.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Population Health Partners, L.P.</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Population Health Partners, L.P. is an investment firm committed to building great companies around important, late-stage therapeutics and solving the health and economic challenges presented by prevalent diseases. While at The Medicines Company, leaders from Population Health Partners secured eight drug approvals involving 21 clinical trials and 91,000 randomized patients and were ranked #1 in the CNBC RQ 50 for biopharmaceutical R&amp;D productivity.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 visit </w:t>
      </w:r>
      <w:r>
        <w:rPr>
          <w:rFonts w:ascii="Times New Roman" w:cs="Times New Roman" w:eastAsia="Times New Roman" w:hAnsi="Times New Roman"/>
          <w:sz w:val="18"/>
          <w:szCs w:val="18"/>
          <w:u w:val="single" w:color="auto"/>
          <w:color w:val="auto"/>
        </w:rPr>
        <w:t>www.populationhp.com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potential benefits of, and plans relating to, the PHP partnership and its impact on the company; the future of the COVID-19 landscape including the expectation of continued evolution and emergence of new variants and subvariants; our ongoing research and clinical development plans and the timing thereof; our plans to advance adintrevimab, NVD200, or other early stage candidates as a potential prophylaxis and treatment option for COVID-19, including disease caused by most variants, as either a single or combination agent, including our intention to initiate clinical development of NVD200 in the first quarter of 2023; the potential for adintrevimab and NVD200 to demonstrate activity against predominant SARS-CoV-2 variant(s) in the U.S. and globally; the market potential and commercialization opportunity for COVID-19; our plans, technology and resources to develop therapeutic or preventative options for other infectious diseases, such as additional coronaviruses and seasonal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potential for the PHP partnership to not be successful, including achieving accelerated clinical development timelines, realizing other clinical and regulatory efficiencies, and enhancing speed and efficiency of processes; the potential for PHP to breach the partnership arrangement or terminate such arrangement in accordance with its terms; we may not realize the expected benefits from our recently announced restructuring plan, including accelerated timelines and enhanced discovery and development process and outcomes, and we may incur costs associated with implementation of the restructuring plan in addition to those currently contemplated; potential disruptions to the business as a result of the restructuring plan and the management transition; the impacts of the COVID-19 pandemic on our business and those of our collaborators, our clinical trials and our financial position; unexpected safety or efficacy data observed during preclinical studies or clinical trials; the predictability of clinical success of adintrevimab, NVD200,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adintrevimab, NVD200,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the size of the COVID-19 market and commercial opportunity at the time of potential authorization or approval of a product candidate; the efficacy of competitor products against current or future COVID-19 variants;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September 30, 2022, each filed with the Securities and Exchange Commission (the “SEC”),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contains hyperlinks to information that is not deemed to be incorporated by reference in this press release.</w:t>
      </w:r>
    </w:p>
    <w:p>
      <w:pPr>
        <w:spacing w:after="0" w:line="23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Berry, Evoke Canale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774-317-0422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anthony.berry@evokegroup.com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 ICR Westwicke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chris.brinzey@westwicke.com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2022-11-17T06:12:12Z</dcterms:created>
  <dcterms:modified xsi:type="dcterms:W3CDTF">2022-11-17T06:12:12Z</dcterms:modified>
</cp:coreProperties>
</file>