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99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222" w:lineRule="exact"/>
        <w:rPr>
          <w:sz w:val="24"/>
          <w:szCs w:val="24"/>
          <w:color w:val="auto"/>
        </w:rPr>
      </w:pPr>
    </w:p>
    <w:p>
      <w:pPr>
        <w:sectPr>
          <w:pgSz w:w="11900" w:h="16843"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Invivyd,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IVVD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12/12/2024</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INVIVYD, INC.</w:t>
            </w:r>
          </w:p>
        </w:tc>
        <w:tc>
          <w:tcPr>
            <w:tcW w:w="13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3"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43"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12/12/2024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125,000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4,077,679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12/16/2024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65,359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0.4668</w:t>
            </w:r>
            <w:r>
              <w:rPr>
                <w:rFonts w:ascii="Times New Roman" w:cs="Times New Roman" w:eastAsia="Times New Roman" w:hAnsi="Times New Roman"/>
                <w:sz w:val="22"/>
                <w:szCs w:val="22"/>
                <w:color w:val="008000"/>
                <w:w w:val="98"/>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4,012,320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3,120,194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60,814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21,374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31,198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$0.5800 to $0.5978,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investment and dispositive power with respect to the shares held by PP IX. The Reporting Person, a member of the Issuer's board of directors, holds an interest in PP GP IX and may be deemed to have shared voting, investment and dispositive power with respect to the shares held by PP IX. Each of PP GP IX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PP GP IX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$0.4501 to $0.4959,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investment and dispositive power with respect to the shares held by PVP V. The Reporting Person, a member of the Issuer's board of directors, is a Managing Member of PVM V and may</w:t>
      </w:r>
    </w:p>
    <w:p>
      <w:pPr>
        <w:sectPr>
          <w:pgSz w:w="11900" w:h="16843" w:orient="portrait"/>
          <w:cols w:equalWidth="0" w:num="1">
            <w:col w:w="11080"/>
          </w:cols>
          <w:pgMar w:left="460" w:top="219" w:right="359" w:bottom="0" w:gutter="0" w:footer="0" w:header="0"/>
          <w:type w:val="continuous"/>
        </w:sectPr>
      </w:pPr>
    </w:p>
    <w:bookmarkStart w:id="1" w:name="page2"/>
    <w:bookmarkEnd w:id="1"/>
    <w:p>
      <w:pPr>
        <w:ind w:right="40"/>
        <w:spacing w:after="0" w:line="253" w:lineRule="auto"/>
        <w:rPr>
          <w:sz w:val="20"/>
          <w:szCs w:val="20"/>
          <w:color w:val="auto"/>
        </w:rPr>
      </w:pPr>
      <w:r>
        <w:rPr>
          <w:rFonts w:ascii="Times New Roman" w:cs="Times New Roman" w:eastAsia="Times New Roman" w:hAnsi="Times New Roman"/>
          <w:sz w:val="13"/>
          <w:szCs w:val="13"/>
          <w:color w:val="008000"/>
        </w:rPr>
        <w:t>be deemed to have shared voting, investment and dispositive power over the shares held by PVP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0" w:lineRule="exact"/>
        <w:rPr>
          <w:sz w:val="20"/>
          <w:szCs w:val="20"/>
          <w:color w:val="auto"/>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investment and dispositive power with respect to the shares held by PVPEF V. The Reporting Person, a member of the Issuer's board of directors, is a Managing Member of PVM V and may be deemed to have shared voting, investment and dispositive power over the shares held by PVPEF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investment and dispositive power with respect to the shares held by PVPFF V. The Reporting Person, a member of the Issuer's board of directors, is a Managing Member of PVM V and may be deemed to have shared voting, investment and dispositive power over the shares held by PVPFF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investment and dispositive power with respect to the shares held by PVPSFF V. The Reporting Person, a member of the Issuer's board of directors, is a Managing Member of PVM V and may be deemed to have shared voting, investment and dispositive power over the shares held by PVPSFF V. Each of PVM V and the Reporting Person disclaims beneficial ownership of the shares reported herein, except to the extent of their respective pecuniary interest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firstLine="7"/>
        <w:spacing w:after="0" w:line="24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investment and dispositive power with respect to the shares held by PHCT. The Reporting Person, a member of the Issuer's board of directors, holds an interest in PHCT GP and may be deemed to have shared voting, investment and dispositive power with respect to the shares held by PHCT. Each of PHCT GP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PHCT GP nor the Reporting Person is the beneficial owner of any shares reported herein.</w:t>
      </w:r>
    </w:p>
    <w:p>
      <w:pPr>
        <w:ind w:left="654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12/16/2024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2024-12-16T19:38:09Z</dcterms:created>
  <dcterms:modified xsi:type="dcterms:W3CDTF">2024-12-16T19:38:09Z</dcterms:modified>
</cp:coreProperties>
</file>