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08/26/2025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16,730,467.00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16,730,467.00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16,730,467.00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16,730,467.00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16,730,467.00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16,730,467.00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8.0 %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16,730,467.00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16,730,467.00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16,730,467.00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659"/>
        <w:spacing w:after="0"/>
        <w:rPr>
          <w:sz w:val="20"/>
          <w:szCs w:val="20"/>
          <w:color w:val="auto"/>
        </w:rPr>
      </w:pPr>
      <w:r>
        <w:rPr>
          <w:rFonts w:ascii="Times New Roman" w:cs="Times New Roman" w:eastAsia="Times New Roman" w:hAnsi="Times New Roman"/>
          <w:sz w:val="22"/>
          <w:szCs w:val="22"/>
          <w:color w:val="auto"/>
        </w:rPr>
        <w:t>1601 Trapelo Road, Suite 178, Waltham, MA 02451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20"/>
        <w:spacing w:after="0" w:line="246" w:lineRule="auto"/>
        <w:rPr>
          <w:sz w:val="20"/>
          <w:szCs w:val="20"/>
          <w:color w:val="auto"/>
        </w:rPr>
      </w:pPr>
      <w:r>
        <w:rPr>
          <w:rFonts w:ascii="Times New Roman" w:cs="Times New Roman" w:eastAsia="Times New Roman" w:hAnsi="Times New Roman"/>
          <w:sz w:val="21"/>
          <w:szCs w:val="21"/>
          <w:color w:val="auto"/>
        </w:rPr>
        <w:t>This statement is filed by: (i) Point72 Asset Management, L.P. ("Point72 Asset Management") with respect to the shares of common stock, par value $0.0001 per share ("Shares"), of Invivyd, Inc. held by Point72 Associates, LLC, an investment fund it manages ("Point72 Associates"); (ii) Point72 Capital Advisors, Inc. ("Point72 Capital Advisors Inc.") with respect to the Shares held by Point72 Associates; and (iii) Steven A. Cohen ("Mr. Cohen") with respect to the Shares beneficially owned by Point72 Asset Management and Point72 Capital Advisors Inc. Each of Cubist Systematic Strategies, LLC and Point72 Asia (Singapore) Pte. Ltd. are advisors under common control with Point72 Asset Management, and each acts as a sub-advisor with respect to a portion of the Shares reported herein.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of the principal business office of Point72 Asset Management, Point72 Capital Advisors Inc., and Mr.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96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00534A102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355" w:right="439" w:bottom="0" w:gutter="0" w:footer="0" w:header="0"/>
        </w:sectPr>
      </w:pPr>
    </w:p>
    <w:p>
      <w:pPr>
        <w:spacing w:after="0" w:line="33"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Such information is as of the close of business on August 26, 2025. Point72 Asset Management, Point72 Capital Advisors Inc., and Mr. Cohen own directly no Shares. Pursuant to an investment management agreement, Point72 Asset Management maintains investment and voting power with respect to the securities held by Point72 Associates. Point72 Capital Advisors Inc. is the general partner of Point72 Asset</w:t>
      </w:r>
    </w:p>
    <w:p>
      <w:pPr>
        <w:spacing w:after="0" w:line="1" w:lineRule="exact"/>
        <w:rPr>
          <w:sz w:val="20"/>
          <w:szCs w:val="20"/>
          <w:color w:val="auto"/>
        </w:rPr>
      </w:pPr>
    </w:p>
    <w:p>
      <w:pPr>
        <w:ind w:left="920" w:hanging="912"/>
        <w:spacing w:after="0" w:line="209"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reported herein. The aggregate percentage of Shares reported to be beneficially owned by each Reporting Person is based on 209,377,291 Shares outstanding as of the completion of the Issuer's underwritten public offering that closed on August 22, 2025, as disclosed in the Issuer's prospectus supplement filed on Form 424(b)(5) with the Securities and Exchange Commission on August 22, 2025, and giving effect to the full exercise of the underwriter's option to purchase additional Shares in the underwritten public offering, as disclosed in the press release issued by the Issuer on August 22, 2025.</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00"/>
          </w:cols>
          <w:pgMar w:left="360" w:top="355" w:right="4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August 26,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August 26,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August 26,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August 26,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See Item 2(a). Point72 Associates has the right to receive or the power to direct the receipt of dividends from, or the proceeds from the sale of, more than 5 percent of the outstanding Shares.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08/27/2025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08/27/2025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Name/Title: Jason M. Colombo, Authorized Person</w:t>
      </w:r>
    </w:p>
    <w:p>
      <w:pPr>
        <w:spacing w:after="0" w:line="56"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08/27/2025</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August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ASSET MANAGEMENT, L.P.</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CAPITAL ADVISORS,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STEVEN A. COHEN</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2025-08-27T16:12:43Z</dcterms:created>
  <dcterms:modified xsi:type="dcterms:W3CDTF">2025-08-27T16:12:43Z</dcterms:modified>
</cp:coreProperties>
</file>