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1601 Trapelo Road, Suite 178</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7"/>
              </w:rPr>
              <w:t>Waltham, MA</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02451</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 Results of Operations and Financial Condition.</w:t>
      </w:r>
    </w:p>
    <w:p>
      <w:pPr>
        <w:spacing w:after="0" w:line="80" w:lineRule="exact"/>
        <w:rPr>
          <w:sz w:val="20"/>
          <w:szCs w:val="20"/>
          <w:color w:val="auto"/>
        </w:rPr>
      </w:pPr>
    </w:p>
    <w:p>
      <w:pPr>
        <w:jc w:val="both"/>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On May 9, 2024, Invivyd, Inc. (the “Company”) issued a press release announcing its financial results for the quarter ended March 31, 2024, and recent business highlights. A copy of the press release is furnished as Exhibit 99.1 to this Current Report on Form 8-K and is incorporated by reference into this Item 2.02.</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8.01. Other Events.</w:t>
      </w:r>
    </w:p>
    <w:p>
      <w:pPr>
        <w:spacing w:after="0" w:line="80"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On May 9, 2024, the Company posted an updated corporate presentation on its website at www.invivyd.com. A copy of the presentation is filed as Exhibit 99.2 to this Current Report on Form 8-K and is incorporated by reference into this Item 8.01.</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960" w:type="dxa"/>
            <w:vAlign w:val="bottom"/>
          </w:tcPr>
          <w:p>
            <w:pPr>
              <w:spacing w:after="0"/>
              <w:rPr>
                <w:sz w:val="10"/>
                <w:szCs w:val="10"/>
                <w:color w:val="auto"/>
              </w:rPr>
            </w:pPr>
          </w:p>
        </w:tc>
      </w:tr>
      <w:tr>
        <w:trPr>
          <w:trHeight w:val="121"/>
        </w:trPr>
        <w:tc>
          <w:tcPr>
            <w:tcW w:w="80" w:type="dxa"/>
            <w:vAlign w:val="bottom"/>
          </w:tcPr>
          <w:p>
            <w:pPr>
              <w:spacing w:after="0"/>
              <w:rPr>
                <w:sz w:val="10"/>
                <w:szCs w:val="10"/>
                <w:color w:val="auto"/>
              </w:rPr>
            </w:pPr>
          </w:p>
        </w:tc>
        <w:tc>
          <w:tcPr>
            <w:tcW w:w="540" w:type="dxa"/>
            <w:vAlign w:val="bottom"/>
            <w:gridSpan w:val="2"/>
          </w:tcPr>
          <w:p>
            <w:pPr>
              <w:jc w:val="center"/>
              <w:ind w:right="380"/>
              <w:spacing w:after="0" w:line="101" w:lineRule="exact"/>
              <w:rPr>
                <w:sz w:val="20"/>
                <w:szCs w:val="20"/>
                <w:color w:val="auto"/>
              </w:rPr>
            </w:pPr>
            <w:r>
              <w:rPr>
                <w:rFonts w:ascii="Times New Roman" w:cs="Times New Roman" w:eastAsia="Times New Roman" w:hAnsi="Times New Roman"/>
                <w:sz w:val="10"/>
                <w:szCs w:val="10"/>
                <w:b w:val="1"/>
                <w:bCs w:val="1"/>
                <w:color w:val="auto"/>
              </w:rPr>
              <w:t>No.</w:t>
            </w:r>
          </w:p>
        </w:tc>
        <w:tc>
          <w:tcPr>
            <w:tcW w:w="1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960" w:type="dxa"/>
            <w:vAlign w:val="bottom"/>
          </w:tcPr>
          <w:p>
            <w:pPr>
              <w:ind w:left="1140"/>
              <w:spacing w:after="0" w:line="101" w:lineRule="exact"/>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r>
      <w:tr>
        <w:trPr>
          <w:trHeight w:val="167"/>
        </w:trPr>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6"/>
              </w:rPr>
              <w:t>99.1</w:t>
            </w:r>
          </w:p>
        </w:tc>
        <w:tc>
          <w:tcPr>
            <w:tcW w:w="380" w:type="dxa"/>
            <w:vAlign w:val="bottom"/>
          </w:tcPr>
          <w:p>
            <w:pPr>
              <w:spacing w:after="0"/>
              <w:rPr>
                <w:sz w:val="14"/>
                <w:szCs w:val="14"/>
                <w:color w:val="auto"/>
              </w:rPr>
            </w:pPr>
          </w:p>
        </w:tc>
        <w:tc>
          <w:tcPr>
            <w:tcW w:w="17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Press Release, dated May 9, 2024</w:t>
            </w:r>
          </w:p>
        </w:tc>
        <w:tc>
          <w:tcPr>
            <w:tcW w:w="5420" w:type="dxa"/>
            <w:vAlign w:val="bottom"/>
            <w:gridSpan w:val="2"/>
          </w:tcPr>
          <w:p>
            <w:pPr>
              <w:spacing w:after="0"/>
              <w:rPr>
                <w:sz w:val="14"/>
                <w:szCs w:val="14"/>
                <w:color w:val="auto"/>
              </w:rPr>
            </w:pPr>
          </w:p>
        </w:tc>
      </w:tr>
      <w:tr>
        <w:trPr>
          <w:trHeight w:val="207"/>
        </w:trPr>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6"/>
              </w:rPr>
              <w:t>99.2</w:t>
            </w:r>
          </w:p>
        </w:tc>
        <w:tc>
          <w:tcPr>
            <w:tcW w:w="38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Corporate Presentation, dated May 9, 2024</w:t>
            </w:r>
          </w:p>
        </w:tc>
      </w:tr>
      <w:tr>
        <w:trPr>
          <w:trHeight w:val="20"/>
        </w:trPr>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36"/>
        </w:trPr>
        <w:tc>
          <w:tcPr>
            <w:tcW w:w="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104</w:t>
            </w:r>
          </w:p>
        </w:tc>
        <w:tc>
          <w:tcPr>
            <w:tcW w:w="38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May 9,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1173480" cy="174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3480" cy="1746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Invivyd Reports First Quarter 2024 Financial Results and Recent Business Highlights</w:t>
      </w:r>
    </w:p>
    <w:p>
      <w:pPr>
        <w:spacing w:after="0" w:line="173" w:lineRule="exact"/>
        <w:rPr>
          <w:sz w:val="20"/>
          <w:szCs w:val="20"/>
          <w:color w:val="auto"/>
        </w:rPr>
      </w:pPr>
    </w:p>
    <w:p>
      <w:pPr>
        <w:ind w:left="1320" w:right="1419" w:hanging="303"/>
        <w:spacing w:after="0" w:line="214"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Launched 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in the U.S. for COVID-19 pre-exposure prophylaxis (PrEP) in certain adults and adolescents with moderate-to-severe immune compromise</w:t>
      </w:r>
    </w:p>
    <w:p>
      <w:pPr>
        <w:spacing w:after="0" w:line="70"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Reported interim exploratory COVID-19 clinical event data from CANOPY Phase 3 clinical trial of VYD222</w:t>
      </w:r>
    </w:p>
    <w:p>
      <w:pPr>
        <w:spacing w:after="0" w:line="87" w:lineRule="exact"/>
        <w:rPr>
          <w:rFonts w:ascii="Times New Roman" w:cs="Times New Roman" w:eastAsia="Times New Roman" w:hAnsi="Times New Roman"/>
          <w:sz w:val="13"/>
          <w:szCs w:val="13"/>
          <w:color w:val="auto"/>
        </w:rPr>
      </w:pPr>
    </w:p>
    <w:p>
      <w:pPr>
        <w:ind w:left="1320" w:right="79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Received product-specific reimbursement codes covering PEMGARDA from the U.S. Centers for Medicare &amp; Medicaid Services (CMS), covering approximately half of target population</w:t>
      </w:r>
    </w:p>
    <w:p>
      <w:pPr>
        <w:spacing w:after="0" w:line="52" w:lineRule="exact"/>
        <w:rPr>
          <w:rFonts w:ascii="Times New Roman" w:cs="Times New Roman" w:eastAsia="Times New Roman" w:hAnsi="Times New Roman"/>
          <w:sz w:val="13"/>
          <w:szCs w:val="13"/>
          <w:color w:val="auto"/>
        </w:rPr>
      </w:pPr>
    </w:p>
    <w:p>
      <w:pPr>
        <w:ind w:left="1320" w:right="87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Announced plans to pursue rapid immunobridging pathway to potential EUA for COVID-19 treatment in certain immunocompromised people, based on U.S. FDA feedback</w:t>
      </w:r>
    </w:p>
    <w:p>
      <w:pPr>
        <w:spacing w:after="0" w:line="52" w:lineRule="exact"/>
        <w:rPr>
          <w:rFonts w:ascii="Times New Roman" w:cs="Times New Roman" w:eastAsia="Times New Roman" w:hAnsi="Times New Roman"/>
          <w:sz w:val="13"/>
          <w:szCs w:val="13"/>
          <w:color w:val="auto"/>
        </w:rPr>
      </w:pPr>
    </w:p>
    <w:p>
      <w:pPr>
        <w:ind w:left="1320" w:right="103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Continued to advance VYD2311, the company’s next monoclonal antibody candidate engineered with the company’s state-of-the-art technologies for variant monitoring, predictive modeling and antibody engineering</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Ended Q1 2024 with cash and cash equivalents of $189.4 million</w:t>
      </w:r>
    </w:p>
    <w:p>
      <w:pPr>
        <w:spacing w:after="0" w:line="87" w:lineRule="exact"/>
        <w:rPr>
          <w:rFonts w:ascii="Times New Roman" w:cs="Times New Roman" w:eastAsia="Times New Roman" w:hAnsi="Times New Roman"/>
          <w:sz w:val="13"/>
          <w:szCs w:val="13"/>
          <w:color w:val="auto"/>
        </w:rPr>
      </w:pPr>
    </w:p>
    <w:p>
      <w:pPr>
        <w:ind w:left="1320" w:right="87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 expects to end 2024 with at least $75 million in cash and cash equivalents, based on anticipated 2024 net product revenue of $150-$200 million and recent resource realignment</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Management to host conference call today at 4:30pm ET</w:t>
      </w:r>
    </w:p>
    <w:p>
      <w:pPr>
        <w:spacing w:after="0" w:line="156" w:lineRule="exact"/>
        <w:rPr>
          <w:sz w:val="20"/>
          <w:szCs w:val="20"/>
          <w:color w:val="auto"/>
        </w:rPr>
      </w:pPr>
    </w:p>
    <w:p>
      <w:pPr>
        <w:ind w:left="640" w:right="679"/>
        <w:spacing w:after="0" w:line="309" w:lineRule="auto"/>
        <w:rPr>
          <w:sz w:val="20"/>
          <w:szCs w:val="20"/>
          <w:color w:val="auto"/>
        </w:rPr>
      </w:pPr>
      <w:r>
        <w:rPr>
          <w:rFonts w:ascii="Times New Roman" w:cs="Times New Roman" w:eastAsia="Times New Roman" w:hAnsi="Times New Roman"/>
          <w:sz w:val="12"/>
          <w:szCs w:val="12"/>
          <w:color w:val="auto"/>
        </w:rPr>
        <w:t>WALTHAM, Mass., May 9, 2024 (GLOBE NEWSWIRE) — Invivyd, Inc. (Nasdaq: IVVD), a biopharmaceutical company devoted to delivering protection from serious viral infectious diseases, today announced financial results for the quarter ended March 31, 2024, and recent business highlights.</w:t>
      </w:r>
    </w:p>
    <w:p>
      <w:pPr>
        <w:spacing w:after="0" w:line="10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“The recent months have been incredibly productive for Invivyd. Moving into the commercial phase is a critical step for the company and we are executing on the PEMGARDA launch with maximum focus across the company,” said Marc Elia, Chairman of the Invivyd Board of Directors. “In addition, we look forward to sharing on today’s quarterly update call more of the scientific underpinnings of our plans going forward, including detail on the innovative engine we believe can deliver meaningful product-level advancements with associated medical and economic value creation.”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Business Highlights</w:t>
      </w:r>
    </w:p>
    <w:p>
      <w:pPr>
        <w:spacing w:after="0" w:line="87" w:lineRule="exact"/>
        <w:rPr>
          <w:sz w:val="20"/>
          <w:szCs w:val="20"/>
          <w:color w:val="auto"/>
        </w:rPr>
      </w:pPr>
    </w:p>
    <w:p>
      <w:pPr>
        <w:ind w:left="1320" w:right="719" w:hanging="303"/>
        <w:spacing w:after="0" w:line="252"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Launched PEMGARDA, the company’s first monoclonal antibody (mAb) in a planned series of innovative antibodies, in the U.S.: </w:t>
      </w:r>
      <w:r>
        <w:rPr>
          <w:rFonts w:ascii="Times New Roman" w:cs="Times New Roman" w:eastAsia="Times New Roman" w:hAnsi="Times New Roman"/>
          <w:sz w:val="13"/>
          <w:szCs w:val="13"/>
          <w:color w:val="auto"/>
        </w:rPr>
        <w:t>On March 22, 2024, PEMGARDA (pemivibart) received emergency use authorization (EUA) from the U.S. Food and Drug Administration (FDA) for the pre-exposure prophylaxis (PrEP) of COVID-19 in certain adults and adolescents with moderate-to-severe immune compromise. At the beginning</w:t>
      </w:r>
    </w:p>
    <w:p>
      <w:pPr>
        <w:sectPr>
          <w:pgSz w:w="11900" w:h="16838" w:orient="portrait"/>
          <w:cols w:equalWidth="0" w:num="1">
            <w:col w:w="9019"/>
          </w:cols>
          <w:pgMar w:left="1440" w:top="125" w:right="1440" w:bottom="1440" w:gutter="0" w:footer="0" w:header="0"/>
        </w:sectPr>
      </w:pPr>
    </w:p>
    <w:bookmarkStart w:id="4" w:name="page5"/>
    <w:bookmarkEnd w:id="4"/>
    <w:p>
      <w:pPr>
        <w:ind w:left="132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April, Invivyd announced that PEMGARDA is available for purchase in the U.S. through a network of authorized specialty distributors. At the end of April, Invivyd’s market access and sales, as well as medical affairs, teams were fully operational across the U.S. The company will begin reporting PEMGARDA net product revenue with its second quarter 2024 financial results.</w:t>
      </w:r>
    </w:p>
    <w:p>
      <w:pPr>
        <w:spacing w:after="0" w:line="62" w:lineRule="exact"/>
        <w:rPr>
          <w:sz w:val="20"/>
          <w:szCs w:val="20"/>
          <w:color w:val="auto"/>
        </w:rPr>
      </w:pPr>
    </w:p>
    <w:p>
      <w:pPr>
        <w:ind w:left="1320" w:right="679" w:hanging="303"/>
        <w:spacing w:after="0" w:line="250"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Received product-specific reimbursement codes covering PEMGARDA from the U.S. Centers for Medicare &amp; Medicaid (CMS): </w:t>
      </w:r>
      <w:r>
        <w:rPr>
          <w:rFonts w:ascii="Times New Roman" w:cs="Times New Roman" w:eastAsia="Times New Roman" w:hAnsi="Times New Roman"/>
          <w:sz w:val="13"/>
          <w:szCs w:val="13"/>
          <w:color w:val="auto"/>
        </w:rPr>
        <w:t>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April 2024, Invivyd announced that CMS has granted a Healthcare Common Procedure Coding System (HCPCS) Q code (Q0224) covering product reimbursement and a product specific M code (M0224) covering the administration of PEMGARDA. The company estimates that CMS provides coverage for nearly half of the moderately to severely immunocompromised people at highest risk for severe COVID-19 that the company is initially targeting.</w:t>
      </w:r>
    </w:p>
    <w:p>
      <w:pPr>
        <w:spacing w:after="0" w:line="64" w:lineRule="exact"/>
        <w:rPr>
          <w:rFonts w:ascii="Times New Roman" w:cs="Times New Roman" w:eastAsia="Times New Roman" w:hAnsi="Times New Roman"/>
          <w:sz w:val="13"/>
          <w:szCs w:val="13"/>
          <w:color w:val="auto"/>
        </w:rPr>
      </w:pPr>
    </w:p>
    <w:p>
      <w:pPr>
        <w:ind w:left="1320" w:right="819" w:hanging="303"/>
        <w:spacing w:after="0" w:line="250"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Reported interim exploratory COVID-19 clinical event data from CANOPY Phase 3 clinical trial of VYD222: </w:t>
      </w:r>
      <w:r>
        <w:rPr>
          <w:rFonts w:ascii="Times New Roman" w:cs="Times New Roman" w:eastAsia="Times New Roman" w:hAnsi="Times New Roman"/>
          <w:sz w:val="13"/>
          <w:szCs w:val="13"/>
          <w:color w:val="auto"/>
        </w:rPr>
        <w:t>In March 2024,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Invivyd announced interim exploratory data from the ongoing CANOPY Phase 3 clinical trial that reflect and add further to the initial potential signal of clinical protection from symptomatic COVID-19 shared in December 2023. While not part of the primary immunobridging endpoint of the CANOPY clinical trial, the interim exploratory data may be hypothesis generating for future discovery and development work.</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Pipeline Highlights</w:t>
      </w:r>
    </w:p>
    <w:p>
      <w:pPr>
        <w:spacing w:after="0" w:line="87" w:lineRule="exact"/>
        <w:rPr>
          <w:sz w:val="20"/>
          <w:szCs w:val="20"/>
          <w:color w:val="auto"/>
        </w:rPr>
      </w:pPr>
    </w:p>
    <w:p>
      <w:pPr>
        <w:ind w:left="1320" w:right="679" w:hanging="303"/>
        <w:spacing w:after="0" w:line="248"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Announced plans to pursue rapid immunobridging pathway to potential EUA for COVID-19 treatment in certain immunocompromised people, based on U.S. FDA feedback: </w:t>
      </w:r>
      <w:r>
        <w:rPr>
          <w:rFonts w:ascii="Times New Roman" w:cs="Times New Roman" w:eastAsia="Times New Roman" w:hAnsi="Times New Roman"/>
          <w:sz w:val="13"/>
          <w:szCs w:val="13"/>
          <w:color w:val="auto"/>
        </w:rPr>
        <w:t>In May 2024, Invivyd announced that it anticipates imminently submitting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 EUA application to the FDA for pemivibart for the treatment of mild to moderate symptomatic COVID-19 in certain immunocompromised people utilizing a rapid immunobridging pathway. This immunobridging pathway leverages a similar approach Invivyd used to achieve its current EUA for PEMGARDA for COVID-19 PrEP in certain immunocompromised people and was aligned in principle with the FDA.</w:t>
      </w:r>
    </w:p>
    <w:p>
      <w:pPr>
        <w:spacing w:after="0" w:line="68" w:lineRule="exact"/>
        <w:rPr>
          <w:rFonts w:ascii="Times New Roman" w:cs="Times New Roman" w:eastAsia="Times New Roman" w:hAnsi="Times New Roman"/>
          <w:sz w:val="13"/>
          <w:szCs w:val="13"/>
          <w:color w:val="auto"/>
        </w:rPr>
      </w:pPr>
    </w:p>
    <w:p>
      <w:pPr>
        <w:ind w:left="1320" w:right="779" w:hanging="303"/>
        <w:spacing w:after="0" w:line="252"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Continued to advance VYD2311, the company’s next anticipated mAb candidate: </w:t>
      </w:r>
      <w:r>
        <w:rPr>
          <w:rFonts w:ascii="Times New Roman" w:cs="Times New Roman" w:eastAsia="Times New Roman" w:hAnsi="Times New Roman"/>
          <w:sz w:val="13"/>
          <w:szCs w:val="13"/>
          <w:color w:val="auto"/>
        </w:rPr>
        <w:t>In March 2024, Invivyd announced that it expects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VYD2311 will be the next anti-SARS-CoV-2 mAb candidate that it advances into clinical development. VYD2311 is optimized for neutralization potency against recent SARS-CoV-2 lineages such as BA.2.86 and JN.1. The design of VYD2311 leverages Invivyd’s state-of-the-art technologies for variant surveillance, predictive modeling, and antibody engineering.</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First Quarter 2024 Financial Results:</w:t>
      </w:r>
    </w:p>
    <w:p>
      <w:pPr>
        <w:spacing w:after="0" w:line="87" w:lineRule="exact"/>
        <w:rPr>
          <w:sz w:val="20"/>
          <w:szCs w:val="20"/>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Cash Position: </w:t>
      </w:r>
      <w:r>
        <w:rPr>
          <w:rFonts w:ascii="Times New Roman" w:cs="Times New Roman" w:eastAsia="Times New Roman" w:hAnsi="Times New Roman"/>
          <w:sz w:val="13"/>
          <w:szCs w:val="13"/>
          <w:color w:val="auto"/>
        </w:rPr>
        <w:t>Cash and cash equivalents were $189.4 million as of March 31, 2024.</w:t>
      </w:r>
    </w:p>
    <w:p>
      <w:pPr>
        <w:sectPr>
          <w:pgSz w:w="11900" w:h="16838" w:orient="portrait"/>
          <w:cols w:equalWidth="0" w:num="1">
            <w:col w:w="9019"/>
          </w:cols>
          <w:pgMar w:left="1440" w:top="231" w:right="1440" w:bottom="1440" w:gutter="0" w:footer="0" w:header="0"/>
        </w:sectPr>
      </w:pPr>
    </w:p>
    <w:bookmarkStart w:id="5" w:name="page6"/>
    <w:bookmarkEnd w:id="5"/>
    <w:p>
      <w:pPr>
        <w:ind w:left="1320" w:right="699" w:hanging="303"/>
        <w:spacing w:after="0" w:line="250"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Projected 2024 Year-End Cash Position: </w:t>
      </w:r>
      <w:r>
        <w:rPr>
          <w:rFonts w:ascii="Times New Roman" w:cs="Times New Roman" w:eastAsia="Times New Roman" w:hAnsi="Times New Roman"/>
          <w:sz w:val="13"/>
          <w:szCs w:val="13"/>
          <w:color w:val="auto"/>
        </w:rPr>
        <w:t>Based on current operating plans, Invivyd expects to end 2024 with at least $75 million in cash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cash equivalents, based on anticipated 2024 net product revenue of $150 million to $200 million and recent resource realignment. Invivyd is maintaining its existing guidance, although the previously issued guidance was based on PEMGARDA being authorized for PrEP of COVID-19 in certain immunocompromised people and did not contemplate any potential sales for COVID-19 treatment, if authorized, or inventory build that may be required to deliver medicine timely to patients in need.</w:t>
      </w:r>
    </w:p>
    <w:p>
      <w:pPr>
        <w:spacing w:after="0" w:line="64" w:lineRule="exact"/>
        <w:rPr>
          <w:rFonts w:ascii="Times New Roman" w:cs="Times New Roman" w:eastAsia="Times New Roman" w:hAnsi="Times New Roman"/>
          <w:sz w:val="13"/>
          <w:szCs w:val="13"/>
          <w:color w:val="auto"/>
        </w:rPr>
      </w:pPr>
    </w:p>
    <w:p>
      <w:pPr>
        <w:ind w:left="1320" w:right="699" w:hanging="303"/>
        <w:spacing w:after="0" w:line="252"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Research &amp; Development (R&amp;D) Expenses (including In-Process R&amp;D): </w:t>
      </w:r>
      <w:r>
        <w:rPr>
          <w:rFonts w:ascii="Times New Roman" w:cs="Times New Roman" w:eastAsia="Times New Roman" w:hAnsi="Times New Roman"/>
          <w:sz w:val="13"/>
          <w:szCs w:val="13"/>
          <w:color w:val="auto"/>
        </w:rPr>
        <w:t>R&amp;D expenses were $31.2 million for the quarter ended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March 31, 2024, compared to $28.0 million for the comparable period of 2023. This increase is primarily attributable to an increase in commercial manufacturing costs of PEMGARDA and an increase in clinical trial costs related to the ongoing monitoring of our CANOPY Phase 3 clinical trial.</w:t>
      </w:r>
    </w:p>
    <w:p>
      <w:pPr>
        <w:spacing w:after="0" w:line="63" w:lineRule="exact"/>
        <w:rPr>
          <w:rFonts w:ascii="Times New Roman" w:cs="Times New Roman" w:eastAsia="Times New Roman" w:hAnsi="Times New Roman"/>
          <w:sz w:val="13"/>
          <w:szCs w:val="13"/>
          <w:color w:val="auto"/>
        </w:rPr>
      </w:pPr>
    </w:p>
    <w:p>
      <w:pPr>
        <w:ind w:left="1320" w:right="879" w:hanging="303"/>
        <w:spacing w:after="0" w:line="25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Selling, General &amp; Administrative (SG&amp;A) Expenses: </w:t>
      </w:r>
      <w:r>
        <w:rPr>
          <w:rFonts w:ascii="Times New Roman" w:cs="Times New Roman" w:eastAsia="Times New Roman" w:hAnsi="Times New Roman"/>
          <w:sz w:val="13"/>
          <w:szCs w:val="13"/>
          <w:color w:val="auto"/>
        </w:rPr>
        <w:t>SG&amp;A expenses were $14.9 million for the quarter ended March 31, 2024,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compared to $11.0 million for the comparable period of 2023. This increase is primarily attributable to an increase in personnel-related costs and commercial costs driven by the preparation for launch of PEMGARDA.</w:t>
      </w:r>
    </w:p>
    <w:p>
      <w:pPr>
        <w:spacing w:after="0" w:line="59" w:lineRule="exact"/>
        <w:rPr>
          <w:rFonts w:ascii="Times New Roman" w:cs="Times New Roman" w:eastAsia="Times New Roman" w:hAnsi="Times New Roman"/>
          <w:sz w:val="13"/>
          <w:szCs w:val="13"/>
          <w:color w:val="auto"/>
        </w:rPr>
      </w:pPr>
    </w:p>
    <w:p>
      <w:pPr>
        <w:ind w:left="1320" w:right="659" w:hanging="303"/>
        <w:spacing w:after="0" w:line="257"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Net Loss and Net Loss per Share: </w:t>
      </w:r>
      <w:r>
        <w:rPr>
          <w:rFonts w:ascii="Times New Roman" w:cs="Times New Roman" w:eastAsia="Times New Roman" w:hAnsi="Times New Roman"/>
          <w:sz w:val="13"/>
          <w:szCs w:val="13"/>
          <w:color w:val="auto"/>
        </w:rPr>
        <w:t>Net loss was $43.5 million for the quarter ended March 31, 2024, compared to $35.3 million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comparable period in 2023. Basic and diluted net loss per share was $0.38 for the quarter ended March 31, 2024, compared to $0.32 for the comparable period in 2023.</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&amp; Webcast</w:t>
      </w:r>
    </w:p>
    <w:p>
      <w:pPr>
        <w:spacing w:after="0" w:line="80"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 xml:space="preserve">Listeners can register for the webcast via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xml:space="preserve">. Analysts wishing to participate in the question and answer session should use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A replay of the webcast will be available via the company’s investor website approximately two hours after the call’s conclusion. Those who plan on participating are advised to join 15 minutes prior to the start time.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3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in pseudotyped virus-like particle and authentic virus neutralization assays against major SARS-CoV-2 variants, including JN.1.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799"/>
        <w:spacing w:after="0" w:line="309" w:lineRule="auto"/>
        <w:rPr>
          <w:sz w:val="20"/>
          <w:szCs w:val="20"/>
          <w:color w:val="auto"/>
        </w:rPr>
      </w:pPr>
      <w:r>
        <w:rPr>
          <w:rFonts w:ascii="Times New Roman" w:cs="Times New Roman" w:eastAsia="Times New Roman" w:hAnsi="Times New Roman"/>
          <w:sz w:val="12"/>
          <w:szCs w:val="12"/>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w:t>
      </w:r>
    </w:p>
    <w:p>
      <w:pPr>
        <w:sectPr>
          <w:pgSz w:w="11900" w:h="16838" w:orient="portrait"/>
          <w:cols w:equalWidth="0" w:num="1">
            <w:col w:w="9019"/>
          </w:cols>
          <w:pgMar w:left="1440" w:top="229" w:right="1440" w:bottom="1440" w:gutter="0" w:footer="0" w:header="0"/>
        </w:sectPr>
      </w:pPr>
    </w:p>
    <w:bookmarkStart w:id="6" w:name="page7"/>
    <w:bookmarkEnd w:id="6"/>
    <w:p>
      <w:pPr>
        <w:ind w:left="640" w:right="67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23"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w:t>
      </w:r>
    </w:p>
    <w:p>
      <w:pPr>
        <w:spacing w:after="0" w:line="136" w:lineRule="exact"/>
        <w:rPr>
          <w:sz w:val="20"/>
          <w:szCs w:val="20"/>
          <w:color w:val="auto"/>
        </w:rPr>
      </w:pPr>
    </w:p>
    <w:p>
      <w:pPr>
        <w:ind w:left="640" w:right="699"/>
        <w:spacing w:after="0" w:line="255"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759"/>
        <w:spacing w:after="0" w:line="229"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The company’s proprietary INVYMAB</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w:t>
      </w:r>
      <w:r>
        <w:rPr>
          <w:rFonts w:ascii="Times New Roman" w:cs="Times New Roman" w:eastAsia="Times New Roman" w:hAnsi="Times New Roman"/>
          <w:sz w:val="13"/>
          <w:szCs w:val="13"/>
          <w:u w:val="single" w:color="auto"/>
          <w:color w:val="auto"/>
        </w:rPr>
        <w:t>https://invivyd.com/</w:t>
      </w:r>
      <w:r>
        <w:rPr>
          <w:rFonts w:ascii="Times New Roman" w:cs="Times New Roman" w:eastAsia="Times New Roman" w:hAnsi="Times New Roman"/>
          <w:sz w:val="13"/>
          <w:szCs w:val="13"/>
          <w:color w:val="auto"/>
        </w:rPr>
        <w:t xml:space="preserve"> to learn more.</w:t>
      </w:r>
    </w:p>
    <w:p>
      <w:pPr>
        <w:sectPr>
          <w:pgSz w:w="11900" w:h="16838" w:orient="portrait"/>
          <w:cols w:equalWidth="0" w:num="1">
            <w:col w:w="9019"/>
          </w:cols>
          <w:pgMar w:left="1440" w:top="231"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Cautionary Note Regarding Forward 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PEMGARDA as a mAb for COVID-19 PrEP in certain adults and adolescents with moderate-to-severe immune compromise; the company’s plans and expectations related to the commercialization of PEMGARDA; the company’s intention to pursue a rapid immunobridging pathway to potential EUA for COVID-19 treatment in certain immunocompromised people; the company’s anticipated submission of a COVID-19 treatment EUA request to the FDA for pemivibart, and the timing thereof; the company’s research and clinical development efforts, and the timing thereof; the potential of VYD222 for clinical protection from symptomatic COVID-19 based on interim exploratory data from the CANOPY Phase 3 clinical trial; the company’s expectation that PEMGARDA is the first mAb in a planned series of innovative antibody candidates and VYD2311 will be the next mAb candidate to advance into clinical development; the future of the COVID-19 landscape; the company’s belief that its innovative engine can deliver meaningful product-level advancements with associated medical and economic value creation; the company’s anticipated 2024 net product revenue and projected 2024 year-end cash position; the company’s commitment to delivering protection from serious viral infectious diseases, beginning with SARS-CoV-2; the design of the company’s INVYMAB platform approach to facilitate the rapid, serial generation of new mAbs to address evolving viral threats;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how long the EUA granted by the FDA for PEMGARDA for COVID-19 PrEP in certain adults and adolescents with moderate-to-severe immune compromise will remain in effect and whether such EUA is revoked or revised by the FDA; the company’s ability to maintain and expand sales, marketing and distribution capabilities to successfully commercialize PEMGARDA; changes in expected or existing competition; the company’s ability to effectively utilize an immunobridging pathway to potential EUA for pemivibart for COVID-19 treatment in certain immunocompromised people; whether the company is able to successfully submit a COVID-19 treatment EUA request to the FDA, and the timing, scope and outcome of any such EUA request; uncertainties related to the regulatory authorization or approval process; changes in the regulatory environment; the timing and progress of the company’s discovery, preclinical and clinical development activities; unexpected safety or efficacy data observed during preclinical studies or clinical trials; the ability to maintain a continued acceptable safety, tolerability and efficacy profile of PEMGARDA or any other product candidate following regulatory authorization or approval;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w:t>
      </w:r>
    </w:p>
    <w:p>
      <w:pPr>
        <w:sectPr>
          <w:pgSz w:w="11900" w:h="16838" w:orient="portrait"/>
          <w:cols w:equalWidth="0" w:num="1">
            <w:col w:w="9019"/>
          </w:cols>
          <w:pgMar w:left="1440" w:top="229" w:right="1440" w:bottom="1440" w:gutter="0" w:footer="0" w:header="0"/>
        </w:sectPr>
      </w:pPr>
    </w:p>
    <w:bookmarkStart w:id="8" w:name="page9"/>
    <w:bookmarkEnd w:id="8"/>
    <w:p>
      <w:pPr>
        <w:ind w:left="640" w:right="65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trials; variability of results in models used to predict activity against SARS-CoV-2 variants; whether PEMGARDA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distribute clinical and commercial supplies of its product candidates; whether the company is able to provide sufficient commercial supply of PEMGARDA to meet market demand; whether the company can obtain and maintain third-party coverage and adequate reimbursement for PEMGARDA or any other product candidate; the company’s ability to deliver meaningful product-level advancements with associated medical and economic value creation; the company’s ability to leverage its INVYMAB platform approach to facilitate the rapid, serial generation of new mAbs to address evolving viral threats; any litigation and other proceedings or government investigations relating to the company; the company’s ability to continue as a going concern; the company’s ability to optimize operating expenses;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press release contains hyperlinks to information that is not deemed to be incorporated by reference in this press release.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Media Relations</w:t>
      </w:r>
    </w:p>
    <w:p>
      <w:pPr>
        <w:spacing w:after="0" w:line="15" w:lineRule="exact"/>
        <w:rPr>
          <w:sz w:val="20"/>
          <w:szCs w:val="20"/>
          <w:color w:val="auto"/>
        </w:rPr>
      </w:pPr>
    </w:p>
    <w:p>
      <w:pPr>
        <w:ind w:left="640" w:right="7319" w:hanging="3"/>
        <w:spacing w:after="0" w:line="287" w:lineRule="auto"/>
        <w:tabs>
          <w:tab w:leader="none" w:pos="94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208-0160 media@invivyd.com</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15" w:lineRule="exact"/>
        <w:rPr>
          <w:sz w:val="20"/>
          <w:szCs w:val="20"/>
          <w:color w:val="auto"/>
        </w:rPr>
      </w:pPr>
    </w:p>
    <w:p>
      <w:pPr>
        <w:ind w:left="640" w:right="7179" w:hanging="3"/>
        <w:spacing w:after="0" w:line="287" w:lineRule="auto"/>
        <w:tabs>
          <w:tab w:leader="none" w:pos="945"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208-0160 investors@invivyd.com</w:t>
      </w:r>
    </w:p>
    <w:p>
      <w:pPr>
        <w:sectPr>
          <w:pgSz w:w="11900" w:h="16838" w:orient="portrait"/>
          <w:cols w:equalWidth="0" w:num="1">
            <w:col w:w="9019"/>
          </w:cols>
          <w:pgMar w:left="1440" w:top="231"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60" w:type="dxa"/>
            <w:vAlign w:val="bottom"/>
          </w:tcPr>
          <w:p>
            <w:pPr>
              <w:spacing w:after="0"/>
              <w:rPr>
                <w:sz w:val="10"/>
                <w:szCs w:val="10"/>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1"/>
        </w:trPr>
        <w:tc>
          <w:tcPr>
            <w:tcW w:w="62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2"/>
        </w:trPr>
        <w:tc>
          <w:tcPr>
            <w:tcW w:w="62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189,388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200,641</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Inventory</w:t>
            </w:r>
          </w:p>
        </w:tc>
        <w:tc>
          <w:tcPr>
            <w:tcW w:w="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20,386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24,240</w:t>
            </w:r>
          </w:p>
        </w:tc>
      </w:tr>
      <w:tr>
        <w:trPr>
          <w:trHeight w:val="151"/>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209,883</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224,881</w:t>
            </w: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1,901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1,896</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1,827</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2,229</w:t>
            </w: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1,857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175</w:t>
            </w:r>
          </w:p>
        </w:tc>
      </w:tr>
      <w:tr>
        <w:trPr>
          <w:trHeight w:val="159"/>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assets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215,468</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229,181</w:t>
            </w:r>
          </w:p>
        </w:tc>
        <w:tc>
          <w:tcPr>
            <w:tcW w:w="80" w:type="dxa"/>
            <w:vAlign w:val="bottom"/>
          </w:tcPr>
          <w:p>
            <w:pPr>
              <w:spacing w:after="0"/>
              <w:rPr>
                <w:sz w:val="13"/>
                <w:szCs w:val="13"/>
                <w:color w:val="auto"/>
              </w:rPr>
            </w:pPr>
          </w:p>
        </w:tc>
      </w:tr>
      <w:tr>
        <w:trPr>
          <w:trHeight w:val="161"/>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Preferred Stock and Stockholders’ Equity</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1,168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7,953</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expenses</w:t>
            </w:r>
          </w:p>
        </w:tc>
        <w:tc>
          <w:tcPr>
            <w:tcW w:w="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34,003</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40,860</w:t>
            </w:r>
          </w:p>
        </w:tc>
      </w:tr>
      <w:tr>
        <w:trPr>
          <w:trHeight w:val="152"/>
        </w:trPr>
        <w:tc>
          <w:tcPr>
            <w:tcW w:w="6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1,134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1,443</w:t>
            </w:r>
          </w:p>
        </w:tc>
      </w:tr>
      <w:tr>
        <w:trPr>
          <w:trHeight w:val="152"/>
        </w:trPr>
        <w:tc>
          <w:tcPr>
            <w:tcW w:w="62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current liability</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3"/>
                <w:szCs w:val="13"/>
                <w:color w:val="auto"/>
              </w:rPr>
            </w:pPr>
          </w:p>
        </w:tc>
      </w:tr>
      <w:tr>
        <w:trPr>
          <w:trHeight w:val="151"/>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36,345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50,291</w:t>
            </w:r>
          </w:p>
        </w:tc>
      </w:tr>
      <w:tr>
        <w:trPr>
          <w:trHeight w:val="151"/>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80" w:type="dxa"/>
            <w:vAlign w:val="bottom"/>
          </w:tcPr>
          <w:p>
            <w:pPr>
              <w:spacing w:after="0"/>
              <w:rPr>
                <w:sz w:val="13"/>
                <w:szCs w:val="13"/>
                <w:color w:val="auto"/>
              </w:rPr>
            </w:pP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liability</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700</w:t>
            </w:r>
          </w:p>
        </w:tc>
      </w:tr>
      <w:tr>
        <w:trPr>
          <w:trHeight w:val="151"/>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liabilities</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36,970</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51,713</w:t>
            </w:r>
          </w:p>
        </w:tc>
        <w:tc>
          <w:tcPr>
            <w:tcW w:w="80" w:type="dxa"/>
            <w:vAlign w:val="bottom"/>
          </w:tcPr>
          <w:p>
            <w:pPr>
              <w:spacing w:after="0"/>
              <w:rPr>
                <w:sz w:val="13"/>
                <w:szCs w:val="13"/>
                <w:color w:val="auto"/>
              </w:rPr>
            </w:pPr>
          </w:p>
        </w:tc>
      </w:tr>
      <w:tr>
        <w:trPr>
          <w:trHeight w:val="151"/>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 (deficit):</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6260" w:type="dxa"/>
            <w:vAlign w:val="bottom"/>
            <w:shd w:val="clear" w:color="auto" w:fill="CCEEFF"/>
          </w:tcPr>
          <w:p>
            <w:pPr>
              <w:ind w:left="500"/>
              <w:spacing w:after="0" w:line="139" w:lineRule="exact"/>
              <w:rPr>
                <w:sz w:val="20"/>
                <w:szCs w:val="20"/>
                <w:color w:val="auto"/>
              </w:rPr>
            </w:pPr>
            <w:r>
              <w:rPr>
                <w:rFonts w:ascii="Times New Roman" w:cs="Times New Roman" w:eastAsia="Times New Roman" w:hAnsi="Times New Roman"/>
                <w:sz w:val="13"/>
                <w:szCs w:val="13"/>
                <w:color w:val="auto"/>
              </w:rPr>
              <w:t>Preferred stock (undesignated), $0.0001 par value; 10,000,000 shares authorized and no shares issued and</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outstanding at March 31, 2024 and December 31, 2023</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39"/>
        </w:trPr>
        <w:tc>
          <w:tcPr>
            <w:tcW w:w="6260" w:type="dxa"/>
            <w:vAlign w:val="bottom"/>
          </w:tcPr>
          <w:p>
            <w:pPr>
              <w:ind w:left="500"/>
              <w:spacing w:after="0" w:line="139" w:lineRule="exact"/>
              <w:rPr>
                <w:sz w:val="20"/>
                <w:szCs w:val="20"/>
                <w:color w:val="auto"/>
              </w:rPr>
            </w:pPr>
            <w:r>
              <w:rPr>
                <w:rFonts w:ascii="Times New Roman" w:cs="Times New Roman" w:eastAsia="Times New Roman" w:hAnsi="Times New Roman"/>
                <w:sz w:val="13"/>
                <w:szCs w:val="13"/>
                <w:color w:val="auto"/>
              </w:rPr>
              <w:t>Common stock, $0.0001 par value; 1,000,000,000 shares authorized, 119,221,230 shares issued and</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26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outstanding at March 31, 2024; 110,160,684 shares issued and outstanding at December 31, 2023</w:t>
            </w:r>
          </w:p>
        </w:tc>
        <w:tc>
          <w:tcPr>
            <w:tcW w:w="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954,063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909,539</w:t>
            </w:r>
          </w:p>
        </w:tc>
      </w:tr>
      <w:tr>
        <w:trPr>
          <w:trHeight w:val="15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4"/>
              </w:rPr>
              <w:t>(775,565)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(732,069)</w:t>
            </w:r>
          </w:p>
        </w:tc>
      </w:tr>
      <w:tr>
        <w:trPr>
          <w:trHeight w:val="151"/>
        </w:trPr>
        <w:tc>
          <w:tcPr>
            <w:tcW w:w="62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178,498</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177,468</w:t>
            </w:r>
          </w:p>
        </w:tc>
        <w:tc>
          <w:tcPr>
            <w:tcW w:w="80" w:type="dxa"/>
            <w:vAlign w:val="bottom"/>
          </w:tcPr>
          <w:p>
            <w:pPr>
              <w:spacing w:after="0"/>
              <w:rPr>
                <w:sz w:val="13"/>
                <w:szCs w:val="13"/>
                <w:color w:val="auto"/>
              </w:rPr>
            </w:pPr>
          </w:p>
        </w:tc>
      </w:tr>
      <w:tr>
        <w:trPr>
          <w:trHeight w:val="159"/>
        </w:trPr>
        <w:tc>
          <w:tcPr>
            <w:tcW w:w="6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liabilities, preferred stock and stockholders’ equity</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215,468</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229,181</w:t>
            </w:r>
          </w:p>
        </w:tc>
        <w:tc>
          <w:tcPr>
            <w:tcW w:w="80" w:type="dxa"/>
            <w:vAlign w:val="bottom"/>
            <w:shd w:val="clear" w:color="auto" w:fill="CCEEFF"/>
          </w:tcPr>
          <w:p>
            <w:pPr>
              <w:spacing w:after="0"/>
              <w:rPr>
                <w:sz w:val="13"/>
                <w:szCs w:val="13"/>
                <w:color w:val="auto"/>
              </w:rPr>
            </w:pPr>
          </w:p>
        </w:tc>
      </w:tr>
    </w:tbl>
    <w:p>
      <w:pPr>
        <w:sectPr>
          <w:pgSz w:w="11900" w:h="16838" w:orient="portrait"/>
          <w:cols w:equalWidth="0" w:num="1">
            <w:col w:w="9019"/>
          </w:cols>
          <w:pgMar w:left="1440" w:top="2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840" w:type="dxa"/>
            <w:vAlign w:val="bottom"/>
          </w:tcPr>
          <w:p>
            <w:pPr>
              <w:spacing w:after="0"/>
              <w:rPr>
                <w:sz w:val="10"/>
                <w:szCs w:val="10"/>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Three Months</w:t>
            </w:r>
          </w:p>
        </w:tc>
        <w:tc>
          <w:tcPr>
            <w:tcW w:w="200" w:type="dxa"/>
            <w:vAlign w:val="bottom"/>
          </w:tcPr>
          <w:p>
            <w:pPr>
              <w:spacing w:after="0"/>
              <w:rPr>
                <w:sz w:val="10"/>
                <w:szCs w:val="10"/>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Three Months</w:t>
            </w:r>
          </w:p>
        </w:tc>
      </w:tr>
      <w:tr>
        <w:trPr>
          <w:trHeight w:val="104"/>
        </w:trPr>
        <w:tc>
          <w:tcPr>
            <w:tcW w:w="5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right"/>
              <w:ind w:right="44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r>
      <w:tr>
        <w:trPr>
          <w:trHeight w:val="121"/>
        </w:trPr>
        <w:tc>
          <w:tcPr>
            <w:tcW w:w="5840" w:type="dxa"/>
            <w:vAlign w:val="bottom"/>
          </w:tcPr>
          <w:p>
            <w:pPr>
              <w:spacing w:after="0"/>
              <w:rPr>
                <w:sz w:val="10"/>
                <w:szCs w:val="1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200" w:type="dxa"/>
            <w:vAlign w:val="bottom"/>
          </w:tcPr>
          <w:p>
            <w:pPr>
              <w:spacing w:after="0"/>
              <w:rPr>
                <w:sz w:val="10"/>
                <w:szCs w:val="10"/>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March 31, 2023</w:t>
            </w:r>
          </w:p>
        </w:tc>
      </w:tr>
      <w:tr>
        <w:trPr>
          <w:trHeight w:val="132"/>
        </w:trPr>
        <w:tc>
          <w:tcPr>
            <w:tcW w:w="5840" w:type="dxa"/>
            <w:vAlign w:val="bottom"/>
            <w:tcBorders>
              <w:top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2"/>
        </w:trPr>
        <w:tc>
          <w:tcPr>
            <w:tcW w:w="584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7"/>
                <w:szCs w:val="17"/>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31,160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27,201</w:t>
            </w:r>
          </w:p>
        </w:tc>
      </w:tr>
      <w:tr>
        <w:trPr>
          <w:trHeight w:val="152"/>
        </w:trPr>
        <w:tc>
          <w:tcPr>
            <w:tcW w:w="584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Acquired in-process research and development</w:t>
            </w:r>
            <w:r>
              <w:rPr>
                <w:rFonts w:ascii="Times New Roman" w:cs="Times New Roman" w:eastAsia="Times New Roman" w:hAnsi="Times New Roman"/>
                <w:sz w:val="17"/>
                <w:szCs w:val="17"/>
                <w:color w:val="auto"/>
                <w:vertAlign w:val="superscript"/>
              </w:rPr>
              <w:t>(2)</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825</w:t>
            </w:r>
          </w:p>
        </w:tc>
      </w:tr>
      <w:tr>
        <w:trPr>
          <w:trHeight w:val="152"/>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14,929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11,045</w:t>
            </w:r>
          </w:p>
        </w:tc>
        <w:tc>
          <w:tcPr>
            <w:tcW w:w="80" w:type="dxa"/>
            <w:vAlign w:val="bottom"/>
          </w:tcPr>
          <w:p>
            <w:pPr>
              <w:spacing w:after="0"/>
              <w:rPr>
                <w:sz w:val="13"/>
                <w:szCs w:val="13"/>
                <w:color w:val="auto"/>
              </w:rPr>
            </w:pPr>
          </w:p>
        </w:tc>
      </w:tr>
      <w:tr>
        <w:trPr>
          <w:trHeight w:val="151"/>
        </w:trPr>
        <w:tc>
          <w:tcPr>
            <w:tcW w:w="5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46,089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39,071</w:t>
            </w:r>
          </w:p>
        </w:tc>
      </w:tr>
      <w:tr>
        <w:trPr>
          <w:trHeight w:val="151"/>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(46,089)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(39,071)</w:t>
            </w:r>
          </w:p>
        </w:tc>
        <w:tc>
          <w:tcPr>
            <w:tcW w:w="80" w:type="dxa"/>
            <w:vAlign w:val="bottom"/>
          </w:tcPr>
          <w:p>
            <w:pPr>
              <w:spacing w:after="0"/>
              <w:rPr>
                <w:sz w:val="13"/>
                <w:szCs w:val="13"/>
                <w:color w:val="auto"/>
              </w:rPr>
            </w:pPr>
          </w:p>
        </w:tc>
      </w:tr>
      <w:tr>
        <w:trPr>
          <w:trHeight w:val="15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80" w:type="dxa"/>
            <w:vAlign w:val="bottom"/>
          </w:tcPr>
          <w:p>
            <w:pPr>
              <w:spacing w:after="0"/>
              <w:rPr>
                <w:sz w:val="13"/>
                <w:szCs w:val="13"/>
                <w:color w:val="auto"/>
              </w:rPr>
            </w:pPr>
          </w:p>
        </w:tc>
      </w:tr>
      <w:tr>
        <w:trPr>
          <w:trHeight w:val="151"/>
        </w:trPr>
        <w:tc>
          <w:tcPr>
            <w:tcW w:w="5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other income, net</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2,593</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3,750</w:t>
            </w:r>
          </w:p>
        </w:tc>
      </w:tr>
      <w:tr>
        <w:trPr>
          <w:trHeight w:val="151"/>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(43,496)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(35,321)</w:t>
            </w:r>
          </w:p>
        </w:tc>
        <w:tc>
          <w:tcPr>
            <w:tcW w:w="80" w:type="dxa"/>
            <w:vAlign w:val="bottom"/>
          </w:tcPr>
          <w:p>
            <w:pPr>
              <w:spacing w:after="0"/>
              <w:rPr>
                <w:sz w:val="13"/>
                <w:szCs w:val="13"/>
                <w:color w:val="auto"/>
              </w:rPr>
            </w:pPr>
          </w:p>
        </w:tc>
      </w:tr>
      <w:tr>
        <w:trPr>
          <w:trHeight w:val="15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Unrealized gain on available-for-sale securities, net of tax</w:t>
            </w: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3"/>
                <w:szCs w:val="13"/>
                <w:color w:val="auto"/>
              </w:rPr>
            </w:pPr>
          </w:p>
        </w:tc>
      </w:tr>
      <w:tr>
        <w:trPr>
          <w:trHeight w:val="15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(43,495)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(35,164)</w:t>
            </w:r>
          </w:p>
        </w:tc>
      </w:tr>
      <w:tr>
        <w:trPr>
          <w:trHeight w:val="170"/>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attributable to common stockholders, basic and diluted</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80" w:type="dxa"/>
            <w:vAlign w:val="bottom"/>
          </w:tcPr>
          <w:p>
            <w:pPr>
              <w:spacing w:after="0"/>
              <w:rPr>
                <w:sz w:val="14"/>
                <w:szCs w:val="14"/>
                <w:color w:val="auto"/>
              </w:rPr>
            </w:pPr>
          </w:p>
        </w:tc>
      </w:tr>
      <w:tr>
        <w:trPr>
          <w:trHeight w:val="1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common shares outstanding, basic and diluted</w:t>
            </w: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115,618,209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108,785,519</w:t>
            </w:r>
          </w:p>
        </w:tc>
        <w:tc>
          <w:tcPr>
            <w:tcW w:w="80" w:type="dxa"/>
            <w:vAlign w:val="bottom"/>
            <w:shd w:val="clear" w:color="auto" w:fill="CCEEFF"/>
          </w:tcPr>
          <w:p>
            <w:pPr>
              <w:spacing w:after="0"/>
              <w:rPr>
                <w:sz w:val="14"/>
                <w:szCs w:val="14"/>
                <w:color w:val="auto"/>
              </w:rPr>
            </w:pPr>
          </w:p>
        </w:tc>
      </w:tr>
    </w:tbl>
    <w:p>
      <w:pPr>
        <w:spacing w:after="0" w:line="167" w:lineRule="exact"/>
        <w:rPr>
          <w:sz w:val="20"/>
          <w:szCs w:val="20"/>
          <w:color w:val="auto"/>
        </w:rPr>
      </w:pPr>
    </w:p>
    <w:p>
      <w:pPr>
        <w:ind w:left="940" w:hanging="303"/>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$1,135 and $2,960 for the three months ended March 31, 2024 and 2023, respectively.</w:t>
      </w:r>
    </w:p>
    <w:p>
      <w:pPr>
        <w:spacing w:after="0" w:line="15"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$0 and $375 for the three months ended March 31, 2024 and 2023, respectively.</w:t>
      </w:r>
    </w:p>
    <w:p>
      <w:pPr>
        <w:sectPr>
          <w:pgSz w:w="11900" w:h="16838" w:orient="portrait"/>
          <w:cols w:equalWidth="0" w:num="1">
            <w:col w:w="9019"/>
          </w:cols>
          <w:pgMar w:left="1440" w:top="229" w:right="1440" w:bottom="1440" w:gutter="0" w:footer="0" w:header="0"/>
        </w:sectPr>
      </w:pPr>
    </w:p>
    <w:bookmarkStart w:id="11" w:name="page12"/>
    <w:bookmarkEnd w:id="1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781"/>
    </w:lvl>
  </w:abstractNum>
  <w:abstractNum w:abstractNumId="8">
    <w:nsid w:val="12200854"/>
    <w:multiLevelType w:val="hybridMultilevel"/>
    <w:lvl w:ilvl="0">
      <w:lvlJc w:val="left"/>
      <w:lvlText w:val="(%1)"/>
      <w:numFmt w:val="decimal"/>
      <w:start w:val="78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2024-05-09T15:26:53Z</dcterms:created>
  <dcterms:modified xsi:type="dcterms:W3CDTF">2024-05-09T15:26:53Z</dcterms:modified>
</cp:coreProperties>
</file>