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10/15/2025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FUND L 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8,545,920.00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8,545,920.00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8,545,920.00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8,545,920.00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8,545,920.00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8,545,920.00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4.0 %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6,211,464.00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6,211,464.00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6,211,464.00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II GP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6,211,464.00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6,211,464.00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6,211,464.00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Trading Fund OS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991,974.00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991,974.00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991,974.00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Partners OS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991,974.00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991,974.00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991,974.00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00534A102</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GP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14,757,384.00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14,757,384.00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14,757,384.00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PARTNERS L P/IL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16,000,000.00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16,000,000.00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16,000,000.00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INC/IL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LAMPERT MARK 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289"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289"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Invivyd,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459"/>
        <w:spacing w:after="0"/>
        <w:rPr>
          <w:sz w:val="20"/>
          <w:szCs w:val="20"/>
          <w:color w:val="auto"/>
        </w:rPr>
      </w:pPr>
      <w:r>
        <w:rPr>
          <w:rFonts w:ascii="Times New Roman" w:cs="Times New Roman" w:eastAsia="Times New Roman" w:hAnsi="Times New Roman"/>
          <w:sz w:val="22"/>
          <w:szCs w:val="22"/>
          <w:color w:val="auto"/>
        </w:rPr>
        <w:t>209 CHURCH STREET, NEW HAVEN, CONNECTICUT 06510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355" w:right="1440" w:bottom="289" w:gutter="0" w:footer="0" w:header="0"/>
          <w:type w:val="continuous"/>
        </w:sectPr>
      </w:pPr>
    </w:p>
    <w:bookmarkStart w:id="8" w:name="page9"/>
    <w:bookmarkEnd w:id="8"/>
    <w:p>
      <w:pPr>
        <w:ind w:left="920" w:right="200"/>
        <w:spacing w:after="0" w:line="238" w:lineRule="auto"/>
        <w:rPr>
          <w:sz w:val="20"/>
          <w:szCs w:val="20"/>
          <w:color w:val="auto"/>
        </w:rPr>
      </w:pPr>
      <w:r>
        <w:rPr>
          <w:rFonts w:ascii="Times New Roman" w:cs="Times New Roman" w:eastAsia="Times New Roman" w:hAnsi="Times New Roman"/>
          <w:sz w:val="22"/>
          <w:szCs w:val="22"/>
          <w:color w:val="auto"/>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jc w:val="both"/>
        <w:ind w:left="920" w:right="100"/>
        <w:spacing w:after="0" w:line="253" w:lineRule="auto"/>
        <w:rPr>
          <w:sz w:val="20"/>
          <w:szCs w:val="20"/>
          <w:color w:val="auto"/>
        </w:rPr>
      </w:pPr>
      <w:r>
        <w:rPr>
          <w:rFonts w:ascii="Times New Roman" w:cs="Times New Roman" w:eastAsia="Times New Roman" w:hAnsi="Times New Roman"/>
          <w:sz w:val="21"/>
          <w:szCs w:val="21"/>
          <w:color w:val="auto"/>
        </w:rPr>
        <w:t>Biotechnology Value Fund, L.P. 44 Montgomery St., 40th Floor San Francisco, California 94104 BVF I GP LLC 44 Montgomery St., 40th Floor San Francisco, California 94104 Biotechnology Value Fund II, L.P. 44 Montgomery St.,</w:t>
      </w:r>
    </w:p>
    <w:p>
      <w:pPr>
        <w:spacing w:after="0" w:line="1" w:lineRule="exact"/>
        <w:rPr>
          <w:sz w:val="20"/>
          <w:szCs w:val="20"/>
          <w:color w:val="auto"/>
        </w:rPr>
      </w:pPr>
    </w:p>
    <w:p>
      <w:pPr>
        <w:ind w:left="920" w:right="120" w:hanging="912"/>
        <w:spacing w:after="0" w:line="211"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 Citizenship:</w:t>
      </w:r>
    </w:p>
    <w:p>
      <w:pPr>
        <w:spacing w:after="0" w:line="204" w:lineRule="exact"/>
        <w:rPr>
          <w:rFonts w:ascii="Times New Roman" w:cs="Times New Roman" w:eastAsia="Times New Roman" w:hAnsi="Times New Roman"/>
          <w:sz w:val="43"/>
          <w:szCs w:val="43"/>
          <w:color w:val="auto"/>
          <w:vertAlign w:val="subscript"/>
        </w:rPr>
      </w:pPr>
    </w:p>
    <w:p>
      <w:pPr>
        <w:ind w:left="920" w:hanging="912"/>
        <w:spacing w:after="0" w:line="193"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00534A102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of the close of business on October 22, 2025, (i) BVF beneficially owned 8,545,920 shares of the Issuer's Common Stock, $0.0001 par value per share (the "Shares"), (ii) BVF2 beneficially owned 6,211,464 Shares and (iii) Trading Fund OS beneficially owned 991,974 Shares. BVF GP, as the general partner of BVF, may be deemed to beneficially own the 8,545,920 Shares beneficially owned by BVF. BVF2 GP, as the general partner of BVF2, may be deemed to beneficially own the 6,211,464 Shares beneficially owned by BVF2. Partners OS, as the general partner of Trading Fund OS, may be deemed to beneficially own the 991,974 Shares beneficially owned by Trading Fund OS. BVF GPH, as the sole member of each of BVF GP and BVF2 GP, may be deemed to beneficially own the 14,757,384 Shares beneficially owned in the aggregate by BVF and BVF2. Partners, as the investment manager of BVF, BVF2 and Trading Fund OS, and the sole member of Partners OS, may be deemed to beneficially own the 16,000,000 Shares beneficially owned in the aggregate by BVF, BVF2 and Trading Fund OS and held in a certain Partners managed account (the "Partners Managed Account"), including 250,642 Shares held in the Partners Managed Account. BVF Inc., as the general partner of Partners, may be deemed to beneficially own the 16,000,000 Shares beneficially owned by Partners. Mr. Lampert, as a director and officer of BVF Inc., may be deemed to beneficially own the 16,000,000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w:t>
      </w:r>
    </w:p>
    <w:p>
      <w:pPr>
        <w:sectPr>
          <w:pgSz w:w="11900" w:h="16839" w:orient="portrait"/>
          <w:cols w:equalWidth="0" w:num="1">
            <w:col w:w="11120"/>
          </w:cols>
          <w:pgMar w:left="360" w:top="111" w:right="419" w:bottom="0" w:gutter="0" w:footer="0" w:header="0"/>
        </w:sectPr>
      </w:pPr>
    </w:p>
    <w:bookmarkStart w:id="9" w:name="page10"/>
    <w:bookmarkEnd w:id="9"/>
    <w:p>
      <w:pPr>
        <w:spacing w:after="0" w:line="107" w:lineRule="exact"/>
        <w:rPr>
          <w:sz w:val="20"/>
          <w:szCs w:val="20"/>
          <w:color w:val="auto"/>
        </w:rPr>
      </w:pPr>
    </w:p>
    <w:p>
      <w:pPr>
        <w:ind w:left="920" w:right="40"/>
        <w:spacing w:after="0" w:line="238" w:lineRule="auto"/>
        <w:rPr>
          <w:sz w:val="20"/>
          <w:szCs w:val="20"/>
          <w:color w:val="auto"/>
        </w:rPr>
      </w:pPr>
      <w:r>
        <w:rPr>
          <w:rFonts w:ascii="Times New Roman" w:cs="Times New Roman" w:eastAsia="Times New Roman" w:hAnsi="Times New Roman"/>
          <w:sz w:val="22"/>
          <w:szCs w:val="22"/>
          <w:color w:val="auto"/>
        </w:rPr>
        <w:t>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jc w:val="both"/>
        <w:ind w:left="920" w:right="20"/>
        <w:spacing w:after="0" w:line="247" w:lineRule="auto"/>
        <w:rPr>
          <w:sz w:val="20"/>
          <w:szCs w:val="20"/>
          <w:color w:val="auto"/>
        </w:rPr>
      </w:pPr>
      <w:r>
        <w:rPr>
          <w:rFonts w:ascii="Times New Roman" w:cs="Times New Roman" w:eastAsia="Times New Roman" w:hAnsi="Times New Roman"/>
          <w:sz w:val="21"/>
          <w:szCs w:val="21"/>
          <w:color w:val="auto"/>
        </w:rPr>
        <w:t>The following percentages are based on 214,409,450 Shares outstanding as of September 22, 2025, which is the total number of Shares outstanding as reported in the Issuer's Registration Statement on Form S-3 filed with the Securities and Exchange Commission on October 2, 2025. As of the close of business on October 22, 2025, (i) BVF beneficially owned approximately 4.0% of the outstanding Shares, (ii) BVF2 beneficially owned approximately 2.9% of the</w:t>
      </w:r>
    </w:p>
    <w:p>
      <w:pPr>
        <w:spacing w:after="0" w:line="2" w:lineRule="exact"/>
        <w:rPr>
          <w:sz w:val="20"/>
          <w:szCs w:val="20"/>
          <w:color w:val="auto"/>
        </w:rPr>
      </w:pPr>
    </w:p>
    <w:p>
      <w:pPr>
        <w:ind w:left="920" w:right="80" w:hanging="912"/>
        <w:spacing w:after="0" w:line="232"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Shares, (iii) Trading Fund OS beneficially owned less than 1% of the outstanding Shares, (iv) BVF GP may be deemed to beneficially own approximately 4.0% of the outstanding Shares, (v) BVF2 GP may be deemed to beneficially own approximately 2.9% of the outstanding Shares, (vi) Partners OS may be deemed to beneficially own less than 1% of the outstanding Shares, (vii) BVF GPH may be deemed to beneficially own approximately 6.9% of the outstanding Shares, and (viii) each of Partners, BVF Inc. and Mr. Lampert may be deemed to beneficially own approximately 7.4% of the outstanding Shares (less than 1% of the outstanding Shares are held in the Partners Managed Account). %</w:t>
      </w:r>
    </w:p>
    <w:p>
      <w:pPr>
        <w:spacing w:after="0" w:line="19"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45"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BVF GPH, Partners, BVF Inc. and Mr. Lampert share voting and dispositive power over the Shares beneficially owned by BVF and BVF2. Partners, BVF Inc. and Mr. Lampert share voting and dispositive power over the Shares beneficially owned by Trading Fund OS and held in the Partners Managed Account.</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945"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99.1.</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945" w:orient="portrait"/>
          <w:cols w:equalWidth="0" w:num="1">
            <w:col w:w="11140"/>
          </w:cols>
          <w:pgMar w:left="360" w:top="111" w:right="399" w:bottom="0" w:gutter="0" w:footer="0" w:header="0"/>
          <w:type w:val="continuous"/>
        </w:sectPr>
      </w:pPr>
    </w:p>
    <w:bookmarkStart w:id="10" w:name="page11"/>
    <w:bookmarkEnd w:id="10"/>
    <w:p>
      <w:pPr>
        <w:ind w:left="72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BIOTECHNOLOGY VALUE FUND L P</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BVF I GP LLC</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BIOTECHNOLOGY VALUE FUND II LP</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BVF II GP LLC</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Biotechnology Value Trading Fund OS LP</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BVF Partners OS Ltd.</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BVF GP HOLDINGS LLC</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BVF PARTNERS L P/IL</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BVF INC/IL</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LAMPERT MARK N</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Mark N. Lampert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0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0920"/>
          </w:cols>
          <w:pgMar w:left="580" w:top="112" w:right="39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1"/>
          <w:szCs w:val="21"/>
          <w:color w:val="auto"/>
        </w:rPr>
        <w:t>99.1 - Joint Filing Agreement, October 22, 2025.</w:t>
      </w:r>
    </w:p>
    <w:p>
      <w:pPr>
        <w:sectPr>
          <w:pgSz w:w="11900" w:h="16838" w:orient="portrait"/>
          <w:cols w:equalWidth="0" w:num="1">
            <w:col w:w="10099"/>
          </w:cols>
          <w:pgMar w:left="360" w:top="112"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dated October 22, 2025 with respect to the Common Stock, $0.0001 par value per share, of Invivyd, Inc., a Delaware corporation, and any further amendments thereto executed by each and any of the undersigned shall be filed on behalf of each of the undersigned pursuant to and in accordance with the provisions of Rule 13d-1(k)(1) under the Securities Exchange Act of 1934, as amended.</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BIOTECHNOLOGY VALUE FUND L 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c>
          <w:tcPr>
            <w:tcW w:w="5640" w:type="dxa"/>
            <w:vAlign w:val="bottom"/>
          </w:tcPr>
          <w:p>
            <w:pPr>
              <w:spacing w:after="0"/>
              <w:rPr>
                <w:sz w:val="20"/>
                <w:szCs w:val="20"/>
                <w:color w:val="auto"/>
              </w:rPr>
            </w:pPr>
          </w:p>
        </w:tc>
      </w:tr>
      <w:tr>
        <w:trPr>
          <w:trHeight w:val="191"/>
        </w:trPr>
        <w:tc>
          <w:tcPr>
            <w:tcW w:w="60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c>
          <w:tcPr>
            <w:tcW w:w="5640" w:type="dxa"/>
            <w:vAlign w:val="bottom"/>
          </w:tcPr>
          <w:p>
            <w:pPr>
              <w:spacing w:after="0"/>
              <w:rPr>
                <w:sz w:val="16"/>
                <w:szCs w:val="16"/>
                <w:color w:val="auto"/>
              </w:rPr>
            </w:pPr>
          </w:p>
        </w:tc>
      </w:tr>
      <w:tr>
        <w:trPr>
          <w:trHeight w:val="234"/>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10/22/2025</w:t>
            </w:r>
          </w:p>
        </w:tc>
        <w:tc>
          <w:tcPr>
            <w:tcW w:w="5640" w:type="dxa"/>
            <w:vAlign w:val="bottom"/>
          </w:tcPr>
          <w:p>
            <w:pPr>
              <w:spacing w:after="0"/>
              <w:rPr>
                <w:sz w:val="20"/>
                <w:szCs w:val="20"/>
                <w:color w:val="auto"/>
              </w:rPr>
            </w:pPr>
          </w:p>
        </w:tc>
      </w:tr>
      <w:tr>
        <w:trPr>
          <w:trHeight w:val="432"/>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BVF I GP LLC</w:t>
            </w:r>
          </w:p>
        </w:tc>
        <w:tc>
          <w:tcPr>
            <w:tcW w:w="5640" w:type="dxa"/>
            <w:vAlign w:val="bottom"/>
          </w:tcPr>
          <w:p>
            <w:pPr>
              <w:spacing w:after="0"/>
              <w:rPr>
                <w:sz w:val="24"/>
                <w:szCs w:val="24"/>
                <w:color w:val="auto"/>
              </w:rPr>
            </w:pPr>
          </w:p>
        </w:tc>
      </w:tr>
      <w:tr>
        <w:trPr>
          <w:trHeight w:val="432"/>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c>
          <w:tcPr>
            <w:tcW w:w="5640" w:type="dxa"/>
            <w:vAlign w:val="bottom"/>
          </w:tcPr>
          <w:p>
            <w:pPr>
              <w:spacing w:after="0"/>
              <w:rPr>
                <w:sz w:val="24"/>
                <w:szCs w:val="24"/>
                <w:color w:val="auto"/>
              </w:rPr>
            </w:pPr>
          </w:p>
        </w:tc>
      </w:tr>
      <w:tr>
        <w:trPr>
          <w:trHeight w:val="191"/>
        </w:trPr>
        <w:tc>
          <w:tcPr>
            <w:tcW w:w="60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c>
          <w:tcPr>
            <w:tcW w:w="5640" w:type="dxa"/>
            <w:vAlign w:val="bottom"/>
          </w:tcPr>
          <w:p>
            <w:pPr>
              <w:spacing w:after="0"/>
              <w:rPr>
                <w:sz w:val="16"/>
                <w:szCs w:val="16"/>
                <w:color w:val="auto"/>
              </w:rPr>
            </w:pPr>
          </w:p>
        </w:tc>
      </w:tr>
      <w:tr>
        <w:trPr>
          <w:trHeight w:val="234"/>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10/22/2025</w:t>
            </w:r>
          </w:p>
        </w:tc>
        <w:tc>
          <w:tcPr>
            <w:tcW w:w="5640" w:type="dxa"/>
            <w:vAlign w:val="bottom"/>
          </w:tcPr>
          <w:p>
            <w:pPr>
              <w:spacing w:after="0"/>
              <w:rPr>
                <w:sz w:val="20"/>
                <w:szCs w:val="20"/>
                <w:color w:val="auto"/>
              </w:rPr>
            </w:pPr>
          </w:p>
        </w:tc>
      </w:tr>
      <w:tr>
        <w:trPr>
          <w:trHeight w:val="432"/>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BIOTECHNOLOGY VALUE FUND II LP</w:t>
            </w:r>
          </w:p>
        </w:tc>
        <w:tc>
          <w:tcPr>
            <w:tcW w:w="5640" w:type="dxa"/>
            <w:vAlign w:val="bottom"/>
          </w:tcPr>
          <w:p>
            <w:pPr>
              <w:spacing w:after="0"/>
              <w:rPr>
                <w:sz w:val="24"/>
                <w:szCs w:val="24"/>
                <w:color w:val="auto"/>
              </w:rPr>
            </w:pPr>
          </w:p>
        </w:tc>
      </w:tr>
      <w:tr>
        <w:trPr>
          <w:trHeight w:val="432"/>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c>
          <w:tcPr>
            <w:tcW w:w="5640" w:type="dxa"/>
            <w:vAlign w:val="bottom"/>
          </w:tcPr>
          <w:p>
            <w:pPr>
              <w:spacing w:after="0"/>
              <w:rPr>
                <w:sz w:val="24"/>
                <w:szCs w:val="24"/>
                <w:color w:val="auto"/>
              </w:rPr>
            </w:pPr>
          </w:p>
        </w:tc>
      </w:tr>
      <w:tr>
        <w:trPr>
          <w:trHeight w:val="191"/>
        </w:trPr>
        <w:tc>
          <w:tcPr>
            <w:tcW w:w="60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c>
          <w:tcPr>
            <w:tcW w:w="5640" w:type="dxa"/>
            <w:vAlign w:val="bottom"/>
          </w:tcPr>
          <w:p>
            <w:pPr>
              <w:spacing w:after="0"/>
              <w:rPr>
                <w:sz w:val="16"/>
                <w:szCs w:val="16"/>
                <w:color w:val="auto"/>
              </w:rPr>
            </w:pPr>
          </w:p>
        </w:tc>
      </w:tr>
      <w:tr>
        <w:trPr>
          <w:trHeight w:val="234"/>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10/22/2025</w:t>
            </w:r>
          </w:p>
        </w:tc>
        <w:tc>
          <w:tcPr>
            <w:tcW w:w="5640" w:type="dxa"/>
            <w:vAlign w:val="bottom"/>
          </w:tcPr>
          <w:p>
            <w:pPr>
              <w:spacing w:after="0"/>
              <w:rPr>
                <w:sz w:val="20"/>
                <w:szCs w:val="20"/>
                <w:color w:val="auto"/>
              </w:rPr>
            </w:pPr>
          </w:p>
        </w:tc>
      </w:tr>
      <w:tr>
        <w:trPr>
          <w:trHeight w:val="432"/>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BVF II GP LLC</w:t>
            </w:r>
          </w:p>
        </w:tc>
        <w:tc>
          <w:tcPr>
            <w:tcW w:w="5640" w:type="dxa"/>
            <w:vAlign w:val="bottom"/>
          </w:tcPr>
          <w:p>
            <w:pPr>
              <w:spacing w:after="0"/>
              <w:rPr>
                <w:sz w:val="24"/>
                <w:szCs w:val="24"/>
                <w:color w:val="auto"/>
              </w:rPr>
            </w:pPr>
          </w:p>
        </w:tc>
      </w:tr>
      <w:tr>
        <w:trPr>
          <w:trHeight w:val="432"/>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c>
          <w:tcPr>
            <w:tcW w:w="5640" w:type="dxa"/>
            <w:vAlign w:val="bottom"/>
          </w:tcPr>
          <w:p>
            <w:pPr>
              <w:spacing w:after="0"/>
              <w:rPr>
                <w:sz w:val="24"/>
                <w:szCs w:val="24"/>
                <w:color w:val="auto"/>
              </w:rPr>
            </w:pPr>
          </w:p>
        </w:tc>
      </w:tr>
      <w:tr>
        <w:trPr>
          <w:trHeight w:val="191"/>
        </w:trPr>
        <w:tc>
          <w:tcPr>
            <w:tcW w:w="60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c>
          <w:tcPr>
            <w:tcW w:w="5640" w:type="dxa"/>
            <w:vAlign w:val="bottom"/>
          </w:tcPr>
          <w:p>
            <w:pPr>
              <w:spacing w:after="0"/>
              <w:rPr>
                <w:sz w:val="16"/>
                <w:szCs w:val="16"/>
                <w:color w:val="auto"/>
              </w:rPr>
            </w:pPr>
          </w:p>
        </w:tc>
      </w:tr>
      <w:tr>
        <w:trPr>
          <w:trHeight w:val="234"/>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10/22/2025</w:t>
            </w:r>
          </w:p>
        </w:tc>
        <w:tc>
          <w:tcPr>
            <w:tcW w:w="5640" w:type="dxa"/>
            <w:vAlign w:val="bottom"/>
          </w:tcPr>
          <w:p>
            <w:pPr>
              <w:spacing w:after="0"/>
              <w:rPr>
                <w:sz w:val="20"/>
                <w:szCs w:val="20"/>
                <w:color w:val="auto"/>
              </w:rPr>
            </w:pPr>
          </w:p>
        </w:tc>
      </w:tr>
      <w:tr>
        <w:trPr>
          <w:trHeight w:val="432"/>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Biotechnology Value Trading Fund OS LP</w:t>
            </w:r>
          </w:p>
        </w:tc>
        <w:tc>
          <w:tcPr>
            <w:tcW w:w="5640" w:type="dxa"/>
            <w:vAlign w:val="bottom"/>
          </w:tcPr>
          <w:p>
            <w:pPr>
              <w:spacing w:after="0"/>
              <w:rPr>
                <w:sz w:val="24"/>
                <w:szCs w:val="24"/>
                <w:color w:val="auto"/>
              </w:rPr>
            </w:pPr>
          </w:p>
        </w:tc>
      </w:tr>
      <w:tr>
        <w:trPr>
          <w:trHeight w:val="432"/>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c>
          <w:tcPr>
            <w:tcW w:w="5640" w:type="dxa"/>
            <w:vAlign w:val="bottom"/>
          </w:tcPr>
          <w:p>
            <w:pPr>
              <w:spacing w:after="0"/>
              <w:rPr>
                <w:sz w:val="24"/>
                <w:szCs w:val="24"/>
                <w:color w:val="auto"/>
              </w:rPr>
            </w:pPr>
          </w:p>
        </w:tc>
      </w:tr>
      <w:tr>
        <w:trPr>
          <w:trHeight w:val="191"/>
        </w:trPr>
        <w:tc>
          <w:tcPr>
            <w:tcW w:w="60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c>
          <w:tcPr>
            <w:tcW w:w="5640" w:type="dxa"/>
            <w:vAlign w:val="bottom"/>
          </w:tcPr>
          <w:p>
            <w:pPr>
              <w:spacing w:after="0"/>
              <w:rPr>
                <w:sz w:val="16"/>
                <w:szCs w:val="16"/>
                <w:color w:val="auto"/>
              </w:rPr>
            </w:pPr>
          </w:p>
        </w:tc>
      </w:tr>
      <w:tr>
        <w:trPr>
          <w:trHeight w:val="234"/>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10/22/2025</w:t>
            </w:r>
          </w:p>
        </w:tc>
        <w:tc>
          <w:tcPr>
            <w:tcW w:w="5640" w:type="dxa"/>
            <w:vAlign w:val="bottom"/>
          </w:tcPr>
          <w:p>
            <w:pPr>
              <w:spacing w:after="0"/>
              <w:rPr>
                <w:sz w:val="20"/>
                <w:szCs w:val="20"/>
                <w:color w:val="auto"/>
              </w:rPr>
            </w:pPr>
          </w:p>
        </w:tc>
      </w:tr>
      <w:tr>
        <w:trPr>
          <w:trHeight w:val="432"/>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BVF Partners OS Ltd.</w:t>
            </w:r>
          </w:p>
        </w:tc>
        <w:tc>
          <w:tcPr>
            <w:tcW w:w="5640" w:type="dxa"/>
            <w:vAlign w:val="bottom"/>
          </w:tcPr>
          <w:p>
            <w:pPr>
              <w:spacing w:after="0"/>
              <w:rPr>
                <w:sz w:val="24"/>
                <w:szCs w:val="24"/>
                <w:color w:val="auto"/>
              </w:rPr>
            </w:pPr>
          </w:p>
        </w:tc>
      </w:tr>
      <w:tr>
        <w:trPr>
          <w:trHeight w:val="432"/>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c>
          <w:tcPr>
            <w:tcW w:w="5640" w:type="dxa"/>
            <w:vAlign w:val="bottom"/>
          </w:tcPr>
          <w:p>
            <w:pPr>
              <w:spacing w:after="0"/>
              <w:rPr>
                <w:sz w:val="24"/>
                <w:szCs w:val="24"/>
                <w:color w:val="auto"/>
              </w:rPr>
            </w:pPr>
          </w:p>
        </w:tc>
      </w:tr>
      <w:tr>
        <w:trPr>
          <w:trHeight w:val="191"/>
        </w:trPr>
        <w:tc>
          <w:tcPr>
            <w:tcW w:w="60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c>
          <w:tcPr>
            <w:tcW w:w="5640" w:type="dxa"/>
            <w:vAlign w:val="bottom"/>
          </w:tcPr>
          <w:p>
            <w:pPr>
              <w:spacing w:after="0"/>
              <w:rPr>
                <w:sz w:val="16"/>
                <w:szCs w:val="16"/>
                <w:color w:val="auto"/>
              </w:rPr>
            </w:pPr>
          </w:p>
        </w:tc>
      </w:tr>
      <w:tr>
        <w:trPr>
          <w:trHeight w:val="234"/>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10/22/2025</w:t>
            </w:r>
          </w:p>
        </w:tc>
        <w:tc>
          <w:tcPr>
            <w:tcW w:w="5640" w:type="dxa"/>
            <w:vAlign w:val="bottom"/>
          </w:tcPr>
          <w:p>
            <w:pPr>
              <w:spacing w:after="0"/>
              <w:rPr>
                <w:sz w:val="20"/>
                <w:szCs w:val="20"/>
                <w:color w:val="auto"/>
              </w:rPr>
            </w:pPr>
          </w:p>
        </w:tc>
      </w:tr>
      <w:tr>
        <w:trPr>
          <w:trHeight w:val="567"/>
        </w:trPr>
        <w:tc>
          <w:tcPr>
            <w:tcW w:w="6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BVF GP HOLDINGS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10/22/2025</w:t>
            </w:r>
          </w:p>
        </w:tc>
      </w:tr>
      <w:tr>
        <w:trPr>
          <w:trHeight w:val="4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BVF PARTNERS L P/IL</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10/22/2025</w:t>
            </w:r>
          </w:p>
        </w:tc>
      </w:tr>
      <w:tr>
        <w:trPr>
          <w:trHeight w:val="4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BVF INC/IL</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 Authorized Signatory</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10/22/2025</w:t>
            </w:r>
          </w:p>
        </w:tc>
      </w:tr>
      <w:tr>
        <w:trPr>
          <w:trHeight w:val="4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LAMPERT MARK N</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N. Lampert</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N. Lampert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10/22/2025</w:t>
            </w:r>
          </w:p>
        </w:tc>
      </w:tr>
    </w:tbl>
    <w:p>
      <w:pPr>
        <w:spacing w:after="0" w:line="1" w:lineRule="exact"/>
        <w:rPr>
          <w:sz w:val="20"/>
          <w:szCs w:val="20"/>
          <w:color w:val="auto"/>
        </w:rPr>
      </w:pPr>
    </w:p>
    <w:sectPr>
      <w:pgSz w:w="11900" w:h="16838" w:orient="portrait"/>
      <w:cols w:equalWidth="0" w:num="1">
        <w:col w:w="10099"/>
      </w:cols>
      <w:pgMar w:left="36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3"/>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2025-10-22T19:14:16Z</dcterms:created>
  <dcterms:modified xsi:type="dcterms:W3CDTF">2025-10-22T19:14:16Z</dcterms:modified>
</cp:coreProperties>
</file>