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December 19, 2025</w:t>
      </w:r>
    </w:p>
    <w:p>
      <w:pPr>
        <w:spacing w:after="0" w:line="18" w:lineRule="exact"/>
        <w:rPr>
          <w:sz w:val="24"/>
          <w:szCs w:val="24"/>
          <w:color w:val="auto"/>
        </w:rPr>
      </w:pPr>
    </w:p>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Registration No. 333-290685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231775</wp:posOffset>
            </wp:positionH>
            <wp:positionV relativeFrom="paragraph">
              <wp:posOffset>46355</wp:posOffset>
            </wp:positionV>
            <wp:extent cx="526351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63515" cy="635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78740</wp:posOffset>
            </wp:positionV>
            <wp:extent cx="526351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63515" cy="6350"/>
                    </a:xfrm>
                    <a:prstGeom prst="rect">
                      <a:avLst/>
                    </a:prstGeom>
                    <a:noFill/>
                  </pic:spPr>
                </pic:pic>
              </a:graphicData>
            </a:graphic>
          </wp:anchor>
        </w:drawing>
      </w:r>
    </w:p>
    <w:p>
      <w:pPr>
        <w:spacing w:after="0" w:line="1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2308225</wp:posOffset>
            </wp:positionH>
            <wp:positionV relativeFrom="paragraph">
              <wp:posOffset>168910</wp:posOffset>
            </wp:positionV>
            <wp:extent cx="110299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2995" cy="6350"/>
                    </a:xfrm>
                    <a:prstGeom prst="rect">
                      <a:avLst/>
                    </a:prstGeom>
                    <a:noFill/>
                  </pic:spPr>
                </pic:pic>
              </a:graphicData>
            </a:graphic>
          </wp:anchor>
        </w:drawing>
      </w: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PRE-EFFECTIVE AMENDMENT NO. 1</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TO</w:t>
      </w:r>
    </w:p>
    <w:p>
      <w:pPr>
        <w:jc w:val="center"/>
        <w:ind w:right="19"/>
        <w:spacing w:after="0" w:line="238" w:lineRule="auto"/>
        <w:rPr>
          <w:sz w:val="20"/>
          <w:szCs w:val="20"/>
          <w:color w:val="auto"/>
        </w:rPr>
      </w:pPr>
      <w:r>
        <w:rPr>
          <w:rFonts w:ascii="Times New Roman" w:cs="Times New Roman" w:eastAsia="Times New Roman" w:hAnsi="Times New Roman"/>
          <w:sz w:val="24"/>
          <w:szCs w:val="24"/>
          <w:b w:val="1"/>
          <w:bCs w:val="1"/>
          <w:color w:val="auto"/>
        </w:rPr>
        <w:t>FORM S-3</w:t>
      </w: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jc w:val="center"/>
        <w:ind w:right="19"/>
        <w:spacing w:after="0" w:line="238" w:lineRule="auto"/>
        <w:rPr>
          <w:sz w:val="20"/>
          <w:szCs w:val="20"/>
          <w:color w:val="auto"/>
        </w:rPr>
      </w:pPr>
      <w:r>
        <w:rPr>
          <w:rFonts w:ascii="Times New Roman" w:cs="Times New Roman" w:eastAsia="Times New Roman" w:hAnsi="Times New Roman"/>
          <w:sz w:val="16"/>
          <w:szCs w:val="16"/>
          <w:b w:val="1"/>
          <w:bCs w:val="1"/>
          <w:i w:val="1"/>
          <w:iCs w:val="1"/>
          <w:color w:val="auto"/>
        </w:rPr>
        <w:t>UNDER</w:t>
      </w: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2308225</wp:posOffset>
            </wp:positionH>
            <wp:positionV relativeFrom="paragraph">
              <wp:posOffset>168910</wp:posOffset>
            </wp:positionV>
            <wp:extent cx="110299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2995" cy="6350"/>
                    </a:xfrm>
                    <a:prstGeom prst="rect">
                      <a:avLst/>
                    </a:prstGeom>
                    <a:noFill/>
                  </pic:spPr>
                </pic:pic>
              </a:graphicData>
            </a:graphic>
          </wp:anchor>
        </w:drawing>
      </w:r>
    </w:p>
    <w:p>
      <w:pPr>
        <w:spacing w:after="0" w:line="3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Invivyd,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2308225</wp:posOffset>
            </wp:positionH>
            <wp:positionV relativeFrom="paragraph">
              <wp:posOffset>174625</wp:posOffset>
            </wp:positionV>
            <wp:extent cx="110299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2995" cy="635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1740" w:type="dxa"/>
        <w:tblCellMar>
          <w:top w:w="0" w:type="dxa"/>
          <w:left w:w="0" w:type="dxa"/>
          <w:bottom w:w="0" w:type="dxa"/>
          <w:right w:w="0" w:type="dxa"/>
        </w:tblCellMar>
      </w:tblPr>
      <w:tr>
        <w:trPr>
          <w:trHeight w:val="161"/>
        </w:trPr>
        <w:tc>
          <w:tcPr>
            <w:tcW w:w="2880" w:type="dxa"/>
            <w:vAlign w:val="bottom"/>
          </w:tcPr>
          <w:p>
            <w:pPr>
              <w:jc w:val="center"/>
              <w:ind w:right="1401"/>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2560" w:type="dxa"/>
            <w:vAlign w:val="bottom"/>
          </w:tcPr>
          <w:p>
            <w:pPr>
              <w:jc w:val="center"/>
              <w:ind w:left="1421"/>
              <w:spacing w:after="0"/>
              <w:rPr>
                <w:sz w:val="20"/>
                <w:szCs w:val="20"/>
                <w:color w:val="auto"/>
              </w:rPr>
            </w:pPr>
            <w:r>
              <w:rPr>
                <w:rFonts w:ascii="Times New Roman" w:cs="Times New Roman" w:eastAsia="Times New Roman" w:hAnsi="Times New Roman"/>
                <w:sz w:val="14"/>
                <w:szCs w:val="14"/>
                <w:b w:val="1"/>
                <w:bCs w:val="1"/>
                <w:color w:val="auto"/>
                <w:w w:val="94"/>
              </w:rPr>
              <w:t>85-1403134</w:t>
            </w:r>
          </w:p>
        </w:tc>
      </w:tr>
      <w:tr>
        <w:trPr>
          <w:trHeight w:val="112"/>
        </w:trPr>
        <w:tc>
          <w:tcPr>
            <w:tcW w:w="2880" w:type="dxa"/>
            <w:vAlign w:val="bottom"/>
          </w:tcPr>
          <w:p>
            <w:pPr>
              <w:jc w:val="center"/>
              <w:ind w:right="1401"/>
              <w:spacing w:after="0" w:line="112" w:lineRule="exact"/>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2560" w:type="dxa"/>
            <w:vAlign w:val="bottom"/>
          </w:tcPr>
          <w:p>
            <w:pPr>
              <w:jc w:val="center"/>
              <w:ind w:left="1401"/>
              <w:spacing w:after="0" w:line="11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880" w:type="dxa"/>
            <w:vAlign w:val="bottom"/>
          </w:tcPr>
          <w:p>
            <w:pPr>
              <w:jc w:val="center"/>
              <w:ind w:right="1401"/>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2560" w:type="dxa"/>
            <w:vAlign w:val="bottom"/>
          </w:tcPr>
          <w:p>
            <w:pPr>
              <w:jc w:val="center"/>
              <w:ind w:left="1421"/>
              <w:spacing w:after="0"/>
              <w:rPr>
                <w:sz w:val="20"/>
                <w:szCs w:val="20"/>
                <w:color w:val="auto"/>
              </w:rPr>
            </w:pPr>
            <w:r>
              <w:rPr>
                <w:rFonts w:ascii="Times New Roman" w:cs="Times New Roman" w:eastAsia="Times New Roman" w:hAnsi="Times New Roman"/>
                <w:sz w:val="11"/>
                <w:szCs w:val="11"/>
                <w:b w:val="1"/>
                <w:bCs w:val="1"/>
                <w:color w:val="auto"/>
                <w:w w:val="98"/>
              </w:rPr>
              <w:t>Identification Number)</w:t>
            </w:r>
          </w:p>
        </w:tc>
      </w:tr>
    </w:tbl>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209 Church Street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New Haven, CT 06510</w:t>
      </w:r>
    </w:p>
    <w:p>
      <w:pPr>
        <w:jc w:val="center"/>
        <w:ind w:right="19"/>
        <w:spacing w:after="0" w:line="237" w:lineRule="auto"/>
        <w:rPr>
          <w:sz w:val="20"/>
          <w:szCs w:val="20"/>
          <w:color w:val="auto"/>
        </w:rPr>
      </w:pPr>
      <w:r>
        <w:rPr>
          <w:rFonts w:ascii="Times New Roman" w:cs="Times New Roman" w:eastAsia="Times New Roman" w:hAnsi="Times New Roman"/>
          <w:sz w:val="14"/>
          <w:szCs w:val="14"/>
          <w:b w:val="1"/>
          <w:bCs w:val="1"/>
          <w:color w:val="auto"/>
        </w:rPr>
        <w:t>(781) 819-0080</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2308225</wp:posOffset>
            </wp:positionH>
            <wp:positionV relativeFrom="paragraph">
              <wp:posOffset>168275</wp:posOffset>
            </wp:positionV>
            <wp:extent cx="110299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2995" cy="635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William Duke, Jr.</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Invivyd, Inc.</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209 Church Street</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New Haven, CT 06510</w:t>
      </w:r>
    </w:p>
    <w:p>
      <w:pPr>
        <w:jc w:val="center"/>
        <w:ind w:right="19"/>
        <w:spacing w:after="0" w:line="237" w:lineRule="auto"/>
        <w:rPr>
          <w:sz w:val="20"/>
          <w:szCs w:val="20"/>
          <w:color w:val="auto"/>
        </w:rPr>
      </w:pPr>
      <w:r>
        <w:rPr>
          <w:rFonts w:ascii="Times New Roman" w:cs="Times New Roman" w:eastAsia="Times New Roman" w:hAnsi="Times New Roman"/>
          <w:sz w:val="14"/>
          <w:szCs w:val="14"/>
          <w:b w:val="1"/>
          <w:bCs w:val="1"/>
          <w:color w:val="auto"/>
        </w:rPr>
        <w:t>(781) 819-0080</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2308225</wp:posOffset>
            </wp:positionH>
            <wp:positionV relativeFrom="paragraph">
              <wp:posOffset>161290</wp:posOffset>
            </wp:positionV>
            <wp:extent cx="110299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2995" cy="6350"/>
                    </a:xfrm>
                    <a:prstGeom prst="rect">
                      <a:avLst/>
                    </a:prstGeom>
                    <a:noFill/>
                  </pic:spPr>
                </pic:pic>
              </a:graphicData>
            </a:graphic>
          </wp:anchor>
        </w:drawing>
      </w:r>
    </w:p>
    <w:p>
      <w:pPr>
        <w:spacing w:after="0" w:line="390" w:lineRule="exact"/>
        <w:rPr>
          <w:sz w:val="24"/>
          <w:szCs w:val="24"/>
          <w:color w:val="auto"/>
        </w:rPr>
      </w:pPr>
    </w:p>
    <w:tbl>
      <w:tblPr>
        <w:tblLayout w:type="fixed"/>
        <w:tblInd w:w="1580" w:type="dxa"/>
        <w:tblCellMar>
          <w:top w:w="0" w:type="dxa"/>
          <w:left w:w="0" w:type="dxa"/>
          <w:bottom w:w="0" w:type="dxa"/>
          <w:right w:w="0" w:type="dxa"/>
        </w:tblCellMar>
      </w:tblPr>
      <w:tr>
        <w:trPr>
          <w:trHeight w:val="179"/>
        </w:trPr>
        <w:tc>
          <w:tcPr>
            <w:tcW w:w="2200" w:type="dxa"/>
            <w:vAlign w:val="bottom"/>
          </w:tcPr>
          <w:p>
            <w:pPr>
              <w:spacing w:after="0"/>
              <w:rPr>
                <w:sz w:val="15"/>
                <w:szCs w:val="15"/>
                <w:color w:val="auto"/>
              </w:rPr>
            </w:pPr>
          </w:p>
        </w:tc>
        <w:tc>
          <w:tcPr>
            <w:tcW w:w="41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329"/>
        </w:trPr>
        <w:tc>
          <w:tcPr>
            <w:tcW w:w="2200" w:type="dxa"/>
            <w:vAlign w:val="bottom"/>
          </w:tcPr>
          <w:p>
            <w:pPr>
              <w:jc w:val="center"/>
              <w:ind w:right="393"/>
              <w:spacing w:after="0"/>
              <w:rPr>
                <w:sz w:val="20"/>
                <w:szCs w:val="20"/>
                <w:color w:val="auto"/>
              </w:rPr>
            </w:pPr>
            <w:r>
              <w:rPr>
                <w:rFonts w:ascii="Times New Roman" w:cs="Times New Roman" w:eastAsia="Times New Roman" w:hAnsi="Times New Roman"/>
                <w:sz w:val="14"/>
                <w:szCs w:val="14"/>
                <w:b w:val="1"/>
                <w:bCs w:val="1"/>
                <w:color w:val="auto"/>
                <w:w w:val="96"/>
              </w:rPr>
              <w:t>Steven J. Abrams, Esq.</w:t>
            </w:r>
          </w:p>
        </w:tc>
        <w:tc>
          <w:tcPr>
            <w:tcW w:w="4160" w:type="dxa"/>
            <w:vAlign w:val="bottom"/>
          </w:tcPr>
          <w:p>
            <w:pPr>
              <w:jc w:val="center"/>
              <w:ind w:left="1492"/>
              <w:spacing w:after="0"/>
              <w:rPr>
                <w:sz w:val="20"/>
                <w:szCs w:val="20"/>
                <w:color w:val="auto"/>
              </w:rPr>
            </w:pPr>
            <w:r>
              <w:rPr>
                <w:rFonts w:ascii="Times New Roman" w:cs="Times New Roman" w:eastAsia="Times New Roman" w:hAnsi="Times New Roman"/>
                <w:sz w:val="14"/>
                <w:szCs w:val="14"/>
                <w:b w:val="1"/>
                <w:bCs w:val="1"/>
                <w:color w:val="auto"/>
                <w:w w:val="95"/>
              </w:rPr>
              <w:t>Jill Andersen</w:t>
            </w:r>
          </w:p>
        </w:tc>
      </w:tr>
      <w:tr>
        <w:trPr>
          <w:trHeight w:val="163"/>
        </w:trPr>
        <w:tc>
          <w:tcPr>
            <w:tcW w:w="2200" w:type="dxa"/>
            <w:vAlign w:val="bottom"/>
          </w:tcPr>
          <w:p>
            <w:pPr>
              <w:jc w:val="center"/>
              <w:ind w:right="393"/>
              <w:spacing w:after="0"/>
              <w:rPr>
                <w:sz w:val="20"/>
                <w:szCs w:val="20"/>
                <w:color w:val="auto"/>
              </w:rPr>
            </w:pPr>
            <w:r>
              <w:rPr>
                <w:rFonts w:ascii="Times New Roman" w:cs="Times New Roman" w:eastAsia="Times New Roman" w:hAnsi="Times New Roman"/>
                <w:sz w:val="14"/>
                <w:szCs w:val="14"/>
                <w:b w:val="1"/>
                <w:bCs w:val="1"/>
                <w:color w:val="auto"/>
                <w:w w:val="96"/>
              </w:rPr>
              <w:t>Stephen M. Nicolai, Esq.</w:t>
            </w:r>
          </w:p>
        </w:tc>
        <w:tc>
          <w:tcPr>
            <w:tcW w:w="4160" w:type="dxa"/>
            <w:vAlign w:val="bottom"/>
          </w:tcPr>
          <w:p>
            <w:pPr>
              <w:jc w:val="center"/>
              <w:ind w:left="1492"/>
              <w:spacing w:after="0"/>
              <w:rPr>
                <w:sz w:val="20"/>
                <w:szCs w:val="20"/>
                <w:color w:val="auto"/>
              </w:rPr>
            </w:pPr>
            <w:r>
              <w:rPr>
                <w:rFonts w:ascii="Times New Roman" w:cs="Times New Roman" w:eastAsia="Times New Roman" w:hAnsi="Times New Roman"/>
                <w:sz w:val="14"/>
                <w:szCs w:val="14"/>
                <w:b w:val="1"/>
                <w:bCs w:val="1"/>
                <w:color w:val="auto"/>
                <w:w w:val="96"/>
              </w:rPr>
              <w:t>Chief Legal Officer and Corporate Secretary</w:t>
            </w:r>
          </w:p>
        </w:tc>
      </w:tr>
      <w:tr>
        <w:trPr>
          <w:trHeight w:val="163"/>
        </w:trPr>
        <w:tc>
          <w:tcPr>
            <w:tcW w:w="2200" w:type="dxa"/>
            <w:vAlign w:val="bottom"/>
          </w:tcPr>
          <w:p>
            <w:pPr>
              <w:jc w:val="center"/>
              <w:ind w:right="393"/>
              <w:spacing w:after="0"/>
              <w:rPr>
                <w:sz w:val="20"/>
                <w:szCs w:val="20"/>
                <w:color w:val="auto"/>
              </w:rPr>
            </w:pPr>
            <w:r>
              <w:rPr>
                <w:rFonts w:ascii="Times New Roman" w:cs="Times New Roman" w:eastAsia="Times New Roman" w:hAnsi="Times New Roman"/>
                <w:sz w:val="14"/>
                <w:szCs w:val="14"/>
                <w:b w:val="1"/>
                <w:bCs w:val="1"/>
                <w:color w:val="auto"/>
                <w:w w:val="97"/>
              </w:rPr>
              <w:t>Hogan Lovells US LLP</w:t>
            </w:r>
          </w:p>
        </w:tc>
        <w:tc>
          <w:tcPr>
            <w:tcW w:w="4160" w:type="dxa"/>
            <w:vAlign w:val="bottom"/>
          </w:tcPr>
          <w:p>
            <w:pPr>
              <w:jc w:val="center"/>
              <w:ind w:left="1492"/>
              <w:spacing w:after="0"/>
              <w:rPr>
                <w:sz w:val="20"/>
                <w:szCs w:val="20"/>
                <w:color w:val="auto"/>
              </w:rPr>
            </w:pPr>
            <w:r>
              <w:rPr>
                <w:rFonts w:ascii="Times New Roman" w:cs="Times New Roman" w:eastAsia="Times New Roman" w:hAnsi="Times New Roman"/>
                <w:sz w:val="14"/>
                <w:szCs w:val="14"/>
                <w:b w:val="1"/>
                <w:bCs w:val="1"/>
                <w:color w:val="auto"/>
                <w:w w:val="94"/>
              </w:rPr>
              <w:t>Invivyd, Inc.</w:t>
            </w:r>
          </w:p>
        </w:tc>
      </w:tr>
      <w:tr>
        <w:trPr>
          <w:trHeight w:val="163"/>
        </w:trPr>
        <w:tc>
          <w:tcPr>
            <w:tcW w:w="2200" w:type="dxa"/>
            <w:vAlign w:val="bottom"/>
          </w:tcPr>
          <w:p>
            <w:pPr>
              <w:jc w:val="center"/>
              <w:ind w:right="373"/>
              <w:spacing w:after="0" w:line="163" w:lineRule="exact"/>
              <w:rPr>
                <w:sz w:val="20"/>
                <w:szCs w:val="20"/>
                <w:color w:val="auto"/>
              </w:rPr>
            </w:pPr>
            <w:r>
              <w:rPr>
                <w:rFonts w:ascii="Times New Roman" w:cs="Times New Roman" w:eastAsia="Times New Roman" w:hAnsi="Times New Roman"/>
                <w:sz w:val="12"/>
                <w:szCs w:val="12"/>
                <w:b w:val="1"/>
                <w:bCs w:val="1"/>
                <w:color w:val="auto"/>
              </w:rPr>
              <w:t>1735 Market Street, 23</w:t>
            </w:r>
            <w:r>
              <w:rPr>
                <w:rFonts w:ascii="Times New Roman" w:cs="Times New Roman" w:eastAsia="Times New Roman" w:hAnsi="Times New Roman"/>
                <w:sz w:val="18"/>
                <w:szCs w:val="18"/>
                <w:b w:val="1"/>
                <w:bCs w:val="1"/>
                <w:color w:val="auto"/>
                <w:vertAlign w:val="superscript"/>
              </w:rPr>
              <w:t>rd</w:t>
            </w:r>
            <w:r>
              <w:rPr>
                <w:rFonts w:ascii="Times New Roman" w:cs="Times New Roman" w:eastAsia="Times New Roman" w:hAnsi="Times New Roman"/>
                <w:sz w:val="12"/>
                <w:szCs w:val="12"/>
                <w:b w:val="1"/>
                <w:bCs w:val="1"/>
                <w:color w:val="auto"/>
              </w:rPr>
              <w:t xml:space="preserve"> Floor</w:t>
            </w:r>
          </w:p>
        </w:tc>
        <w:tc>
          <w:tcPr>
            <w:tcW w:w="4160" w:type="dxa"/>
            <w:vAlign w:val="bottom"/>
          </w:tcPr>
          <w:p>
            <w:pPr>
              <w:jc w:val="center"/>
              <w:ind w:left="1472"/>
              <w:spacing w:after="0"/>
              <w:rPr>
                <w:sz w:val="20"/>
                <w:szCs w:val="20"/>
                <w:color w:val="auto"/>
              </w:rPr>
            </w:pPr>
            <w:r>
              <w:rPr>
                <w:rFonts w:ascii="Times New Roman" w:cs="Times New Roman" w:eastAsia="Times New Roman" w:hAnsi="Times New Roman"/>
                <w:sz w:val="14"/>
                <w:szCs w:val="14"/>
                <w:b w:val="1"/>
                <w:bCs w:val="1"/>
                <w:color w:val="auto"/>
                <w:w w:val="96"/>
              </w:rPr>
              <w:t>209 Church Street</w:t>
            </w:r>
          </w:p>
        </w:tc>
      </w:tr>
      <w:tr>
        <w:trPr>
          <w:trHeight w:val="163"/>
        </w:trPr>
        <w:tc>
          <w:tcPr>
            <w:tcW w:w="2200" w:type="dxa"/>
            <w:vAlign w:val="bottom"/>
          </w:tcPr>
          <w:p>
            <w:pPr>
              <w:jc w:val="center"/>
              <w:ind w:right="393"/>
              <w:spacing w:after="0"/>
              <w:rPr>
                <w:sz w:val="20"/>
                <w:szCs w:val="20"/>
                <w:color w:val="auto"/>
              </w:rPr>
            </w:pPr>
            <w:r>
              <w:rPr>
                <w:rFonts w:ascii="Times New Roman" w:cs="Times New Roman" w:eastAsia="Times New Roman" w:hAnsi="Times New Roman"/>
                <w:sz w:val="14"/>
                <w:szCs w:val="14"/>
                <w:b w:val="1"/>
                <w:bCs w:val="1"/>
                <w:color w:val="auto"/>
                <w:w w:val="95"/>
              </w:rPr>
              <w:t>Philadelphia, PA 19103</w:t>
            </w:r>
          </w:p>
        </w:tc>
        <w:tc>
          <w:tcPr>
            <w:tcW w:w="4160" w:type="dxa"/>
            <w:vAlign w:val="bottom"/>
          </w:tcPr>
          <w:p>
            <w:pPr>
              <w:jc w:val="center"/>
              <w:ind w:left="1492"/>
              <w:spacing w:after="0"/>
              <w:rPr>
                <w:sz w:val="20"/>
                <w:szCs w:val="20"/>
                <w:color w:val="auto"/>
              </w:rPr>
            </w:pPr>
            <w:r>
              <w:rPr>
                <w:rFonts w:ascii="Times New Roman" w:cs="Times New Roman" w:eastAsia="Times New Roman" w:hAnsi="Times New Roman"/>
                <w:sz w:val="14"/>
                <w:szCs w:val="14"/>
                <w:b w:val="1"/>
                <w:bCs w:val="1"/>
                <w:color w:val="auto"/>
                <w:w w:val="95"/>
              </w:rPr>
              <w:t>New Haven, CT 06510</w:t>
            </w:r>
          </w:p>
        </w:tc>
      </w:tr>
      <w:tr>
        <w:trPr>
          <w:trHeight w:val="179"/>
        </w:trPr>
        <w:tc>
          <w:tcPr>
            <w:tcW w:w="2200" w:type="dxa"/>
            <w:vAlign w:val="bottom"/>
          </w:tcPr>
          <w:p>
            <w:pPr>
              <w:jc w:val="center"/>
              <w:ind w:right="393"/>
              <w:spacing w:after="0"/>
              <w:rPr>
                <w:sz w:val="20"/>
                <w:szCs w:val="20"/>
                <w:color w:val="auto"/>
              </w:rPr>
            </w:pPr>
            <w:r>
              <w:rPr>
                <w:rFonts w:ascii="Times New Roman" w:cs="Times New Roman" w:eastAsia="Times New Roman" w:hAnsi="Times New Roman"/>
                <w:sz w:val="14"/>
                <w:szCs w:val="14"/>
                <w:b w:val="1"/>
                <w:bCs w:val="1"/>
                <w:color w:val="auto"/>
                <w:w w:val="98"/>
              </w:rPr>
              <w:t>(267) 675-4600</w:t>
            </w:r>
          </w:p>
        </w:tc>
        <w:tc>
          <w:tcPr>
            <w:tcW w:w="4160" w:type="dxa"/>
            <w:vAlign w:val="bottom"/>
          </w:tcPr>
          <w:p>
            <w:pPr>
              <w:jc w:val="center"/>
              <w:ind w:left="1492"/>
              <w:spacing w:after="0"/>
              <w:rPr>
                <w:sz w:val="20"/>
                <w:szCs w:val="20"/>
                <w:color w:val="auto"/>
              </w:rPr>
            </w:pPr>
            <w:r>
              <w:rPr>
                <w:rFonts w:ascii="Times New Roman" w:cs="Times New Roman" w:eastAsia="Times New Roman" w:hAnsi="Times New Roman"/>
                <w:sz w:val="14"/>
                <w:szCs w:val="14"/>
                <w:b w:val="1"/>
                <w:bCs w:val="1"/>
                <w:color w:val="auto"/>
                <w:w w:val="95"/>
              </w:rPr>
              <w:t>(781) 819-0080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2308225</wp:posOffset>
            </wp:positionH>
            <wp:positionV relativeFrom="paragraph">
              <wp:posOffset>168275</wp:posOffset>
            </wp:positionV>
            <wp:extent cx="110299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2995" cy="635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2"/>
          <w:szCs w:val="12"/>
          <w:b w:val="1"/>
          <w:bCs w:val="1"/>
          <w:color w:val="auto"/>
        </w:rPr>
        <w:t>Approximate date of commencement of proposed sale to the public: From time to time after the effective date of this Registration Statement.</w:t>
      </w:r>
    </w:p>
    <w:p>
      <w:pPr>
        <w:spacing w:after="0" w:line="191" w:lineRule="exact"/>
        <w:rPr>
          <w:sz w:val="24"/>
          <w:szCs w:val="24"/>
          <w:color w:val="auto"/>
        </w:rPr>
      </w:pPr>
    </w:p>
    <w:p>
      <w:pPr>
        <w:ind w:left="360" w:right="679"/>
        <w:spacing w:after="0" w:line="180"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29" w:lineRule="exact"/>
        <w:rPr>
          <w:sz w:val="24"/>
          <w:szCs w:val="24"/>
          <w:color w:val="auto"/>
        </w:rPr>
      </w:pPr>
    </w:p>
    <w:p>
      <w:pPr>
        <w:ind w:left="360" w:right="459"/>
        <w:spacing w:after="0" w:line="180"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29" w:lineRule="exact"/>
        <w:rPr>
          <w:sz w:val="24"/>
          <w:szCs w:val="24"/>
          <w:color w:val="auto"/>
        </w:rPr>
      </w:pPr>
    </w:p>
    <w:p>
      <w:pPr>
        <w:ind w:left="360" w:right="439"/>
        <w:spacing w:after="0" w:line="180"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29" w:lineRule="exact"/>
        <w:rPr>
          <w:sz w:val="24"/>
          <w:szCs w:val="24"/>
          <w:color w:val="auto"/>
        </w:rPr>
      </w:pPr>
    </w:p>
    <w:p>
      <w:pPr>
        <w:ind w:left="360" w:right="619"/>
        <w:spacing w:after="0" w:line="180"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29" w:lineRule="exact"/>
        <w:rPr>
          <w:sz w:val="24"/>
          <w:szCs w:val="24"/>
          <w:color w:val="auto"/>
        </w:rPr>
      </w:pPr>
    </w:p>
    <w:p>
      <w:pPr>
        <w:ind w:left="360" w:right="419"/>
        <w:spacing w:after="0" w:line="180"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29" w:lineRule="exact"/>
        <w:rPr>
          <w:sz w:val="24"/>
          <w:szCs w:val="24"/>
          <w:color w:val="auto"/>
        </w:rPr>
      </w:pPr>
    </w:p>
    <w:p>
      <w:pPr>
        <w:ind w:left="360" w:right="539"/>
        <w:spacing w:after="0" w:line="180"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29" w:lineRule="exact"/>
        <w:rPr>
          <w:sz w:val="24"/>
          <w:szCs w:val="24"/>
          <w:color w:val="auto"/>
        </w:rPr>
      </w:pPr>
    </w:p>
    <w:p>
      <w:pPr>
        <w:ind w:left="360" w:right="439"/>
        <w:spacing w:after="0" w:line="25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360" w:type="dxa"/>
        <w:tblCellMar>
          <w:top w:w="0" w:type="dxa"/>
          <w:left w:w="0" w:type="dxa"/>
          <w:bottom w:w="0" w:type="dxa"/>
          <w:right w:w="0" w:type="dxa"/>
        </w:tblCellMar>
      </w:tblPr>
      <w:tr>
        <w:trPr>
          <w:trHeight w:val="228"/>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60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Accelerated filer</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4"/>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60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4"/>
        </w:trPr>
        <w:tc>
          <w:tcPr>
            <w:tcW w:w="13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404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8" w:lineRule="exact"/>
        <w:rPr>
          <w:sz w:val="24"/>
          <w:szCs w:val="24"/>
          <w:color w:val="auto"/>
        </w:rPr>
      </w:pPr>
    </w:p>
    <w:p>
      <w:pPr>
        <w:ind w:left="360" w:right="599"/>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2308225</wp:posOffset>
            </wp:positionH>
            <wp:positionV relativeFrom="paragraph">
              <wp:posOffset>161290</wp:posOffset>
            </wp:positionV>
            <wp:extent cx="110299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2995" cy="6350"/>
                    </a:xfrm>
                    <a:prstGeom prst="rect">
                      <a:avLst/>
                    </a:prstGeom>
                    <a:noFill/>
                  </pic:spPr>
                </pic:pic>
              </a:graphicData>
            </a:graphic>
          </wp:anchor>
        </w:drawing>
      </w:r>
    </w:p>
    <w:p>
      <w:pPr>
        <w:spacing w:after="0" w:line="390" w:lineRule="exact"/>
        <w:rPr>
          <w:sz w:val="24"/>
          <w:szCs w:val="24"/>
          <w:color w:val="auto"/>
        </w:rPr>
      </w:pPr>
    </w:p>
    <w:p>
      <w:pPr>
        <w:ind w:left="360" w:right="519"/>
        <w:spacing w:after="0" w:line="251"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231775</wp:posOffset>
            </wp:positionH>
            <wp:positionV relativeFrom="paragraph">
              <wp:posOffset>105410</wp:posOffset>
            </wp:positionV>
            <wp:extent cx="526351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63515" cy="635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137795</wp:posOffset>
            </wp:positionV>
            <wp:extent cx="526351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63515" cy="6350"/>
                    </a:xfrm>
                    <a:prstGeom prst="rect">
                      <a:avLst/>
                    </a:prstGeom>
                    <a:noFill/>
                  </pic:spPr>
                </pic:pic>
              </a:graphicData>
            </a:graphic>
          </wp:anchor>
        </w:drawing>
      </w:r>
    </w:p>
    <w:p>
      <w:pPr>
        <w:sectPr>
          <w:pgSz w:w="11900" w:h="16838" w:orient="portrait"/>
          <w:cols w:equalWidth="0" w:num="1">
            <w:col w:w="9019"/>
          </w:cols>
          <w:pgMar w:left="1440" w:top="204" w:right="1440" w:bottom="393"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EXPLANATORY NOTE</w:t>
      </w:r>
    </w:p>
    <w:p>
      <w:pPr>
        <w:spacing w:after="0" w:line="168" w:lineRule="exact"/>
        <w:rPr>
          <w:sz w:val="20"/>
          <w:szCs w:val="20"/>
          <w:color w:val="auto"/>
        </w:rPr>
      </w:pPr>
    </w:p>
    <w:p>
      <w:pPr>
        <w:ind w:left="360" w:right="479"/>
        <w:spacing w:after="0" w:line="294" w:lineRule="auto"/>
        <w:rPr>
          <w:sz w:val="20"/>
          <w:szCs w:val="20"/>
          <w:color w:val="auto"/>
        </w:rPr>
      </w:pPr>
      <w:r>
        <w:rPr>
          <w:rFonts w:ascii="Times New Roman" w:cs="Times New Roman" w:eastAsia="Times New Roman" w:hAnsi="Times New Roman"/>
          <w:sz w:val="12"/>
          <w:szCs w:val="12"/>
          <w:color w:val="auto"/>
        </w:rPr>
        <w:t>This Amendment No. 1, or this Amendment, is being filed to amend the registration statement on Form S-3 (File No. 333-290685), originally filed by the registrant on October 2, 2025, or the Registration Statement, to: (i) modify the amount of unsold securities to be included on the Registration Statement pursuant to Rule 415(a)(6) under the Securities Act of 1933, as amended, that were registered on a previously filed registration statement, as indicated in Exhibit 107 to this Amendment; (ii) file an updated consent of PricewaterhouseCoopers LLP, the registrant’s independent registered public accounting firm; and (iii) update the exhibit index set forth in Item 16. Accordingly, this Amendment No. 1 consists only of the facing page, this explanatory note, Part II of the Registration Statement, the signature page to the Registration Statement, and the exhibits being filed with this Amendment. The remainder of the Registration Statement, including the prospectus, is unchanged and has been omitted.</w:t>
      </w:r>
    </w:p>
    <w:p>
      <w:pPr>
        <w:sectPr>
          <w:pgSz w:w="11900" w:h="16838" w:orient="portrait"/>
          <w:cols w:equalWidth="0" w:num="1">
            <w:col w:w="9019"/>
          </w:cols>
          <w:pgMar w:left="1440" w:top="234"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PART 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INFORMATION NOT REQUIRED IN THE PROSPECTUS</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87" w:lineRule="exact"/>
        <w:rPr>
          <w:sz w:val="20"/>
          <w:szCs w:val="20"/>
          <w:color w:val="auto"/>
        </w:rPr>
      </w:pPr>
    </w:p>
    <w:p>
      <w:pPr>
        <w:ind w:left="700" w:right="399" w:firstLine="318"/>
        <w:spacing w:after="0" w:line="252" w:lineRule="auto"/>
        <w:rPr>
          <w:sz w:val="20"/>
          <w:szCs w:val="20"/>
          <w:color w:val="auto"/>
        </w:rPr>
      </w:pPr>
      <w:r>
        <w:rPr>
          <w:rFonts w:ascii="Times New Roman" w:cs="Times New Roman" w:eastAsia="Times New Roman" w:hAnsi="Times New Roman"/>
          <w:sz w:val="14"/>
          <w:szCs w:val="14"/>
          <w:color w:val="auto"/>
        </w:rPr>
        <w:t>Set forth below is an estimate (except in the case of the registration fee) of the amount of fees and expenses to be incurred in connection with the issuance and distribution of the offered securities registered hereby, other than underwriting discounts and commission, if any, incurred in connection with the sale of the offered securities. All such amounts will be borne by Invivyd, Inc.</w:t>
      </w:r>
    </w:p>
    <w:p>
      <w:pPr>
        <w:spacing w:after="0" w:line="142"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3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Amount to</w:t>
            </w:r>
          </w:p>
        </w:tc>
      </w:tr>
      <w:tr>
        <w:trPr>
          <w:trHeight w:val="131"/>
        </w:trPr>
        <w:tc>
          <w:tcPr>
            <w:tcW w:w="3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be paid</w:t>
            </w:r>
          </w:p>
        </w:tc>
      </w:tr>
      <w:tr>
        <w:trPr>
          <w:trHeight w:val="153"/>
        </w:trPr>
        <w:tc>
          <w:tcPr>
            <w:tcW w:w="3300" w:type="dxa"/>
            <w:vAlign w:val="bottom"/>
            <w:tcBorders>
              <w:top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SEC registration fee</w:t>
            </w:r>
          </w:p>
        </w:tc>
        <w:tc>
          <w:tcPr>
            <w:tcW w:w="16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w w:val="92"/>
              </w:rPr>
              <w:t>30,260.22</w:t>
            </w:r>
          </w:p>
        </w:tc>
        <w:tc>
          <w:tcPr>
            <w:tcW w:w="40" w:type="dxa"/>
            <w:vAlign w:val="bottom"/>
            <w:tcBorders>
              <w:top w:val="single" w:sz="8" w:color="CCEEFF"/>
            </w:tcBorders>
            <w:shd w:val="clear" w:color="auto" w:fill="CCEEFF"/>
          </w:tcPr>
          <w:p>
            <w:pPr>
              <w:spacing w:after="0"/>
              <w:rPr>
                <w:sz w:val="13"/>
                <w:szCs w:val="13"/>
                <w:color w:val="auto"/>
              </w:rPr>
            </w:pPr>
          </w:p>
        </w:tc>
      </w:tr>
      <w:tr>
        <w:trPr>
          <w:trHeight w:val="163"/>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4"/>
                <w:szCs w:val="14"/>
                <w:color w:val="auto"/>
              </w:rPr>
            </w:pPr>
          </w:p>
        </w:tc>
      </w:tr>
      <w:tr>
        <w:trPr>
          <w:trHeight w:val="163"/>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4"/>
                <w:szCs w:val="14"/>
                <w:color w:val="auto"/>
              </w:rPr>
            </w:pPr>
          </w:p>
        </w:tc>
      </w:tr>
      <w:tr>
        <w:trPr>
          <w:trHeight w:val="163"/>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4"/>
                <w:szCs w:val="14"/>
                <w:color w:val="auto"/>
              </w:rPr>
            </w:pPr>
          </w:p>
        </w:tc>
      </w:tr>
      <w:tr>
        <w:trPr>
          <w:trHeight w:val="163"/>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4"/>
                <w:szCs w:val="14"/>
                <w:color w:val="auto"/>
              </w:rPr>
            </w:pPr>
          </w:p>
        </w:tc>
      </w:tr>
      <w:tr>
        <w:trPr>
          <w:trHeight w:val="165"/>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66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4"/>
                <w:szCs w:val="14"/>
                <w:color w:val="auto"/>
              </w:rPr>
            </w:pPr>
          </w:p>
        </w:tc>
      </w:tr>
    </w:tbl>
    <w:p>
      <w:pPr>
        <w:spacing w:after="0" w:line="77" w:lineRule="exact"/>
        <w:rPr>
          <w:sz w:val="20"/>
          <w:szCs w:val="20"/>
          <w:color w:val="auto"/>
        </w:rPr>
      </w:pPr>
    </w:p>
    <w:p>
      <w:pPr>
        <w:ind w:left="680" w:hanging="320"/>
        <w:spacing w:after="0"/>
        <w:tabs>
          <w:tab w:leader="none" w:pos="6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87" w:lineRule="exact"/>
        <w:rPr>
          <w:sz w:val="20"/>
          <w:szCs w:val="20"/>
          <w:color w:val="auto"/>
        </w:rPr>
      </w:pPr>
    </w:p>
    <w:p>
      <w:pPr>
        <w:ind w:left="360" w:right="499" w:firstLine="331"/>
        <w:spacing w:after="0" w:line="245" w:lineRule="auto"/>
        <w:rPr>
          <w:sz w:val="20"/>
          <w:szCs w:val="20"/>
          <w:color w:val="auto"/>
        </w:rPr>
      </w:pPr>
      <w:r>
        <w:rPr>
          <w:rFonts w:ascii="Times New Roman" w:cs="Times New Roman" w:eastAsia="Times New Roman" w:hAnsi="Times New Roman"/>
          <w:sz w:val="14"/>
          <w:szCs w:val="14"/>
          <w:color w:val="auto"/>
        </w:rPr>
        <w:t>We are incorporated under the laws of the State of Delaware. Section 102(b)(7) of the Delaware General Corporation Law, or the DGCL, generally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for (i), with respect to directors and officers, any breach of the director’s or officer’s duty of loyalty to the corporation or its stockholders; (ii), with respect to directors and officers, acts or omissions not in good faith or which involve intentional misconduct or a knowing violation of law; (iii), with respect to directors, payments of unlawful dividends or unlawful stock repurchases or redemptions under Section 174 of the DGCL; (iv), with respect to directors and officers, any transaction from which the director or officer derived an improper personal benefit; or (v), with respect to officers, any action by or in the right of the corporation.</w:t>
      </w:r>
    </w:p>
    <w:p>
      <w:pPr>
        <w:spacing w:after="0" w:line="148" w:lineRule="exact"/>
        <w:rPr>
          <w:sz w:val="20"/>
          <w:szCs w:val="20"/>
          <w:color w:val="auto"/>
        </w:rPr>
      </w:pPr>
    </w:p>
    <w:p>
      <w:pPr>
        <w:ind w:left="360" w:right="399" w:firstLine="331"/>
        <w:spacing w:after="0" w:line="291" w:lineRule="auto"/>
        <w:rPr>
          <w:sz w:val="20"/>
          <w:szCs w:val="20"/>
          <w:color w:val="auto"/>
        </w:rPr>
      </w:pPr>
      <w:r>
        <w:rPr>
          <w:rFonts w:ascii="Times New Roman" w:cs="Times New Roman" w:eastAsia="Times New Roman" w:hAnsi="Times New Roman"/>
          <w:sz w:val="12"/>
          <w:szCs w:val="12"/>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such person was or is a party or threatened to be made a party by reason of such position, if such person acted in good faith and in a manner such person reasonably believed to be in or not opposed to the best interests of the corporation, and, in any criminal action or proceeding, had no reasonable cause to believe such person’s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287" w:lineRule="exact"/>
        <w:rPr>
          <w:sz w:val="20"/>
          <w:szCs w:val="20"/>
          <w:color w:val="auto"/>
        </w:rPr>
      </w:pPr>
    </w:p>
    <w:p>
      <w:pPr>
        <w:ind w:left="360" w:right="399" w:firstLine="331"/>
        <w:spacing w:after="0" w:line="247" w:lineRule="auto"/>
        <w:rPr>
          <w:sz w:val="20"/>
          <w:szCs w:val="20"/>
          <w:color w:val="auto"/>
        </w:rPr>
      </w:pPr>
      <w:r>
        <w:rPr>
          <w:rFonts w:ascii="Times New Roman" w:cs="Times New Roman" w:eastAsia="Times New Roman" w:hAnsi="Times New Roman"/>
          <w:sz w:val="14"/>
          <w:szCs w:val="14"/>
          <w:color w:val="auto"/>
        </w:rPr>
        <w:t>As permitted by the DGCL, our amended and restated certificate of incorporation, as amended, and amended and restated bylaws, as amended, provide that: (i) we are required to indemnify our directors to the fullest extent permitted by the DGCL; (ii) we may, in our discretion, indemnify our officers, employees and agents as set forth in the DGCL; (iii) we are required, upon satisfaction of certain conditions, to advance all expenses incurred by our directors in connection with certain legal proceedings; (iv) the rights conferred in the bylaws are not exclusive; and (v) we are authorized to enter into indemnification agreements with our directors, officers, employees and agents.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9019"/>
          </w:cols>
          <w:pgMar w:left="1440" w:top="234" w:right="1440" w:bottom="1440" w:gutter="0" w:footer="0" w:header="0"/>
        </w:sectPr>
      </w:pPr>
    </w:p>
    <w:bookmarkStart w:id="3" w:name="page4"/>
    <w:bookmarkEnd w:id="3"/>
    <w:p>
      <w:pPr>
        <w:ind w:left="360" w:right="439" w:firstLine="331"/>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We have entered into indemnification agreements with each of our directors and executive officers which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 indemnification agreements also set forth certain procedures that will apply in the event of a claim for indemnification thereunder.</w:t>
      </w:r>
    </w:p>
    <w:p>
      <w:pPr>
        <w:spacing w:after="0" w:line="148" w:lineRule="exact"/>
        <w:rPr>
          <w:sz w:val="20"/>
          <w:szCs w:val="20"/>
          <w:color w:val="auto"/>
        </w:rPr>
      </w:pPr>
    </w:p>
    <w:p>
      <w:pPr>
        <w:jc w:val="both"/>
        <w:ind w:left="360" w:right="619" w:firstLine="331"/>
        <w:spacing w:after="0" w:line="252" w:lineRule="auto"/>
        <w:rPr>
          <w:sz w:val="20"/>
          <w:szCs w:val="20"/>
          <w:color w:val="auto"/>
        </w:rPr>
      </w:pPr>
      <w:r>
        <w:rPr>
          <w:rFonts w:ascii="Times New Roman" w:cs="Times New Roman" w:eastAsia="Times New Roman" w:hAnsi="Times New Roman"/>
          <w:sz w:val="14"/>
          <w:szCs w:val="14"/>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43" w:lineRule="exact"/>
        <w:rPr>
          <w:sz w:val="20"/>
          <w:szCs w:val="20"/>
          <w:color w:val="auto"/>
        </w:rPr>
      </w:pPr>
    </w:p>
    <w:p>
      <w:pPr>
        <w:ind w:left="360" w:right="559" w:firstLine="331"/>
        <w:spacing w:after="0" w:line="252"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for our directors, executive officers or persons controlling us, we have been informed that, in the opinion of the SEC, such indemnification is against public policy as expressed in the Securities Act and is therefore unenforceable.</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182" w:lineRule="exact"/>
        <w:rPr>
          <w:sz w:val="20"/>
          <w:szCs w:val="20"/>
          <w:color w:val="auto"/>
        </w:rPr>
      </w:pPr>
    </w:p>
    <w:tbl>
      <w:tblPr>
        <w:tblLayout w:type="fixed"/>
        <w:tblInd w:w="360" w:type="dxa"/>
        <w:tblCellMar>
          <w:top w:w="0" w:type="dxa"/>
          <w:left w:w="0" w:type="dxa"/>
          <w:bottom w:w="0" w:type="dxa"/>
          <w:right w:w="0" w:type="dxa"/>
        </w:tblCellMar>
      </w:tblPr>
      <w:tr>
        <w:trPr>
          <w:trHeight w:val="141"/>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6"/>
              </w:rPr>
              <w:t>Exhibit No.</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960" w:type="dxa"/>
            <w:vAlign w:val="bottom"/>
            <w:tcBorders>
              <w:bottom w:val="single" w:sz="8" w:color="auto"/>
            </w:tcBorders>
            <w:gridSpan w:val="16"/>
          </w:tcPr>
          <w:p>
            <w:pPr>
              <w:ind w:left="212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620" w:type="dxa"/>
            <w:vAlign w:val="bottom"/>
          </w:tcPr>
          <w:p>
            <w:pPr>
              <w:spacing w:after="0"/>
              <w:rPr>
                <w:sz w:val="19"/>
                <w:szCs w:val="19"/>
                <w:color w:val="auto"/>
              </w:rPr>
            </w:pPr>
          </w:p>
        </w:tc>
        <w:tc>
          <w:tcPr>
            <w:tcW w:w="71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r>
      <w:tr>
        <w:trPr>
          <w:trHeight w:val="21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620" w:type="dxa"/>
            <w:vAlign w:val="bottom"/>
          </w:tcPr>
          <w:p>
            <w:pPr>
              <w:spacing w:after="0"/>
              <w:rPr>
                <w:sz w:val="18"/>
                <w:szCs w:val="18"/>
                <w:color w:val="auto"/>
              </w:rPr>
            </w:pPr>
          </w:p>
        </w:tc>
        <w:tc>
          <w:tcPr>
            <w:tcW w:w="7140" w:type="dxa"/>
            <w:vAlign w:val="bottom"/>
            <w:gridSpan w:val="19"/>
          </w:tcPr>
          <w:p>
            <w:pPr>
              <w:spacing w:after="0"/>
              <w:rPr>
                <w:rFonts w:ascii="Times New Roman" w:cs="Times New Roman" w:eastAsia="Times New Roman" w:hAnsi="Times New Roman"/>
                <w:sz w:val="14"/>
                <w:szCs w:val="14"/>
                <w:color w:val="0000EE"/>
                <w:w w:val="97"/>
              </w:rPr>
            </w:pPr>
            <w:hyperlink r:id="rId22">
              <w:r>
                <w:rPr>
                  <w:rFonts w:ascii="Times New Roman" w:cs="Times New Roman" w:eastAsia="Times New Roman" w:hAnsi="Times New Roman"/>
                  <w:sz w:val="14"/>
                  <w:szCs w:val="14"/>
                  <w:color w:val="0000EE"/>
                  <w:w w:val="97"/>
                </w:rPr>
                <w:t>Amended and Restated Certificate of Incorporation (incorporated by reference to Exhibit 3.1 of the Company’s Current Report on</w:t>
              </w:r>
            </w:hyperlink>
          </w:p>
        </w:tc>
      </w:tr>
      <w:tr>
        <w:trPr>
          <w:trHeight w:val="143"/>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40" w:type="dxa"/>
            <w:vAlign w:val="bottom"/>
            <w:tcBorders>
              <w:top w:val="single" w:sz="8" w:color="0000EE"/>
            </w:tcBorders>
            <w:gridSpan w:val="18"/>
          </w:tcPr>
          <w:p>
            <w:pPr>
              <w:spacing w:after="0" w:line="143" w:lineRule="exact"/>
              <w:rPr>
                <w:rFonts w:ascii="Times New Roman" w:cs="Times New Roman" w:eastAsia="Times New Roman" w:hAnsi="Times New Roman"/>
                <w:sz w:val="14"/>
                <w:szCs w:val="14"/>
                <w:color w:val="0000EE"/>
              </w:rPr>
            </w:pPr>
            <w:hyperlink r:id="rId22">
              <w:r>
                <w:rPr>
                  <w:rFonts w:ascii="Times New Roman" w:cs="Times New Roman" w:eastAsia="Times New Roman" w:hAnsi="Times New Roman"/>
                  <w:sz w:val="14"/>
                  <w:szCs w:val="14"/>
                  <w:color w:val="0000EE"/>
                </w:rPr>
                <w:t>Form 8-K (File No. 001-40703), filed with the Securities and Exchange Commission on August 10, 2021).</w:t>
              </w:r>
            </w:hyperlink>
          </w:p>
        </w:tc>
        <w:tc>
          <w:tcPr>
            <w:tcW w:w="100" w:type="dxa"/>
            <w:vAlign w:val="bottom"/>
          </w:tcPr>
          <w:p>
            <w:pPr>
              <w:spacing w:after="0"/>
              <w:rPr>
                <w:sz w:val="12"/>
                <w:szCs w:val="12"/>
                <w:color w:val="auto"/>
              </w:rPr>
            </w:pP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2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620" w:type="dxa"/>
            <w:vAlign w:val="bottom"/>
          </w:tcPr>
          <w:p>
            <w:pPr>
              <w:spacing w:after="0"/>
              <w:rPr>
                <w:sz w:val="19"/>
                <w:szCs w:val="19"/>
                <w:color w:val="auto"/>
              </w:rPr>
            </w:pPr>
          </w:p>
        </w:tc>
        <w:tc>
          <w:tcPr>
            <w:tcW w:w="7140" w:type="dxa"/>
            <w:vAlign w:val="bottom"/>
            <w:gridSpan w:val="19"/>
          </w:tcPr>
          <w:p>
            <w:pPr>
              <w:spacing w:after="0"/>
              <w:rPr>
                <w:rFonts w:ascii="Times New Roman" w:cs="Times New Roman" w:eastAsia="Times New Roman" w:hAnsi="Times New Roman"/>
                <w:sz w:val="14"/>
                <w:szCs w:val="14"/>
                <w:color w:val="0000EE"/>
                <w:w w:val="98"/>
              </w:rPr>
            </w:pPr>
            <w:hyperlink r:id="rId23">
              <w:r>
                <w:rPr>
                  <w:rFonts w:ascii="Times New Roman" w:cs="Times New Roman" w:eastAsia="Times New Roman" w:hAnsi="Times New Roman"/>
                  <w:sz w:val="14"/>
                  <w:szCs w:val="14"/>
                  <w:color w:val="0000EE"/>
                  <w:w w:val="98"/>
                </w:rPr>
                <w:t>Certificate of Amendment to the Amended and Restated Certificate of Incorporation (incorporated by reference to Exhibit 3.1 of</w:t>
              </w:r>
            </w:hyperlink>
          </w:p>
        </w:tc>
      </w:tr>
      <w:tr>
        <w:trPr>
          <w:trHeight w:val="143"/>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960" w:type="dxa"/>
            <w:vAlign w:val="bottom"/>
            <w:tcBorders>
              <w:top w:val="single" w:sz="8" w:color="0000EE"/>
            </w:tcBorders>
            <w:gridSpan w:val="17"/>
          </w:tcPr>
          <w:p>
            <w:pPr>
              <w:spacing w:after="0" w:line="143" w:lineRule="exact"/>
              <w:rPr>
                <w:rFonts w:ascii="Times New Roman" w:cs="Times New Roman" w:eastAsia="Times New Roman" w:hAnsi="Times New Roman"/>
                <w:sz w:val="14"/>
                <w:szCs w:val="14"/>
                <w:color w:val="0000EE"/>
              </w:rPr>
            </w:pPr>
            <w:hyperlink r:id="rId23">
              <w:r>
                <w:rPr>
                  <w:rFonts w:ascii="Times New Roman" w:cs="Times New Roman" w:eastAsia="Times New Roman" w:hAnsi="Times New Roman"/>
                  <w:sz w:val="14"/>
                  <w:szCs w:val="14"/>
                  <w:color w:val="0000EE"/>
                </w:rPr>
                <w:t>the Company’s Current Report on Form 8-K (File No. 001-40703), filed with the Securities and Exchange Commission on</w:t>
              </w:r>
            </w:hyperlink>
          </w:p>
        </w:tc>
        <w:tc>
          <w:tcPr>
            <w:tcW w:w="180" w:type="dxa"/>
            <w:vAlign w:val="bottom"/>
            <w:gridSpan w:val="2"/>
          </w:tcPr>
          <w:p>
            <w:pPr>
              <w:spacing w:after="0"/>
              <w:rPr>
                <w:sz w:val="12"/>
                <w:szCs w:val="12"/>
                <w:color w:val="auto"/>
              </w:rPr>
            </w:pPr>
          </w:p>
        </w:tc>
      </w:tr>
      <w:tr>
        <w:trPr>
          <w:trHeight w:val="143"/>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3"/>
          </w:tcPr>
          <w:p>
            <w:pPr>
              <w:spacing w:after="0" w:line="143" w:lineRule="exact"/>
              <w:rPr>
                <w:rFonts w:ascii="Times New Roman" w:cs="Times New Roman" w:eastAsia="Times New Roman" w:hAnsi="Times New Roman"/>
                <w:sz w:val="14"/>
                <w:szCs w:val="14"/>
                <w:color w:val="0000EE"/>
                <w:w w:val="96"/>
              </w:rPr>
            </w:pPr>
            <w:hyperlink r:id="rId23">
              <w:r>
                <w:rPr>
                  <w:rFonts w:ascii="Times New Roman" w:cs="Times New Roman" w:eastAsia="Times New Roman" w:hAnsi="Times New Roman"/>
                  <w:sz w:val="14"/>
                  <w:szCs w:val="14"/>
                  <w:color w:val="0000EE"/>
                  <w:w w:val="96"/>
                </w:rPr>
                <w:t>September 13, 2022).</w:t>
              </w:r>
            </w:hyperlink>
          </w:p>
        </w:tc>
        <w:tc>
          <w:tcPr>
            <w:tcW w:w="5460" w:type="dxa"/>
            <w:vAlign w:val="bottom"/>
            <w:tcBorders>
              <w:top w:val="single" w:sz="8" w:color="0000EE"/>
            </w:tcBorders>
            <w:gridSpan w:val="8"/>
          </w:tcPr>
          <w:p>
            <w:pPr>
              <w:spacing w:after="0"/>
              <w:rPr>
                <w:sz w:val="12"/>
                <w:szCs w:val="12"/>
                <w:color w:val="auto"/>
              </w:rPr>
            </w:pPr>
          </w:p>
        </w:tc>
        <w:tc>
          <w:tcPr>
            <w:tcW w:w="500" w:type="dxa"/>
            <w:vAlign w:val="bottom"/>
            <w:gridSpan w:val="8"/>
          </w:tcPr>
          <w:p>
            <w:pPr>
              <w:spacing w:after="0"/>
              <w:rPr>
                <w:sz w:val="12"/>
                <w:szCs w:val="12"/>
                <w:color w:val="auto"/>
              </w:rPr>
            </w:pPr>
          </w:p>
        </w:tc>
      </w:tr>
      <w:tr>
        <w:trPr>
          <w:trHeight w:val="22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3.3</w:t>
            </w:r>
          </w:p>
        </w:tc>
        <w:tc>
          <w:tcPr>
            <w:tcW w:w="620" w:type="dxa"/>
            <w:vAlign w:val="bottom"/>
          </w:tcPr>
          <w:p>
            <w:pPr>
              <w:spacing w:after="0"/>
              <w:rPr>
                <w:sz w:val="19"/>
                <w:szCs w:val="19"/>
                <w:color w:val="auto"/>
              </w:rPr>
            </w:pPr>
          </w:p>
        </w:tc>
        <w:tc>
          <w:tcPr>
            <w:tcW w:w="7140" w:type="dxa"/>
            <w:vAlign w:val="bottom"/>
            <w:gridSpan w:val="19"/>
          </w:tcPr>
          <w:p>
            <w:pPr>
              <w:spacing w:after="0"/>
              <w:rPr>
                <w:rFonts w:ascii="Times New Roman" w:cs="Times New Roman" w:eastAsia="Times New Roman" w:hAnsi="Times New Roman"/>
                <w:sz w:val="14"/>
                <w:szCs w:val="14"/>
                <w:color w:val="0000EE"/>
                <w:w w:val="98"/>
              </w:rPr>
            </w:pPr>
            <w:hyperlink r:id="rId24">
              <w:r>
                <w:rPr>
                  <w:rFonts w:ascii="Times New Roman" w:cs="Times New Roman" w:eastAsia="Times New Roman" w:hAnsi="Times New Roman"/>
                  <w:sz w:val="14"/>
                  <w:szCs w:val="14"/>
                  <w:color w:val="0000EE"/>
                  <w:w w:val="98"/>
                </w:rPr>
                <w:t>Certificate of Amendment to the Amended and Restated Certificate of Incorporation (incorporated by reference to Exhibit 3.1 of</w:t>
              </w:r>
            </w:hyperlink>
          </w:p>
        </w:tc>
      </w:tr>
      <w:tr>
        <w:trPr>
          <w:trHeight w:val="143"/>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960" w:type="dxa"/>
            <w:vAlign w:val="bottom"/>
            <w:tcBorders>
              <w:top w:val="single" w:sz="8" w:color="0000EE"/>
            </w:tcBorders>
            <w:gridSpan w:val="17"/>
          </w:tcPr>
          <w:p>
            <w:pPr>
              <w:spacing w:after="0" w:line="143" w:lineRule="exact"/>
              <w:rPr>
                <w:rFonts w:ascii="Times New Roman" w:cs="Times New Roman" w:eastAsia="Times New Roman" w:hAnsi="Times New Roman"/>
                <w:sz w:val="14"/>
                <w:szCs w:val="14"/>
                <w:color w:val="0000EE"/>
              </w:rPr>
            </w:pPr>
            <w:hyperlink r:id="rId24">
              <w:r>
                <w:rPr>
                  <w:rFonts w:ascii="Times New Roman" w:cs="Times New Roman" w:eastAsia="Times New Roman" w:hAnsi="Times New Roman"/>
                  <w:sz w:val="14"/>
                  <w:szCs w:val="14"/>
                  <w:color w:val="0000EE"/>
                </w:rPr>
                <w:t>the Company’s Current Report on Form 8-K (File No. 001-40703), filed with the Securities and Exchange Commission on</w:t>
              </w:r>
            </w:hyperlink>
          </w:p>
        </w:tc>
        <w:tc>
          <w:tcPr>
            <w:tcW w:w="180" w:type="dxa"/>
            <w:vAlign w:val="bottom"/>
            <w:gridSpan w:val="2"/>
          </w:tcPr>
          <w:p>
            <w:pPr>
              <w:spacing w:after="0"/>
              <w:rPr>
                <w:sz w:val="12"/>
                <w:szCs w:val="12"/>
                <w:color w:val="auto"/>
              </w:rPr>
            </w:pPr>
          </w:p>
        </w:tc>
      </w:tr>
      <w:tr>
        <w:trPr>
          <w:trHeight w:val="143"/>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40" w:type="dxa"/>
            <w:vAlign w:val="bottom"/>
            <w:tcBorders>
              <w:top w:val="single" w:sz="8" w:color="0000EE"/>
            </w:tcBorders>
            <w:gridSpan w:val="11"/>
          </w:tcPr>
          <w:p>
            <w:pPr>
              <w:spacing w:after="0" w:line="143" w:lineRule="exact"/>
              <w:rPr>
                <w:rFonts w:ascii="Times New Roman" w:cs="Times New Roman" w:eastAsia="Times New Roman" w:hAnsi="Times New Roman"/>
                <w:sz w:val="14"/>
                <w:szCs w:val="14"/>
                <w:color w:val="0000EE"/>
              </w:rPr>
            </w:pPr>
            <w:hyperlink r:id="rId24">
              <w:r>
                <w:rPr>
                  <w:rFonts w:ascii="Times New Roman" w:cs="Times New Roman" w:eastAsia="Times New Roman" w:hAnsi="Times New Roman"/>
                  <w:sz w:val="14"/>
                  <w:szCs w:val="14"/>
                  <w:color w:val="0000EE"/>
                </w:rPr>
                <w:t>May 25, 2023).</w:t>
              </w:r>
            </w:hyperlink>
          </w:p>
        </w:tc>
        <w:tc>
          <w:tcPr>
            <w:tcW w:w="500" w:type="dxa"/>
            <w:vAlign w:val="bottom"/>
            <w:gridSpan w:val="8"/>
          </w:tcPr>
          <w:p>
            <w:pPr>
              <w:spacing w:after="0"/>
              <w:rPr>
                <w:sz w:val="12"/>
                <w:szCs w:val="12"/>
                <w:color w:val="auto"/>
              </w:rPr>
            </w:pP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2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3.4</w:t>
            </w:r>
          </w:p>
        </w:tc>
        <w:tc>
          <w:tcPr>
            <w:tcW w:w="620" w:type="dxa"/>
            <w:vAlign w:val="bottom"/>
          </w:tcPr>
          <w:p>
            <w:pPr>
              <w:spacing w:after="0"/>
              <w:rPr>
                <w:sz w:val="19"/>
                <w:szCs w:val="19"/>
                <w:color w:val="auto"/>
              </w:rPr>
            </w:pPr>
          </w:p>
        </w:tc>
        <w:tc>
          <w:tcPr>
            <w:tcW w:w="7140" w:type="dxa"/>
            <w:vAlign w:val="bottom"/>
            <w:gridSpan w:val="19"/>
          </w:tcPr>
          <w:p>
            <w:pPr>
              <w:spacing w:after="0"/>
              <w:rPr>
                <w:rFonts w:ascii="Times New Roman" w:cs="Times New Roman" w:eastAsia="Times New Roman" w:hAnsi="Times New Roman"/>
                <w:sz w:val="14"/>
                <w:szCs w:val="14"/>
                <w:color w:val="0000EE"/>
              </w:rPr>
            </w:pPr>
            <w:hyperlink r:id="rId25">
              <w:r>
                <w:rPr>
                  <w:rFonts w:ascii="Times New Roman" w:cs="Times New Roman" w:eastAsia="Times New Roman" w:hAnsi="Times New Roman"/>
                  <w:sz w:val="14"/>
                  <w:szCs w:val="14"/>
                  <w:color w:val="0000EE"/>
                </w:rPr>
                <w:t>Amended and Restated Bylaws (incorporated by reference to Exhibit 3.2 of the Company’s Current Report on Form 8-K (File</w:t>
              </w:r>
            </w:hyperlink>
          </w:p>
        </w:tc>
      </w:tr>
      <w:tr>
        <w:trPr>
          <w:trHeight w:val="143"/>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120" w:type="dxa"/>
            <w:vAlign w:val="bottom"/>
            <w:tcBorders>
              <w:top w:val="single" w:sz="8" w:color="0000EE"/>
              <w:bottom w:val="single" w:sz="8" w:color="0000EE"/>
            </w:tcBorders>
            <w:gridSpan w:val="6"/>
          </w:tcPr>
          <w:p>
            <w:pPr>
              <w:spacing w:after="0" w:line="143" w:lineRule="exact"/>
              <w:rPr>
                <w:rFonts w:ascii="Times New Roman" w:cs="Times New Roman" w:eastAsia="Times New Roman" w:hAnsi="Times New Roman"/>
                <w:sz w:val="14"/>
                <w:szCs w:val="14"/>
                <w:color w:val="0000EE"/>
                <w:w w:val="96"/>
              </w:rPr>
            </w:pPr>
            <w:hyperlink r:id="rId25">
              <w:r>
                <w:rPr>
                  <w:rFonts w:ascii="Times New Roman" w:cs="Times New Roman" w:eastAsia="Times New Roman" w:hAnsi="Times New Roman"/>
                  <w:sz w:val="14"/>
                  <w:szCs w:val="14"/>
                  <w:color w:val="0000EE"/>
                  <w:w w:val="96"/>
                </w:rPr>
                <w:t>No. 001-40703), filed with the Securities and Exchange Commission on September 13, 2022).</w:t>
              </w:r>
            </w:hyperlink>
          </w:p>
        </w:tc>
        <w:tc>
          <w:tcPr>
            <w:tcW w:w="1700" w:type="dxa"/>
            <w:vAlign w:val="bottom"/>
            <w:tcBorders>
              <w:top w:val="single" w:sz="8" w:color="0000EE"/>
            </w:tcBorders>
            <w:gridSpan w:val="9"/>
          </w:tcPr>
          <w:p>
            <w:pPr>
              <w:spacing w:after="0"/>
              <w:rPr>
                <w:sz w:val="12"/>
                <w:szCs w:val="12"/>
                <w:color w:val="auto"/>
              </w:rPr>
            </w:pPr>
          </w:p>
        </w:tc>
        <w:tc>
          <w:tcPr>
            <w:tcW w:w="320" w:type="dxa"/>
            <w:vAlign w:val="bottom"/>
            <w:gridSpan w:val="4"/>
          </w:tcPr>
          <w:p>
            <w:pPr>
              <w:spacing w:after="0"/>
              <w:rPr>
                <w:sz w:val="12"/>
                <w:szCs w:val="12"/>
                <w:color w:val="auto"/>
              </w:rPr>
            </w:pPr>
          </w:p>
        </w:tc>
      </w:tr>
      <w:tr>
        <w:trPr>
          <w:trHeight w:val="22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3.5</w:t>
            </w:r>
          </w:p>
        </w:tc>
        <w:tc>
          <w:tcPr>
            <w:tcW w:w="620" w:type="dxa"/>
            <w:vAlign w:val="bottom"/>
          </w:tcPr>
          <w:p>
            <w:pPr>
              <w:spacing w:after="0"/>
              <w:rPr>
                <w:sz w:val="19"/>
                <w:szCs w:val="19"/>
                <w:color w:val="auto"/>
              </w:rPr>
            </w:pPr>
          </w:p>
        </w:tc>
        <w:tc>
          <w:tcPr>
            <w:tcW w:w="7140" w:type="dxa"/>
            <w:vAlign w:val="bottom"/>
            <w:gridSpan w:val="19"/>
          </w:tcPr>
          <w:p>
            <w:pPr>
              <w:spacing w:after="0"/>
              <w:rPr>
                <w:rFonts w:ascii="Times New Roman" w:cs="Times New Roman" w:eastAsia="Times New Roman" w:hAnsi="Times New Roman"/>
                <w:sz w:val="14"/>
                <w:szCs w:val="14"/>
                <w:color w:val="0000EE"/>
              </w:rPr>
            </w:pPr>
            <w:hyperlink r:id="rId26">
              <w:r>
                <w:rPr>
                  <w:rFonts w:ascii="Times New Roman" w:cs="Times New Roman" w:eastAsia="Times New Roman" w:hAnsi="Times New Roman"/>
                  <w:sz w:val="14"/>
                  <w:szCs w:val="14"/>
                  <w:color w:val="0000EE"/>
                </w:rPr>
                <w:t>Amendment No. 1 to the Amended and Restated Bylaws (incorporated by reference to Exhibit 3.2 of the Company’s Current</w:t>
              </w:r>
            </w:hyperlink>
          </w:p>
        </w:tc>
      </w:tr>
      <w:tr>
        <w:trPr>
          <w:trHeight w:val="143"/>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0" w:type="dxa"/>
            <w:vAlign w:val="bottom"/>
            <w:tcBorders>
              <w:top w:val="single" w:sz="8" w:color="0000EE"/>
            </w:tcBorders>
            <w:gridSpan w:val="14"/>
          </w:tcPr>
          <w:p>
            <w:pPr>
              <w:spacing w:after="0" w:line="143" w:lineRule="exact"/>
              <w:rPr>
                <w:rFonts w:ascii="Times New Roman" w:cs="Times New Roman" w:eastAsia="Times New Roman" w:hAnsi="Times New Roman"/>
                <w:sz w:val="14"/>
                <w:szCs w:val="14"/>
                <w:color w:val="0000EE"/>
              </w:rPr>
            </w:pPr>
            <w:hyperlink r:id="rId26">
              <w:r>
                <w:rPr>
                  <w:rFonts w:ascii="Times New Roman" w:cs="Times New Roman" w:eastAsia="Times New Roman" w:hAnsi="Times New Roman"/>
                  <w:sz w:val="14"/>
                  <w:szCs w:val="14"/>
                  <w:color w:val="0000EE"/>
                </w:rPr>
                <w:t>Report on Form 8-K (File No. 001-40703), filed with the Securities and Exchange Commission on May 25, 2023).</w:t>
              </w:r>
            </w:hyperlink>
          </w:p>
        </w:tc>
        <w:tc>
          <w:tcPr>
            <w:tcW w:w="340" w:type="dxa"/>
            <w:vAlign w:val="bottom"/>
            <w:gridSpan w:val="5"/>
          </w:tcPr>
          <w:p>
            <w:pPr>
              <w:spacing w:after="0"/>
              <w:rPr>
                <w:sz w:val="12"/>
                <w:szCs w:val="12"/>
                <w:color w:val="auto"/>
              </w:rPr>
            </w:pP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2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3.6</w:t>
            </w:r>
          </w:p>
        </w:tc>
        <w:tc>
          <w:tcPr>
            <w:tcW w:w="620" w:type="dxa"/>
            <w:vAlign w:val="bottom"/>
          </w:tcPr>
          <w:p>
            <w:pPr>
              <w:spacing w:after="0"/>
              <w:rPr>
                <w:sz w:val="19"/>
                <w:szCs w:val="19"/>
                <w:color w:val="auto"/>
              </w:rPr>
            </w:pPr>
          </w:p>
        </w:tc>
        <w:tc>
          <w:tcPr>
            <w:tcW w:w="7140" w:type="dxa"/>
            <w:vAlign w:val="bottom"/>
            <w:gridSpan w:val="19"/>
          </w:tcPr>
          <w:p>
            <w:pPr>
              <w:spacing w:after="0"/>
              <w:rPr>
                <w:rFonts w:ascii="Times New Roman" w:cs="Times New Roman" w:eastAsia="Times New Roman" w:hAnsi="Times New Roman"/>
                <w:sz w:val="14"/>
                <w:szCs w:val="14"/>
                <w:color w:val="0000EE"/>
              </w:rPr>
            </w:pPr>
            <w:hyperlink r:id="rId27">
              <w:r>
                <w:rPr>
                  <w:rFonts w:ascii="Times New Roman" w:cs="Times New Roman" w:eastAsia="Times New Roman" w:hAnsi="Times New Roman"/>
                  <w:sz w:val="14"/>
                  <w:szCs w:val="14"/>
                  <w:color w:val="0000EE"/>
                </w:rPr>
                <w:t>Delaware Certificate of Change of Registered Agent (incorporated by reference to Exhibit 3.3 of the Company’s Registration</w:t>
              </w:r>
            </w:hyperlink>
          </w:p>
        </w:tc>
      </w:tr>
      <w:tr>
        <w:trPr>
          <w:trHeight w:val="143"/>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780" w:type="dxa"/>
            <w:vAlign w:val="bottom"/>
            <w:tcBorders>
              <w:top w:val="single" w:sz="8" w:color="0000EE"/>
            </w:tcBorders>
            <w:gridSpan w:val="13"/>
          </w:tcPr>
          <w:p>
            <w:pPr>
              <w:spacing w:after="0" w:line="143" w:lineRule="exact"/>
              <w:rPr>
                <w:rFonts w:ascii="Times New Roman" w:cs="Times New Roman" w:eastAsia="Times New Roman" w:hAnsi="Times New Roman"/>
                <w:sz w:val="14"/>
                <w:szCs w:val="14"/>
                <w:color w:val="0000EE"/>
                <w:w w:val="96"/>
              </w:rPr>
            </w:pPr>
            <w:hyperlink r:id="rId27">
              <w:r>
                <w:rPr>
                  <w:rFonts w:ascii="Times New Roman" w:cs="Times New Roman" w:eastAsia="Times New Roman" w:hAnsi="Times New Roman"/>
                  <w:sz w:val="14"/>
                  <w:szCs w:val="14"/>
                  <w:color w:val="0000EE"/>
                  <w:w w:val="96"/>
                </w:rPr>
                <w:t>Statement on Form S-3 (File No. 333-267643), filed with the Securities and Exchange Commission on September 28, 2022).</w:t>
              </w:r>
            </w:hyperlink>
          </w:p>
        </w:tc>
        <w:tc>
          <w:tcPr>
            <w:tcW w:w="360" w:type="dxa"/>
            <w:vAlign w:val="bottom"/>
            <w:gridSpan w:val="6"/>
          </w:tcPr>
          <w:p>
            <w:pPr>
              <w:spacing w:after="0"/>
              <w:rPr>
                <w:sz w:val="12"/>
                <w:szCs w:val="12"/>
                <w:color w:val="auto"/>
              </w:rPr>
            </w:pP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22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620" w:type="dxa"/>
            <w:vAlign w:val="bottom"/>
          </w:tcPr>
          <w:p>
            <w:pPr>
              <w:spacing w:after="0"/>
              <w:rPr>
                <w:sz w:val="19"/>
                <w:szCs w:val="19"/>
                <w:color w:val="auto"/>
              </w:rPr>
            </w:pPr>
          </w:p>
        </w:tc>
        <w:tc>
          <w:tcPr>
            <w:tcW w:w="7140" w:type="dxa"/>
            <w:vAlign w:val="bottom"/>
            <w:gridSpan w:val="19"/>
          </w:tcPr>
          <w:p>
            <w:pPr>
              <w:spacing w:after="0"/>
              <w:rPr>
                <w:rFonts w:ascii="Times New Roman" w:cs="Times New Roman" w:eastAsia="Times New Roman" w:hAnsi="Times New Roman"/>
                <w:sz w:val="14"/>
                <w:szCs w:val="14"/>
                <w:color w:val="0000EE"/>
                <w:w w:val="99"/>
              </w:rPr>
            </w:pPr>
            <w:hyperlink r:id="rId28">
              <w:r>
                <w:rPr>
                  <w:rFonts w:ascii="Times New Roman" w:cs="Times New Roman" w:eastAsia="Times New Roman" w:hAnsi="Times New Roman"/>
                  <w:sz w:val="14"/>
                  <w:szCs w:val="14"/>
                  <w:color w:val="0000EE"/>
                  <w:w w:val="99"/>
                </w:rPr>
                <w:t>Second Amended and Restated Investors’ Rights Agreement, by and among the Company and certain of its stockholders, dated</w:t>
              </w:r>
            </w:hyperlink>
          </w:p>
        </w:tc>
      </w:tr>
      <w:tr>
        <w:trPr>
          <w:trHeight w:val="143"/>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900" w:type="dxa"/>
            <w:vAlign w:val="bottom"/>
            <w:tcBorders>
              <w:top w:val="single" w:sz="8" w:color="0000EE"/>
            </w:tcBorders>
            <w:gridSpan w:val="16"/>
          </w:tcPr>
          <w:p>
            <w:pPr>
              <w:spacing w:after="0" w:line="143" w:lineRule="exact"/>
              <w:rPr>
                <w:rFonts w:ascii="Times New Roman" w:cs="Times New Roman" w:eastAsia="Times New Roman" w:hAnsi="Times New Roman"/>
                <w:sz w:val="14"/>
                <w:szCs w:val="14"/>
                <w:color w:val="0000EE"/>
              </w:rPr>
            </w:pPr>
            <w:hyperlink r:id="rId28">
              <w:r>
                <w:rPr>
                  <w:rFonts w:ascii="Times New Roman" w:cs="Times New Roman" w:eastAsia="Times New Roman" w:hAnsi="Times New Roman"/>
                  <w:sz w:val="14"/>
                  <w:szCs w:val="14"/>
                  <w:color w:val="0000EE"/>
                </w:rPr>
                <w:t>April 16, 2021 (incorporated by reference to Exhibit 4.1 of the Company’s Registration Statement on Form S-1 (File</w:t>
              </w:r>
            </w:hyperlink>
          </w:p>
        </w:tc>
        <w:tc>
          <w:tcPr>
            <w:tcW w:w="240" w:type="dxa"/>
            <w:vAlign w:val="bottom"/>
            <w:gridSpan w:val="3"/>
          </w:tcPr>
          <w:p>
            <w:pPr>
              <w:spacing w:after="0"/>
              <w:rPr>
                <w:sz w:val="12"/>
                <w:szCs w:val="12"/>
                <w:color w:val="auto"/>
              </w:rPr>
            </w:pPr>
          </w:p>
        </w:tc>
      </w:tr>
      <w:tr>
        <w:trPr>
          <w:trHeight w:val="143"/>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320" w:type="dxa"/>
            <w:vAlign w:val="bottom"/>
            <w:tcBorders>
              <w:top w:val="single" w:sz="8" w:color="0000EE"/>
            </w:tcBorders>
            <w:gridSpan w:val="9"/>
          </w:tcPr>
          <w:p>
            <w:pPr>
              <w:spacing w:after="0" w:line="143" w:lineRule="exact"/>
              <w:rPr>
                <w:rFonts w:ascii="Times New Roman" w:cs="Times New Roman" w:eastAsia="Times New Roman" w:hAnsi="Times New Roman"/>
                <w:sz w:val="14"/>
                <w:szCs w:val="14"/>
                <w:color w:val="0000EE"/>
              </w:rPr>
            </w:pPr>
            <w:hyperlink r:id="rId28">
              <w:r>
                <w:rPr>
                  <w:rFonts w:ascii="Times New Roman" w:cs="Times New Roman" w:eastAsia="Times New Roman" w:hAnsi="Times New Roman"/>
                  <w:sz w:val="14"/>
                  <w:szCs w:val="14"/>
                  <w:color w:val="0000EE"/>
                </w:rPr>
                <w:t>No. 333-257975), filed with the Securities and Exchange Commission on July 16, 2021).</w:t>
              </w:r>
            </w:hyperlink>
          </w:p>
        </w:tc>
        <w:tc>
          <w:tcPr>
            <w:tcW w:w="820" w:type="dxa"/>
            <w:vAlign w:val="bottom"/>
            <w:gridSpan w:val="10"/>
          </w:tcPr>
          <w:p>
            <w:pPr>
              <w:spacing w:after="0"/>
              <w:rPr>
                <w:sz w:val="12"/>
                <w:szCs w:val="12"/>
                <w:color w:val="auto"/>
              </w:rPr>
            </w:pPr>
          </w:p>
        </w:tc>
      </w:tr>
      <w:tr>
        <w:trPr>
          <w:trHeight w:val="25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620" w:type="dxa"/>
            <w:vAlign w:val="bottom"/>
          </w:tcPr>
          <w:p>
            <w:pPr>
              <w:spacing w:after="0"/>
              <w:rPr>
                <w:sz w:val="22"/>
                <w:szCs w:val="22"/>
                <w:color w:val="auto"/>
              </w:rPr>
            </w:pPr>
          </w:p>
        </w:tc>
        <w:tc>
          <w:tcPr>
            <w:tcW w:w="48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auto"/>
              </w:rPr>
              <w:t>Specimen certificate evidencing shares of preferred stock.</w:t>
            </w:r>
          </w:p>
        </w:tc>
        <w:tc>
          <w:tcPr>
            <w:tcW w:w="2320" w:type="dxa"/>
            <w:vAlign w:val="bottom"/>
            <w:gridSpan w:val="15"/>
          </w:tcPr>
          <w:p>
            <w:pPr>
              <w:spacing w:after="0"/>
              <w:rPr>
                <w:sz w:val="22"/>
                <w:szCs w:val="22"/>
                <w:color w:val="auto"/>
              </w:rPr>
            </w:pPr>
          </w:p>
        </w:tc>
      </w:tr>
      <w:tr>
        <w:trPr>
          <w:trHeight w:val="24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620" w:type="dxa"/>
            <w:vAlign w:val="bottom"/>
          </w:tcPr>
          <w:p>
            <w:pPr>
              <w:spacing w:after="0"/>
              <w:rPr>
                <w:sz w:val="21"/>
                <w:szCs w:val="21"/>
                <w:color w:val="auto"/>
              </w:rPr>
            </w:pPr>
          </w:p>
        </w:tc>
        <w:tc>
          <w:tcPr>
            <w:tcW w:w="7140" w:type="dxa"/>
            <w:vAlign w:val="bottom"/>
            <w:gridSpan w:val="19"/>
          </w:tcPr>
          <w:p>
            <w:pPr>
              <w:spacing w:after="0"/>
              <w:rPr>
                <w:sz w:val="20"/>
                <w:szCs w:val="20"/>
                <w:color w:val="auto"/>
              </w:rPr>
            </w:pPr>
            <w:r>
              <w:rPr>
                <w:rFonts w:ascii="Times New Roman" w:cs="Times New Roman" w:eastAsia="Times New Roman" w:hAnsi="Times New Roman"/>
                <w:sz w:val="14"/>
                <w:szCs w:val="14"/>
                <w:color w:val="auto"/>
                <w:w w:val="96"/>
              </w:rPr>
              <w:t>Form of any Certificate of Designation setting forth the preferences and rights with respect to any preferred stock issued hereunder.</w:t>
            </w:r>
          </w:p>
        </w:tc>
      </w:tr>
      <w:tr>
        <w:trPr>
          <w:trHeight w:val="21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4.4</w:t>
            </w:r>
          </w:p>
        </w:tc>
        <w:tc>
          <w:tcPr>
            <w:tcW w:w="620" w:type="dxa"/>
            <w:vAlign w:val="bottom"/>
          </w:tcPr>
          <w:p>
            <w:pPr>
              <w:spacing w:after="0"/>
              <w:rPr>
                <w:sz w:val="18"/>
                <w:szCs w:val="18"/>
                <w:color w:val="auto"/>
              </w:rPr>
            </w:pPr>
          </w:p>
        </w:tc>
        <w:tc>
          <w:tcPr>
            <w:tcW w:w="652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w w:val="96"/>
              </w:rPr>
            </w:pPr>
            <w:hyperlink r:id="rId29">
              <w:r>
                <w:rPr>
                  <w:rFonts w:ascii="Times New Roman" w:cs="Times New Roman" w:eastAsia="Times New Roman" w:hAnsi="Times New Roman"/>
                  <w:sz w:val="14"/>
                  <w:szCs w:val="14"/>
                  <w:color w:val="0000EE"/>
                  <w:w w:val="96"/>
                </w:rPr>
                <w:t>Form of Indenture (incorporated by reference to Exhibit 4.4 of the Company’s Registration Statement on Form S-3 (File</w:t>
              </w:r>
            </w:hyperlink>
          </w:p>
        </w:tc>
        <w:tc>
          <w:tcPr>
            <w:tcW w:w="620" w:type="dxa"/>
            <w:vAlign w:val="bottom"/>
            <w:gridSpan w:val="9"/>
          </w:tcPr>
          <w:p>
            <w:pPr>
              <w:spacing w:after="0"/>
              <w:rPr>
                <w:sz w:val="18"/>
                <w:szCs w:val="18"/>
                <w:color w:val="auto"/>
              </w:rPr>
            </w:pPr>
          </w:p>
        </w:tc>
      </w:tr>
      <w:tr>
        <w:trPr>
          <w:trHeight w:val="143"/>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980" w:type="dxa"/>
            <w:vAlign w:val="bottom"/>
            <w:tcBorders>
              <w:bottom w:val="single" w:sz="8" w:color="0000EE"/>
            </w:tcBorders>
            <w:gridSpan w:val="5"/>
          </w:tcPr>
          <w:p>
            <w:pPr>
              <w:spacing w:after="0" w:line="143" w:lineRule="exact"/>
              <w:rPr>
                <w:rFonts w:ascii="Times New Roman" w:cs="Times New Roman" w:eastAsia="Times New Roman" w:hAnsi="Times New Roman"/>
                <w:sz w:val="14"/>
                <w:szCs w:val="14"/>
                <w:color w:val="0000EE"/>
                <w:w w:val="96"/>
              </w:rPr>
            </w:pPr>
            <w:hyperlink r:id="rId29">
              <w:r>
                <w:rPr>
                  <w:rFonts w:ascii="Times New Roman" w:cs="Times New Roman" w:eastAsia="Times New Roman" w:hAnsi="Times New Roman"/>
                  <w:sz w:val="14"/>
                  <w:szCs w:val="14"/>
                  <w:color w:val="0000EE"/>
                  <w:w w:val="96"/>
                </w:rPr>
                <w:t>No. 333-290685), filed with the Securities and Exchange Commission on October 2, 2025).</w:t>
              </w:r>
            </w:hyperlink>
          </w:p>
        </w:tc>
        <w:tc>
          <w:tcPr>
            <w:tcW w:w="2160" w:type="dxa"/>
            <w:vAlign w:val="bottom"/>
            <w:gridSpan w:val="14"/>
          </w:tcPr>
          <w:p>
            <w:pPr>
              <w:spacing w:after="0"/>
              <w:rPr>
                <w:sz w:val="12"/>
                <w:szCs w:val="12"/>
                <w:color w:val="auto"/>
              </w:rPr>
            </w:pPr>
          </w:p>
        </w:tc>
      </w:tr>
      <w:tr>
        <w:trPr>
          <w:trHeight w:val="25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4.5*</w:t>
            </w:r>
          </w:p>
        </w:tc>
        <w:tc>
          <w:tcPr>
            <w:tcW w:w="620" w:type="dxa"/>
            <w:vAlign w:val="bottom"/>
          </w:tcPr>
          <w:p>
            <w:pPr>
              <w:spacing w:after="0"/>
              <w:rPr>
                <w:sz w:val="22"/>
                <w:szCs w:val="22"/>
                <w:color w:val="auto"/>
              </w:rPr>
            </w:pPr>
          </w:p>
        </w:tc>
        <w:tc>
          <w:tcPr>
            <w:tcW w:w="71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Form of Warrant Agreement for Common Stock, including Warrant Certificate for Common Stock.</w:t>
            </w:r>
          </w:p>
        </w:tc>
      </w:tr>
      <w:tr>
        <w:trPr>
          <w:trHeight w:val="24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4.6*</w:t>
            </w:r>
          </w:p>
        </w:tc>
        <w:tc>
          <w:tcPr>
            <w:tcW w:w="620" w:type="dxa"/>
            <w:vAlign w:val="bottom"/>
          </w:tcPr>
          <w:p>
            <w:pPr>
              <w:spacing w:after="0"/>
              <w:rPr>
                <w:sz w:val="21"/>
                <w:szCs w:val="21"/>
                <w:color w:val="auto"/>
              </w:rPr>
            </w:pPr>
          </w:p>
        </w:tc>
        <w:tc>
          <w:tcPr>
            <w:tcW w:w="71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Form of Warrant Agreement for Preferred Stock, including Warrant Certificate for Preferred Stock.</w:t>
            </w:r>
          </w:p>
        </w:tc>
      </w:tr>
      <w:tr>
        <w:trPr>
          <w:trHeight w:val="24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4.7*</w:t>
            </w:r>
          </w:p>
        </w:tc>
        <w:tc>
          <w:tcPr>
            <w:tcW w:w="620" w:type="dxa"/>
            <w:vAlign w:val="bottom"/>
          </w:tcPr>
          <w:p>
            <w:pPr>
              <w:spacing w:after="0"/>
              <w:rPr>
                <w:sz w:val="21"/>
                <w:szCs w:val="21"/>
                <w:color w:val="auto"/>
              </w:rPr>
            </w:pPr>
          </w:p>
        </w:tc>
        <w:tc>
          <w:tcPr>
            <w:tcW w:w="71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Form of Warrant Agreement for Debt Securities, including Warrant Certificate for Debt Securities.</w:t>
            </w:r>
          </w:p>
        </w:tc>
      </w:tr>
      <w:tr>
        <w:trPr>
          <w:trHeight w:val="24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4.8*</w:t>
            </w:r>
          </w:p>
        </w:tc>
        <w:tc>
          <w:tcPr>
            <w:tcW w:w="620" w:type="dxa"/>
            <w:vAlign w:val="bottom"/>
          </w:tcPr>
          <w:p>
            <w:pPr>
              <w:spacing w:after="0"/>
              <w:rPr>
                <w:sz w:val="21"/>
                <w:szCs w:val="21"/>
                <w:color w:val="auto"/>
              </w:rPr>
            </w:pPr>
          </w:p>
        </w:tc>
        <w:tc>
          <w:tcPr>
            <w:tcW w:w="714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Form of Unit Agreement and Unit Certificate.</w:t>
            </w:r>
          </w:p>
        </w:tc>
      </w:tr>
      <w:tr>
        <w:trPr>
          <w:trHeight w:val="274"/>
        </w:trPr>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960" w:type="dxa"/>
            <w:vAlign w:val="bottom"/>
            <w:gridSpan w:val="16"/>
          </w:tcPr>
          <w:p>
            <w:pPr>
              <w:ind w:left="1700"/>
              <w:spacing w:after="0"/>
              <w:rPr>
                <w:sz w:val="20"/>
                <w:szCs w:val="20"/>
                <w:color w:val="auto"/>
              </w:rPr>
            </w:pPr>
            <w:r>
              <w:rPr>
                <w:rFonts w:ascii="Times New Roman" w:cs="Times New Roman" w:eastAsia="Times New Roman" w:hAnsi="Times New Roman"/>
                <w:sz w:val="14"/>
                <w:szCs w:val="14"/>
                <w:color w:val="auto"/>
              </w:rPr>
              <w:t>II-2</w:t>
            </w:r>
          </w:p>
        </w:tc>
      </w:tr>
    </w:tbl>
    <w:p>
      <w:pPr>
        <w:sectPr>
          <w:pgSz w:w="11900" w:h="16838" w:orient="portrait"/>
          <w:cols w:equalWidth="0" w:num="1">
            <w:col w:w="9019"/>
          </w:cols>
          <w:pgMar w:left="1440" w:top="238" w:right="1440"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204710" cy="31750"/>
                    </a:xfrm>
                    <a:prstGeom prst="rect">
                      <a:avLst/>
                    </a:prstGeom>
                    <a:noFill/>
                  </pic:spPr>
                </pic:pic>
              </a:graphicData>
            </a:graphic>
          </wp:anchor>
        </w:drawing>
      </w:r>
    </w:p>
    <w:tbl>
      <w:tblPr>
        <w:tblLayout w:type="fixed"/>
        <w:tblInd w:w="360" w:type="dxa"/>
        <w:tblCellMar>
          <w:top w:w="0" w:type="dxa"/>
          <w:left w:w="0" w:type="dxa"/>
          <w:bottom w:w="0" w:type="dxa"/>
          <w:right w:w="0" w:type="dxa"/>
        </w:tblCellMar>
      </w:tblPr>
      <w:tr>
        <w:trPr>
          <w:trHeight w:val="141"/>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6"/>
              </w:rPr>
              <w:t>Exhibit No.</w:t>
            </w:r>
          </w:p>
        </w:tc>
        <w:tc>
          <w:tcPr>
            <w:tcW w:w="6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520" w:type="dxa"/>
            <w:vAlign w:val="bottom"/>
            <w:tcBorders>
              <w:bottom w:val="single" w:sz="8" w:color="auto"/>
            </w:tcBorders>
            <w:gridSpan w:val="9"/>
          </w:tcPr>
          <w:p>
            <w:pPr>
              <w:ind w:left="16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93"/>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620" w:type="dxa"/>
            <w:vAlign w:val="bottom"/>
          </w:tcPr>
          <w:p>
            <w:pPr>
              <w:spacing w:after="0"/>
              <w:rPr>
                <w:sz w:val="16"/>
                <w:szCs w:val="16"/>
                <w:color w:val="auto"/>
              </w:rPr>
            </w:pPr>
          </w:p>
        </w:tc>
        <w:tc>
          <w:tcPr>
            <w:tcW w:w="6820" w:type="dxa"/>
            <w:vAlign w:val="bottom"/>
            <w:tcBorders>
              <w:bottom w:val="single" w:sz="8" w:color="0000EE"/>
            </w:tcBorders>
            <w:gridSpan w:val="9"/>
          </w:tcPr>
          <w:p>
            <w:pPr>
              <w:spacing w:after="0"/>
              <w:rPr>
                <w:rFonts w:ascii="Times New Roman" w:cs="Times New Roman" w:eastAsia="Times New Roman" w:hAnsi="Times New Roman"/>
                <w:sz w:val="14"/>
                <w:szCs w:val="14"/>
                <w:color w:val="0000EE"/>
                <w:w w:val="96"/>
              </w:rPr>
            </w:pPr>
            <w:hyperlink r:id="rId31">
              <w:r>
                <w:rPr>
                  <w:rFonts w:ascii="Times New Roman" w:cs="Times New Roman" w:eastAsia="Times New Roman" w:hAnsi="Times New Roman"/>
                  <w:sz w:val="14"/>
                  <w:szCs w:val="14"/>
                  <w:color w:val="0000EE"/>
                  <w:w w:val="96"/>
                </w:rPr>
                <w:t>Opinion of Hogan Lovells US LLP relating to the base prospectus (incorporated by reference to Exhibit 5.1 of the Company’s</w:t>
              </w:r>
            </w:hyperlink>
          </w:p>
        </w:tc>
        <w:tc>
          <w:tcPr>
            <w:tcW w:w="3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60" w:type="dxa"/>
            <w:vAlign w:val="bottom"/>
            <w:tcBorders>
              <w:bottom w:val="single" w:sz="8" w:color="0000EE"/>
            </w:tcBorders>
            <w:gridSpan w:val="10"/>
          </w:tcPr>
          <w:p>
            <w:pPr>
              <w:spacing w:after="0" w:line="143" w:lineRule="exact"/>
              <w:rPr>
                <w:rFonts w:ascii="Times New Roman" w:cs="Times New Roman" w:eastAsia="Times New Roman" w:hAnsi="Times New Roman"/>
                <w:sz w:val="14"/>
                <w:szCs w:val="14"/>
                <w:color w:val="0000EE"/>
                <w:w w:val="96"/>
              </w:rPr>
            </w:pPr>
            <w:hyperlink r:id="rId31">
              <w:r>
                <w:rPr>
                  <w:rFonts w:ascii="Times New Roman" w:cs="Times New Roman" w:eastAsia="Times New Roman" w:hAnsi="Times New Roman"/>
                  <w:sz w:val="14"/>
                  <w:szCs w:val="14"/>
                  <w:color w:val="0000EE"/>
                  <w:w w:val="96"/>
                </w:rPr>
                <w:t>Registration Statement on Form S-3 (File No. 333-290685), filed with the Securities and Exchange Commission on October 2,</w:t>
              </w:r>
            </w:hyperlink>
          </w:p>
        </w:tc>
        <w:tc>
          <w:tcPr>
            <w:tcW w:w="2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40" w:type="dxa"/>
            <w:vAlign w:val="bottom"/>
          </w:tcPr>
          <w:p>
            <w:pPr>
              <w:spacing w:after="0"/>
              <w:rPr>
                <w:sz w:val="12"/>
                <w:szCs w:val="12"/>
                <w:color w:val="auto"/>
              </w:rPr>
            </w:pPr>
          </w:p>
        </w:tc>
        <w:tc>
          <w:tcPr>
            <w:tcW w:w="960" w:type="dxa"/>
            <w:vAlign w:val="bottom"/>
            <w:gridSpan w:val="2"/>
          </w:tcPr>
          <w:p>
            <w:pPr>
              <w:ind w:left="620"/>
              <w:spacing w:after="0" w:line="143" w:lineRule="exact"/>
              <w:rPr>
                <w:rFonts w:ascii="Times New Roman" w:cs="Times New Roman" w:eastAsia="Times New Roman" w:hAnsi="Times New Roman"/>
                <w:sz w:val="14"/>
                <w:szCs w:val="14"/>
                <w:color w:val="0000EE"/>
                <w:w w:val="88"/>
              </w:rPr>
            </w:pPr>
            <w:hyperlink r:id="rId31">
              <w:r>
                <w:rPr>
                  <w:rFonts w:ascii="Times New Roman" w:cs="Times New Roman" w:eastAsia="Times New Roman" w:hAnsi="Times New Roman"/>
                  <w:sz w:val="14"/>
                  <w:szCs w:val="14"/>
                  <w:color w:val="0000EE"/>
                  <w:w w:val="88"/>
                </w:rPr>
                <w:t>2025).</w:t>
              </w:r>
            </w:hyperlink>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5.2</w:t>
            </w:r>
          </w:p>
        </w:tc>
        <w:tc>
          <w:tcPr>
            <w:tcW w:w="620" w:type="dxa"/>
            <w:vAlign w:val="bottom"/>
          </w:tcPr>
          <w:p>
            <w:pPr>
              <w:spacing w:after="0"/>
              <w:rPr>
                <w:sz w:val="19"/>
                <w:szCs w:val="19"/>
                <w:color w:val="auto"/>
              </w:rPr>
            </w:pPr>
          </w:p>
        </w:tc>
        <w:tc>
          <w:tcPr>
            <w:tcW w:w="7140" w:type="dxa"/>
            <w:vAlign w:val="bottom"/>
            <w:gridSpan w:val="12"/>
          </w:tcPr>
          <w:p>
            <w:pPr>
              <w:spacing w:after="0"/>
              <w:rPr>
                <w:rFonts w:ascii="Times New Roman" w:cs="Times New Roman" w:eastAsia="Times New Roman" w:hAnsi="Times New Roman"/>
                <w:sz w:val="14"/>
                <w:szCs w:val="14"/>
                <w:color w:val="0000EE"/>
                <w:w w:val="99"/>
              </w:rPr>
            </w:pPr>
            <w:hyperlink r:id="rId32">
              <w:r>
                <w:rPr>
                  <w:rFonts w:ascii="Times New Roman" w:cs="Times New Roman" w:eastAsia="Times New Roman" w:hAnsi="Times New Roman"/>
                  <w:sz w:val="14"/>
                  <w:szCs w:val="14"/>
                  <w:color w:val="0000EE"/>
                  <w:w w:val="99"/>
                </w:rPr>
                <w:t>Opinion of Hogan Lovells US LLP relating to the ATM prospectus (incorporated by reference to Exhibit 5.2 of the Company’s</w:t>
              </w:r>
            </w:hyperlink>
          </w:p>
        </w:tc>
        <w:tc>
          <w:tcPr>
            <w:tcW w:w="0" w:type="dxa"/>
            <w:vAlign w:val="bottom"/>
          </w:tcPr>
          <w:p>
            <w:pPr>
              <w:spacing w:after="0"/>
              <w:rPr>
                <w:sz w:val="1"/>
                <w:szCs w:val="1"/>
                <w:color w:val="auto"/>
              </w:rPr>
            </w:pPr>
          </w:p>
        </w:tc>
      </w:tr>
      <w:tr>
        <w:trPr>
          <w:trHeight w:val="143"/>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60" w:type="dxa"/>
            <w:vAlign w:val="bottom"/>
            <w:tcBorders>
              <w:top w:val="single" w:sz="8" w:color="0000EE"/>
              <w:bottom w:val="single" w:sz="8" w:color="0000EE"/>
            </w:tcBorders>
            <w:gridSpan w:val="10"/>
          </w:tcPr>
          <w:p>
            <w:pPr>
              <w:spacing w:after="0" w:line="143" w:lineRule="exact"/>
              <w:rPr>
                <w:rFonts w:ascii="Times New Roman" w:cs="Times New Roman" w:eastAsia="Times New Roman" w:hAnsi="Times New Roman"/>
                <w:sz w:val="14"/>
                <w:szCs w:val="14"/>
                <w:color w:val="0000EE"/>
                <w:w w:val="96"/>
              </w:rPr>
            </w:pPr>
            <w:hyperlink r:id="rId32">
              <w:r>
                <w:rPr>
                  <w:rFonts w:ascii="Times New Roman" w:cs="Times New Roman" w:eastAsia="Times New Roman" w:hAnsi="Times New Roman"/>
                  <w:sz w:val="14"/>
                  <w:szCs w:val="14"/>
                  <w:color w:val="0000EE"/>
                  <w:w w:val="96"/>
                </w:rPr>
                <w:t>Registration Statement on Form S-3 (File No. 333-290685), filed with the Securities and Exchange Commission on October 2,</w:t>
              </w:r>
            </w:hyperlink>
          </w:p>
        </w:tc>
        <w:tc>
          <w:tcPr>
            <w:tcW w:w="2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40" w:type="dxa"/>
            <w:vAlign w:val="bottom"/>
          </w:tcPr>
          <w:p>
            <w:pPr>
              <w:spacing w:after="0"/>
              <w:rPr>
                <w:sz w:val="12"/>
                <w:szCs w:val="12"/>
                <w:color w:val="auto"/>
              </w:rPr>
            </w:pPr>
          </w:p>
        </w:tc>
        <w:tc>
          <w:tcPr>
            <w:tcW w:w="960" w:type="dxa"/>
            <w:vAlign w:val="bottom"/>
            <w:gridSpan w:val="2"/>
          </w:tcPr>
          <w:p>
            <w:pPr>
              <w:ind w:left="620"/>
              <w:spacing w:after="0" w:line="143" w:lineRule="exact"/>
              <w:rPr>
                <w:rFonts w:ascii="Times New Roman" w:cs="Times New Roman" w:eastAsia="Times New Roman" w:hAnsi="Times New Roman"/>
                <w:sz w:val="14"/>
                <w:szCs w:val="14"/>
                <w:color w:val="0000EE"/>
                <w:w w:val="88"/>
              </w:rPr>
            </w:pPr>
            <w:hyperlink r:id="rId32">
              <w:r>
                <w:rPr>
                  <w:rFonts w:ascii="Times New Roman" w:cs="Times New Roman" w:eastAsia="Times New Roman" w:hAnsi="Times New Roman"/>
                  <w:sz w:val="14"/>
                  <w:szCs w:val="14"/>
                  <w:color w:val="0000EE"/>
                  <w:w w:val="88"/>
                </w:rPr>
                <w:t>2025).</w:t>
              </w:r>
            </w:hyperlink>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w:t>
            </w:r>
          </w:p>
        </w:tc>
        <w:tc>
          <w:tcPr>
            <w:tcW w:w="620" w:type="dxa"/>
            <w:vAlign w:val="bottom"/>
          </w:tcPr>
          <w:p>
            <w:pPr>
              <w:spacing w:after="0"/>
              <w:rPr>
                <w:sz w:val="16"/>
                <w:szCs w:val="16"/>
                <w:color w:val="auto"/>
              </w:rPr>
            </w:pPr>
          </w:p>
        </w:tc>
        <w:tc>
          <w:tcPr>
            <w:tcW w:w="1480" w:type="dxa"/>
            <w:vAlign w:val="bottom"/>
            <w:gridSpan w:val="2"/>
            <w:vMerge w:val="restart"/>
          </w:tcPr>
          <w:p>
            <w:pPr>
              <w:spacing w:after="0"/>
              <w:rPr>
                <w:rFonts w:ascii="Times New Roman" w:cs="Times New Roman" w:eastAsia="Times New Roman" w:hAnsi="Times New Roman"/>
                <w:sz w:val="14"/>
                <w:szCs w:val="14"/>
                <w:color w:val="0000EE"/>
                <w:w w:val="94"/>
              </w:rPr>
            </w:pPr>
            <w:hyperlink r:id="rId33">
              <w:r>
                <w:rPr>
                  <w:rFonts w:ascii="Times New Roman" w:cs="Times New Roman" w:eastAsia="Times New Roman" w:hAnsi="Times New Roman"/>
                  <w:sz w:val="14"/>
                  <w:szCs w:val="14"/>
                  <w:color w:val="0000EE"/>
                  <w:w w:val="94"/>
                </w:rPr>
                <w:t>Controlled Equity Offering</w:t>
              </w:r>
            </w:hyperlink>
          </w:p>
        </w:tc>
        <w:tc>
          <w:tcPr>
            <w:tcW w:w="140" w:type="dxa"/>
            <w:vAlign w:val="bottom"/>
            <w:tcBorders>
              <w:bottom w:val="single" w:sz="8" w:color="0000EE"/>
            </w:tcBorders>
          </w:tcPr>
          <w:p>
            <w:pPr>
              <w:spacing w:after="0"/>
              <w:rPr>
                <w:rFonts w:ascii="Times New Roman" w:cs="Times New Roman" w:eastAsia="Times New Roman" w:hAnsi="Times New Roman"/>
                <w:sz w:val="10"/>
                <w:szCs w:val="10"/>
                <w:color w:val="0000EE"/>
                <w:w w:val="82"/>
              </w:rPr>
            </w:pPr>
            <w:hyperlink r:id="rId33">
              <w:r>
                <w:rPr>
                  <w:rFonts w:ascii="Times New Roman" w:cs="Times New Roman" w:eastAsia="Times New Roman" w:hAnsi="Times New Roman"/>
                  <w:sz w:val="10"/>
                  <w:szCs w:val="10"/>
                  <w:color w:val="0000EE"/>
                  <w:w w:val="82"/>
                </w:rPr>
                <w:t>SM</w:t>
              </w:r>
            </w:hyperlink>
          </w:p>
        </w:tc>
        <w:tc>
          <w:tcPr>
            <w:tcW w:w="5520" w:type="dxa"/>
            <w:vAlign w:val="bottom"/>
            <w:gridSpan w:val="9"/>
            <w:vMerge w:val="restart"/>
          </w:tcPr>
          <w:p>
            <w:pPr>
              <w:ind w:left="20"/>
              <w:spacing w:after="0"/>
              <w:rPr>
                <w:rFonts w:ascii="Times New Roman" w:cs="Times New Roman" w:eastAsia="Times New Roman" w:hAnsi="Times New Roman"/>
                <w:sz w:val="14"/>
                <w:szCs w:val="14"/>
                <w:color w:val="0000EE"/>
                <w:w w:val="99"/>
              </w:rPr>
            </w:pPr>
            <w:hyperlink r:id="rId33">
              <w:r>
                <w:rPr>
                  <w:rFonts w:ascii="Times New Roman" w:cs="Times New Roman" w:eastAsia="Times New Roman" w:hAnsi="Times New Roman"/>
                  <w:sz w:val="14"/>
                  <w:szCs w:val="14"/>
                  <w:color w:val="0000EE"/>
                  <w:w w:val="99"/>
                </w:rPr>
                <w:t>Sales Agreement, by and between the Company and Cantor Fitzgerald &amp; Co., dated December 22,</w:t>
              </w:r>
            </w:hyperlink>
          </w:p>
        </w:tc>
        <w:tc>
          <w:tcPr>
            <w:tcW w:w="0" w:type="dxa"/>
            <w:vAlign w:val="bottom"/>
          </w:tcPr>
          <w:p>
            <w:pPr>
              <w:spacing w:after="0"/>
              <w:rPr>
                <w:sz w:val="1"/>
                <w:szCs w:val="1"/>
                <w:color w:val="auto"/>
              </w:rPr>
            </w:pPr>
          </w:p>
        </w:tc>
      </w:tr>
      <w:tr>
        <w:trPr>
          <w:trHeight w:val="20"/>
        </w:trPr>
        <w:tc>
          <w:tcPr>
            <w:tcW w:w="54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2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140" w:type="dxa"/>
            <w:vAlign w:val="bottom"/>
            <w:gridSpan w:val="12"/>
          </w:tcPr>
          <w:p>
            <w:pPr>
              <w:spacing w:after="0" w:line="133" w:lineRule="exact"/>
              <w:rPr>
                <w:rFonts w:ascii="Times New Roman" w:cs="Times New Roman" w:eastAsia="Times New Roman" w:hAnsi="Times New Roman"/>
                <w:sz w:val="14"/>
                <w:szCs w:val="14"/>
                <w:color w:val="0000EE"/>
                <w:w w:val="98"/>
              </w:rPr>
            </w:pPr>
            <w:hyperlink r:id="rId33">
              <w:r>
                <w:rPr>
                  <w:rFonts w:ascii="Times New Roman" w:cs="Times New Roman" w:eastAsia="Times New Roman" w:hAnsi="Times New Roman"/>
                  <w:sz w:val="14"/>
                  <w:szCs w:val="14"/>
                  <w:color w:val="0000EE"/>
                  <w:w w:val="98"/>
                </w:rPr>
                <w:t>2023 (incorporated by reference to Exhibit 10.1 of the Company’s Current Report on Form 8-K (File No. 001-40703), filed with</w:t>
              </w:r>
            </w:hyperlink>
          </w:p>
        </w:tc>
        <w:tc>
          <w:tcPr>
            <w:tcW w:w="0" w:type="dxa"/>
            <w:vAlign w:val="bottom"/>
          </w:tcPr>
          <w:p>
            <w:pPr>
              <w:spacing w:after="0"/>
              <w:rPr>
                <w:sz w:val="1"/>
                <w:szCs w:val="1"/>
                <w:color w:val="auto"/>
              </w:rPr>
            </w:pPr>
          </w:p>
        </w:tc>
      </w:tr>
      <w:tr>
        <w:trPr>
          <w:trHeight w:val="143"/>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0" w:type="dxa"/>
            <w:vAlign w:val="bottom"/>
            <w:tcBorders>
              <w:top w:val="single" w:sz="8" w:color="0000EE"/>
              <w:bottom w:val="single" w:sz="8" w:color="0000EE"/>
            </w:tcBorders>
            <w:gridSpan w:val="5"/>
          </w:tcPr>
          <w:p>
            <w:pPr>
              <w:spacing w:after="0" w:line="143" w:lineRule="exact"/>
              <w:rPr>
                <w:rFonts w:ascii="Times New Roman" w:cs="Times New Roman" w:eastAsia="Times New Roman" w:hAnsi="Times New Roman"/>
                <w:sz w:val="14"/>
                <w:szCs w:val="14"/>
                <w:color w:val="0000EE"/>
                <w:w w:val="96"/>
              </w:rPr>
            </w:pPr>
            <w:hyperlink r:id="rId33">
              <w:r>
                <w:rPr>
                  <w:rFonts w:ascii="Times New Roman" w:cs="Times New Roman" w:eastAsia="Times New Roman" w:hAnsi="Times New Roman"/>
                  <w:sz w:val="14"/>
                  <w:szCs w:val="14"/>
                  <w:color w:val="0000EE"/>
                  <w:w w:val="96"/>
                </w:rPr>
                <w:t>the Securities and Exchange Commission on December 22, 2023).</w:t>
              </w:r>
            </w:hyperlink>
          </w:p>
        </w:tc>
        <w:tc>
          <w:tcPr>
            <w:tcW w:w="3380" w:type="dxa"/>
            <w:vAlign w:val="bottom"/>
            <w:tcBorders>
              <w:top w:val="single" w:sz="8" w:color="0000EE"/>
            </w:tcBorders>
            <w:gridSpan w:val="6"/>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620" w:type="dxa"/>
            <w:vAlign w:val="bottom"/>
          </w:tcPr>
          <w:p>
            <w:pPr>
              <w:spacing w:after="0"/>
              <w:rPr>
                <w:sz w:val="19"/>
                <w:szCs w:val="19"/>
                <w:color w:val="auto"/>
              </w:rPr>
            </w:pPr>
          </w:p>
        </w:tc>
        <w:tc>
          <w:tcPr>
            <w:tcW w:w="714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Consent of PricewaterhouseCoopers LLP, independent registered public accounting firm (filed herewith).</w:t>
            </w:r>
          </w:p>
        </w:tc>
        <w:tc>
          <w:tcPr>
            <w:tcW w:w="0" w:type="dxa"/>
            <w:vAlign w:val="bottom"/>
          </w:tcPr>
          <w:p>
            <w:pPr>
              <w:spacing w:after="0"/>
              <w:rPr>
                <w:sz w:val="1"/>
                <w:szCs w:val="1"/>
                <w:color w:val="auto"/>
              </w:rPr>
            </w:pPr>
          </w:p>
        </w:tc>
      </w:tr>
      <w:tr>
        <w:trPr>
          <w:trHeight w:val="22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620" w:type="dxa"/>
            <w:vAlign w:val="bottom"/>
          </w:tcPr>
          <w:p>
            <w:pPr>
              <w:spacing w:after="0"/>
              <w:rPr>
                <w:sz w:val="19"/>
                <w:szCs w:val="19"/>
                <w:color w:val="auto"/>
              </w:rPr>
            </w:pPr>
          </w:p>
        </w:tc>
        <w:tc>
          <w:tcPr>
            <w:tcW w:w="5700" w:type="dxa"/>
            <w:vAlign w:val="bottom"/>
            <w:tcBorders>
              <w:top w:val="single" w:sz="8" w:color="0000EE"/>
            </w:tcBorders>
            <w:gridSpan w:val="7"/>
          </w:tcPr>
          <w:p>
            <w:pPr>
              <w:spacing w:after="0"/>
              <w:rPr>
                <w:rFonts w:ascii="Times New Roman" w:cs="Times New Roman" w:eastAsia="Times New Roman" w:hAnsi="Times New Roman"/>
                <w:sz w:val="14"/>
                <w:szCs w:val="14"/>
                <w:color w:val="0000EE"/>
              </w:rPr>
            </w:pPr>
            <w:hyperlink r:id="rId31">
              <w:r>
                <w:rPr>
                  <w:rFonts w:ascii="Times New Roman" w:cs="Times New Roman" w:eastAsia="Times New Roman" w:hAnsi="Times New Roman"/>
                  <w:sz w:val="14"/>
                  <w:szCs w:val="14"/>
                  <w:color w:val="0000EE"/>
                </w:rPr>
                <w:t>Consent of Hogan Lovells US LLP (included in Exhibit 5.1).</w:t>
              </w:r>
            </w:hyperlink>
          </w:p>
        </w:tc>
        <w:tc>
          <w:tcPr>
            <w:tcW w:w="144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23.3</w:t>
            </w:r>
          </w:p>
        </w:tc>
        <w:tc>
          <w:tcPr>
            <w:tcW w:w="620" w:type="dxa"/>
            <w:vAlign w:val="bottom"/>
          </w:tcPr>
          <w:p>
            <w:pPr>
              <w:spacing w:after="0"/>
              <w:rPr>
                <w:sz w:val="19"/>
                <w:szCs w:val="19"/>
                <w:color w:val="auto"/>
              </w:rPr>
            </w:pPr>
          </w:p>
        </w:tc>
        <w:tc>
          <w:tcPr>
            <w:tcW w:w="7140" w:type="dxa"/>
            <w:vAlign w:val="bottom"/>
            <w:gridSpan w:val="12"/>
          </w:tcPr>
          <w:p>
            <w:pPr>
              <w:spacing w:after="0"/>
              <w:rPr>
                <w:rFonts w:ascii="Times New Roman" w:cs="Times New Roman" w:eastAsia="Times New Roman" w:hAnsi="Times New Roman"/>
                <w:sz w:val="14"/>
                <w:szCs w:val="14"/>
                <w:color w:val="0000EE"/>
              </w:rPr>
            </w:pPr>
            <w:hyperlink r:id="rId32">
              <w:r>
                <w:rPr>
                  <w:rFonts w:ascii="Times New Roman" w:cs="Times New Roman" w:eastAsia="Times New Roman" w:hAnsi="Times New Roman"/>
                  <w:sz w:val="14"/>
                  <w:szCs w:val="14"/>
                  <w:color w:val="0000EE"/>
                </w:rPr>
                <w:t>Consent of Hogan Lovells US LLP (included in Exhibit 5.2).</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620" w:type="dxa"/>
            <w:vAlign w:val="bottom"/>
          </w:tcPr>
          <w:p>
            <w:pPr>
              <w:spacing w:after="0"/>
              <w:rPr>
                <w:sz w:val="19"/>
                <w:szCs w:val="19"/>
                <w:color w:val="auto"/>
              </w:rPr>
            </w:pPr>
          </w:p>
        </w:tc>
        <w:tc>
          <w:tcPr>
            <w:tcW w:w="660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w w:val="96"/>
              </w:rPr>
            </w:pPr>
            <w:hyperlink r:id="rId34">
              <w:r>
                <w:rPr>
                  <w:rFonts w:ascii="Times New Roman" w:cs="Times New Roman" w:eastAsia="Times New Roman" w:hAnsi="Times New Roman"/>
                  <w:sz w:val="14"/>
                  <w:szCs w:val="14"/>
                  <w:color w:val="0000EE"/>
                  <w:w w:val="96"/>
                </w:rPr>
                <w:t>Power of Attorney (incorporated by reference to Exhibit 24.1 of the Company’s Registration Statement on Form S-3 (File</w:t>
              </w:r>
            </w:hyperlink>
          </w:p>
        </w:tc>
        <w:tc>
          <w:tcPr>
            <w:tcW w:w="5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140" w:type="dxa"/>
            <w:vAlign w:val="bottom"/>
            <w:gridSpan w:val="12"/>
          </w:tcPr>
          <w:p>
            <w:pPr>
              <w:spacing w:after="0" w:line="143" w:lineRule="exact"/>
              <w:rPr>
                <w:rFonts w:ascii="Times New Roman" w:cs="Times New Roman" w:eastAsia="Times New Roman" w:hAnsi="Times New Roman"/>
                <w:sz w:val="14"/>
                <w:szCs w:val="14"/>
                <w:color w:val="0000EE"/>
              </w:rPr>
            </w:pPr>
            <w:hyperlink r:id="rId34">
              <w:r>
                <w:rPr>
                  <w:rFonts w:ascii="Times New Roman" w:cs="Times New Roman" w:eastAsia="Times New Roman" w:hAnsi="Times New Roman"/>
                  <w:sz w:val="14"/>
                  <w:szCs w:val="14"/>
                  <w:color w:val="0000EE"/>
                </w:rPr>
                <w:t>No. 333-290685), filed with the Securities and Exchange Commission on October 2, 2025).</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60" w:type="dxa"/>
            <w:vAlign w:val="bottom"/>
            <w:gridSpan w:val="6"/>
            <w:shd w:val="clear" w:color="auto" w:fill="0000EE"/>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25.1**</w:t>
            </w:r>
          </w:p>
        </w:tc>
        <w:tc>
          <w:tcPr>
            <w:tcW w:w="620" w:type="dxa"/>
            <w:vAlign w:val="bottom"/>
          </w:tcPr>
          <w:p>
            <w:pPr>
              <w:spacing w:after="0"/>
              <w:rPr>
                <w:sz w:val="22"/>
                <w:szCs w:val="22"/>
                <w:color w:val="auto"/>
              </w:rPr>
            </w:pPr>
          </w:p>
        </w:tc>
        <w:tc>
          <w:tcPr>
            <w:tcW w:w="71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Form T-1 Statement of Eligibility and Qualification under the Trust Indenture Act of 1939 of Trustee for Form of Indenture.</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520" w:hanging="1160"/>
        <w:spacing w:after="0"/>
        <w:tabs>
          <w:tab w:leader="none" w:pos="1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 (filed herewith).</w:t>
      </w:r>
    </w:p>
    <w:p>
      <w:pPr>
        <w:spacing w:after="0" w:line="93" w:lineRule="exact"/>
        <w:rPr>
          <w:sz w:val="20"/>
          <w:szCs w:val="20"/>
          <w:color w:val="auto"/>
        </w:rPr>
      </w:pPr>
    </w:p>
    <w:p>
      <w:pPr>
        <w:ind w:left="680" w:hanging="320"/>
        <w:spacing w:after="0"/>
        <w:tabs>
          <w:tab w:leader="none" w:pos="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if necessary, subsequent to the effectiveness of this registration statement by an amendment to this registration statement or</w:t>
      </w:r>
    </w:p>
    <w:p>
      <w:pPr>
        <w:spacing w:after="0" w:line="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incorporated by reference pursuant to a Current Report on Form 8-K in connection with an offering of securities.</w:t>
      </w:r>
    </w:p>
    <w:p>
      <w:pPr>
        <w:spacing w:after="0" w:line="2" w:lineRule="exact"/>
        <w:rPr>
          <w:sz w:val="20"/>
          <w:szCs w:val="20"/>
          <w:color w:val="auto"/>
        </w:rPr>
      </w:pPr>
    </w:p>
    <w:p>
      <w:pPr>
        <w:ind w:left="680" w:hanging="320"/>
        <w:spacing w:after="0"/>
        <w:tabs>
          <w:tab w:leader="none" w:pos="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in accordance with the requirements of Section 305(b)(2) of the Trust Indenture Act of 1939 and Rule 5b-3 thereunder.</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97" w:lineRule="exact"/>
        <w:rPr>
          <w:sz w:val="20"/>
          <w:szCs w:val="20"/>
          <w:color w:val="auto"/>
        </w:rPr>
      </w:pPr>
    </w:p>
    <w:p>
      <w:pPr>
        <w:ind w:left="680" w:hanging="320"/>
        <w:spacing w:after="0"/>
        <w:tabs>
          <w:tab w:leader="none" w:pos="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92" w:lineRule="exact"/>
        <w:rPr>
          <w:rFonts w:ascii="Times New Roman" w:cs="Times New Roman" w:eastAsia="Times New Roman" w:hAnsi="Times New Roman"/>
          <w:sz w:val="14"/>
          <w:szCs w:val="14"/>
          <w:color w:val="auto"/>
        </w:rPr>
      </w:pPr>
    </w:p>
    <w:p>
      <w:pPr>
        <w:ind w:left="1100" w:hanging="415"/>
        <w:spacing w:after="0"/>
        <w:tabs>
          <w:tab w:leader="none" w:pos="11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84" w:lineRule="exact"/>
        <w:rPr>
          <w:rFonts w:ascii="Times New Roman" w:cs="Times New Roman" w:eastAsia="Times New Roman" w:hAnsi="Times New Roman"/>
          <w:sz w:val="14"/>
          <w:szCs w:val="14"/>
          <w:color w:val="auto"/>
        </w:rPr>
      </w:pPr>
    </w:p>
    <w:p>
      <w:pPr>
        <w:ind w:left="1420" w:hanging="319"/>
        <w:spacing w:after="0"/>
        <w:tabs>
          <w:tab w:leader="none" w:pos="1420" w:val="left"/>
        </w:tabs>
        <w:numPr>
          <w:ilvl w:val="2"/>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92" w:lineRule="exact"/>
        <w:rPr>
          <w:rFonts w:ascii="Times New Roman" w:cs="Times New Roman" w:eastAsia="Times New Roman" w:hAnsi="Times New Roman"/>
          <w:sz w:val="14"/>
          <w:szCs w:val="14"/>
          <w:color w:val="auto"/>
        </w:rPr>
      </w:pPr>
    </w:p>
    <w:p>
      <w:pPr>
        <w:ind w:left="1420" w:right="439" w:hanging="319"/>
        <w:spacing w:after="0" w:line="245" w:lineRule="auto"/>
        <w:tabs>
          <w:tab w:leader="none" w:pos="1420" w:val="left"/>
        </w:tabs>
        <w:numPr>
          <w:ilvl w:val="2"/>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spacing w:after="0" w:line="76" w:lineRule="exact"/>
        <w:rPr>
          <w:rFonts w:ascii="Times New Roman" w:cs="Times New Roman" w:eastAsia="Times New Roman" w:hAnsi="Times New Roman"/>
          <w:sz w:val="14"/>
          <w:szCs w:val="14"/>
          <w:color w:val="auto"/>
        </w:rPr>
      </w:pPr>
    </w:p>
    <w:p>
      <w:pPr>
        <w:ind w:left="1420" w:right="499" w:hanging="319"/>
        <w:spacing w:after="0" w:line="262" w:lineRule="auto"/>
        <w:tabs>
          <w:tab w:leader="none" w:pos="1420" w:val="left"/>
        </w:tabs>
        <w:numPr>
          <w:ilvl w:val="2"/>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4" w:lineRule="exact"/>
        <w:rPr>
          <w:sz w:val="20"/>
          <w:szCs w:val="20"/>
          <w:color w:val="auto"/>
        </w:rPr>
      </w:pPr>
    </w:p>
    <w:p>
      <w:pPr>
        <w:ind w:left="360" w:right="499"/>
        <w:spacing w:after="0" w:line="250"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paragraphs (i), (ii) and (iii) do not apply if the information required to be included in a post-effective amendment by those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73" w:lineRule="exact"/>
        <w:rPr>
          <w:sz w:val="20"/>
          <w:szCs w:val="20"/>
          <w:color w:val="auto"/>
        </w:rPr>
      </w:pPr>
    </w:p>
    <w:p>
      <w:pPr>
        <w:jc w:val="both"/>
        <w:ind w:left="1100" w:right="499" w:hanging="415"/>
        <w:spacing w:after="0" w:line="252" w:lineRule="auto"/>
        <w:tabs>
          <w:tab w:leader="none" w:pos="1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of 1933, each such post- 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9019"/>
          </w:cols>
          <w:pgMar w:left="1440" w:top="232" w:right="1440" w:bottom="1440" w:gutter="0" w:footer="0" w:header="0"/>
        </w:sectPr>
      </w:pPr>
    </w:p>
    <w:bookmarkStart w:id="5" w:name="page6"/>
    <w:bookmarkEnd w:id="5"/>
    <w:p>
      <w:pPr>
        <w:ind w:left="1100" w:right="639" w:hanging="415"/>
        <w:spacing w:after="0" w:line="262" w:lineRule="auto"/>
        <w:tabs>
          <w:tab w:leader="none" w:pos="110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To remove from registration by means of a post-effective amendment any of the securities being registered which remain unsold at the termination of the offering.</w:t>
      </w:r>
    </w:p>
    <w:p>
      <w:pPr>
        <w:spacing w:after="0" w:line="64" w:lineRule="exact"/>
        <w:rPr>
          <w:rFonts w:ascii="Times New Roman" w:cs="Times New Roman" w:eastAsia="Times New Roman" w:hAnsi="Times New Roman"/>
          <w:sz w:val="14"/>
          <w:szCs w:val="14"/>
          <w:color w:val="auto"/>
        </w:rPr>
      </w:pPr>
    </w:p>
    <w:p>
      <w:pPr>
        <w:ind w:left="1100" w:hanging="415"/>
        <w:spacing w:after="0"/>
        <w:tabs>
          <w:tab w:leader="none" w:pos="110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92" w:lineRule="exact"/>
        <w:rPr>
          <w:rFonts w:ascii="Times New Roman" w:cs="Times New Roman" w:eastAsia="Times New Roman" w:hAnsi="Times New Roman"/>
          <w:sz w:val="14"/>
          <w:szCs w:val="14"/>
          <w:color w:val="auto"/>
        </w:rPr>
      </w:pPr>
    </w:p>
    <w:p>
      <w:pPr>
        <w:ind w:left="1420" w:right="539" w:hanging="319"/>
        <w:spacing w:after="0" w:line="262" w:lineRule="auto"/>
        <w:tabs>
          <w:tab w:leader="none" w:pos="1420" w:val="left"/>
        </w:tabs>
        <w:numPr>
          <w:ilvl w:val="2"/>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4" w:lineRule="exact"/>
        <w:rPr>
          <w:rFonts w:ascii="Times New Roman" w:cs="Times New Roman" w:eastAsia="Times New Roman" w:hAnsi="Times New Roman"/>
          <w:sz w:val="14"/>
          <w:szCs w:val="14"/>
          <w:color w:val="auto"/>
        </w:rPr>
      </w:pPr>
    </w:p>
    <w:p>
      <w:pPr>
        <w:ind w:left="1420" w:right="379" w:hanging="319"/>
        <w:spacing w:after="0" w:line="244" w:lineRule="auto"/>
        <w:tabs>
          <w:tab w:leader="none" w:pos="1420" w:val="left"/>
        </w:tabs>
        <w:numPr>
          <w:ilvl w:val="2"/>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7" w:lineRule="exact"/>
        <w:rPr>
          <w:rFonts w:ascii="Times New Roman" w:cs="Times New Roman" w:eastAsia="Times New Roman" w:hAnsi="Times New Roman"/>
          <w:sz w:val="14"/>
          <w:szCs w:val="14"/>
          <w:color w:val="auto"/>
        </w:rPr>
      </w:pPr>
    </w:p>
    <w:p>
      <w:pPr>
        <w:ind w:left="1100" w:right="379" w:hanging="415"/>
        <w:spacing w:after="0" w:line="247" w:lineRule="auto"/>
        <w:tabs>
          <w:tab w:leader="none" w:pos="110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4"/>
          <w:szCs w:val="14"/>
          <w:color w:val="auto"/>
        </w:rPr>
      </w:pPr>
    </w:p>
    <w:p>
      <w:pPr>
        <w:ind w:left="1420" w:right="479" w:hanging="319"/>
        <w:spacing w:after="0" w:line="262" w:lineRule="auto"/>
        <w:tabs>
          <w:tab w:leader="none" w:pos="1420" w:val="left"/>
        </w:tabs>
        <w:numPr>
          <w:ilvl w:val="2"/>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64" w:lineRule="exact"/>
        <w:rPr>
          <w:rFonts w:ascii="Times New Roman" w:cs="Times New Roman" w:eastAsia="Times New Roman" w:hAnsi="Times New Roman"/>
          <w:sz w:val="14"/>
          <w:szCs w:val="14"/>
          <w:color w:val="auto"/>
        </w:rPr>
      </w:pPr>
    </w:p>
    <w:p>
      <w:pPr>
        <w:ind w:left="1420" w:right="519" w:hanging="319"/>
        <w:spacing w:after="0" w:line="262" w:lineRule="auto"/>
        <w:tabs>
          <w:tab w:leader="none" w:pos="1420" w:val="left"/>
        </w:tabs>
        <w:numPr>
          <w:ilvl w:val="2"/>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64" w:lineRule="exact"/>
        <w:rPr>
          <w:rFonts w:ascii="Times New Roman" w:cs="Times New Roman" w:eastAsia="Times New Roman" w:hAnsi="Times New Roman"/>
          <w:sz w:val="14"/>
          <w:szCs w:val="14"/>
          <w:color w:val="auto"/>
        </w:rPr>
      </w:pPr>
    </w:p>
    <w:p>
      <w:pPr>
        <w:ind w:left="1420" w:right="739" w:hanging="319"/>
        <w:spacing w:after="0" w:line="262" w:lineRule="auto"/>
        <w:tabs>
          <w:tab w:leader="none" w:pos="1420" w:val="left"/>
        </w:tabs>
        <w:numPr>
          <w:ilvl w:val="2"/>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64" w:lineRule="exact"/>
        <w:rPr>
          <w:rFonts w:ascii="Times New Roman" w:cs="Times New Roman" w:eastAsia="Times New Roman" w:hAnsi="Times New Roman"/>
          <w:sz w:val="14"/>
          <w:szCs w:val="14"/>
          <w:color w:val="auto"/>
        </w:rPr>
      </w:pPr>
    </w:p>
    <w:p>
      <w:pPr>
        <w:ind w:left="1420" w:hanging="319"/>
        <w:spacing w:after="0"/>
        <w:tabs>
          <w:tab w:leader="none" w:pos="1420" w:val="left"/>
        </w:tabs>
        <w:numPr>
          <w:ilvl w:val="2"/>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92" w:lineRule="exact"/>
        <w:rPr>
          <w:rFonts w:ascii="Times New Roman" w:cs="Times New Roman" w:eastAsia="Times New Roman" w:hAnsi="Times New Roman"/>
          <w:sz w:val="14"/>
          <w:szCs w:val="14"/>
          <w:color w:val="auto"/>
        </w:rPr>
      </w:pPr>
    </w:p>
    <w:p>
      <w:pPr>
        <w:ind w:left="680" w:right="439" w:hanging="320"/>
        <w:spacing w:after="0" w:line="249" w:lineRule="auto"/>
        <w:tabs>
          <w:tab w:leader="none" w:pos="6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of 1933, each filing of the registrant’s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Times New Roman" w:cs="Times New Roman" w:eastAsia="Times New Roman" w:hAnsi="Times New Roman"/>
          <w:sz w:val="14"/>
          <w:szCs w:val="14"/>
          <w:color w:val="auto"/>
        </w:rPr>
      </w:pPr>
    </w:p>
    <w:p>
      <w:pPr>
        <w:ind w:left="680" w:right="399" w:hanging="320"/>
        <w:spacing w:after="0" w:line="292" w:lineRule="auto"/>
        <w:tabs>
          <w:tab w:leader="none" w:pos="6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9019"/>
          </w:cols>
          <w:pgMar w:left="1440" w:top="238" w:right="1440" w:bottom="1440" w:gutter="0" w:footer="0" w:header="0"/>
        </w:sectPr>
      </w:pPr>
    </w:p>
    <w:bookmarkStart w:id="6" w:name="page7"/>
    <w:bookmarkEnd w:id="6"/>
    <w:p>
      <w:pPr>
        <w:ind w:left="680" w:right="659" w:hanging="320"/>
        <w:spacing w:after="0" w:line="252" w:lineRule="auto"/>
        <w:tabs>
          <w:tab w:leader="none" w:pos="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If and when applicable, the undersigned registrant hereby undertakes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9019"/>
          </w:cols>
          <w:pgMar w:left="1440" w:top="238"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SIGNATURES</w:t>
      </w:r>
    </w:p>
    <w:p>
      <w:pPr>
        <w:spacing w:after="0" w:line="168" w:lineRule="exact"/>
        <w:rPr>
          <w:sz w:val="20"/>
          <w:szCs w:val="20"/>
          <w:color w:val="auto"/>
        </w:rPr>
      </w:pPr>
    </w:p>
    <w:p>
      <w:pPr>
        <w:ind w:left="360" w:right="599" w:firstLine="331"/>
        <w:spacing w:after="0" w:line="26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Invivyd, Inc., certifies that it has reasonable grounds to believe that it meets all of the requirements for filing on Form S-3 and has duly caused this registration statement to be signed on its behalf by the undersigned, thereunto duly authorized, in the City of New Haven, State of Connecticut, on this 19</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day of December, 2025.</w:t>
      </w:r>
    </w:p>
    <w:p>
      <w:pPr>
        <w:spacing w:after="0" w:line="5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Invivyd, Inc.</w:t>
      </w:r>
    </w:p>
    <w:p>
      <w:pPr>
        <w:spacing w:after="0" w:line="16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 /s/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8890</wp:posOffset>
            </wp:positionV>
            <wp:extent cx="192849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1928495" cy="6350"/>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William Duke, Jr.</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52" w:lineRule="exact"/>
        <w:rPr>
          <w:sz w:val="20"/>
          <w:szCs w:val="20"/>
          <w:color w:val="auto"/>
        </w:rPr>
      </w:pPr>
    </w:p>
    <w:p>
      <w:pPr>
        <w:ind w:left="360" w:right="399" w:firstLine="331"/>
        <w:spacing w:after="0" w:line="26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pacing w:after="0" w:line="150" w:lineRule="exact"/>
        <w:rPr>
          <w:sz w:val="20"/>
          <w:szCs w:val="20"/>
          <w:color w:val="auto"/>
        </w:rPr>
      </w:pPr>
    </w:p>
    <w:tbl>
      <w:tblPr>
        <w:tblLayout w:type="fixed"/>
        <w:tblInd w:w="360" w:type="dxa"/>
        <w:tblCellMar>
          <w:top w:w="0" w:type="dxa"/>
          <w:left w:w="0" w:type="dxa"/>
          <w:bottom w:w="0" w:type="dxa"/>
          <w:right w:w="0" w:type="dxa"/>
        </w:tblCellMar>
      </w:tblPr>
      <w:tr>
        <w:trPr>
          <w:trHeight w:val="141"/>
        </w:trPr>
        <w:tc>
          <w:tcPr>
            <w:tcW w:w="3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80" w:type="dxa"/>
            <w:vAlign w:val="bottom"/>
          </w:tcPr>
          <w:p>
            <w:pPr>
              <w:spacing w:after="0"/>
              <w:rPr>
                <w:sz w:val="12"/>
                <w:szCs w:val="12"/>
                <w:color w:val="auto"/>
              </w:rPr>
            </w:pPr>
          </w:p>
        </w:tc>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r>
      <w:tr>
        <w:trPr>
          <w:trHeight w:val="153"/>
        </w:trPr>
        <w:tc>
          <w:tcPr>
            <w:tcW w:w="3320" w:type="dxa"/>
            <w:vAlign w:val="bottom"/>
            <w:tcBorders>
              <w:top w:val="single" w:sz="8" w:color="auto"/>
              <w:bottom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5"/>
              </w:rPr>
              <w:t>/s/ William Duke, Jr.</w:t>
            </w:r>
          </w:p>
        </w:tc>
        <w:tc>
          <w:tcPr>
            <w:tcW w:w="80" w:type="dxa"/>
            <w:vAlign w:val="bottom"/>
          </w:tcPr>
          <w:p>
            <w:pPr>
              <w:spacing w:after="0"/>
              <w:rPr>
                <w:sz w:val="13"/>
                <w:szCs w:val="13"/>
                <w:color w:val="auto"/>
              </w:rPr>
            </w:pPr>
          </w:p>
        </w:tc>
        <w:tc>
          <w:tcPr>
            <w:tcW w:w="316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6"/>
              </w:rPr>
              <w:t>Chief Financial Officer</w:t>
            </w:r>
          </w:p>
        </w:tc>
        <w:tc>
          <w:tcPr>
            <w:tcW w:w="80" w:type="dxa"/>
            <w:vAlign w:val="bottom"/>
          </w:tcPr>
          <w:p>
            <w:pPr>
              <w:spacing w:after="0"/>
              <w:rPr>
                <w:sz w:val="13"/>
                <w:szCs w:val="13"/>
                <w:color w:val="auto"/>
              </w:rPr>
            </w:pPr>
          </w:p>
        </w:tc>
        <w:tc>
          <w:tcPr>
            <w:tcW w:w="166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8"/>
              </w:rPr>
              <w:t>December 19, 2025</w:t>
            </w:r>
          </w:p>
        </w:tc>
      </w:tr>
      <w:tr>
        <w:trPr>
          <w:trHeight w:val="128"/>
        </w:trPr>
        <w:tc>
          <w:tcPr>
            <w:tcW w:w="332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6"/>
              </w:rPr>
              <w:t>William Duke, Jr.</w:t>
            </w:r>
          </w:p>
        </w:tc>
        <w:tc>
          <w:tcPr>
            <w:tcW w:w="80" w:type="dxa"/>
            <w:vAlign w:val="bottom"/>
          </w:tcPr>
          <w:p>
            <w:pPr>
              <w:spacing w:after="0"/>
              <w:rPr>
                <w:sz w:val="11"/>
                <w:szCs w:val="11"/>
                <w:color w:val="auto"/>
              </w:rPr>
            </w:pPr>
          </w:p>
        </w:tc>
        <w:tc>
          <w:tcPr>
            <w:tcW w:w="324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4"/>
                <w:szCs w:val="14"/>
                <w:i w:val="1"/>
                <w:iCs w:val="1"/>
                <w:color w:val="auto"/>
                <w:w w:val="96"/>
              </w:rPr>
              <w:t>(Principal Executive Officer, Principal Financial Officer</w:t>
            </w:r>
          </w:p>
        </w:tc>
        <w:tc>
          <w:tcPr>
            <w:tcW w:w="1660" w:type="dxa"/>
            <w:vAlign w:val="bottom"/>
          </w:tcPr>
          <w:p>
            <w:pPr>
              <w:spacing w:after="0"/>
              <w:rPr>
                <w:sz w:val="11"/>
                <w:szCs w:val="11"/>
                <w:color w:val="auto"/>
              </w:rPr>
            </w:pPr>
          </w:p>
        </w:tc>
      </w:tr>
      <w:tr>
        <w:trPr>
          <w:trHeight w:val="177"/>
        </w:trPr>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w w:val="96"/>
              </w:rPr>
              <w:t>and Principal Accounting Officer)</w:t>
            </w:r>
          </w:p>
        </w:tc>
        <w:tc>
          <w:tcPr>
            <w:tcW w:w="1660" w:type="dxa"/>
            <w:vAlign w:val="bottom"/>
          </w:tcPr>
          <w:p>
            <w:pPr>
              <w:spacing w:after="0"/>
              <w:rPr>
                <w:sz w:val="15"/>
                <w:szCs w:val="15"/>
                <w:color w:val="auto"/>
              </w:rPr>
            </w:pPr>
          </w:p>
        </w:tc>
      </w:tr>
      <w:tr>
        <w:trPr>
          <w:trHeight w:val="336"/>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3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6"/>
              </w:rPr>
              <w:t>Chairman of the Board of Directors</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December 19, 2025</w:t>
            </w:r>
          </w:p>
        </w:tc>
      </w:tr>
      <w:tr>
        <w:trPr>
          <w:trHeight w:val="169"/>
        </w:trPr>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Marc Elia</w:t>
            </w:r>
          </w:p>
        </w:tc>
        <w:tc>
          <w:tcPr>
            <w:tcW w:w="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19"/>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3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4"/>
              </w:rPr>
              <w:t>Director</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December 19, 2025</w:t>
            </w:r>
          </w:p>
        </w:tc>
      </w:tr>
      <w:tr>
        <w:trPr>
          <w:trHeight w:val="169"/>
        </w:trPr>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Tamsin Berry</w:t>
            </w:r>
          </w:p>
        </w:tc>
        <w:tc>
          <w:tcPr>
            <w:tcW w:w="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19"/>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3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4"/>
              </w:rPr>
              <w:t>Director</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December 19, 2025</w:t>
            </w:r>
          </w:p>
        </w:tc>
      </w:tr>
      <w:tr>
        <w:trPr>
          <w:trHeight w:val="169"/>
        </w:trPr>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Paul B. Bolno, M.D.</w:t>
            </w:r>
          </w:p>
        </w:tc>
        <w:tc>
          <w:tcPr>
            <w:tcW w:w="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19"/>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3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4"/>
              </w:rPr>
              <w:t>Director</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December 19, 2025</w:t>
            </w:r>
          </w:p>
        </w:tc>
      </w:tr>
      <w:tr>
        <w:trPr>
          <w:trHeight w:val="169"/>
        </w:trPr>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Terrance McGuire</w:t>
            </w:r>
          </w:p>
        </w:tc>
        <w:tc>
          <w:tcPr>
            <w:tcW w:w="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19"/>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3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4"/>
              </w:rPr>
              <w:t>Director</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December 19, 2025</w:t>
            </w:r>
          </w:p>
        </w:tc>
      </w:tr>
      <w:tr>
        <w:trPr>
          <w:trHeight w:val="169"/>
        </w:trPr>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Kevin F. McLaughlin</w:t>
            </w:r>
          </w:p>
        </w:tc>
        <w:tc>
          <w:tcPr>
            <w:tcW w:w="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19"/>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3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4"/>
              </w:rPr>
              <w:t>Director</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December 19, 2025</w:t>
            </w:r>
          </w:p>
        </w:tc>
      </w:tr>
      <w:tr>
        <w:trPr>
          <w:trHeight w:val="169"/>
        </w:trPr>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Ajay Royan</w:t>
            </w:r>
          </w:p>
        </w:tc>
        <w:tc>
          <w:tcPr>
            <w:tcW w:w="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r>
    </w:tbl>
    <w:p>
      <w:pPr>
        <w:spacing w:after="0" w:line="164" w:lineRule="exact"/>
        <w:rPr>
          <w:sz w:val="20"/>
          <w:szCs w:val="20"/>
          <w:color w:val="auto"/>
        </w:rPr>
      </w:pPr>
    </w:p>
    <w:p>
      <w:pPr>
        <w:ind w:left="680" w:right="499" w:hanging="320"/>
        <w:spacing w:after="0" w:line="252" w:lineRule="auto"/>
        <w:tabs>
          <w:tab w:leader="none" w:pos="6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William Duke, Jr., by signing his name hereto, signs this registration statement on behalf of the officers and directors of the registrant above in front of whose name an asterisk appears pursuant to powers of attorney duly executed by such officers and directors and filed with the Securities and Exchange Commission.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9019"/>
          </w:cols>
          <w:pgMar w:left="1440" w:top="234" w:right="1440" w:bottom="1440" w:gutter="0" w:footer="0" w:header="0"/>
        </w:sectPr>
      </w:pPr>
    </w:p>
    <w:bookmarkStart w:id="8" w:name="page9"/>
    <w:bookmarkEnd w:id="8"/>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64" w:lineRule="exact"/>
        <w:rPr>
          <w:sz w:val="20"/>
          <w:szCs w:val="20"/>
          <w:color w:val="auto"/>
        </w:rPr>
      </w:pPr>
    </w:p>
    <w:p>
      <w:pPr>
        <w:ind w:left="360" w:right="659"/>
        <w:spacing w:after="0" w:line="252"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S-3 of Invivyd, Inc. of our report dated March 20, 2025 relating to the financial statements, which appears in Invivyd, Inc.’s Annual Report on Form 10-K for the year ended December 31, 2024. We also consent to the reference to us under the heading “Experts” in such Registration Statement.</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December 19, 2025</w:t>
      </w:r>
    </w:p>
    <w:p>
      <w:pPr>
        <w:sectPr>
          <w:pgSz w:w="11900" w:h="16838" w:orient="portrait"/>
          <w:cols w:equalWidth="0" w:num="1">
            <w:col w:w="9019"/>
          </w:cols>
          <w:pgMar w:left="1440" w:top="123" w:right="1440" w:bottom="1440" w:gutter="0" w:footer="0" w:header="0"/>
        </w:sectPr>
      </w:pPr>
    </w:p>
    <w:bookmarkStart w:id="9" w:name="page10"/>
    <w:bookmarkEnd w:id="9"/>
    <w:p>
      <w:pPr>
        <w:spacing w:after="0" w:line="27" w:lineRule="exact"/>
        <w:rPr>
          <w:sz w:val="20"/>
          <w:szCs w:val="20"/>
          <w:color w:val="auto"/>
        </w:rPr>
      </w:pPr>
    </w:p>
    <w:p>
      <w:pPr>
        <w:ind w:left="3560"/>
        <w:spacing w:after="0"/>
        <w:rPr>
          <w:sz w:val="20"/>
          <w:szCs w:val="20"/>
          <w:color w:val="auto"/>
        </w:rPr>
      </w:pPr>
      <w:r>
        <w:rPr>
          <w:rFonts w:ascii="Arial" w:cs="Arial" w:eastAsia="Arial" w:hAnsi="Arial"/>
          <w:sz w:val="27"/>
          <w:szCs w:val="27"/>
          <w:b w:val="1"/>
          <w:bCs w:val="1"/>
          <w:color w:val="auto"/>
        </w:rPr>
        <w:t>Calculation of Filing Fee Tables</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6"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Invivyd, Inc.</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3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8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gridSpan w:val="2"/>
          </w:tcPr>
          <w:p>
            <w:pPr>
              <w:ind w:left="40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880" w:type="dxa"/>
            <w:vAlign w:val="bottom"/>
          </w:tcPr>
          <w:p>
            <w:pPr>
              <w:spacing w:after="0"/>
              <w:rPr>
                <w:sz w:val="15"/>
                <w:szCs w:val="15"/>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91"/>
        </w:trPr>
        <w:tc>
          <w:tcPr>
            <w:tcW w:w="1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660" w:type="dxa"/>
            <w:vAlign w:val="bottom"/>
            <w:vMerge w:val="restart"/>
          </w:tcPr>
          <w:p>
            <w:pPr>
              <w:jc w:val="center"/>
              <w:spacing w:after="0" w:line="183" w:lineRule="exact"/>
              <w:rPr>
                <w:sz w:val="20"/>
                <w:szCs w:val="20"/>
                <w:color w:val="auto"/>
              </w:rPr>
            </w:pPr>
            <w:r>
              <w:rPr>
                <w:rFonts w:ascii="Arial" w:cs="Arial" w:eastAsia="Arial" w:hAnsi="Arial"/>
                <w:sz w:val="16"/>
                <w:szCs w:val="16"/>
                <w:b w:val="1"/>
                <w:bCs w:val="1"/>
                <w:color w:val="auto"/>
              </w:rPr>
              <w:t>Carry</w:t>
            </w:r>
          </w:p>
        </w:tc>
        <w:tc>
          <w:tcPr>
            <w:tcW w:w="760" w:type="dxa"/>
            <w:vAlign w:val="bottom"/>
            <w:vMerge w:val="restart"/>
          </w:tcPr>
          <w:p>
            <w:pPr>
              <w:jc w:val="center"/>
              <w:spacing w:after="0" w:line="183" w:lineRule="exact"/>
              <w:rPr>
                <w:sz w:val="20"/>
                <w:szCs w:val="20"/>
                <w:color w:val="auto"/>
              </w:rPr>
            </w:pPr>
            <w:r>
              <w:rPr>
                <w:rFonts w:ascii="Arial" w:cs="Arial" w:eastAsia="Arial" w:hAnsi="Arial"/>
                <w:sz w:val="16"/>
                <w:szCs w:val="16"/>
                <w:b w:val="1"/>
                <w:bCs w:val="1"/>
                <w:color w:val="auto"/>
              </w:rPr>
              <w:t>Carry</w:t>
            </w:r>
          </w:p>
        </w:tc>
        <w:tc>
          <w:tcPr>
            <w:tcW w:w="800" w:type="dxa"/>
            <w:vAlign w:val="bottom"/>
            <w:vMerge w:val="continue"/>
          </w:tcPr>
          <w:p>
            <w:pPr>
              <w:spacing w:after="0"/>
              <w:rPr>
                <w:sz w:val="7"/>
                <w:szCs w:val="7"/>
                <w:color w:val="auto"/>
              </w:rPr>
            </w:pPr>
          </w:p>
        </w:tc>
        <w:tc>
          <w:tcPr>
            <w:tcW w:w="980" w:type="dxa"/>
            <w:vAlign w:val="bottom"/>
            <w:vMerge w:val="restart"/>
          </w:tcPr>
          <w:p>
            <w:pPr>
              <w:jc w:val="center"/>
              <w:spacing w:after="0" w:line="183" w:lineRule="exact"/>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91"/>
        </w:trPr>
        <w:tc>
          <w:tcPr>
            <w:tcW w:w="1800" w:type="dxa"/>
            <w:vAlign w:val="bottom"/>
          </w:tcPr>
          <w:p>
            <w:pPr>
              <w:spacing w:after="0"/>
              <w:rPr>
                <w:sz w:val="7"/>
                <w:szCs w:val="7"/>
                <w:color w:val="auto"/>
              </w:rPr>
            </w:pPr>
          </w:p>
        </w:tc>
        <w:tc>
          <w:tcPr>
            <w:tcW w:w="17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Security Calculation</w:t>
            </w:r>
          </w:p>
        </w:tc>
        <w:tc>
          <w:tcPr>
            <w:tcW w:w="88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Maximum</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Maximum</w:t>
            </w:r>
          </w:p>
        </w:tc>
        <w:tc>
          <w:tcPr>
            <w:tcW w:w="1800" w:type="dxa"/>
            <w:vAlign w:val="bottom"/>
            <w:vMerge w:val="restart"/>
          </w:tcPr>
          <w:p>
            <w:pPr>
              <w:jc w:val="center"/>
              <w:ind w:left="739"/>
              <w:spacing w:after="0"/>
              <w:rPr>
                <w:sz w:val="20"/>
                <w:szCs w:val="20"/>
                <w:color w:val="auto"/>
              </w:rPr>
            </w:pPr>
            <w:r>
              <w:rPr>
                <w:rFonts w:ascii="Arial" w:cs="Arial" w:eastAsia="Arial" w:hAnsi="Arial"/>
                <w:sz w:val="16"/>
                <w:szCs w:val="16"/>
                <w:b w:val="1"/>
                <w:bCs w:val="1"/>
                <w:color w:val="auto"/>
              </w:rPr>
              <w:t>Amount of</w:t>
            </w:r>
          </w:p>
        </w:tc>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Forward</w:t>
            </w: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1800" w:type="dxa"/>
            <w:vAlign w:val="bottom"/>
          </w:tcPr>
          <w:p>
            <w:pPr>
              <w:jc w:val="center"/>
              <w:ind w:left="919"/>
              <w:spacing w:after="0" w:line="163" w:lineRule="exact"/>
              <w:rPr>
                <w:sz w:val="20"/>
                <w:szCs w:val="20"/>
                <w:color w:val="auto"/>
              </w:rPr>
            </w:pPr>
            <w:r>
              <w:rPr>
                <w:rFonts w:ascii="Arial" w:cs="Arial" w:eastAsia="Arial" w:hAnsi="Arial"/>
                <w:sz w:val="16"/>
                <w:szCs w:val="16"/>
                <w:b w:val="1"/>
                <w:bCs w:val="1"/>
                <w:color w:val="auto"/>
              </w:rPr>
              <w:t>Security</w:t>
            </w:r>
          </w:p>
        </w:tc>
        <w:tc>
          <w:tcPr>
            <w:tcW w:w="1700" w:type="dxa"/>
            <w:vAlign w:val="bottom"/>
            <w:gridSpan w:val="2"/>
            <w:vMerge w:val="continue"/>
          </w:tcPr>
          <w:p>
            <w:pPr>
              <w:spacing w:after="0"/>
              <w:rPr>
                <w:sz w:val="14"/>
                <w:szCs w:val="14"/>
                <w:color w:val="auto"/>
              </w:rPr>
            </w:pPr>
          </w:p>
        </w:tc>
        <w:tc>
          <w:tcPr>
            <w:tcW w:w="88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Amount</w:t>
            </w:r>
          </w:p>
        </w:tc>
        <w:tc>
          <w:tcPr>
            <w:tcW w:w="8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420" w:type="dxa"/>
            <w:vAlign w:val="bottom"/>
            <w:gridSpan w:val="2"/>
          </w:tcPr>
          <w:p>
            <w:pPr>
              <w:ind w:left="40"/>
              <w:spacing w:after="0" w:line="163" w:lineRule="exact"/>
              <w:rPr>
                <w:sz w:val="20"/>
                <w:szCs w:val="20"/>
                <w:color w:val="auto"/>
              </w:rPr>
            </w:pPr>
            <w:r>
              <w:rPr>
                <w:rFonts w:ascii="Arial" w:cs="Arial" w:eastAsia="Arial" w:hAnsi="Arial"/>
                <w:sz w:val="16"/>
                <w:szCs w:val="16"/>
                <w:b w:val="1"/>
                <w:bCs w:val="1"/>
                <w:color w:val="auto"/>
              </w:rPr>
              <w:t>Forward Forward</w:t>
            </w:r>
          </w:p>
        </w:tc>
        <w:tc>
          <w:tcPr>
            <w:tcW w:w="800" w:type="dxa"/>
            <w:vAlign w:val="bottom"/>
            <w:vMerge w:val="continue"/>
          </w:tcPr>
          <w:p>
            <w:pPr>
              <w:spacing w:after="0"/>
              <w:rPr>
                <w:sz w:val="14"/>
                <w:szCs w:val="14"/>
                <w:color w:val="auto"/>
              </w:rPr>
            </w:pPr>
          </w:p>
        </w:tc>
        <w:tc>
          <w:tcPr>
            <w:tcW w:w="98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3"/>
        </w:trPr>
        <w:tc>
          <w:tcPr>
            <w:tcW w:w="1800" w:type="dxa"/>
            <w:vAlign w:val="bottom"/>
          </w:tcPr>
          <w:p>
            <w:pPr>
              <w:jc w:val="center"/>
              <w:ind w:left="919"/>
              <w:spacing w:after="0" w:line="183" w:lineRule="exact"/>
              <w:rPr>
                <w:sz w:val="20"/>
                <w:szCs w:val="20"/>
                <w:color w:val="auto"/>
              </w:rPr>
            </w:pPr>
            <w:r>
              <w:rPr>
                <w:rFonts w:ascii="Arial" w:cs="Arial" w:eastAsia="Arial" w:hAnsi="Arial"/>
                <w:sz w:val="16"/>
                <w:szCs w:val="16"/>
                <w:b w:val="1"/>
                <w:bCs w:val="1"/>
                <w:color w:val="auto"/>
                <w:w w:val="96"/>
              </w:rPr>
              <w:t>Type</w:t>
            </w:r>
          </w:p>
        </w:tc>
        <w:tc>
          <w:tcPr>
            <w:tcW w:w="7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Class</w:t>
            </w:r>
          </w:p>
        </w:tc>
        <w:tc>
          <w:tcPr>
            <w:tcW w:w="92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or Carry</w:t>
            </w:r>
          </w:p>
        </w:tc>
        <w:tc>
          <w:tcPr>
            <w:tcW w:w="8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Registered</w:t>
            </w:r>
          </w:p>
        </w:tc>
        <w:tc>
          <w:tcPr>
            <w:tcW w:w="82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Offering</w:t>
            </w:r>
          </w:p>
        </w:tc>
        <w:tc>
          <w:tcPr>
            <w:tcW w:w="11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Aggregate</w:t>
            </w:r>
          </w:p>
        </w:tc>
        <w:tc>
          <w:tcPr>
            <w:tcW w:w="180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Fee Rate Registration</w:t>
            </w:r>
          </w:p>
        </w:tc>
        <w:tc>
          <w:tcPr>
            <w:tcW w:w="6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9"/>
              </w:rPr>
              <w:t>Form</w:t>
            </w:r>
          </w:p>
        </w:tc>
        <w:tc>
          <w:tcPr>
            <w:tcW w:w="7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File</w:t>
            </w:r>
          </w:p>
        </w:tc>
        <w:tc>
          <w:tcPr>
            <w:tcW w:w="80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Initial</w:t>
            </w:r>
          </w:p>
        </w:tc>
        <w:tc>
          <w:tcPr>
            <w:tcW w:w="9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7"/>
              </w:rPr>
              <w:t>Title</w:t>
            </w:r>
          </w:p>
        </w:tc>
        <w:tc>
          <w:tcPr>
            <w:tcW w:w="92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Forward</w:t>
            </w:r>
          </w:p>
        </w:tc>
        <w:tc>
          <w:tcPr>
            <w:tcW w:w="880" w:type="dxa"/>
            <w:vAlign w:val="bottom"/>
          </w:tcPr>
          <w:p>
            <w:pPr>
              <w:spacing w:after="0"/>
              <w:rPr>
                <w:sz w:val="15"/>
                <w:szCs w:val="15"/>
                <w:color w:val="auto"/>
              </w:rPr>
            </w:pPr>
          </w:p>
        </w:tc>
        <w:tc>
          <w:tcPr>
            <w:tcW w:w="82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Price Per</w:t>
            </w:r>
          </w:p>
        </w:tc>
        <w:tc>
          <w:tcPr>
            <w:tcW w:w="11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Offering Price</w:t>
            </w:r>
          </w:p>
        </w:tc>
        <w:tc>
          <w:tcPr>
            <w:tcW w:w="1800" w:type="dxa"/>
            <w:vAlign w:val="bottom"/>
          </w:tcPr>
          <w:p>
            <w:pPr>
              <w:jc w:val="center"/>
              <w:ind w:left="759"/>
              <w:spacing w:after="0" w:line="183" w:lineRule="exact"/>
              <w:rPr>
                <w:sz w:val="20"/>
                <w:szCs w:val="20"/>
                <w:color w:val="auto"/>
              </w:rPr>
            </w:pPr>
            <w:r>
              <w:rPr>
                <w:rFonts w:ascii="Arial" w:cs="Arial" w:eastAsia="Arial" w:hAnsi="Arial"/>
                <w:sz w:val="16"/>
                <w:szCs w:val="16"/>
                <w:b w:val="1"/>
                <w:bCs w:val="1"/>
                <w:color w:val="auto"/>
              </w:rPr>
              <w:t>Fee</w:t>
            </w:r>
          </w:p>
        </w:tc>
        <w:tc>
          <w:tcPr>
            <w:tcW w:w="6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6"/>
              </w:rPr>
              <w:t>Type</w:t>
            </w:r>
          </w:p>
        </w:tc>
        <w:tc>
          <w:tcPr>
            <w:tcW w:w="7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Number</w:t>
            </w:r>
          </w:p>
        </w:tc>
        <w:tc>
          <w:tcPr>
            <w:tcW w:w="80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Effective</w:t>
            </w:r>
          </w:p>
        </w:tc>
        <w:tc>
          <w:tcPr>
            <w:tcW w:w="9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9"/>
              </w:rPr>
              <w:t>Securities</w:t>
            </w:r>
          </w:p>
        </w:tc>
        <w:tc>
          <w:tcPr>
            <w:tcW w:w="0" w:type="dxa"/>
            <w:vAlign w:val="bottom"/>
          </w:tcPr>
          <w:p>
            <w:pPr>
              <w:spacing w:after="0"/>
              <w:rPr>
                <w:sz w:val="1"/>
                <w:szCs w:val="1"/>
                <w:color w:val="auto"/>
              </w:rPr>
            </w:pPr>
          </w:p>
        </w:tc>
      </w:tr>
      <w:tr>
        <w:trPr>
          <w:trHeight w:val="36"/>
        </w:trPr>
        <w:tc>
          <w:tcPr>
            <w:tcW w:w="1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Rule</w:t>
            </w:r>
          </w:p>
        </w:tc>
        <w:tc>
          <w:tcPr>
            <w:tcW w:w="880" w:type="dxa"/>
            <w:vAlign w:val="bottom"/>
          </w:tcPr>
          <w:p>
            <w:pPr>
              <w:spacing w:after="0"/>
              <w:rPr>
                <w:sz w:val="3"/>
                <w:szCs w:val="3"/>
                <w:color w:val="auto"/>
              </w:rPr>
            </w:pPr>
          </w:p>
        </w:tc>
        <w:tc>
          <w:tcPr>
            <w:tcW w:w="82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Unit</w:t>
            </w:r>
          </w:p>
        </w:tc>
        <w:tc>
          <w:tcPr>
            <w:tcW w:w="11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Date</w:t>
            </w: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-838200</wp:posOffset>
            </wp:positionV>
            <wp:extent cx="7216140" cy="7539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216140" cy="7539990"/>
                    </a:xfrm>
                    <a:prstGeom prst="rect">
                      <a:avLst/>
                    </a:prstGeom>
                    <a:noFill/>
                  </pic:spPr>
                </pic:pic>
              </a:graphicData>
            </a:graphic>
          </wp:anchor>
        </w:drawing>
      </w:r>
    </w:p>
    <w:p>
      <w:pPr>
        <w:jc w:val="center"/>
        <w:ind w:left="10460"/>
        <w:spacing w:after="0" w:line="238" w:lineRule="auto"/>
        <w:rPr>
          <w:sz w:val="20"/>
          <w:szCs w:val="20"/>
          <w:color w:val="auto"/>
        </w:rPr>
      </w:pPr>
      <w:r>
        <w:rPr>
          <w:rFonts w:ascii="Arial" w:cs="Arial" w:eastAsia="Arial" w:hAnsi="Arial"/>
          <w:sz w:val="16"/>
          <w:szCs w:val="16"/>
          <w:b w:val="1"/>
          <w:bCs w:val="1"/>
          <w:color w:val="auto"/>
        </w:rPr>
        <w:t>to be</w:t>
      </w:r>
    </w:p>
    <w:p>
      <w:pPr>
        <w:jc w:val="center"/>
        <w:ind w:left="10460"/>
        <w:spacing w:after="0"/>
        <w:rPr>
          <w:sz w:val="20"/>
          <w:szCs w:val="20"/>
          <w:color w:val="auto"/>
        </w:rPr>
      </w:pPr>
      <w:r>
        <w:rPr>
          <w:rFonts w:ascii="Arial" w:cs="Arial" w:eastAsia="Arial" w:hAnsi="Arial"/>
          <w:sz w:val="16"/>
          <w:szCs w:val="16"/>
          <w:b w:val="1"/>
          <w:bCs w:val="1"/>
          <w:color w:val="auto"/>
        </w:rPr>
        <w:t>Carried</w:t>
      </w:r>
    </w:p>
    <w:p>
      <w:pPr>
        <w:jc w:val="center"/>
        <w:ind w:left="10460"/>
        <w:spacing w:after="0"/>
        <w:rPr>
          <w:sz w:val="20"/>
          <w:szCs w:val="20"/>
          <w:color w:val="auto"/>
        </w:rPr>
      </w:pPr>
      <w:r>
        <w:rPr>
          <w:rFonts w:ascii="Arial" w:cs="Arial" w:eastAsia="Arial" w:hAnsi="Arial"/>
          <w:sz w:val="16"/>
          <w:szCs w:val="16"/>
          <w:b w:val="1"/>
          <w:bCs w:val="1"/>
          <w:color w:val="auto"/>
        </w:rPr>
        <w:t>Forward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39"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Common</w:t>
      </w:r>
    </w:p>
    <w:p>
      <w:pPr>
        <w:spacing w:after="0" w:line="14"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Stock,</w:t>
      </w:r>
    </w:p>
    <w:p>
      <w:pPr>
        <w:ind w:left="1160"/>
        <w:spacing w:after="0" w:line="238" w:lineRule="auto"/>
        <w:tabs>
          <w:tab w:leader="none" w:pos="1860" w:val="left"/>
          <w:tab w:leader="none" w:pos="2780" w:val="left"/>
        </w:tabs>
        <w:rPr>
          <w:sz w:val="20"/>
          <w:szCs w:val="20"/>
          <w:color w:val="auto"/>
        </w:rPr>
      </w:pPr>
      <w:r>
        <w:rPr>
          <w:rFonts w:ascii="Arial" w:cs="Arial" w:eastAsia="Arial" w:hAnsi="Arial"/>
          <w:sz w:val="16"/>
          <w:szCs w:val="16"/>
          <w:color w:val="auto"/>
        </w:rPr>
        <w:t>Equity</w:t>
      </w:r>
      <w:r>
        <w:rPr>
          <w:sz w:val="20"/>
          <w:szCs w:val="20"/>
          <w:color w:val="auto"/>
        </w:rPr>
        <w:tab/>
      </w:r>
      <w:r>
        <w:rPr>
          <w:rFonts w:ascii="Arial" w:cs="Arial" w:eastAsia="Arial" w:hAnsi="Arial"/>
          <w:sz w:val="16"/>
          <w:szCs w:val="16"/>
          <w:color w:val="auto"/>
        </w:rPr>
        <w:t>$0.0001</w:t>
      </w:r>
      <w:r>
        <w:rPr>
          <w:sz w:val="20"/>
          <w:szCs w:val="20"/>
          <w:color w:val="auto"/>
        </w:rPr>
        <w:tab/>
      </w:r>
      <w:r>
        <w:rPr>
          <w:rFonts w:ascii="Arial" w:cs="Arial" w:eastAsia="Arial" w:hAnsi="Arial"/>
          <w:sz w:val="16"/>
          <w:szCs w:val="16"/>
          <w:color w:val="auto"/>
        </w:rPr>
        <w:t>457(o)</w:t>
      </w:r>
    </w:p>
    <w:p>
      <w:pPr>
        <w:ind w:left="1880"/>
        <w:spacing w:after="0"/>
        <w:rPr>
          <w:sz w:val="20"/>
          <w:szCs w:val="20"/>
          <w:color w:val="auto"/>
        </w:rPr>
      </w:pPr>
      <w:r>
        <w:rPr>
          <w:rFonts w:ascii="Arial" w:cs="Arial" w:eastAsia="Arial" w:hAnsi="Arial"/>
          <w:sz w:val="16"/>
          <w:szCs w:val="16"/>
          <w:color w:val="auto"/>
        </w:rPr>
        <w:t>par value</w:t>
      </w:r>
    </w:p>
    <w:p>
      <w:pPr>
        <w:ind w:left="1880"/>
        <w:spacing w:after="0"/>
        <w:rPr>
          <w:sz w:val="20"/>
          <w:szCs w:val="20"/>
          <w:color w:val="auto"/>
        </w:rPr>
      </w:pPr>
      <w:r>
        <w:rPr>
          <w:rFonts w:ascii="Arial" w:cs="Arial" w:eastAsia="Arial" w:hAnsi="Arial"/>
          <w:sz w:val="16"/>
          <w:szCs w:val="16"/>
          <w:color w:val="auto"/>
        </w:rPr>
        <w:t>per share</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Preferred</w:t>
      </w:r>
    </w:p>
    <w:p>
      <w:pPr>
        <w:spacing w:after="0" w:line="14"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Stock,</w:t>
      </w:r>
    </w:p>
    <w:p>
      <w:pPr>
        <w:ind w:left="1160"/>
        <w:spacing w:after="0" w:line="238" w:lineRule="auto"/>
        <w:tabs>
          <w:tab w:leader="none" w:pos="1860" w:val="left"/>
          <w:tab w:leader="none" w:pos="2780" w:val="left"/>
        </w:tabs>
        <w:rPr>
          <w:sz w:val="20"/>
          <w:szCs w:val="20"/>
          <w:color w:val="auto"/>
        </w:rPr>
      </w:pPr>
      <w:r>
        <w:rPr>
          <w:rFonts w:ascii="Arial" w:cs="Arial" w:eastAsia="Arial" w:hAnsi="Arial"/>
          <w:sz w:val="16"/>
          <w:szCs w:val="16"/>
          <w:color w:val="auto"/>
        </w:rPr>
        <w:t>Equity</w:t>
      </w:r>
      <w:r>
        <w:rPr>
          <w:sz w:val="20"/>
          <w:szCs w:val="20"/>
          <w:color w:val="auto"/>
        </w:rPr>
        <w:tab/>
      </w:r>
      <w:r>
        <w:rPr>
          <w:rFonts w:ascii="Arial" w:cs="Arial" w:eastAsia="Arial" w:hAnsi="Arial"/>
          <w:sz w:val="16"/>
          <w:szCs w:val="16"/>
          <w:color w:val="auto"/>
        </w:rPr>
        <w:t>$0.0001</w:t>
      </w:r>
      <w:r>
        <w:rPr>
          <w:sz w:val="20"/>
          <w:szCs w:val="20"/>
          <w:color w:val="auto"/>
        </w:rPr>
        <w:tab/>
      </w:r>
      <w:r>
        <w:rPr>
          <w:rFonts w:ascii="Arial" w:cs="Arial" w:eastAsia="Arial" w:hAnsi="Arial"/>
          <w:sz w:val="16"/>
          <w:szCs w:val="16"/>
          <w:color w:val="auto"/>
        </w:rPr>
        <w:t>457(o)</w:t>
      </w:r>
    </w:p>
    <w:p>
      <w:pPr>
        <w:ind w:left="1880"/>
        <w:spacing w:after="0"/>
        <w:rPr>
          <w:sz w:val="20"/>
          <w:szCs w:val="20"/>
          <w:color w:val="auto"/>
        </w:rPr>
      </w:pPr>
      <w:r>
        <w:rPr>
          <w:rFonts w:ascii="Arial" w:cs="Arial" w:eastAsia="Arial" w:hAnsi="Arial"/>
          <w:sz w:val="16"/>
          <w:szCs w:val="16"/>
          <w:color w:val="auto"/>
        </w:rPr>
        <w:t>par value</w:t>
      </w:r>
    </w:p>
    <w:p>
      <w:pPr>
        <w:ind w:left="1880"/>
        <w:spacing w:after="0"/>
        <w:rPr>
          <w:sz w:val="20"/>
          <w:szCs w:val="20"/>
          <w:color w:val="auto"/>
        </w:rPr>
      </w:pPr>
      <w:r>
        <w:rPr>
          <w:rFonts w:ascii="Arial" w:cs="Arial" w:eastAsia="Arial" w:hAnsi="Arial"/>
          <w:sz w:val="16"/>
          <w:szCs w:val="16"/>
          <w:color w:val="auto"/>
        </w:rPr>
        <w:t>per share</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6"/>
                <w:szCs w:val="16"/>
                <w:color w:val="auto"/>
                <w:shd w:val="clear" w:color="auto" w:fill="E7E7E2"/>
              </w:rPr>
              <w:t>Warrants</w:t>
            </w:r>
          </w:p>
        </w:tc>
        <w:tc>
          <w:tcPr>
            <w:tcW w:w="20" w:type="dxa"/>
            <w:vAlign w:val="bottom"/>
          </w:tcPr>
          <w:p>
            <w:pPr>
              <w:spacing w:after="0"/>
              <w:rPr>
                <w:sz w:val="17"/>
                <w:szCs w:val="17"/>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7"/>
                <w:szCs w:val="17"/>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7"/>
                <w:szCs w:val="7"/>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continue"/>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$ 22,993.27</w:t>
            </w: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shd w:val="clear" w:color="auto" w:fill="E7E7E2"/>
          </w:tcPr>
          <w:p>
            <w:pPr>
              <w:spacing w:after="0" w:line="163"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jc w:val="right"/>
              <w:spacing w:after="0" w:line="163" w:lineRule="exact"/>
              <w:rPr>
                <w:sz w:val="20"/>
                <w:szCs w:val="20"/>
                <w:color w:val="auto"/>
              </w:rPr>
            </w:pPr>
            <w:r>
              <w:rPr>
                <w:rFonts w:ascii="Arial" w:cs="Arial" w:eastAsia="Arial" w:hAnsi="Arial"/>
                <w:sz w:val="16"/>
                <w:szCs w:val="16"/>
                <w:color w:val="auto"/>
              </w:rPr>
              <w:t>166,497,267.99</w:t>
            </w:r>
          </w:p>
        </w:tc>
        <w:tc>
          <w:tcPr>
            <w:tcW w:w="40" w:type="dxa"/>
            <w:vAlign w:val="bottom"/>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line="183" w:lineRule="exact"/>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line="183" w:lineRule="exact"/>
              <w:rPr>
                <w:sz w:val="20"/>
                <w:szCs w:val="20"/>
                <w:color w:val="auto"/>
              </w:rPr>
            </w:pPr>
            <w:r>
              <w:rPr>
                <w:rFonts w:ascii="Arial" w:cs="Arial" w:eastAsia="Arial" w:hAnsi="Arial"/>
                <w:sz w:val="16"/>
                <w:szCs w:val="16"/>
                <w:color w:val="auto"/>
                <w:w w:val="89"/>
              </w:rPr>
              <w:t>3</w:t>
            </w:r>
          </w:p>
        </w:tc>
        <w:tc>
          <w:tcPr>
            <w:tcW w:w="20" w:type="dxa"/>
            <w:vAlign w:val="bottom"/>
          </w:tcPr>
          <w:p>
            <w:pPr>
              <w:spacing w:after="0"/>
              <w:rPr>
                <w:sz w:val="7"/>
                <w:szCs w:val="7"/>
                <w:color w:val="auto"/>
              </w:rPr>
            </w:pPr>
          </w:p>
        </w:tc>
        <w:tc>
          <w:tcPr>
            <w:tcW w:w="880" w:type="dxa"/>
            <w:vAlign w:val="bottom"/>
            <w:vMerge w:val="restart"/>
            <w:shd w:val="clear" w:color="auto" w:fill="E7E7E2"/>
          </w:tcPr>
          <w:p>
            <w:pPr>
              <w:spacing w:after="0" w:line="183" w:lineRule="exact"/>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line="183" w:lineRule="exact"/>
              <w:rPr>
                <w:sz w:val="20"/>
                <w:szCs w:val="20"/>
                <w:color w:val="auto"/>
              </w:rPr>
            </w:pPr>
            <w:r>
              <w:rPr>
                <w:rFonts w:ascii="Arial" w:cs="Arial" w:eastAsia="Arial" w:hAnsi="Arial"/>
                <w:sz w:val="16"/>
                <w:szCs w:val="16"/>
                <w:color w:val="auto"/>
              </w:rPr>
              <w:t>457(o)</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continue"/>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line="183" w:lineRule="exact"/>
              <w:rPr>
                <w:sz w:val="20"/>
                <w:szCs w:val="20"/>
                <w:color w:val="auto"/>
              </w:rPr>
            </w:pPr>
            <w:r>
              <w:rPr>
                <w:rFonts w:ascii="Arial" w:cs="Arial" w:eastAsia="Arial" w:hAnsi="Arial"/>
                <w:sz w:val="16"/>
                <w:szCs w:val="16"/>
                <w:color w:val="auto"/>
              </w:rPr>
              <w:t>$ 7,266.95</w:t>
            </w: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52,620,945.20</w:t>
            </w:r>
          </w:p>
        </w:tc>
        <w:tc>
          <w:tcPr>
            <w:tcW w:w="4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Shelf</w:t>
            </w: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5"/>
          </w:tcPr>
          <w:p>
            <w:pPr>
              <w:jc w:val="right"/>
              <w:ind w:right="419"/>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ind w:left="20"/>
              <w:spacing w:after="0" w:line="178"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shd w:val="clear" w:color="auto" w:fill="E7E7E2"/>
          </w:tcPr>
          <w:p>
            <w:pPr>
              <w:spacing w:after="0" w:line="183"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ind w:left="20"/>
              <w:spacing w:after="0" w:line="183"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$0.0001</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10/05/2022</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267643</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6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Securities</w:t>
            </w: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ind w:left="20"/>
              <w:spacing w:after="0" w:line="111" w:lineRule="exact"/>
              <w:rPr>
                <w:sz w:val="20"/>
                <w:szCs w:val="20"/>
                <w:color w:val="auto"/>
              </w:rPr>
            </w:pPr>
            <w:r>
              <w:rPr>
                <w:rFonts w:ascii="Arial" w:cs="Arial" w:eastAsia="Arial" w:hAnsi="Arial"/>
                <w:sz w:val="12"/>
                <w:szCs w:val="12"/>
                <w:color w:val="auto"/>
              </w:rPr>
              <w:t>par value</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ind w:left="20"/>
              <w:spacing w:after="0" w:line="172"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 w:type="dxa"/>
            <w:vAlign w:val="bottom"/>
            <w:shd w:val="clear" w:color="auto" w:fill="E7E7E2"/>
          </w:tcPr>
          <w:p>
            <w:pPr>
              <w:spacing w:after="0" w:line="183"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ind w:left="20"/>
              <w:spacing w:after="0" w:line="183"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$0.0001</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10/05/2022</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267643</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6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Securities</w:t>
            </w: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ind w:left="20"/>
              <w:spacing w:after="0" w:line="111" w:lineRule="exact"/>
              <w:rPr>
                <w:sz w:val="20"/>
                <w:szCs w:val="20"/>
                <w:color w:val="auto"/>
              </w:rPr>
            </w:pPr>
            <w:r>
              <w:rPr>
                <w:rFonts w:ascii="Arial" w:cs="Arial" w:eastAsia="Arial" w:hAnsi="Arial"/>
                <w:sz w:val="12"/>
                <w:szCs w:val="12"/>
                <w:color w:val="auto"/>
              </w:rPr>
              <w:t>par value</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7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10/05/2022</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ind w:left="20"/>
              <w:spacing w:after="0" w:line="163"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267643</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10/05/2022</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7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jc w:val="center"/>
              <w:spacing w:after="0" w:line="107" w:lineRule="exact"/>
              <w:rPr>
                <w:sz w:val="20"/>
                <w:szCs w:val="20"/>
                <w:color w:val="auto"/>
              </w:rPr>
            </w:pPr>
            <w:r>
              <w:rPr>
                <w:rFonts w:ascii="Arial" w:cs="Arial" w:eastAsia="Arial" w:hAnsi="Arial"/>
                <w:sz w:val="12"/>
                <w:szCs w:val="12"/>
                <w:color w:val="auto"/>
              </w:rPr>
              <w:t>267643</w:t>
            </w: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10/05/2022</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267643</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7"/>
                <w:szCs w:val="7"/>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continue"/>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10/05/2022</w:t>
            </w:r>
          </w:p>
        </w:tc>
        <w:tc>
          <w:tcPr>
            <w:tcW w:w="20" w:type="dxa"/>
            <w:vAlign w:val="bottom"/>
          </w:tcPr>
          <w:p>
            <w:pPr>
              <w:spacing w:after="0"/>
              <w:rPr>
                <w:sz w:val="7"/>
                <w:szCs w:val="7"/>
                <w:color w:val="auto"/>
              </w:rPr>
            </w:pPr>
          </w:p>
        </w:tc>
        <w:tc>
          <w:tcPr>
            <w:tcW w:w="9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$ 12,132.74</w:t>
            </w: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jc w:val="right"/>
              <w:spacing w:after="0" w:line="163" w:lineRule="exact"/>
              <w:rPr>
                <w:sz w:val="20"/>
                <w:szCs w:val="20"/>
                <w:color w:val="auto"/>
              </w:rPr>
            </w:pPr>
            <w:r>
              <w:rPr>
                <w:rFonts w:ascii="Arial" w:cs="Arial" w:eastAsia="Arial" w:hAnsi="Arial"/>
                <w:sz w:val="16"/>
                <w:szCs w:val="16"/>
                <w:color w:val="auto"/>
              </w:rPr>
              <w:t>130,881,786.81</w:t>
            </w:r>
          </w:p>
        </w:tc>
        <w:tc>
          <w:tcPr>
            <w:tcW w:w="4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267643</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6"/>
                <w:szCs w:val="16"/>
                <w:color w:val="auto"/>
              </w:rPr>
              <w:t>Total Offering Amounts:</w:t>
            </w:r>
          </w:p>
        </w:tc>
        <w:tc>
          <w:tcPr>
            <w:tcW w:w="196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$ 30,260.22</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Arial" w:cs="Arial" w:eastAsia="Arial" w:hAnsi="Arial"/>
                <w:sz w:val="16"/>
                <w:szCs w:val="16"/>
                <w:color w:val="auto"/>
              </w:rPr>
              <w:t>350,000,000.00</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5"/>
          </w:tcPr>
          <w:p>
            <w:pPr>
              <w:jc w:val="right"/>
              <w:ind w:right="20"/>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$ 7,266.95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$ 22,993.27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1" w:lineRule="exact"/>
        <w:rPr>
          <w:sz w:val="20"/>
          <w:szCs w:val="20"/>
          <w:color w:val="auto"/>
        </w:rPr>
      </w:pPr>
    </w:p>
    <w:p>
      <w:pPr>
        <w:ind w:left="200" w:right="160" w:hanging="168"/>
        <w:spacing w:after="0" w:line="237" w:lineRule="auto"/>
        <w:tabs>
          <w:tab w:leader="none" w:pos="20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(A) Invivyd, Inc. (the "Registrant") is registering under this registration statement such indeterminate number of shares of common stock and preferred stock, such indeterminate principal amount of debt securities, such indeterminate number of warrants to purchase common stock, preferred stock and/or debt securities, and such indeterminate number of units as may be sold by the Registrant from time to time, which together shall have an aggregate initial offering price not to exceed $350,000,000. If the Registrant issues any debt securities at an original issue discount, then the offering price of such debt securities shall be in such greater principal amount at maturity as shall result in an aggregate offering price not to exceed $350,000,000, less the aggregate dollar amount of all securities previously issued hereunder. The Registrant may sell any securities the Registrant is registering under this registration statement separately or as units with one or more of the other securities the Registrant is registering under this registration statement. The Registrant will determine, from time to time, the proposed maximum offering price per unit in connection with its issuance of the securities the Registrant is registering under this registration statement. The securities the Registrant is registering under this registration statement also include such indeterminate number of shares of common stock and preferred stock and amount of debt securities as the Registrant may issue upon conversion of or exchange for preferred stock or debt securities that provide for conversion or exchange, upon exercise of warrants or pursuant to the antidilution provisions of any of such securities. In addition, pursuant to Rule 416 under the Securities Act of 1933, as amended (the "Securities Act"), the shares the Registrant is registering under this registration statement include such indeterminate number of shares of common stock and preferred stock as may be issuable with respect to the shares the Registrant is registering as a result of stock splits, stock dividends or similar transactions. (B) The proposed</w:t>
      </w:r>
    </w:p>
    <w:p>
      <w:pPr>
        <w:sectPr>
          <w:pgSz w:w="11900" w:h="16865" w:orient="portrait"/>
          <w:cols w:equalWidth="0" w:num="1">
            <w:col w:w="11360"/>
          </w:cols>
          <w:pgMar w:left="300" w:top="141" w:right="239" w:bottom="0" w:gutter="0" w:footer="0" w:header="0"/>
        </w:sectPr>
      </w:pPr>
    </w:p>
    <w:bookmarkStart w:id="10" w:name="page11"/>
    <w:bookmarkEnd w:id="10"/>
    <w:p>
      <w:pPr>
        <w:ind w:left="200" w:right="260"/>
        <w:spacing w:after="0" w:line="251" w:lineRule="auto"/>
        <w:rPr>
          <w:sz w:val="20"/>
          <w:szCs w:val="20"/>
          <w:color w:val="auto"/>
        </w:rPr>
      </w:pPr>
      <w:r>
        <w:rPr>
          <w:rFonts w:ascii="Arial" w:cs="Arial" w:eastAsia="Arial" w:hAnsi="Arial"/>
          <w:sz w:val="16"/>
          <w:szCs w:val="16"/>
          <w:color w:val="auto"/>
        </w:rPr>
        <w:t>maximum offering price per security will be determined from time to time by the Registrant in connection with the issuance by the Registrant of the securities registered hereunder and is not specified as to each class of security pursuant to Instruction 2.A.iii.b of the Instructions to the Calculation of Filing Fee Tables and Related Disclosure of Form S-3. (C) The amount of the registration fee is calculated pursuant to Rule 457(o) under the Securities Act based on the proposed maximum aggregate offering price of all securities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5327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7153275" cy="38100"/>
                    </a:xfrm>
                    <a:prstGeom prst="rect">
                      <a:avLst/>
                    </a:prstGeom>
                    <a:noFill/>
                  </pic:spPr>
                </pic:pic>
              </a:graphicData>
            </a:graphic>
          </wp:anchor>
        </w:drawing>
      </w:r>
    </w:p>
    <w:p>
      <w:pPr>
        <w:spacing w:after="0" w:line="205" w:lineRule="exact"/>
        <w:rPr>
          <w:sz w:val="20"/>
          <w:szCs w:val="20"/>
          <w:color w:val="auto"/>
        </w:rPr>
      </w:pPr>
    </w:p>
    <w:p>
      <w:pPr>
        <w:ind w:left="200" w:right="40" w:hanging="168"/>
        <w:spacing w:after="0" w:line="237" w:lineRule="auto"/>
        <w:tabs>
          <w:tab w:leader="none" w:pos="200" w:val="left"/>
        </w:tabs>
        <w:numPr>
          <w:ilvl w:val="0"/>
          <w:numId w:val="12"/>
        </w:numPr>
        <w:rPr>
          <w:rFonts w:ascii="Arial" w:cs="Arial" w:eastAsia="Arial" w:hAnsi="Arial"/>
          <w:sz w:val="20"/>
          <w:szCs w:val="20"/>
          <w:color w:val="auto"/>
          <w:vertAlign w:val="superscript"/>
        </w:rPr>
      </w:pPr>
      <w:r>
        <w:rPr>
          <w:rFonts w:ascii="Arial" w:cs="Arial" w:eastAsia="Arial" w:hAnsi="Arial"/>
          <w:sz w:val="16"/>
          <w:szCs w:val="16"/>
          <w:color w:val="auto"/>
        </w:rPr>
        <w:t>Pursuant to Rule 415(a)(6) under the Securities Act, securities with a maximum aggregate price of $130,881,786.81 registered hereunder are unsold securities (the "Unsold Securities") previously covered by the Registrant's registration statement on Form S-3 (File No. 333-267643), which became effective on October 5, 2022 (the "Prior Registration Statement"), and are included in this registration statement. The Registrant paid a filing fee of $12,132.74 (calculated at the filing fee rate in effect at the time of the filing of the Prior Registration Statement) relating to the Unsold Securities under the Prior Registration Statement, and no additional filing fee is due with respect to the Unsold Securities in connection with the filing of this registration statement.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Unsold Securities under the Prior Registration Statement, the Registrant will identify in a pre-effective amendment to this registration statement the updated number of Unsold Securities from the Prior Registration Statement to be included in this registration statement pursuant to Rule 415(a)(6) and the updated amount of new securities to be registered on this registration statement. Pursuant to Rule 415(a)(6) under the Securities Act, the offering of Unsold Securities under the Prior Registration Statement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15327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7153275" cy="38100"/>
                    </a:xfrm>
                    <a:prstGeom prst="rect">
                      <a:avLst/>
                    </a:prstGeom>
                    <a:noFill/>
                  </pic:spPr>
                </pic:pic>
              </a:graphicData>
            </a:graphic>
          </wp:anchor>
        </w:drawing>
      </w:r>
    </w:p>
    <w:p>
      <w:pPr>
        <w:spacing w:after="0" w:line="213" w:lineRule="exact"/>
        <w:rPr>
          <w:sz w:val="20"/>
          <w:szCs w:val="20"/>
          <w:color w:val="auto"/>
        </w:rPr>
      </w:pPr>
    </w:p>
    <w:p>
      <w:pPr>
        <w:ind w:left="200" w:right="180" w:hanging="168"/>
        <w:spacing w:after="0" w:line="237" w:lineRule="auto"/>
        <w:tabs>
          <w:tab w:leader="none" w:pos="200" w:val="left"/>
        </w:tabs>
        <w:numPr>
          <w:ilvl w:val="0"/>
          <w:numId w:val="13"/>
        </w:numPr>
        <w:rPr>
          <w:rFonts w:ascii="Arial" w:cs="Arial" w:eastAsia="Arial" w:hAnsi="Arial"/>
          <w:sz w:val="20"/>
          <w:szCs w:val="20"/>
          <w:color w:val="auto"/>
          <w:vertAlign w:val="superscript"/>
        </w:rPr>
      </w:pPr>
      <w:r>
        <w:rPr>
          <w:rFonts w:ascii="Arial" w:cs="Arial" w:eastAsia="Arial" w:hAnsi="Arial"/>
          <w:sz w:val="16"/>
          <w:szCs w:val="16"/>
          <w:color w:val="auto"/>
        </w:rPr>
        <w:t>(A) The Registrant is registering under this registration statement such indeterminate number of shares of common stock and preferred stock, such indeterminate principal amount of debt securities, such indeterminate number of warrants to purchase common stock, preferred stock and/or debt securities, and such indeterminate number of units as may be sold by the Registrant from time to time, which together shall have an aggregate initial offering price not to exceed $350,000,000. If the Registrant issues any debt securities at an original issue discount, then the offering price of such debt securities shall be in such greater principal amount at maturity as shall result in an aggregate offering price not to exceed $350,000,000, less the aggregate dollar amount of all securities previously issued hereunder. The Registrant may sell any securities the Registrant is registering under this registration statement separately or as units with one or more of the other securities the Registrant is registering under this registration statement. The Registrant will determine, from time to time, the proposed maximum offering price per unit in connection with its issuance of the securities the Registrant is registering under this registration statement. The securities the Registrant is registering under this registration statement also include such indeterminate number of shares of common stock and preferred stock and amount of debt securities as the Registrant may issue upon conversion of or exchange for preferred stock or debt securities that provide for conversion or exchange, upon exercise of warrants or pursuant to the antidilution provisions of any of such securities. In addition, pursuant to Rule 416 under the Securities Act, the shares the Registrant is registering under this registration statement include such indeterminate number of shares of common stock and preferred stock as may be issuable with respect to the shares the Registrant is registering as a result of stock splits, stock dividends or similar transactions. (B) The proposed maximum offering price per security will be determined from time to time by the Registrant in connection with the issuance by the Registrant of the securities registered hereunder and is not specified as to each class of security pursuant to Instruction 2.A.iii.b of the Instructions to the Calculation of Filing Fee Tables and Related Disclosure of Form S-3. (C) The amount of the registration fee is calculated pursuant to Rule 457(o) under the Securities Act based on the proposed maximum aggregate offering price of all securities listed. (D) The Registrant previously paid a registration fee of $7,266.95 for the registration of securities with a maximum aggregate price of $52,620,945.20 in connection with initial filing of this registration statement on October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327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7153275" cy="3810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40" w:type="dxa"/>
            <w:vAlign w:val="bottom"/>
            <w:tcBorders>
              <w:bottom w:val="single" w:sz="8" w:color="auto"/>
            </w:tcBorders>
          </w:tcPr>
          <w:p>
            <w:pPr>
              <w:spacing w:after="0"/>
              <w:rPr>
                <w:sz w:val="23"/>
                <w:szCs w:val="23"/>
                <w:color w:val="auto"/>
              </w:rPr>
            </w:pPr>
          </w:p>
        </w:tc>
        <w:tc>
          <w:tcPr>
            <w:tcW w:w="342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7"/>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880" w:type="dxa"/>
            <w:vAlign w:val="bottom"/>
            <w:tcBorders>
              <w:right w:val="single" w:sz="8" w:color="9ADAF6"/>
            </w:tcBorders>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vMerge w:val="restart"/>
            <w:shd w:val="clear" w:color="auto" w:fill="9ADAF6"/>
          </w:tcPr>
          <w:p>
            <w:pPr>
              <w:jc w:val="right"/>
              <w:ind w:right="119"/>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880" w:type="dxa"/>
            <w:vAlign w:val="bottom"/>
            <w:tcBorders>
              <w:right w:val="single" w:sz="8" w:color="9ADAF6"/>
            </w:tcBorders>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Paid</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1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7"/>
                <w:szCs w:val="7"/>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88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4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60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right"/>
              <w:ind w:right="19"/>
              <w:spacing w:after="0" w:line="163"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righ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80" w:type="dxa"/>
            <w:vAlign w:val="bottom"/>
            <w:shd w:val="clear" w:color="auto" w:fill="9ADAF6"/>
          </w:tcPr>
          <w:p>
            <w:pPr>
              <w:jc w:val="center"/>
              <w:ind w:right="139"/>
              <w:spacing w:after="0" w:line="183" w:lineRule="exact"/>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60" w:type="dxa"/>
            <w:vAlign w:val="bottom"/>
            <w:gridSpan w:val="3"/>
            <w:shd w:val="clear" w:color="auto" w:fill="9ADAF6"/>
          </w:tcPr>
          <w:p>
            <w:pPr>
              <w:jc w:val="right"/>
              <w:spacing w:after="0" w:line="183"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880" w:type="dxa"/>
            <w:vAlign w:val="bottom"/>
            <w:tcBorders>
              <w:right w:val="single" w:sz="8" w:color="9ADAF6"/>
            </w:tcBorders>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6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80" w:type="dxa"/>
            <w:vAlign w:val="bottom"/>
            <w:tcBorders>
              <w:right w:val="single" w:sz="8" w:color="9ADAF6"/>
            </w:tcBorders>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880" w:type="dxa"/>
            <w:vAlign w:val="bottom"/>
            <w:tcBorders>
              <w:right w:val="single" w:sz="8" w:color="9ADAF6"/>
            </w:tcBorders>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Source</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6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40" w:type="dxa"/>
            <w:vAlign w:val="bottom"/>
            <w:tcBorders>
              <w:right w:val="single" w:sz="8" w:color="9ADAF6"/>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0"/>
          </w:tcPr>
          <w:p>
            <w:pPr>
              <w:jc w:val="right"/>
              <w:ind w:right="79"/>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16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880" w:type="dxa"/>
            <w:vAlign w:val="bottom"/>
            <w:tcBorders>
              <w:right w:val="single" w:sz="8" w:color="E7E7E2"/>
            </w:tcBorders>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70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6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right w:val="single" w:sz="8" w:color="E7E7E2"/>
            </w:tcBorders>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6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40" w:type="dxa"/>
            <w:vAlign w:val="bottom"/>
            <w:tcBorders>
              <w:righ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980" w:type="dxa"/>
            <w:vAlign w:val="bottom"/>
            <w:gridSpan w:val="3"/>
            <w:shd w:val="clear" w:color="auto" w:fill="E7E7E2"/>
          </w:tcPr>
          <w:p>
            <w:pPr>
              <w:spacing w:after="0" w:line="172"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4"/>
                <w:szCs w:val="14"/>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4"/>
                <w:szCs w:val="14"/>
                <w:color w:val="auto"/>
              </w:rPr>
            </w:pPr>
          </w:p>
        </w:tc>
        <w:tc>
          <w:tcPr>
            <w:tcW w:w="16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6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28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880" w:type="dxa"/>
            <w:vAlign w:val="bottom"/>
            <w:tcBorders>
              <w:right w:val="single" w:sz="8" w:color="E7E7E2"/>
            </w:tcBorders>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5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4"/>
                <w:szCs w:val="14"/>
                <w:color w:val="auto"/>
              </w:rPr>
            </w:pPr>
          </w:p>
        </w:tc>
        <w:tc>
          <w:tcPr>
            <w:tcW w:w="980" w:type="dxa"/>
            <w:vAlign w:val="bottom"/>
            <w:gridSpan w:val="3"/>
            <w:vMerge w:val="restart"/>
            <w:shd w:val="clear" w:color="auto" w:fill="E7E7E2"/>
          </w:tcPr>
          <w:p>
            <w:pPr>
              <w:ind w:left="70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4"/>
                <w:szCs w:val="14"/>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6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right w:val="single" w:sz="8" w:color="E7E7E2"/>
            </w:tcBorders>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6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40" w:type="dxa"/>
            <w:vAlign w:val="bottom"/>
            <w:tcBorders>
              <w:righ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16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880" w:type="dxa"/>
            <w:vAlign w:val="bottom"/>
            <w:tcBorders>
              <w:right w:val="single" w:sz="8" w:color="E7E7E2"/>
            </w:tcBorders>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70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6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right w:val="single" w:sz="8" w:color="E7E7E2"/>
            </w:tcBorders>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6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40" w:type="dxa"/>
            <w:vAlign w:val="bottom"/>
            <w:tcBorders>
              <w:righ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980" w:type="dxa"/>
            <w:vAlign w:val="bottom"/>
            <w:gridSpan w:val="3"/>
            <w:shd w:val="clear" w:color="auto" w:fill="E7E7E2"/>
          </w:tcPr>
          <w:p>
            <w:pPr>
              <w:spacing w:after="0" w:line="172"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4"/>
                <w:szCs w:val="14"/>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4"/>
                <w:szCs w:val="14"/>
                <w:color w:val="auto"/>
              </w:rPr>
            </w:pPr>
          </w:p>
        </w:tc>
        <w:tc>
          <w:tcPr>
            <w:tcW w:w="16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6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28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880" w:type="dxa"/>
            <w:vAlign w:val="bottom"/>
            <w:tcBorders>
              <w:right w:val="single" w:sz="8" w:color="E7E7E2"/>
            </w:tcBorders>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5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4"/>
                <w:szCs w:val="14"/>
                <w:color w:val="auto"/>
              </w:rPr>
            </w:pPr>
          </w:p>
        </w:tc>
        <w:tc>
          <w:tcPr>
            <w:tcW w:w="980" w:type="dxa"/>
            <w:vAlign w:val="bottom"/>
            <w:gridSpan w:val="3"/>
            <w:vMerge w:val="restart"/>
            <w:shd w:val="clear" w:color="auto" w:fill="E7E7E2"/>
          </w:tcPr>
          <w:p>
            <w:pPr>
              <w:ind w:left="70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4"/>
                <w:szCs w:val="14"/>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6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right w:val="single" w:sz="8" w:color="E7E7E2"/>
            </w:tcBorders>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6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40" w:type="dxa"/>
            <w:vAlign w:val="bottom"/>
            <w:tcBorders>
              <w:righ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3"/>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680" w:type="dxa"/>
            <w:vAlign w:val="bottom"/>
            <w:gridSpan w:val="3"/>
            <w:vMerge w:val="restart"/>
            <w:shd w:val="clear" w:color="auto" w:fill="9ADAF6"/>
          </w:tcPr>
          <w:p>
            <w:pPr>
              <w:jc w:val="center"/>
              <w:ind w:right="220"/>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restart"/>
            <w:shd w:val="clear" w:color="auto" w:fill="9ADAF6"/>
          </w:tcPr>
          <w:p>
            <w:pPr>
              <w:ind w:left="400"/>
              <w:spacing w:after="0" w:line="183" w:lineRule="exact"/>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1660" w:type="dxa"/>
            <w:vAlign w:val="bottom"/>
            <w:gridSpan w:val="4"/>
            <w:vMerge w:val="restart"/>
            <w:shd w:val="clear" w:color="auto" w:fill="9ADAF6"/>
          </w:tcPr>
          <w:p>
            <w:pPr>
              <w:ind w:left="20"/>
              <w:spacing w:after="0" w:line="183" w:lineRule="exact"/>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540" w:type="dxa"/>
            <w:vAlign w:val="bottom"/>
            <w:gridSpan w:val="2"/>
            <w:vMerge w:val="restart"/>
            <w:shd w:val="clear" w:color="auto" w:fill="9ADAF6"/>
          </w:tcPr>
          <w:p>
            <w:pPr>
              <w:jc w:val="center"/>
              <w:ind w:right="62"/>
              <w:spacing w:after="0" w:line="183"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680" w:type="dxa"/>
            <w:vAlign w:val="bottom"/>
            <w:gridSpan w:val="3"/>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gridSpan w:val="3"/>
            <w:vMerge w:val="restart"/>
            <w:shd w:val="clear" w:color="auto" w:fill="9ADAF6"/>
          </w:tcPr>
          <w:p>
            <w:pPr>
              <w:ind w:left="260"/>
              <w:spacing w:after="0" w:line="183" w:lineRule="exact"/>
              <w:rPr>
                <w:sz w:val="20"/>
                <w:szCs w:val="20"/>
                <w:color w:val="auto"/>
              </w:rPr>
            </w:pPr>
            <w:r>
              <w:rPr>
                <w:rFonts w:ascii="Arial" w:cs="Arial" w:eastAsia="Arial" w:hAnsi="Arial"/>
                <w:sz w:val="16"/>
                <w:szCs w:val="16"/>
                <w:b w:val="1"/>
                <w:bCs w:val="1"/>
                <w:color w:val="auto"/>
              </w:rPr>
              <w:t>Security Type</w:t>
            </w:r>
          </w:p>
        </w:tc>
        <w:tc>
          <w:tcPr>
            <w:tcW w:w="4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restart"/>
            <w:shd w:val="clear" w:color="auto" w:fill="9ADAF6"/>
          </w:tcPr>
          <w:p>
            <w:pPr>
              <w:ind w:left="640"/>
              <w:spacing w:after="0" w:line="183" w:lineRule="exact"/>
              <w:rPr>
                <w:sz w:val="20"/>
                <w:szCs w:val="20"/>
                <w:color w:val="auto"/>
              </w:rPr>
            </w:pPr>
            <w:r>
              <w:rPr>
                <w:rFonts w:ascii="Arial" w:cs="Arial" w:eastAsia="Arial" w:hAnsi="Arial"/>
                <w:sz w:val="16"/>
                <w:szCs w:val="16"/>
                <w:b w:val="1"/>
                <w:bCs w:val="1"/>
                <w:color w:val="auto"/>
              </w:rPr>
              <w:t>Security Class Title</w:t>
            </w: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1660" w:type="dxa"/>
            <w:vAlign w:val="bottom"/>
            <w:gridSpan w:val="4"/>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80"/>
              <w:spacing w:after="0" w:line="183" w:lineRule="exact"/>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900" w:type="dxa"/>
            <w:vAlign w:val="bottom"/>
            <w:gridSpan w:val="4"/>
            <w:vMerge w:val="restart"/>
            <w:shd w:val="clear" w:color="auto" w:fill="9ADAF6"/>
          </w:tcPr>
          <w:p>
            <w:pPr>
              <w:jc w:val="center"/>
              <w:ind w:right="20"/>
              <w:spacing w:after="0" w:line="183" w:lineRule="exact"/>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gridSpan w:val="3"/>
            <w:vMerge w:val="continue"/>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restart"/>
            <w:shd w:val="clear" w:color="auto" w:fill="9ADAF6"/>
          </w:tcPr>
          <w:p>
            <w:pPr>
              <w:ind w:left="360"/>
              <w:spacing w:after="0" w:line="183" w:lineRule="exact"/>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540" w:type="dxa"/>
            <w:vAlign w:val="bottom"/>
            <w:gridSpan w:val="2"/>
            <w:vMerge w:val="restart"/>
            <w:shd w:val="clear" w:color="auto" w:fill="9ADAF6"/>
          </w:tcPr>
          <w:p>
            <w:pPr>
              <w:jc w:val="center"/>
              <w:ind w:right="62"/>
              <w:spacing w:after="0" w:line="183"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gridSpan w:val="4"/>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gridSpan w:val="2"/>
            <w:vMerge w:val="restart"/>
            <w:shd w:val="clear" w:color="auto" w:fill="9ADAF6"/>
          </w:tcPr>
          <w:p>
            <w:pPr>
              <w:jc w:val="center"/>
              <w:ind w:right="260"/>
              <w:spacing w:after="0"/>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40" w:type="dxa"/>
            <w:vAlign w:val="bottom"/>
            <w:gridSpan w:val="3"/>
            <w:vMerge w:val="restart"/>
            <w:shd w:val="clear" w:color="auto" w:fill="9ADAF6"/>
          </w:tcPr>
          <w:p>
            <w:pPr>
              <w:jc w:val="center"/>
              <w:ind w:right="281"/>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40" w:type="dxa"/>
            <w:vAlign w:val="bottom"/>
            <w:tcBorders>
              <w:right w:val="single" w:sz="8" w:color="9ADAF6"/>
            </w:tcBorders>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gridSpan w:val="2"/>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420" w:type="dxa"/>
            <w:vAlign w:val="bottom"/>
            <w:shd w:val="clear" w:color="auto" w:fill="E7E7E2"/>
          </w:tcPr>
          <w:p>
            <w:pPr>
              <w:ind w:left="80"/>
              <w:spacing w:after="0"/>
              <w:rPr>
                <w:sz w:val="20"/>
                <w:szCs w:val="20"/>
                <w:color w:val="auto"/>
              </w:rPr>
            </w:pPr>
            <w:r>
              <w:rPr>
                <w:rFonts w:ascii="Arial" w:cs="Arial" w:eastAsia="Arial" w:hAnsi="Arial"/>
                <w:sz w:val="16"/>
                <w:szCs w:val="16"/>
                <w:color w:val="auto"/>
              </w:rPr>
              <w:t>N/A</w:t>
            </w:r>
          </w:p>
        </w:tc>
        <w:tc>
          <w:tcPr>
            <w:tcW w:w="20" w:type="dxa"/>
            <w:vAlign w:val="bottom"/>
            <w:vMerge w:val="continue"/>
          </w:tcPr>
          <w:p>
            <w:pPr>
              <w:spacing w:after="0"/>
              <w:rPr>
                <w:sz w:val="17"/>
                <w:szCs w:val="17"/>
                <w:color w:val="auto"/>
              </w:rPr>
            </w:pPr>
          </w:p>
        </w:tc>
        <w:tc>
          <w:tcPr>
            <w:tcW w:w="540" w:type="dxa"/>
            <w:vAlign w:val="bottom"/>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shd w:val="clear" w:color="auto" w:fill="E7E7E2"/>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40" w:type="dxa"/>
            <w:vAlign w:val="bottom"/>
            <w:shd w:val="clear" w:color="auto" w:fill="E7E7E2"/>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shd w:val="clear" w:color="auto" w:fill="E7E7E2"/>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80" w:type="dxa"/>
            <w:vAlign w:val="bottom"/>
            <w:shd w:val="clear" w:color="auto" w:fill="E7E7E2"/>
          </w:tcPr>
          <w:p>
            <w:pPr>
              <w:spacing w:after="0"/>
              <w:rPr>
                <w:sz w:val="20"/>
                <w:szCs w:val="20"/>
                <w:color w:val="auto"/>
              </w:rPr>
            </w:pPr>
            <w:r>
              <w:rPr>
                <w:rFonts w:ascii="Arial" w:cs="Arial" w:eastAsia="Arial" w:hAnsi="Arial"/>
                <w:sz w:val="16"/>
                <w:szCs w:val="16"/>
                <w:color w:val="auto"/>
                <w:w w:val="97"/>
              </w:rPr>
              <w:t>N/A</w:t>
            </w:r>
          </w:p>
        </w:tc>
        <w:tc>
          <w:tcPr>
            <w:tcW w:w="20" w:type="dxa"/>
            <w:vAlign w:val="bottom"/>
            <w:vMerge w:val="continue"/>
          </w:tcPr>
          <w:p>
            <w:pPr>
              <w:spacing w:after="0"/>
              <w:rPr>
                <w:sz w:val="17"/>
                <w:szCs w:val="17"/>
                <w:color w:val="auto"/>
              </w:rPr>
            </w:pPr>
          </w:p>
        </w:tc>
        <w:tc>
          <w:tcPr>
            <w:tcW w:w="3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20" w:type="dxa"/>
            <w:vAlign w:val="bottom"/>
            <w:shd w:val="clear" w:color="auto" w:fill="E7E7E2"/>
          </w:tcPr>
          <w:p>
            <w:pPr>
              <w:ind w:left="440"/>
              <w:spacing w:after="0"/>
              <w:rPr>
                <w:sz w:val="20"/>
                <w:szCs w:val="20"/>
                <w:color w:val="auto"/>
              </w:rPr>
            </w:pPr>
            <w:r>
              <w:rPr>
                <w:rFonts w:ascii="Arial" w:cs="Arial" w:eastAsia="Arial" w:hAnsi="Arial"/>
                <w:sz w:val="16"/>
                <w:szCs w:val="16"/>
                <w:color w:val="auto"/>
                <w:w w:val="97"/>
              </w:rPr>
              <w:t>N/A</w:t>
            </w:r>
          </w:p>
        </w:tc>
        <w:tc>
          <w:tcPr>
            <w:tcW w:w="20" w:type="dxa"/>
            <w:vAlign w:val="bottom"/>
            <w:vMerge w:val="continue"/>
          </w:tcPr>
          <w:p>
            <w:pPr>
              <w:spacing w:after="0"/>
              <w:rPr>
                <w:sz w:val="17"/>
                <w:szCs w:val="17"/>
                <w:color w:val="auto"/>
              </w:rPr>
            </w:pPr>
          </w:p>
        </w:tc>
        <w:tc>
          <w:tcPr>
            <w:tcW w:w="140" w:type="dxa"/>
            <w:vAlign w:val="bottom"/>
            <w:tcBorders>
              <w:right w:val="single" w:sz="8" w:color="E7E7E2"/>
            </w:tcBorders>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520" w:type="dxa"/>
            <w:vAlign w:val="bottom"/>
            <w:shd w:val="clear" w:color="auto" w:fill="E7E7E2"/>
          </w:tcPr>
          <w:p>
            <w:pPr>
              <w:jc w:val="center"/>
              <w:ind w:right="82"/>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3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40" w:type="dxa"/>
            <w:vAlign w:val="bottom"/>
            <w:shd w:val="clear" w:color="auto" w:fill="E7E7E2"/>
          </w:tcPr>
          <w:p>
            <w:pPr>
              <w:ind w:left="40"/>
              <w:spacing w:after="0"/>
              <w:rPr>
                <w:sz w:val="20"/>
                <w:szCs w:val="20"/>
                <w:color w:val="auto"/>
              </w:rPr>
            </w:pPr>
            <w:r>
              <w:rPr>
                <w:rFonts w:ascii="Arial" w:cs="Arial" w:eastAsia="Arial" w:hAnsi="Arial"/>
                <w:sz w:val="16"/>
                <w:szCs w:val="16"/>
                <w:color w:val="auto"/>
              </w:rPr>
              <w:t>N/A</w:t>
            </w:r>
          </w:p>
        </w:tc>
        <w:tc>
          <w:tcPr>
            <w:tcW w:w="20" w:type="dxa"/>
            <w:vAlign w:val="bottom"/>
            <w:vMerge w:val="continue"/>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660" w:type="dxa"/>
            <w:vAlign w:val="bottom"/>
            <w:gridSpan w:val="2"/>
            <w:shd w:val="clear" w:color="auto" w:fill="E7E7E2"/>
          </w:tcPr>
          <w:p>
            <w:pPr>
              <w:jc w:val="center"/>
              <w:ind w:right="260"/>
              <w:spacing w:after="0"/>
              <w:rPr>
                <w:sz w:val="20"/>
                <w:szCs w:val="20"/>
                <w:color w:val="auto"/>
              </w:rPr>
            </w:pPr>
            <w:r>
              <w:rPr>
                <w:rFonts w:ascii="Arial" w:cs="Arial" w:eastAsia="Arial" w:hAnsi="Arial"/>
                <w:sz w:val="16"/>
                <w:szCs w:val="16"/>
                <w:color w:val="auto"/>
              </w:rPr>
              <w:t>N/A</w:t>
            </w:r>
          </w:p>
        </w:tc>
        <w:tc>
          <w:tcPr>
            <w:tcW w:w="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107"/>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7">
    <w:nsid w:val="216231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8">
    <w:nsid w:val="1F16E9E8"/>
    <w:multiLevelType w:val="hybridMultilevel"/>
    <w:lvl w:ilvl="0">
      <w:lvlJc w:val="left"/>
      <w:lvlText w:val="(%1)"/>
      <w:numFmt w:val="lowerLetter"/>
      <w:start w:val="4"/>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bullet"/>
      <w:start w:val="1"/>
    </w:lvl>
  </w:abstractNum>
  <w:abstractNum w:abstractNumId="11">
    <w:nsid w:val="140E0F76"/>
    <w:multiLevelType w:val="hybridMultilevel"/>
    <w:lvl w:ilvl="0">
      <w:lvlJc w:val="left"/>
      <w:lvlText w:val="2"/>
      <w:numFmt w:val="bullet"/>
      <w:start w:val="1"/>
    </w:lvl>
  </w:abstractNum>
  <w:abstractNum w:abstractNumId="12">
    <w:nsid w:val="3352255A"/>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30"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22" Type="http://schemas.openxmlformats.org/officeDocument/2006/relationships/hyperlink" Target="http://www.sec.gov/Archives/edgar/data/0001832038/000119312521242044/d211424dex31.htm" TargetMode="External"/><Relationship Id="rId23" Type="http://schemas.openxmlformats.org/officeDocument/2006/relationships/hyperlink" Target="http://www.sec.gov/Archives/edgar/data/1832038/000119312522243285/d388436dex31.htm" TargetMode="External"/><Relationship Id="rId24" Type="http://schemas.openxmlformats.org/officeDocument/2006/relationships/hyperlink" Target="http://www.sec.gov/Archives/edgar/data/1832038/000119312523154233/d473409dex31.htm" TargetMode="External"/><Relationship Id="rId25" Type="http://schemas.openxmlformats.org/officeDocument/2006/relationships/hyperlink" Target="http://www.sec.gov/Archives/edgar/data/1832038/000119312522243285/d388436dex32.htm" TargetMode="External"/><Relationship Id="rId26" Type="http://schemas.openxmlformats.org/officeDocument/2006/relationships/hyperlink" Target="http://www.sec.gov/Archives/edgar/data/1832038/000119312523154233/d473409dex32.htm" TargetMode="External"/><Relationship Id="rId27" Type="http://schemas.openxmlformats.org/officeDocument/2006/relationships/hyperlink" Target="http://www.sec.gov/Archives/edgar/data/1832038/000119312522253372/d392092dex33.htm" TargetMode="External"/><Relationship Id="rId28" Type="http://schemas.openxmlformats.org/officeDocument/2006/relationships/hyperlink" Target="http://www.sec.gov/Archives/edgar/data/0001832038/000119312521217506/d549501dex41.htm" TargetMode="External"/><Relationship Id="rId29" Type="http://schemas.openxmlformats.org/officeDocument/2006/relationships/hyperlink" Target="http://www.sec.gov/Archives/edgar/data/1832038/000119312525228321/d28850dex44.htm" TargetMode="External"/><Relationship Id="rId31" Type="http://schemas.openxmlformats.org/officeDocument/2006/relationships/hyperlink" Target="http://www.sec.gov/Archives/edgar/data/1832038/000119312525228321/d28850dex51.htm" TargetMode="External"/><Relationship Id="rId32" Type="http://schemas.openxmlformats.org/officeDocument/2006/relationships/hyperlink" Target="http://www.sec.gov/Archives/edgar/data/1832038/000119312525228321/d28850dex52.htm" TargetMode="External"/><Relationship Id="rId33" Type="http://schemas.openxmlformats.org/officeDocument/2006/relationships/hyperlink" Target="http://www.sec.gov/Archives/edgar/data/1832038/000119312523302195/d547148dex101.htm" TargetMode="External"/><Relationship Id="rId34" Type="http://schemas.openxmlformats.org/officeDocument/2006/relationships/hyperlink" Target="http://www.sec.gov/Archives/edgar/data/1832038/000119312525228321/d28850ds3.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2025-12-19T17:05:59Z</dcterms:created>
  <dcterms:modified xsi:type="dcterms:W3CDTF">2025-12-19T17:05:59Z</dcterms:modified>
</cp:coreProperties>
</file>