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Duke William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INVIVYD,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1601 TRAPELO ROAD, SUITE 178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Invivyd,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IVVD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vests over a four-year period, with 25% of the shares subject to the option vesting on the first anniversary of the grant date of September 1, 2023 and the remaining 75% of the shares subject to the option vesting over the subsequent three-year period in substantially equal monthly installments at a rate of 1/48th of the total shares subject to the option each month, subject to the Reporting Person's continuous service as of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Andersen attorney-in-fact for William E. Duke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36135" TargetMode="External"/><Relationship Id="rId4" Type="http://schemas.openxmlformats.org/officeDocument/2006/relationships/hyperlink" Target="http://www.sec.gov/cgi-bin/browse-edgar?action=getcompany&amp;CIK=00018320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3495</Characters>
  <CharactersWithSpaces>4080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