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494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Adagio Therapeutics, Inc.</w:t>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00534A102</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6"/>
              </w:rPr>
              <w:t>CUSIP No. 00534A102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520" w:type="dxa"/>
            <w:vAlign w:val="bottom"/>
            <w:tcBorders>
              <w:right w:val="single" w:sz="8" w:color="auto"/>
            </w:tcBorders>
          </w:tcPr>
          <w:p>
            <w:pPr>
              <w:spacing w:after="0"/>
              <w:rPr>
                <w:sz w:val="12"/>
                <w:szCs w:val="12"/>
                <w:color w:val="auto"/>
              </w:rPr>
            </w:pPr>
          </w:p>
        </w:tc>
        <w:tc>
          <w:tcPr>
            <w:tcW w:w="3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51"/>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M28 Capital Management LP</w:t>
            </w: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 USA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5,626,070*</w:t>
            </w: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5,626,070*</w:t>
            </w: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5,626,070*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4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00534A102</w:t>
            </w:r>
          </w:p>
        </w:tc>
        <w:tc>
          <w:tcPr>
            <w:tcW w:w="1360" w:type="dxa"/>
            <w:vAlign w:val="bottom"/>
          </w:tcPr>
          <w:p>
            <w:pPr>
              <w:spacing w:after="0"/>
              <w:rPr>
                <w:sz w:val="24"/>
                <w:szCs w:val="24"/>
                <w:color w:val="auto"/>
              </w:rPr>
            </w:pPr>
          </w:p>
        </w:tc>
        <w:tc>
          <w:tcPr>
            <w:tcW w:w="316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spacing w:after="0"/>
              <w:rPr>
                <w:sz w:val="24"/>
                <w:szCs w:val="24"/>
                <w:color w:val="auto"/>
              </w:rPr>
            </w:pPr>
          </w:p>
        </w:tc>
      </w:tr>
      <w:tr>
        <w:trPr>
          <w:trHeight w:val="138"/>
        </w:trPr>
        <w:tc>
          <w:tcPr>
            <w:tcW w:w="40" w:type="dxa"/>
            <w:vAlign w:val="bottom"/>
            <w:tcBorders>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3160" w:type="dxa"/>
            <w:vAlign w:val="bottom"/>
            <w:tcBorders>
              <w:right w:val="single" w:sz="8" w:color="auto"/>
            </w:tcBorders>
          </w:tcPr>
          <w:p>
            <w:pPr>
              <w:spacing w:after="0"/>
              <w:rPr>
                <w:sz w:val="12"/>
                <w:szCs w:val="12"/>
                <w:color w:val="auto"/>
              </w:rPr>
            </w:pPr>
          </w:p>
        </w:tc>
        <w:tc>
          <w:tcPr>
            <w:tcW w:w="3340" w:type="dxa"/>
            <w:vAlign w:val="bottom"/>
            <w:tcBorders>
              <w:bottom w:val="single" w:sz="8" w:color="auto"/>
              <w:right w:val="single" w:sz="8" w:color="auto"/>
            </w:tcBorders>
          </w:tcPr>
          <w:p>
            <w:pPr>
              <w:spacing w:after="0"/>
              <w:rPr>
                <w:sz w:val="12"/>
                <w:szCs w:val="12"/>
                <w:color w:val="auto"/>
              </w:rPr>
            </w:pPr>
          </w:p>
        </w:tc>
      </w:tr>
      <w:tr>
        <w:trPr>
          <w:trHeight w:val="436"/>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20" w:type="dxa"/>
            <w:vAlign w:val="bottom"/>
            <w:gridSpan w:val="2"/>
          </w:tcPr>
          <w:p>
            <w:pPr>
              <w:ind w:left="80"/>
              <w:spacing w:after="0"/>
              <w:rPr>
                <w:sz w:val="20"/>
                <w:szCs w:val="20"/>
                <w:color w:val="auto"/>
              </w:rPr>
            </w:pPr>
            <w:r>
              <w:rPr>
                <w:rFonts w:ascii="Arial" w:cs="Arial" w:eastAsia="Arial" w:hAnsi="Arial"/>
                <w:sz w:val="18"/>
                <w:szCs w:val="18"/>
                <w:b w:val="1"/>
                <w:bCs w:val="1"/>
                <w:color w:val="auto"/>
              </w:rPr>
              <w:t>(a) Name of Issuer</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Adagio Therapeutics, Inc. (the “Issuer”)</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2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(b) Address of Issuer’s Principal Executive Offices</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w w:val="96"/>
              </w:rPr>
              <w:t>303 Wyman Street, Suite 300, Waltham, MA 02451</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0"/>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620" w:type="dxa"/>
            <w:vAlign w:val="bottom"/>
            <w:gridSpan w:val="4"/>
          </w:tcPr>
          <w:p>
            <w:pPr>
              <w:ind w:left="80"/>
              <w:spacing w:after="0"/>
              <w:rPr>
                <w:sz w:val="20"/>
                <w:szCs w:val="20"/>
                <w:color w:val="auto"/>
              </w:rPr>
            </w:pPr>
            <w:r>
              <w:rPr>
                <w:rFonts w:ascii="Arial" w:cs="Arial" w:eastAsia="Arial" w:hAnsi="Arial"/>
                <w:sz w:val="18"/>
                <w:szCs w:val="18"/>
                <w:b w:val="1"/>
                <w:bCs w:val="1"/>
                <w:color w:val="auto"/>
              </w:rPr>
              <w:t>(a, b, c) Names of Person Filing, Address of Principal Business Office, Citizenship:</w:t>
            </w:r>
          </w:p>
        </w:tc>
      </w:tr>
      <w:tr>
        <w:trPr>
          <w:trHeight w:val="31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20" w:type="dxa"/>
            <w:vAlign w:val="bottom"/>
            <w:gridSpan w:val="4"/>
          </w:tcPr>
          <w:p>
            <w:pPr>
              <w:ind w:left="180"/>
              <w:spacing w:after="0"/>
              <w:rPr>
                <w:sz w:val="20"/>
                <w:szCs w:val="20"/>
                <w:color w:val="auto"/>
              </w:rPr>
            </w:pPr>
            <w:r>
              <w:rPr>
                <w:rFonts w:ascii="Arial" w:cs="Arial" w:eastAsia="Arial" w:hAnsi="Arial"/>
                <w:sz w:val="18"/>
                <w:szCs w:val="18"/>
                <w:color w:val="auto"/>
                <w:w w:val="93"/>
              </w:rPr>
              <w:t>This report on Schedule 13G is being filed by M28 Capital Management LP (the “Firm”), a Delaware limited partnership. The address for the</w:t>
            </w:r>
          </w:p>
        </w:tc>
      </w:tr>
      <w:tr>
        <w:trPr>
          <w:trHeight w:val="390"/>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20" w:type="dxa"/>
            <w:vAlign w:val="bottom"/>
            <w:gridSpan w:val="4"/>
          </w:tcPr>
          <w:p>
            <w:pPr>
              <w:ind w:left="180"/>
              <w:spacing w:after="0"/>
              <w:rPr>
                <w:sz w:val="20"/>
                <w:szCs w:val="20"/>
                <w:color w:val="auto"/>
              </w:rPr>
            </w:pPr>
            <w:r>
              <w:rPr>
                <w:rFonts w:ascii="Arial" w:cs="Arial" w:eastAsia="Arial" w:hAnsi="Arial"/>
                <w:sz w:val="18"/>
                <w:szCs w:val="18"/>
                <w:color w:val="auto"/>
              </w:rPr>
              <w:t>Firm is: 700 Canal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Stamford, CT 06902.</w:t>
            </w:r>
          </w:p>
        </w:tc>
      </w:tr>
      <w:tr>
        <w:trPr>
          <w:trHeight w:val="309"/>
        </w:trPr>
        <w:tc>
          <w:tcPr>
            <w:tcW w:w="4740" w:type="dxa"/>
            <w:vAlign w:val="bottom"/>
            <w:gridSpan w:val="4"/>
          </w:tcPr>
          <w:p>
            <w:pPr>
              <w:spacing w:after="0"/>
              <w:rPr>
                <w:sz w:val="20"/>
                <w:szCs w:val="20"/>
                <w:color w:val="auto"/>
              </w:rPr>
            </w:pPr>
            <w:r>
              <w:rPr>
                <w:rFonts w:ascii="Arial" w:cs="Arial" w:eastAsia="Arial" w:hAnsi="Arial"/>
                <w:sz w:val="18"/>
                <w:szCs w:val="18"/>
                <w:b w:val="1"/>
                <w:bCs w:val="1"/>
                <w:color w:val="auto"/>
              </w:rPr>
              <w:t>Item 2.  (d) Title of Class of Securities</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20" w:type="dxa"/>
            <w:vAlign w:val="bottom"/>
            <w:gridSpan w:val="4"/>
          </w:tcPr>
          <w:p>
            <w:pPr>
              <w:ind w:left="180"/>
              <w:spacing w:after="0"/>
              <w:rPr>
                <w:sz w:val="20"/>
                <w:szCs w:val="20"/>
                <w:color w:val="auto"/>
              </w:rPr>
            </w:pPr>
            <w:r>
              <w:rPr>
                <w:rFonts w:ascii="Arial" w:cs="Arial" w:eastAsia="Arial" w:hAnsi="Arial"/>
                <w:sz w:val="18"/>
                <w:szCs w:val="18"/>
                <w:color w:val="auto"/>
              </w:rPr>
              <w:t>Common Stock, $0.0001 par value (the “Common Stock”).</w:t>
            </w: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4120" w:type="dxa"/>
            <w:vAlign w:val="bottom"/>
            <w:gridSpan w:val="2"/>
          </w:tcPr>
          <w:p>
            <w:pPr>
              <w:ind w:left="80"/>
              <w:spacing w:after="0"/>
              <w:rPr>
                <w:sz w:val="20"/>
                <w:szCs w:val="20"/>
                <w:color w:val="auto"/>
              </w:rPr>
            </w:pPr>
            <w:r>
              <w:rPr>
                <w:rFonts w:ascii="Arial" w:cs="Arial" w:eastAsia="Arial" w:hAnsi="Arial"/>
                <w:sz w:val="18"/>
                <w:szCs w:val="18"/>
                <w:b w:val="1"/>
                <w:bCs w:val="1"/>
                <w:color w:val="auto"/>
              </w:rPr>
              <w:t>(e) CUSIP No.:</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00534A102</w:t>
            </w:r>
          </w:p>
        </w:tc>
        <w:tc>
          <w:tcPr>
            <w:tcW w:w="31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If this statement is filed pursuant to Rule 13d-1(b), or 13d-2(b) or (c), Check Whether the Person filing is a:</w:t>
      </w:r>
    </w:p>
    <w:p>
      <w:pPr>
        <w:spacing w:after="0" w:line="237" w:lineRule="exact"/>
        <w:rPr>
          <w:sz w:val="20"/>
          <w:szCs w:val="20"/>
          <w:color w:val="auto"/>
        </w:rPr>
      </w:pPr>
    </w:p>
    <w:p>
      <w:pPr>
        <w:ind w:left="1020" w:hanging="310"/>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76" w:lineRule="exact"/>
        <w:rPr>
          <w:rFonts w:ascii="Arial" w:cs="Arial" w:eastAsia="Arial" w:hAnsi="Arial"/>
          <w:sz w:val="18"/>
          <w:szCs w:val="18"/>
          <w:color w:val="auto"/>
        </w:rPr>
      </w:pPr>
    </w:p>
    <w:p>
      <w:pPr>
        <w:ind w:left="1040" w:hanging="330"/>
        <w:spacing w:after="0" w:line="207" w:lineRule="exact"/>
        <w:tabs>
          <w:tab w:leader="none" w:pos="1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36" w:lineRule="exact"/>
        <w:rPr>
          <w:rFonts w:ascii="Arial" w:cs="Arial" w:eastAsia="Arial" w:hAnsi="Arial"/>
          <w:sz w:val="18"/>
          <w:szCs w:val="18"/>
          <w:color w:val="auto"/>
        </w:rPr>
      </w:pPr>
    </w:p>
    <w:p>
      <w:pPr>
        <w:ind w:left="1020" w:hanging="310"/>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36" w:lineRule="exact"/>
        <w:rPr>
          <w:rFonts w:ascii="Arial" w:cs="Arial" w:eastAsia="Arial" w:hAnsi="Arial"/>
          <w:sz w:val="18"/>
          <w:szCs w:val="18"/>
          <w:color w:val="auto"/>
        </w:rPr>
      </w:pPr>
    </w:p>
    <w:p>
      <w:pPr>
        <w:ind w:left="1040" w:hanging="330"/>
        <w:spacing w:after="0" w:line="207" w:lineRule="exact"/>
        <w:tabs>
          <w:tab w:leader="none" w:pos="1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36" w:lineRule="exact"/>
        <w:rPr>
          <w:rFonts w:ascii="Arial" w:cs="Arial" w:eastAsia="Arial" w:hAnsi="Arial"/>
          <w:sz w:val="18"/>
          <w:szCs w:val="18"/>
          <w:color w:val="auto"/>
        </w:rPr>
      </w:pPr>
    </w:p>
    <w:p>
      <w:pPr>
        <w:ind w:left="1020" w:hanging="310"/>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36" w:lineRule="exact"/>
        <w:rPr>
          <w:rFonts w:ascii="Arial" w:cs="Arial" w:eastAsia="Arial" w:hAnsi="Arial"/>
          <w:sz w:val="18"/>
          <w:szCs w:val="18"/>
          <w:color w:val="auto"/>
        </w:rPr>
      </w:pPr>
    </w:p>
    <w:p>
      <w:pPr>
        <w:ind w:left="1040" w:hanging="330"/>
        <w:spacing w:after="0" w:line="207" w:lineRule="exact"/>
        <w:tabs>
          <w:tab w:leader="none" w:pos="1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36" w:lineRule="exact"/>
        <w:rPr>
          <w:rFonts w:ascii="Arial" w:cs="Arial" w:eastAsia="Arial" w:hAnsi="Arial"/>
          <w:sz w:val="18"/>
          <w:szCs w:val="18"/>
          <w:color w:val="auto"/>
        </w:rPr>
      </w:pPr>
    </w:p>
    <w:p>
      <w:pPr>
        <w:ind w:left="1040" w:hanging="330"/>
        <w:spacing w:after="0" w:line="207" w:lineRule="exact"/>
        <w:tabs>
          <w:tab w:leader="none" w:pos="1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36" w:lineRule="exact"/>
        <w:rPr>
          <w:rFonts w:ascii="Arial" w:cs="Arial" w:eastAsia="Arial" w:hAnsi="Arial"/>
          <w:sz w:val="18"/>
          <w:szCs w:val="18"/>
          <w:color w:val="auto"/>
        </w:rPr>
      </w:pPr>
    </w:p>
    <w:p>
      <w:pPr>
        <w:ind w:left="1040" w:hanging="330"/>
        <w:spacing w:after="0" w:line="207" w:lineRule="exact"/>
        <w:tabs>
          <w:tab w:leader="none" w:pos="1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36" w:lineRule="exact"/>
        <w:rPr>
          <w:rFonts w:ascii="Arial" w:cs="Arial" w:eastAsia="Arial" w:hAnsi="Arial"/>
          <w:sz w:val="18"/>
          <w:szCs w:val="18"/>
          <w:color w:val="auto"/>
        </w:rPr>
      </w:pPr>
    </w:p>
    <w:p>
      <w:pPr>
        <w:ind w:left="1000" w:right="220" w:hanging="290"/>
        <w:spacing w:after="0" w:line="220" w:lineRule="exact"/>
        <w:tabs>
          <w:tab w:leader="none" w:pos="1053"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020" w:hanging="310"/>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56" w:lineRule="exact"/>
        <w:rPr>
          <w:rFonts w:ascii="Arial" w:cs="Arial" w:eastAsia="Arial" w:hAnsi="Arial"/>
          <w:sz w:val="18"/>
          <w:szCs w:val="18"/>
          <w:color w:val="auto"/>
        </w:rPr>
      </w:pPr>
    </w:p>
    <w:p>
      <w:pPr>
        <w:ind w:left="980" w:right="140" w:hanging="297"/>
        <w:spacing w:after="0" w:line="220" w:lineRule="exact"/>
        <w:tabs>
          <w:tab w:leader="none" w:pos="1012"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 _______________</w:t>
      </w:r>
    </w:p>
    <w:p>
      <w:pPr>
        <w:sectPr>
          <w:pgSz w:w="11900" w:h="16838" w:orient="portrait"/>
          <w:cols w:equalWidth="0" w:num="1">
            <w:col w:w="11240"/>
          </w:cols>
          <w:pgMar w:left="320" w:top="1095"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00534A102</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38"/>
        </w:trPr>
        <w:tc>
          <w:tcPr>
            <w:tcW w:w="33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Pr>
          <w:p>
            <w:pPr>
              <w:spacing w:after="0"/>
              <w:rPr>
                <w:sz w:val="12"/>
                <w:szCs w:val="1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708660</wp:posOffset>
            </wp:positionV>
            <wp:extent cx="2130425" cy="321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ind w:left="100" w:right="1080"/>
        <w:spacing w:after="0" w:line="260" w:lineRule="auto"/>
        <w:rPr>
          <w:sz w:val="20"/>
          <w:szCs w:val="20"/>
          <w:color w:val="auto"/>
        </w:rPr>
      </w:pPr>
      <w:r>
        <w:rPr>
          <w:rFonts w:ascii="Arial" w:cs="Arial" w:eastAsia="Arial" w:hAnsi="Arial"/>
          <w:sz w:val="18"/>
          <w:szCs w:val="18"/>
          <w:color w:val="auto"/>
        </w:rPr>
        <w:t>Information with respect to the Firm’s ownership of securities of the issuer is incorporated by reference to items (5) - (9) and (11) of the respective cover page of the Firm.</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As reported in the cover pages to this report, the ownership information with respect to the Firm is as follows: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80" w:type="dxa"/>
            <w:vAlign w:val="bottom"/>
          </w:tcPr>
          <w:p>
            <w:pPr>
              <w:ind w:left="440"/>
              <w:spacing w:after="0"/>
              <w:rPr>
                <w:sz w:val="20"/>
                <w:szCs w:val="20"/>
                <w:color w:val="auto"/>
              </w:rPr>
            </w:pPr>
            <w:r>
              <w:rPr>
                <w:rFonts w:ascii="Arial" w:cs="Arial" w:eastAsia="Arial" w:hAnsi="Arial"/>
                <w:sz w:val="18"/>
                <w:szCs w:val="18"/>
                <w:color w:val="auto"/>
              </w:rPr>
              <w:t>(a) Amount Beneficially Owned:</w:t>
            </w:r>
          </w:p>
        </w:tc>
        <w:tc>
          <w:tcPr>
            <w:tcW w:w="2160" w:type="dxa"/>
            <w:vAlign w:val="bottom"/>
          </w:tcPr>
          <w:p>
            <w:pPr>
              <w:ind w:left="1380"/>
              <w:spacing w:after="0"/>
              <w:rPr>
                <w:sz w:val="20"/>
                <w:szCs w:val="20"/>
                <w:color w:val="auto"/>
              </w:rPr>
            </w:pPr>
            <w:r>
              <w:rPr>
                <w:rFonts w:ascii="Arial" w:cs="Arial" w:eastAsia="Arial" w:hAnsi="Arial"/>
                <w:sz w:val="18"/>
                <w:szCs w:val="18"/>
                <w:color w:val="auto"/>
                <w:w w:val="87"/>
              </w:rPr>
              <w:t>5,626,070*</w:t>
            </w:r>
          </w:p>
        </w:tc>
        <w:tc>
          <w:tcPr>
            <w:tcW w:w="0" w:type="dxa"/>
            <w:vAlign w:val="bottom"/>
          </w:tcPr>
          <w:p>
            <w:pPr>
              <w:spacing w:after="0"/>
              <w:rPr>
                <w:sz w:val="1"/>
                <w:szCs w:val="1"/>
                <w:color w:val="auto"/>
              </w:rPr>
            </w:pPr>
          </w:p>
        </w:tc>
      </w:tr>
      <w:tr>
        <w:trPr>
          <w:trHeight w:val="351"/>
        </w:trPr>
        <w:tc>
          <w:tcPr>
            <w:tcW w:w="8880" w:type="dxa"/>
            <w:vAlign w:val="bottom"/>
          </w:tcPr>
          <w:p>
            <w:pPr>
              <w:ind w:left="440"/>
              <w:spacing w:after="0"/>
              <w:rPr>
                <w:sz w:val="20"/>
                <w:szCs w:val="20"/>
                <w:color w:val="auto"/>
              </w:rPr>
            </w:pPr>
            <w:r>
              <w:rPr>
                <w:rFonts w:ascii="Arial" w:cs="Arial" w:eastAsia="Arial" w:hAnsi="Arial"/>
                <w:sz w:val="18"/>
                <w:szCs w:val="18"/>
                <w:color w:val="auto"/>
              </w:rPr>
              <w:t>(b) Percent of Class:</w:t>
            </w:r>
          </w:p>
        </w:tc>
        <w:tc>
          <w:tcPr>
            <w:tcW w:w="2160" w:type="dxa"/>
            <w:vAlign w:val="bottom"/>
          </w:tcPr>
          <w:p>
            <w:pPr>
              <w:ind w:left="13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51"/>
        </w:trPr>
        <w:tc>
          <w:tcPr>
            <w:tcW w:w="8880" w:type="dxa"/>
            <w:vAlign w:val="bottom"/>
          </w:tcPr>
          <w:p>
            <w:pPr>
              <w:ind w:left="440"/>
              <w:spacing w:after="0"/>
              <w:rPr>
                <w:sz w:val="20"/>
                <w:szCs w:val="20"/>
                <w:color w:val="auto"/>
              </w:rPr>
            </w:pPr>
            <w:r>
              <w:rPr>
                <w:rFonts w:ascii="Arial" w:cs="Arial" w:eastAsia="Arial" w:hAnsi="Arial"/>
                <w:sz w:val="18"/>
                <w:szCs w:val="18"/>
                <w:color w:val="auto"/>
              </w:rPr>
              <w:t>(c) Number of Shares as to which such person has: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 Sole power to vote or to direct the vote:</w:t>
            </w:r>
          </w:p>
        </w:tc>
        <w:tc>
          <w:tcPr>
            <w:tcW w:w="2160" w:type="dxa"/>
            <w:vAlign w:val="bottom"/>
          </w:tcPr>
          <w:p>
            <w:pPr>
              <w:ind w:left="1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ind w:left="1380"/>
              <w:spacing w:after="0"/>
              <w:rPr>
                <w:sz w:val="20"/>
                <w:szCs w:val="20"/>
                <w:color w:val="auto"/>
              </w:rPr>
            </w:pPr>
            <w:r>
              <w:rPr>
                <w:rFonts w:ascii="Arial" w:cs="Arial" w:eastAsia="Arial" w:hAnsi="Arial"/>
                <w:sz w:val="18"/>
                <w:szCs w:val="18"/>
                <w:color w:val="auto"/>
                <w:w w:val="87"/>
              </w:rPr>
              <w:t>5,626,070*</w:t>
            </w: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(iii) Sole power to dispose or to direct the disposition of:</w:t>
            </w:r>
          </w:p>
        </w:tc>
        <w:tc>
          <w:tcPr>
            <w:tcW w:w="2160" w:type="dxa"/>
            <w:vAlign w:val="bottom"/>
          </w:tcPr>
          <w:p>
            <w:pPr>
              <w:ind w:left="1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1"/>
        </w:trPr>
        <w:tc>
          <w:tcPr>
            <w:tcW w:w="8880" w:type="dxa"/>
            <w:vAlign w:val="bottom"/>
          </w:tcPr>
          <w:p>
            <w:pPr>
              <w:ind w:left="800"/>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vMerge w:val="restart"/>
          </w:tcPr>
          <w:p>
            <w:pPr>
              <w:ind w:left="1280"/>
              <w:spacing w:after="0"/>
              <w:rPr>
                <w:sz w:val="20"/>
                <w:szCs w:val="20"/>
                <w:color w:val="auto"/>
              </w:rPr>
            </w:pPr>
            <w:r>
              <w:rPr>
                <w:rFonts w:ascii="Arial" w:cs="Arial" w:eastAsia="Arial" w:hAnsi="Arial"/>
                <w:sz w:val="18"/>
                <w:szCs w:val="18"/>
                <w:color w:val="auto"/>
                <w:w w:val="98"/>
              </w:rPr>
              <w:t>5,626,070*</w:t>
            </w:r>
          </w:p>
        </w:tc>
        <w:tc>
          <w:tcPr>
            <w:tcW w:w="0" w:type="dxa"/>
            <w:vAlign w:val="bottom"/>
          </w:tcPr>
          <w:p>
            <w:pPr>
              <w:spacing w:after="0"/>
              <w:rPr>
                <w:sz w:val="1"/>
                <w:szCs w:val="1"/>
                <w:color w:val="auto"/>
              </w:rPr>
            </w:pPr>
          </w:p>
        </w:tc>
      </w:tr>
      <w:tr>
        <w:trPr>
          <w:trHeight w:val="68"/>
        </w:trPr>
        <w:tc>
          <w:tcPr>
            <w:tcW w:w="888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380"/>
        <w:spacing w:after="0" w:line="253" w:lineRule="auto"/>
        <w:rPr>
          <w:sz w:val="20"/>
          <w:szCs w:val="20"/>
          <w:color w:val="auto"/>
        </w:rPr>
      </w:pPr>
      <w:r>
        <w:rPr>
          <w:rFonts w:ascii="Arial" w:cs="Arial" w:eastAsia="Arial" w:hAnsi="Arial"/>
          <w:sz w:val="18"/>
          <w:szCs w:val="18"/>
          <w:color w:val="auto"/>
        </w:rPr>
        <w:t>The Firm is the investment manager to M28 Capital Master Fund LP, a Cayman Islands limited partnership (“M28 Master”), Veltro Argento LP, a Delaware limited partnership (“Veltro”), and one or more managed accounts (the “Managed Accounts” and together with M28 Master and Veltro, the “M28 Funds and Accounts”). As of October 4, 2021, the Firm may be deemed to beneficially own an aggregate of 5,626,070 shares of Common Stock of the Issuer. The number of shares reported above consists of (i) 1,562,500 shares of Common Stock held by M28 Master; (ii) 3,125,000 shares of Common Stock held by Veltro; and (iii) 938,570 shares of Common Stock held by the Managed Accounts. The Firm, as the investment manager to the M28 Funds and Accounts, may be deemed to beneficially own these securities. Marc Elia is the Chief Investment Officer and principal owner of the Firm and exercises investment discretion with respect to these securities. Ownership percentages are based on 111,251,660 shares of Common Stock reported as issued and outstanding in the Issuer’s Quarterly Report on Form 10-Q filed with the Securities and Exchange Commission on September 20,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85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00534A102</w:t>
            </w:r>
          </w:p>
        </w:tc>
        <w:tc>
          <w:tcPr>
            <w:tcW w:w="2960" w:type="dxa"/>
            <w:vAlign w:val="bottom"/>
          </w:tcPr>
          <w:p>
            <w:pPr>
              <w:ind w:left="1600"/>
              <w:spacing w:after="0"/>
              <w:rPr>
                <w:sz w:val="20"/>
                <w:szCs w:val="20"/>
                <w:color w:val="auto"/>
              </w:rPr>
            </w:pPr>
            <w:r>
              <w:rPr>
                <w:rFonts w:ascii="Arial" w:cs="Arial" w:eastAsia="Arial" w:hAnsi="Arial"/>
                <w:sz w:val="18"/>
                <w:szCs w:val="18"/>
                <w:b w:val="1"/>
                <w:bCs w:val="1"/>
                <w:color w:val="auto"/>
                <w:w w:val="97"/>
              </w:rPr>
              <w:t>SCHEDULE 13G</w:t>
            </w:r>
          </w:p>
        </w:tc>
      </w:tr>
      <w:tr>
        <w:trPr>
          <w:trHeight w:val="138"/>
        </w:trPr>
        <w:tc>
          <w:tcPr>
            <w:tcW w:w="33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Pr>
          <w:p>
            <w:pPr>
              <w:spacing w:after="0"/>
              <w:rPr>
                <w:sz w:val="12"/>
                <w:szCs w:val="1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708660</wp:posOffset>
            </wp:positionV>
            <wp:extent cx="2130425" cy="321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2021</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M28 Capital Management LP</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Christopher M. Taliercio</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Christopher M. Taliercio, President and Chief Compliance Officer</w:t>
      </w:r>
    </w:p>
    <w:sectPr>
      <w:pgSz w:w="11900" w:h="16838" w:orient="portrait"/>
      <w:cols w:equalWidth="0" w:num="1">
        <w:col w:w="11240"/>
      </w:cols>
      <w:pgMar w:left="320" w:top="10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1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2021-10-05T15:14:03Z</dcterms:created>
  <dcterms:modified xsi:type="dcterms:W3CDTF">2021-10-05T15:14:03Z</dcterms:modified>
</cp:coreProperties>
</file>