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ind w:left="360"/>
        <w:spacing w:after="0" w:line="25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-236220</wp:posOffset>
            </wp:positionV>
            <wp:extent cx="129540" cy="1295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40" cy="129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60" w:type="dxa"/>
            <w:vAlign w:val="bottom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3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60" w:type="dxa"/>
            <w:vAlign w:val="bottom"/>
            <w:vMerge w:val="restart"/>
          </w:tcPr>
          <w:p>
            <w:pPr>
              <w:jc w:val="center"/>
              <w:ind w:right="2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5242560</wp:posOffset>
            </wp:positionH>
            <wp:positionV relativeFrom="paragraph">
              <wp:posOffset>-617855</wp:posOffset>
            </wp:positionV>
            <wp:extent cx="57785" cy="631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3958590</wp:posOffset>
            </wp:positionH>
            <wp:positionV relativeFrom="paragraph">
              <wp:posOffset>-617855</wp:posOffset>
            </wp:positionV>
            <wp:extent cx="57785" cy="6311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1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-1661795</wp:posOffset>
            </wp:positionH>
            <wp:positionV relativeFrom="paragraph">
              <wp:posOffset>21590</wp:posOffset>
            </wp:positionV>
            <wp:extent cx="7047230" cy="461264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4612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20" w:space="380"/>
            <w:col w:w="8480"/>
          </w:cols>
          <w:pgMar w:left="460" w:top="216" w:right="35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MCLAUGHLIN KEVIN F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INVIVYD, INC.</w:t>
            </w: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1601 TRAPELO ROAD, SUITE 178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56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WALTHAM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02451</w:t>
            </w: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3840" w:type="dxa"/>
            <w:vAlign w:val="bottom"/>
            <w:gridSpan w:val="4"/>
          </w:tcPr>
          <w:p>
            <w:pPr>
              <w:ind w:left="60"/>
              <w:spacing w:after="0" w:line="140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Invivyd,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IVVD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60"/>
              <w:spacing w:after="0" w:line="15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1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05/21/2024</w:t>
            </w:r>
          </w:p>
        </w:tc>
        <w:tc>
          <w:tcPr>
            <w:tcW w:w="2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25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Rule 10b5-1(c) Transaction Indication</w:t>
      </w:r>
    </w:p>
    <w:p>
      <w:pPr>
        <w:spacing w:after="0" w:line="217" w:lineRule="exact"/>
        <w:rPr>
          <w:sz w:val="24"/>
          <w:szCs w:val="24"/>
          <w:color w:val="auto"/>
        </w:rPr>
      </w:pPr>
    </w:p>
    <w:p>
      <w:pPr>
        <w:ind w:left="320" w:right="380"/>
        <w:spacing w:after="0" w:line="28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3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jc w:val="center"/>
        <w:ind w:right="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2.21</w:t>
            </w:r>
          </w:p>
        </w:tc>
        <w:tc>
          <w:tcPr>
            <w:tcW w:w="1060" w:type="dxa"/>
            <w:vAlign w:val="bottom"/>
          </w:tcPr>
          <w:p>
            <w:pPr>
              <w:jc w:val="right"/>
              <w:ind w:righ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05/21/2024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05/20/2034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100,000</w:t>
            </w:r>
          </w:p>
        </w:tc>
        <w:tc>
          <w:tcPr>
            <w:tcW w:w="6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9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100,000</w:t>
            </w:r>
          </w:p>
        </w:tc>
        <w:tc>
          <w:tcPr>
            <w:tcW w:w="7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80" w:type="dxa"/>
            <w:vAlign w:val="bottom"/>
          </w:tcPr>
          <w:p>
            <w:pPr>
              <w:ind w:left="6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80"/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 w:right="200"/>
        <w:spacing w:after="0" w:line="245" w:lineRule="auto"/>
        <w:tabs>
          <w:tab w:leader="none" w:pos="167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This option was granted on May 21, 2024 and vests over a three-year period, with one-third of the shares subject to the grant vesting on the first anniversary of the grant date and 1/36th of the total shares subject to the grant vesting in substantially equal monthly installments thereafter, subject to the Reporting Person's continuous service through each vesting date.</w:t>
      </w:r>
    </w:p>
    <w:p>
      <w:pPr>
        <w:ind w:left="6600"/>
        <w:spacing w:after="0" w:line="183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 xml:space="preserve">/s/ Jill Andersen attorney-in-fact </w:t>
      </w:r>
      <w:r>
        <w:rPr>
          <w:rFonts w:ascii="Times New Roman" w:cs="Times New Roman" w:eastAsia="Times New Roman" w:hAnsi="Times New Roman"/>
          <w:sz w:val="31"/>
          <w:szCs w:val="31"/>
          <w:color w:val="0000FF"/>
          <w:vertAlign w:val="subscript"/>
        </w:rPr>
        <w:t>05/23/2024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-26670</wp:posOffset>
            </wp:positionV>
            <wp:extent cx="136144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1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for Kevin F. McLaughlin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4184650</wp:posOffset>
            </wp:positionH>
            <wp:positionV relativeFrom="paragraph">
              <wp:posOffset>-21590</wp:posOffset>
            </wp:positionV>
            <wp:extent cx="10528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28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5582285</wp:posOffset>
            </wp:positionH>
            <wp:positionV relativeFrom="paragraph">
              <wp:posOffset>-86360</wp:posOffset>
            </wp:positionV>
            <wp:extent cx="4781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81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00"/>
        <w:spacing w:after="0" w:line="331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4938" TargetMode="External"/><Relationship Id="rId13" Type="http://schemas.openxmlformats.org/officeDocument/2006/relationships/hyperlink" Target="http://www.sec.gov/cgi-bin/browse-edgar?action=getcompany&amp;CIK=000183203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2024-05-23T19:33:10Z</dcterms:created>
  <dcterms:modified xsi:type="dcterms:W3CDTF">2024-05-23T19:33:10Z</dcterms:modified>
</cp:coreProperties>
</file>