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19064dpre14a.htm"/>
        <w:bookmarkStart w:id="1" w:name="ksd419064dpre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Invivyd,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 SUBJECT TO COMPLETION </w:t>
      </w:r>
    </w:p>
    <w:p>
      <w:pPr>
        <w:pStyle w:val="TextBody"/>
        <w:spacing w:before="0" w:after="0"/>
        <w:jc w:val="left"/>
        <w:rPr/>
      </w:pPr>
      <w:r>
        <w:rPr/>
        <w:t> </w:t>
      </w:r>
    </w:p>
    <w:p>
      <w:pPr>
        <w:pStyle w:val="TextBody"/>
        <w:spacing w:before="0" w:after="0"/>
        <w:jc w:val="center"/>
        <w:rPr/>
      </w:pPr>
      <w:r>
        <w:rPr/>
        <w:drawing>
          <wp:inline distT="0" distB="0" distL="0" distR="0">
            <wp:extent cx="21526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33337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Invivyd, Inc. </w:t>
      </w:r>
    </w:p>
    <w:p>
      <w:pPr>
        <w:pStyle w:val="TextBody"/>
        <w:spacing w:before="0" w:after="0"/>
        <w:jc w:val="center"/>
        <w:rPr>
          <w:rFonts w:ascii="Times New Roman" w:hAnsi="Times New Roman"/>
          <w:b/>
          <w:sz w:val="20"/>
        </w:rPr>
      </w:pPr>
      <w:r>
        <w:rPr>
          <w:rFonts w:ascii="Times New Roman" w:hAnsi="Times New Roman"/>
          <w:b/>
          <w:sz w:val="20"/>
        </w:rPr>
        <w:t xml:space="preserve">1601 Trapelo Road, Suite 178 </w:t>
      </w:r>
    </w:p>
    <w:p>
      <w:pPr>
        <w:pStyle w:val="TextBody"/>
        <w:spacing w:before="0" w:after="0"/>
        <w:jc w:val="center"/>
        <w:rPr>
          <w:rFonts w:ascii="Times New Roman" w:hAnsi="Times New Roman"/>
          <w:b/>
          <w:sz w:val="20"/>
        </w:rPr>
      </w:pPr>
      <w:r>
        <w:rPr>
          <w:rFonts w:ascii="Times New Roman" w:hAnsi="Times New Roman"/>
          <w:b/>
          <w:sz w:val="20"/>
        </w:rPr>
        <w:t xml:space="preserve">Waltham, Massachusetts 02451 </w:t>
      </w:r>
    </w:p>
    <w:p>
      <w:pPr>
        <w:pStyle w:val="TextBody"/>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240" w:after="0"/>
        <w:jc w:val="center"/>
        <w:rPr>
          <w:rFonts w:ascii="Times New Roman" w:hAnsi="Times New Roman"/>
          <w:b/>
          <w:sz w:val="20"/>
        </w:rPr>
      </w:pPr>
      <w:r>
        <w:rPr>
          <w:rFonts w:ascii="Times New Roman" w:hAnsi="Times New Roman"/>
          <w:b/>
          <w:sz w:val="20"/>
        </w:rPr>
        <w:t xml:space="preserve">To Be Held On Tuesday, May 23, 2023 </w:t>
      </w:r>
    </w:p>
    <w:p>
      <w:pPr>
        <w:pStyle w:val="TextBody"/>
        <w:spacing w:before="240" w:after="0"/>
        <w:jc w:val="left"/>
        <w:rPr>
          <w:rFonts w:ascii="Times New Roman" w:hAnsi="Times New Roman"/>
          <w:sz w:val="20"/>
        </w:rPr>
      </w:pPr>
      <w:r>
        <w:rPr>
          <w:rFonts w:ascii="Times New Roman" w:hAnsi="Times New Roman"/>
          <w:sz w:val="20"/>
        </w:rPr>
        <w:t xml:space="preserve">To our Stockholders: </w:t>
      </w:r>
    </w:p>
    <w:p>
      <w:pPr>
        <w:pStyle w:val="TextBody"/>
        <w:spacing w:before="120" w:after="0"/>
        <w:jc w:val="left"/>
        <w:rPr>
          <w:rFonts w:ascii="Times New Roman" w:hAnsi="Times New Roman"/>
          <w:sz w:val="20"/>
        </w:rPr>
      </w:pPr>
      <w:r>
        <w:rPr>
          <w:rFonts w:ascii="Times New Roman" w:hAnsi="Times New Roman"/>
          <w:sz w:val="20"/>
        </w:rPr>
        <w:t xml:space="preserve">You are cordially invited to attend the 2023 Annual Meeting of Stockholders and any adjournments or postponements thereof (the 2023 Annual Meeting or the Annual Meeting) of </w:t>
      </w:r>
      <w:r>
        <w:rPr>
          <w:rFonts w:ascii="Times New Roman" w:hAnsi="Times New Roman"/>
          <w:b/>
          <w:sz w:val="20"/>
        </w:rPr>
        <w:t>INVIVYD, INC.</w:t>
      </w:r>
      <w:r>
        <w:rPr>
          <w:rFonts w:ascii="Times New Roman" w:hAnsi="Times New Roman"/>
          <w:sz w:val="20"/>
        </w:rPr>
        <w:t xml:space="preserve">, a Delaware corporation (the Company). The Annual Meeting will be held virtually on Tuesday, May 23, 2023 at 8:30 a.m. Eastern Time at </w:t>
      </w:r>
      <w:r>
        <w:rPr>
          <w:rFonts w:ascii="Times New Roman" w:hAnsi="Times New Roman"/>
          <w:i/>
          <w:sz w:val="20"/>
        </w:rPr>
        <w:t>www.virtualshareholdermeeting.com/IVVD2023</w:t>
      </w:r>
      <w:r>
        <w:rPr>
          <w:rFonts w:ascii="Times New Roman" w:hAnsi="Times New Roman"/>
          <w:sz w:val="20"/>
        </w:rPr>
        <w:t xml:space="preserve">. You will not be able to attend the Annual Meeting in person. The Annual Meeting will be held for the following purposes: </w:t>
      </w:r>
    </w:p>
    <w:p>
      <w:pPr>
        <w:pStyle w:val="TextBody"/>
        <w:spacing w:before="240" w:after="0"/>
        <w:jc w:val="left"/>
        <w:rPr>
          <w:rFonts w:ascii="Times New Roman" w:hAnsi="Times New Roman"/>
          <w:sz w:val="20"/>
        </w:rPr>
      </w:pPr>
      <w:r>
        <w:rPr>
          <w:rFonts w:ascii="Times New Roman" w:hAnsi="Times New Roman"/>
          <w:sz w:val="20"/>
        </w:rPr>
        <w:t xml:space="preserve">1. To approve an amendment to the Companys Amended and Restated Certificate of Incorporation (as amended, the Certificate of Incorporation) to (i) declassify the Companys Board of Directors (our Board)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(the Declassification Amendment). </w:t>
      </w:r>
    </w:p>
    <w:p>
      <w:pPr>
        <w:pStyle w:val="TextBody"/>
        <w:spacing w:before="240" w:after="0"/>
        <w:jc w:val="left"/>
        <w:rPr>
          <w:rFonts w:ascii="Times New Roman" w:hAnsi="Times New Roman"/>
          <w:sz w:val="20"/>
        </w:rPr>
      </w:pPr>
      <w:r>
        <w:rPr>
          <w:rFonts w:ascii="Times New Roman" w:hAnsi="Times New Roman"/>
          <w:sz w:val="20"/>
        </w:rPr>
        <w:t xml:space="preserve">2. To elect the two nominees for director named in the proxy statement accompanying this Notice of Annual Meeting of Stockholders (the Proxy Statement) for a three-year term expiring at the 2026 Annual Meeting of Stockholders (the 2026 Annual Meeting) (provided, that if the Declassification Amendment is approved and implemented, the terms of such directors will expire at the 2024 Annual Meeting of Stockholders (the 2024 Annual Meeting)). </w:t>
      </w:r>
    </w:p>
    <w:p>
      <w:pPr>
        <w:pStyle w:val="TextBody"/>
        <w:spacing w:before="240" w:after="0"/>
        <w:jc w:val="left"/>
        <w:rPr>
          <w:rFonts w:ascii="Times New Roman" w:hAnsi="Times New Roman"/>
          <w:sz w:val="20"/>
        </w:rPr>
      </w:pPr>
      <w:r>
        <w:rPr>
          <w:rFonts w:ascii="Times New Roman" w:hAnsi="Times New Roman"/>
          <w:sz w:val="20"/>
        </w:rPr>
        <w:t xml:space="preserve">3. To ratify the appointment of PricewaterhouseCoopers LLP as the Companys independent registered public accounting firm for the fiscal year ending December 31, 2023. </w:t>
      </w:r>
    </w:p>
    <w:p>
      <w:pPr>
        <w:pStyle w:val="TextBody"/>
        <w:spacing w:before="240" w:after="0"/>
        <w:jc w:val="left"/>
        <w:rPr>
          <w:rFonts w:ascii="Times New Roman" w:hAnsi="Times New Roman"/>
          <w:sz w:val="20"/>
        </w:rPr>
      </w:pPr>
      <w:r>
        <w:rPr>
          <w:rFonts w:ascii="Times New Roman" w:hAnsi="Times New Roman"/>
          <w:sz w:val="20"/>
        </w:rPr>
        <w:t xml:space="preserve">4. To transact such other business as may properly be brought before the Annual Meeting. </w:t>
      </w:r>
    </w:p>
    <w:p>
      <w:pPr>
        <w:pStyle w:val="TextBody"/>
        <w:spacing w:before="240" w:after="0"/>
        <w:jc w:val="left"/>
        <w:rPr>
          <w:rFonts w:ascii="Times New Roman" w:hAnsi="Times New Roman"/>
          <w:sz w:val="20"/>
        </w:rPr>
      </w:pPr>
      <w:r>
        <w:rPr>
          <w:rFonts w:ascii="Times New Roman" w:hAnsi="Times New Roman"/>
          <w:sz w:val="20"/>
        </w:rPr>
        <w:t xml:space="preserve">Our Board recommends that stockholders vote </w:t>
      </w:r>
      <w:r>
        <w:rPr>
          <w:rFonts w:ascii="Times New Roman" w:hAnsi="Times New Roman"/>
          <w:b/>
          <w:sz w:val="20"/>
          <w:u w:val="single"/>
        </w:rPr>
        <w:t>FOR</w:t>
      </w:r>
      <w:r>
        <w:rPr>
          <w:rFonts w:ascii="Times New Roman" w:hAnsi="Times New Roman"/>
          <w:sz w:val="20"/>
        </w:rPr>
        <w:t xml:space="preserve"> Proposal No. 1, </w:t>
      </w:r>
      <w:r>
        <w:rPr>
          <w:rFonts w:ascii="Times New Roman" w:hAnsi="Times New Roman"/>
          <w:b/>
          <w:sz w:val="20"/>
          <w:u w:val="single"/>
        </w:rPr>
        <w:t>FOR ALL</w:t>
      </w:r>
      <w:r>
        <w:rPr>
          <w:rFonts w:ascii="Times New Roman" w:hAnsi="Times New Roman"/>
          <w:sz w:val="20"/>
        </w:rPr>
        <w:t xml:space="preserve"> for Proposal No. 2 and </w:t>
      </w:r>
      <w:r>
        <w:rPr>
          <w:rFonts w:ascii="Times New Roman" w:hAnsi="Times New Roman"/>
          <w:b/>
          <w:sz w:val="20"/>
          <w:u w:val="single"/>
        </w:rPr>
        <w:t>FOR</w:t>
      </w:r>
      <w:r>
        <w:rPr>
          <w:rFonts w:ascii="Times New Roman" w:hAnsi="Times New Roman"/>
          <w:sz w:val="20"/>
        </w:rPr>
        <w:t xml:space="preserve"> Proposal No. 3. </w:t>
      </w:r>
    </w:p>
    <w:p>
      <w:pPr>
        <w:pStyle w:val="TextBody"/>
        <w:spacing w:before="240" w:after="0"/>
        <w:jc w:val="left"/>
        <w:rPr>
          <w:rFonts w:ascii="Times New Roman" w:hAnsi="Times New Roman"/>
          <w:sz w:val="20"/>
        </w:rPr>
      </w:pPr>
      <w:r>
        <w:rPr>
          <w:rFonts w:ascii="Times New Roman" w:hAnsi="Times New Roman"/>
          <w:sz w:val="20"/>
        </w:rPr>
        <w:t xml:space="preserve">These items of business are more fully described in the Proxy Statement, which is incorporated by reference hereto. </w:t>
      </w:r>
    </w:p>
    <w:p>
      <w:pPr>
        <w:pStyle w:val="TextBody"/>
        <w:spacing w:before="240" w:after="0"/>
        <w:jc w:val="left"/>
        <w:rPr>
          <w:rFonts w:ascii="Times New Roman" w:hAnsi="Times New Roman"/>
          <w:sz w:val="20"/>
        </w:rPr>
      </w:pPr>
      <w:r>
        <w:rPr>
          <w:rFonts w:ascii="Times New Roman" w:hAnsi="Times New Roman"/>
          <w:sz w:val="20"/>
        </w:rPr>
        <w:t xml:space="preserve">This years Annual Meeting will be held virtually through a live webcast. You will be able to attend the Annual Meeting, submit questions and vote during the live webcast by visiting </w:t>
      </w:r>
      <w:r>
        <w:rPr>
          <w:rFonts w:ascii="Times New Roman" w:hAnsi="Times New Roman"/>
          <w:i/>
          <w:sz w:val="20"/>
        </w:rPr>
        <w:t>www.virtualshareholdermeeting.com/IVVD2023</w:t>
      </w:r>
      <w:r>
        <w:rPr>
          <w:rFonts w:ascii="Times New Roman" w:hAnsi="Times New Roman"/>
          <w:sz w:val="20"/>
        </w:rPr>
        <w:t xml:space="preserve"> and entering the 16-digit Control Number included in (i) your Notice of Internet Availability of Proxy Materials (the Notice), (ii) your proxy card in the enclosed proxy materials, or (iii) the instructions that you received via email. Please refer to the additional logistical details and recommendations in the accompanying Proxy Statement. You may log-in to the Annual Meeting beginning at 8:00 a.m. Eastern Time on May 23, 2023. </w:t>
      </w:r>
    </w:p>
    <w:p>
      <w:pPr>
        <w:pStyle w:val="TextBody"/>
        <w:spacing w:before="240" w:after="0"/>
        <w:jc w:val="left"/>
        <w:rPr>
          <w:rFonts w:ascii="Times New Roman" w:hAnsi="Times New Roman"/>
          <w:sz w:val="20"/>
        </w:rPr>
      </w:pPr>
      <w:r>
        <w:rPr>
          <w:rFonts w:ascii="Times New Roman" w:hAnsi="Times New Roman"/>
          <w:sz w:val="20"/>
        </w:rPr>
        <w:t xml:space="preserve">The record date for the Annual Meeting is March 24, 2023. Only stockholders of record at the close of business on that date may vote at the Annual Meeting. We will commence mailing the Notice to our stockholders on or about April [*], 2023, which will contain instructions on how to vote at the Annual Meeting as well as how to access the Proxy Statement and our 2022 Annual Report on Form 10-K.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It is important that your shares be represented at the Annual Meeting regardless of the size of your holdings. Whether or not you plan to attend the Annual Meeting, please provide your proxy by following the instructions described in the Proxy Statement.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vAlign w:val="bottom"/>
          </w:tcPr>
          <w:p>
            <w:pPr>
              <w:pStyle w:val="TableContents"/>
              <w:spacing w:before="0" w:after="283"/>
              <w:rPr/>
            </w:pPr>
            <w:r>
              <w:rPr/>
              <w:t>[*]</w:t>
            </w:r>
          </w:p>
        </w:tc>
      </w:tr>
      <w:tr>
        <w:trPr/>
        <w:tc>
          <w:tcPr>
            <w:tcW w:w="4082" w:type="dxa"/>
            <w:tcBorders/>
            <w:shd w:fill="auto" w:val="clear"/>
            <w:vAlign w:val="bottom"/>
          </w:tcPr>
          <w:p>
            <w:pPr>
              <w:pStyle w:val="TableContents"/>
              <w:spacing w:before="0" w:after="283"/>
              <w:rPr/>
            </w:pPr>
            <w:r>
              <w:rPr/>
              <w:t>Jill Andersen</w:t>
            </w:r>
          </w:p>
        </w:tc>
      </w:tr>
      <w:tr>
        <w:trPr/>
        <w:tc>
          <w:tcPr>
            <w:tcW w:w="4082" w:type="dxa"/>
            <w:tcBorders/>
            <w:shd w:fill="auto" w:val="clear"/>
            <w:vAlign w:val="bottom"/>
          </w:tcPr>
          <w:p>
            <w:pPr>
              <w:pStyle w:val="TableContents"/>
              <w:spacing w:before="0" w:after="283"/>
              <w:rPr>
                <w:i/>
              </w:rPr>
            </w:pPr>
            <w:r>
              <w:rPr>
                <w:i/>
              </w:rPr>
              <w:t>Chief Legal Officer and Corporate Secretary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pPr>
            <w:r>
              <w:rPr/>
              <w:t>Waltham, Massachusetts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pPr>
            <w:r>
              <w:rPr/>
              <w:t>April [*], 2023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pBdr/>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Important Notice Regarding the Availability of Proxy Materials for the Annual Meeting of Stockholders to Be Held on Tuesday, May 23, 2023 at 8:30 a.m. Eastern Time online at www.virtualshareholdermeeting.com/IVVD2023 </w:t>
      </w:r>
    </w:p>
    <w:p>
      <w:pPr>
        <w:pStyle w:val="TextBody"/>
        <w:pBdr/>
        <w:spacing w:before="240" w:after="0"/>
        <w:jc w:val="center"/>
        <w:rPr>
          <w:rFonts w:ascii="Times New Roman" w:hAnsi="Times New Roman"/>
          <w:sz w:val="20"/>
          <w:bdr w:val="single" w:sz="2" w:space="2" w:color="000000"/>
        </w:rPr>
      </w:pPr>
      <w:r>
        <w:rPr>
          <w:rFonts w:ascii="Times New Roman" w:hAnsi="Times New Roman"/>
          <w:b/>
          <w:sz w:val="20"/>
          <w:bdr w:val="single" w:sz="2" w:space="2" w:color="000000"/>
        </w:rPr>
        <w:t xml:space="preserve">Copies of our Proxy Materials, consisting of the Notice of Annual Meeting of Stockholders, the Proxy Statement and Accompanying Form of Proxy Card, and our 2022 Annual Report on Form 10-K are available free of charge at </w:t>
      </w:r>
      <w:r>
        <w:rPr>
          <w:rFonts w:ascii="Times New Roman" w:hAnsi="Times New Roman"/>
          <w:b/>
          <w:i/>
          <w:sz w:val="20"/>
          <w:bdr w:val="single" w:sz="2" w:space="2" w:color="000000"/>
        </w:rPr>
        <w:t>www.proxyvote.com</w:t>
      </w:r>
      <w:r>
        <w:rPr>
          <w:rFonts w:ascii="Times New Roman" w:hAnsi="Times New Roman"/>
          <w:b/>
          <w:sz w:val="20"/>
          <w:bdr w:val="single" w:sz="2" w:space="2" w:color="000000"/>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YOUR VOTE IS IMPORTANT </w:t>
      </w:r>
    </w:p>
    <w:p>
      <w:pPr>
        <w:pStyle w:val="TextBody"/>
        <w:spacing w:before="240" w:after="0"/>
        <w:jc w:val="left"/>
        <w:rPr>
          <w:rFonts w:ascii="Times New Roman" w:hAnsi="Times New Roman"/>
          <w:sz w:val="20"/>
        </w:rPr>
      </w:pPr>
      <w:r>
        <w:rPr>
          <w:rFonts w:ascii="Times New Roman" w:hAnsi="Times New Roman"/>
          <w:sz w:val="20"/>
        </w:rPr>
        <w:t xml:space="preserve">If your shares are held in a brokerage account or by another nominee record holder, please be sure to mark your voting choices on the voting instruction form that accompanies this Proxy Statement. If you fail to specify your voting instructions, your shares will not be voting on certain proposals due to rules applicable to broker voting, and we may incur additional costs to solicit votes. </w:t>
      </w:r>
    </w:p>
    <w:p>
      <w:pPr>
        <w:pStyle w:val="TextBody"/>
        <w:spacing w:before="240" w:after="0"/>
        <w:jc w:val="center"/>
        <w:rPr>
          <w:rFonts w:ascii="Times New Roman" w:hAnsi="Times New Roman"/>
          <w:i/>
          <w:sz w:val="20"/>
        </w:rPr>
      </w:pPr>
      <w:r>
        <w:rPr>
          <w:rFonts w:ascii="Times New Roman" w:hAnsi="Times New Roman"/>
          <w:i/>
          <w:sz w:val="20"/>
        </w:rPr>
        <w:t xml:space="preserve">If you have any questions or need assistance in voting your shares, please contact our proxy solicitor. </w:t>
      </w:r>
    </w:p>
    <w:p>
      <w:pPr>
        <w:pStyle w:val="TextBody"/>
        <w:spacing w:before="240" w:after="0"/>
        <w:jc w:val="center"/>
        <w:rPr>
          <w:rFonts w:ascii="Times New Roman" w:hAnsi="Times New Roman"/>
          <w:sz w:val="20"/>
        </w:rPr>
      </w:pPr>
      <w:r>
        <w:rPr>
          <w:rFonts w:ascii="Times New Roman" w:hAnsi="Times New Roman"/>
          <w:sz w:val="20"/>
        </w:rPr>
        <w:t xml:space="preserve">Georgeson LLC </w:t>
      </w:r>
    </w:p>
    <w:p>
      <w:pPr>
        <w:pStyle w:val="TextBody"/>
        <w:spacing w:before="0" w:after="0"/>
        <w:jc w:val="center"/>
        <w:rPr>
          <w:rFonts w:ascii="Times New Roman" w:hAnsi="Times New Roman"/>
          <w:sz w:val="20"/>
        </w:rPr>
      </w:pPr>
      <w:r>
        <w:rPr>
          <w:rFonts w:ascii="Times New Roman" w:hAnsi="Times New Roman"/>
          <w:sz w:val="20"/>
        </w:rPr>
        <w:t xml:space="preserve">1290 Avenue of the Americas, 9th Floor </w:t>
      </w:r>
    </w:p>
    <w:p>
      <w:pPr>
        <w:pStyle w:val="TextBody"/>
        <w:spacing w:before="0" w:after="0"/>
        <w:jc w:val="center"/>
        <w:rPr>
          <w:rFonts w:ascii="Times New Roman" w:hAnsi="Times New Roman"/>
          <w:sz w:val="20"/>
        </w:rPr>
      </w:pPr>
      <w:r>
        <w:rPr>
          <w:rFonts w:ascii="Times New Roman" w:hAnsi="Times New Roman"/>
          <w:sz w:val="20"/>
        </w:rPr>
        <w:t xml:space="preserve">New York, NY 10104 </w:t>
      </w:r>
    </w:p>
    <w:p>
      <w:pPr>
        <w:pStyle w:val="TextBody"/>
        <w:spacing w:before="0" w:after="0"/>
        <w:jc w:val="center"/>
        <w:rPr>
          <w:rFonts w:ascii="Times New Roman" w:hAnsi="Times New Roman"/>
          <w:sz w:val="20"/>
        </w:rPr>
      </w:pPr>
      <w:r>
        <w:rPr>
          <w:rFonts w:ascii="Times New Roman" w:hAnsi="Times New Roman"/>
          <w:sz w:val="20"/>
        </w:rPr>
        <w:t xml:space="preserve">Phone: 1-877-278-4774 (toll-free within the United States) or </w:t>
      </w:r>
    </w:p>
    <w:p>
      <w:pPr>
        <w:pStyle w:val="TextBody"/>
        <w:spacing w:before="0" w:after="0"/>
        <w:jc w:val="center"/>
        <w:rPr>
          <w:rFonts w:ascii="Times New Roman" w:hAnsi="Times New Roman"/>
          <w:sz w:val="20"/>
        </w:rPr>
      </w:pPr>
      <w:r>
        <w:rPr>
          <w:rFonts w:ascii="Times New Roman" w:hAnsi="Times New Roman"/>
          <w:sz w:val="20"/>
        </w:rPr>
        <w:t xml:space="preserve">1-781-575-2137 (outside of the United States)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 SUBJECT TO COMPLETION </w:t>
      </w:r>
    </w:p>
    <w:p>
      <w:pPr>
        <w:pStyle w:val="TextBody"/>
        <w:spacing w:before="120" w:after="0"/>
        <w:jc w:val="center"/>
        <w:rPr>
          <w:rFonts w:ascii="Times New Roman" w:hAnsi="Times New Roman"/>
          <w:b/>
          <w:sz w:val="20"/>
        </w:rPr>
      </w:pPr>
      <w:r>
        <w:rPr>
          <w:rFonts w:ascii="Times New Roman" w:hAnsi="Times New Roman"/>
          <w:b/>
          <w:sz w:val="20"/>
        </w:rPr>
        <w:t xml:space="preserve">INVIVYD, INC. </w:t>
      </w:r>
    </w:p>
    <w:p>
      <w:pPr>
        <w:pStyle w:val="TextBody"/>
        <w:spacing w:before="120" w:after="0"/>
        <w:jc w:val="center"/>
        <w:rPr>
          <w:rFonts w:ascii="Times New Roman" w:hAnsi="Times New Roman"/>
          <w:b/>
          <w:sz w:val="20"/>
        </w:rPr>
      </w:pPr>
      <w:r>
        <w:rPr>
          <w:rFonts w:ascii="Times New Roman" w:hAnsi="Times New Roman"/>
          <w:b/>
          <w:sz w:val="20"/>
        </w:rPr>
        <w:t xml:space="preserve">1601 Trapelo Road, Suite 178 </w:t>
      </w:r>
    </w:p>
    <w:p>
      <w:pPr>
        <w:pStyle w:val="TextBody"/>
        <w:spacing w:before="0" w:after="0"/>
        <w:jc w:val="center"/>
        <w:rPr>
          <w:rFonts w:ascii="Times New Roman" w:hAnsi="Times New Roman"/>
          <w:b/>
          <w:sz w:val="20"/>
        </w:rPr>
      </w:pPr>
      <w:r>
        <w:rPr>
          <w:rFonts w:ascii="Times New Roman" w:hAnsi="Times New Roman"/>
          <w:b/>
          <w:sz w:val="20"/>
        </w:rPr>
        <w:t xml:space="preserve">Waltham, Massachusetts 02451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FOR THE 2023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AT 8:30 A.M., EASTERN TIME, ON MAY 23, 2023 </w:t>
      </w:r>
    </w:p>
    <w:p>
      <w:pPr>
        <w:pStyle w:val="TextBody"/>
        <w:spacing w:before="24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TO BE HELD ON MAY 23, 2023 </w:t>
      </w:r>
    </w:p>
    <w:p>
      <w:pPr>
        <w:pStyle w:val="TextBody"/>
        <w:spacing w:before="240" w:after="0"/>
        <w:jc w:val="left"/>
        <w:rPr>
          <w:rFonts w:ascii="Times New Roman" w:hAnsi="Times New Roman"/>
          <w:sz w:val="20"/>
        </w:rPr>
      </w:pPr>
      <w:r>
        <w:rPr>
          <w:rFonts w:ascii="Times New Roman" w:hAnsi="Times New Roman"/>
          <w:sz w:val="20"/>
        </w:rPr>
        <w:t xml:space="preserve">We are making this Proxy Statement and the accompanying form of proxy card, and our 2022 Annual Report on Form 10-K (the Annual Report), available electronically via the internet at www.proxyvote.com and our website, www.invivyd.com. If you wish to receive a paper or email copy of these documents, please request one by following the instructions contained in the Notice of Internet Availability of Proxy Materials (the Notice). There is no charge for requesting a copy. </w:t>
      </w:r>
    </w:p>
    <w:p>
      <w:pPr>
        <w:pStyle w:val="TextBody"/>
        <w:spacing w:before="240" w:after="0"/>
        <w:jc w:val="left"/>
        <w:rPr>
          <w:rFonts w:ascii="Times New Roman" w:hAnsi="Times New Roman"/>
          <w:sz w:val="20"/>
        </w:rPr>
      </w:pPr>
      <w:r>
        <w:rPr>
          <w:rFonts w:ascii="Times New Roman" w:hAnsi="Times New Roman"/>
          <w:sz w:val="20"/>
        </w:rPr>
        <w:t xml:space="preserve">The Notice will be mailed to our stockholders on or before April [*], 2023, in connection with the solicitation of proxies on behalf of our Board of Directors (our Board) for use at our 2023 Annual Meeting of Stockholders, to be held on Tuesday, May 23, 2023 at 8:30 a.m., Eastern Time, virtually at </w:t>
      </w:r>
      <w:r>
        <w:rPr>
          <w:rFonts w:ascii="Times New Roman" w:hAnsi="Times New Roman"/>
          <w:i/>
          <w:sz w:val="20"/>
        </w:rPr>
        <w:t>www.virtualshareholdermeeting.com/IVVD2023</w:t>
      </w:r>
      <w:r>
        <w:rPr>
          <w:rFonts w:ascii="Times New Roman" w:hAnsi="Times New Roman"/>
          <w:sz w:val="20"/>
        </w:rPr>
        <w:t xml:space="preserve">, and at any adjournment or postponement thereof (the 2023 Annual Meeting or the Annual Meeting). Whether or not you plan to attend the Annual Meeting, please follow the instructions on the Notice so that your shares may be voted at the Annual Meeting. You may submit your proxy by mail, by telephone, or through the internet by following the instructions set forth on the Notice. If you attend the Annual Meeting, you may revoke your previously-submitted proxy and vote virtually during the Annual Meeting. </w:t>
      </w:r>
    </w:p>
    <w:p>
      <w:pPr>
        <w:pStyle w:val="TextBody"/>
        <w:spacing w:before="480" w:after="0"/>
        <w:jc w:val="center"/>
        <w:rPr>
          <w:rFonts w:ascii="Times New Roman" w:hAnsi="Times New Roman"/>
          <w:b/>
          <w:sz w:val="20"/>
        </w:rPr>
      </w:pPr>
      <w:r>
        <w:rPr>
          <w:rFonts w:ascii="Times New Roman" w:hAnsi="Times New Roman"/>
          <w:b/>
          <w:sz w:val="20"/>
        </w:rPr>
        <w:t xml:space="preserve">MEETING AGENDA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46"/>
        <w:gridCol w:w="194"/>
        <w:gridCol w:w="390"/>
        <w:gridCol w:w="194"/>
        <w:gridCol w:w="3160"/>
        <w:gridCol w:w="126"/>
        <w:gridCol w:w="2395"/>
      </w:tblGrid>
      <w:tr>
        <w:trPr/>
        <w:tc>
          <w:tcPr>
            <w:tcW w:w="374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31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2395" w:type="dxa"/>
            <w:tcBorders/>
            <w:shd w:fill="auto" w:val="clear"/>
            <w:vAlign w:val="center"/>
          </w:tcPr>
          <w:p>
            <w:pPr>
              <w:pStyle w:val="TableContents"/>
              <w:spacing w:before="0" w:after="283"/>
              <w:rPr>
                <w:sz w:val="4"/>
                <w:szCs w:val="4"/>
              </w:rPr>
            </w:pPr>
            <w:r>
              <w:rPr>
                <w:sz w:val="4"/>
                <w:szCs w:val="4"/>
              </w:rPr>
            </w:r>
          </w:p>
        </w:tc>
      </w:tr>
      <w:tr>
        <w:trPr/>
        <w:tc>
          <w:tcPr>
            <w:tcW w:w="374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Proposals</w:t>
            </w:r>
          </w:p>
        </w:tc>
        <w:tc>
          <w:tcPr>
            <w:tcW w:w="194" w:type="dxa"/>
            <w:tcBorders/>
            <w:shd w:fill="auto" w:val="clear"/>
            <w:vAlign w:val="bottom"/>
          </w:tcPr>
          <w:p>
            <w:pPr>
              <w:pStyle w:val="TableContents"/>
              <w:spacing w:before="0" w:after="283"/>
              <w:rPr/>
            </w:pPr>
            <w:r>
              <w:rPr/>
              <w:t>  </w:t>
            </w:r>
          </w:p>
        </w:tc>
        <w:tc>
          <w:tcPr>
            <w:tcW w:w="39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Page</w:t>
            </w:r>
          </w:p>
        </w:tc>
        <w:tc>
          <w:tcPr>
            <w:tcW w:w="194" w:type="dxa"/>
            <w:tcBorders/>
            <w:shd w:fill="auto" w:val="clear"/>
            <w:vAlign w:val="bottom"/>
          </w:tcPr>
          <w:p>
            <w:pPr>
              <w:pStyle w:val="TableContents"/>
              <w:spacing w:before="0" w:after="283"/>
              <w:rPr/>
            </w:pPr>
            <w:r>
              <w:rPr/>
              <w:t>  </w:t>
            </w:r>
          </w:p>
        </w:tc>
        <w:tc>
          <w:tcPr>
            <w:tcW w:w="31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Voting Standard</w:t>
            </w:r>
          </w:p>
        </w:tc>
        <w:tc>
          <w:tcPr>
            <w:tcW w:w="126" w:type="dxa"/>
            <w:tcBorders/>
            <w:shd w:fill="auto" w:val="clear"/>
            <w:vAlign w:val="bottom"/>
          </w:tcPr>
          <w:p>
            <w:pPr>
              <w:pStyle w:val="TableContents"/>
              <w:spacing w:before="0" w:after="283"/>
              <w:rPr/>
            </w:pPr>
            <w:r>
              <w:rPr/>
              <w:t>  </w:t>
            </w:r>
          </w:p>
        </w:tc>
        <w:tc>
          <w:tcPr>
            <w:tcW w:w="239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Board Recommendation</w:t>
            </w:r>
          </w:p>
        </w:tc>
      </w:tr>
      <w:tr>
        <w:trPr/>
        <w:tc>
          <w:tcPr>
            <w:tcW w:w="3746" w:type="dxa"/>
            <w:tcBorders/>
            <w:shd w:fill="auto" w:val="clear"/>
          </w:tcPr>
          <w:p>
            <w:pPr>
              <w:pStyle w:val="TableContents"/>
              <w:spacing w:before="0" w:after="283"/>
              <w:rPr/>
            </w:pPr>
            <w:r>
              <w:rPr/>
              <w:t>Proposal No. 1: To approve an amendment to our Amended and Restated Certificate of Incorporation (as amended, the Certificate of Incorporation) to (i) declassify our Board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(the Declassification Amendment).</w:t>
            </w:r>
          </w:p>
        </w:tc>
        <w:tc>
          <w:tcPr>
            <w:tcW w:w="194" w:type="dxa"/>
            <w:tcBorders/>
            <w:shd w:fill="auto" w:val="clear"/>
            <w:vAlign w:val="bottom"/>
          </w:tcPr>
          <w:p>
            <w:pPr>
              <w:pStyle w:val="TableContents"/>
              <w:spacing w:before="0" w:after="283"/>
              <w:rPr/>
            </w:pPr>
            <w:r>
              <w:rPr/>
              <w:t>  </w:t>
            </w:r>
          </w:p>
        </w:tc>
        <w:tc>
          <w:tcPr>
            <w:tcW w:w="390" w:type="dxa"/>
            <w:tcBorders/>
            <w:shd w:fill="auto" w:val="clear"/>
            <w:vAlign w:val="center"/>
          </w:tcPr>
          <w:p>
            <w:pPr>
              <w:pStyle w:val="TableContents"/>
              <w:spacing w:before="0" w:after="283"/>
              <w:jc w:val="center"/>
              <w:rPr/>
            </w:pPr>
            <w:r>
              <w:rPr/>
              <w:t>8</w:t>
            </w:r>
          </w:p>
        </w:tc>
        <w:tc>
          <w:tcPr>
            <w:tcW w:w="194" w:type="dxa"/>
            <w:tcBorders/>
            <w:shd w:fill="auto" w:val="clear"/>
            <w:vAlign w:val="bottom"/>
          </w:tcPr>
          <w:p>
            <w:pPr>
              <w:pStyle w:val="TableContents"/>
              <w:spacing w:before="0" w:after="283"/>
              <w:rPr/>
            </w:pPr>
            <w:r>
              <w:rPr/>
              <w:t>  </w:t>
            </w:r>
          </w:p>
        </w:tc>
        <w:tc>
          <w:tcPr>
            <w:tcW w:w="3160" w:type="dxa"/>
            <w:tcBorders/>
            <w:shd w:fill="auto" w:val="clear"/>
          </w:tcPr>
          <w:p>
            <w:pPr>
              <w:pStyle w:val="TableContents"/>
              <w:spacing w:before="0" w:after="283"/>
              <w:rPr/>
            </w:pPr>
            <w:r>
              <w:rPr/>
              <w:t>Affirmative vote of the holders of at least 66 2/3% of the voting power of all then-outstanding shares entitled to vote generally in the election of directors of the Company, voting together as a single class.</w:t>
            </w:r>
          </w:p>
        </w:tc>
        <w:tc>
          <w:tcPr>
            <w:tcW w:w="126" w:type="dxa"/>
            <w:tcBorders/>
            <w:shd w:fill="auto" w:val="clear"/>
            <w:vAlign w:val="bottom"/>
          </w:tcPr>
          <w:p>
            <w:pPr>
              <w:pStyle w:val="TableContents"/>
              <w:spacing w:before="0" w:after="283"/>
              <w:rPr/>
            </w:pPr>
            <w:r>
              <w:rPr/>
              <w:t>  </w:t>
            </w:r>
          </w:p>
        </w:tc>
        <w:tc>
          <w:tcPr>
            <w:tcW w:w="2395" w:type="dxa"/>
            <w:tcBorders/>
            <w:shd w:fill="auto" w:val="clear"/>
          </w:tcPr>
          <w:p>
            <w:pPr>
              <w:pStyle w:val="TableContents"/>
              <w:spacing w:before="0" w:after="283"/>
              <w:jc w:val="center"/>
              <w:rPr/>
            </w:pPr>
            <w:r>
              <w:rPr/>
              <w:t>FOR the Declassification Amendment</w:t>
            </w:r>
          </w:p>
        </w:tc>
      </w:tr>
      <w:tr>
        <w:trPr>
          <w:trHeight w:val="120" w:hRule="atLeast"/>
        </w:trPr>
        <w:tc>
          <w:tcPr>
            <w:tcW w:w="3746" w:type="dxa"/>
            <w:tcBorders/>
            <w:shd w:fill="auto" w:val="clear"/>
            <w:vAlign w:val="center"/>
          </w:tcPr>
          <w:p>
            <w:pPr>
              <w:pStyle w:val="TableContents"/>
              <w:spacing w:before="0" w:after="283"/>
              <w:rPr>
                <w:sz w:val="4"/>
                <w:szCs w:val="4"/>
              </w:rPr>
            </w:pPr>
            <w:r>
              <w:rPr>
                <w:sz w:val="4"/>
                <w:szCs w:val="4"/>
              </w:rPr>
            </w:r>
          </w:p>
        </w:tc>
        <w:tc>
          <w:tcPr>
            <w:tcW w:w="584" w:type="dxa"/>
            <w:gridSpan w:val="2"/>
            <w:tcBorders/>
            <w:shd w:fill="auto" w:val="clear"/>
            <w:vAlign w:val="center"/>
          </w:tcPr>
          <w:p>
            <w:pPr>
              <w:pStyle w:val="TableContents"/>
              <w:spacing w:before="0" w:after="283"/>
              <w:rPr>
                <w:sz w:val="4"/>
                <w:szCs w:val="4"/>
              </w:rPr>
            </w:pPr>
            <w:r>
              <w:rPr>
                <w:sz w:val="4"/>
                <w:szCs w:val="4"/>
              </w:rPr>
            </w:r>
          </w:p>
        </w:tc>
        <w:tc>
          <w:tcPr>
            <w:tcW w:w="3354" w:type="dxa"/>
            <w:gridSpan w:val="2"/>
            <w:tcBorders/>
            <w:shd w:fill="auto" w:val="clear"/>
            <w:vAlign w:val="center"/>
          </w:tcPr>
          <w:p>
            <w:pPr>
              <w:pStyle w:val="TableContents"/>
              <w:spacing w:before="0" w:after="283"/>
              <w:rPr>
                <w:sz w:val="4"/>
                <w:szCs w:val="4"/>
              </w:rPr>
            </w:pPr>
            <w:r>
              <w:rPr>
                <w:sz w:val="4"/>
                <w:szCs w:val="4"/>
              </w:rPr>
            </w:r>
          </w:p>
        </w:tc>
        <w:tc>
          <w:tcPr>
            <w:tcW w:w="2521" w:type="dxa"/>
            <w:gridSpan w:val="2"/>
            <w:tcBorders/>
            <w:shd w:fill="auto" w:val="clear"/>
            <w:vAlign w:val="center"/>
          </w:tcPr>
          <w:p>
            <w:pPr>
              <w:pStyle w:val="TableContents"/>
              <w:spacing w:before="0" w:after="283"/>
              <w:rPr>
                <w:sz w:val="4"/>
                <w:szCs w:val="4"/>
              </w:rPr>
            </w:pPr>
            <w:r>
              <w:rPr>
                <w:sz w:val="4"/>
                <w:szCs w:val="4"/>
              </w:rPr>
            </w:r>
          </w:p>
        </w:tc>
      </w:tr>
      <w:tr>
        <w:trPr/>
        <w:tc>
          <w:tcPr>
            <w:tcW w:w="3746" w:type="dxa"/>
            <w:tcBorders/>
            <w:shd w:fill="auto" w:val="clear"/>
          </w:tcPr>
          <w:p>
            <w:pPr>
              <w:pStyle w:val="TableContents"/>
              <w:spacing w:before="0" w:after="283"/>
              <w:rPr/>
            </w:pPr>
            <w:r>
              <w:rPr/>
              <w:t>Proposal No. 2: To elect the two nominees for Class II director named in this Proxy Statement for a three-year term expiring at the 2026 Annual Meeting of Stockholders (the 2026 Annual Meeting) (provided, that if the Declassification Amendment is approved and implemented, the terms of such directors will expire at the 2024 Annual Meeting of Stockholders (the 2024 Annual Meeting)).</w:t>
            </w:r>
          </w:p>
        </w:tc>
        <w:tc>
          <w:tcPr>
            <w:tcW w:w="194" w:type="dxa"/>
            <w:tcBorders/>
            <w:shd w:fill="auto" w:val="clear"/>
            <w:vAlign w:val="bottom"/>
          </w:tcPr>
          <w:p>
            <w:pPr>
              <w:pStyle w:val="TableContents"/>
              <w:spacing w:before="0" w:after="283"/>
              <w:rPr/>
            </w:pPr>
            <w:r>
              <w:rPr/>
              <w:t>  </w:t>
            </w:r>
          </w:p>
        </w:tc>
        <w:tc>
          <w:tcPr>
            <w:tcW w:w="390" w:type="dxa"/>
            <w:tcBorders/>
            <w:shd w:fill="auto" w:val="clear"/>
            <w:vAlign w:val="center"/>
          </w:tcPr>
          <w:p>
            <w:pPr>
              <w:pStyle w:val="TableContents"/>
              <w:spacing w:before="0" w:after="283"/>
              <w:rPr/>
            </w:pPr>
            <w:r>
              <w:rPr/>
              <w:t>10</w:t>
            </w:r>
          </w:p>
        </w:tc>
        <w:tc>
          <w:tcPr>
            <w:tcW w:w="194" w:type="dxa"/>
            <w:tcBorders/>
            <w:shd w:fill="auto" w:val="clear"/>
            <w:vAlign w:val="bottom"/>
          </w:tcPr>
          <w:p>
            <w:pPr>
              <w:pStyle w:val="TableContents"/>
              <w:spacing w:before="0" w:after="283"/>
              <w:rPr/>
            </w:pPr>
            <w:r>
              <w:rPr/>
              <w:t>  </w:t>
            </w:r>
          </w:p>
        </w:tc>
        <w:tc>
          <w:tcPr>
            <w:tcW w:w="3160" w:type="dxa"/>
            <w:tcBorders/>
            <w:shd w:fill="auto" w:val="clear"/>
          </w:tcPr>
          <w:p>
            <w:pPr>
              <w:pStyle w:val="TableContents"/>
              <w:spacing w:before="0" w:after="283"/>
              <w:rPr/>
            </w:pPr>
            <w:r>
              <w:rPr/>
              <w:t>The two nominees for director receiving the highest number of votes FOR election will be elected as directors for a three-year term expiring at the 2026 Annual Meeting (provided, that if the Declassification Amendment is approved and implemented, the terms of such directors will expire at the 2024 Annual Meeting) (i.e., a plurality standard).</w:t>
            </w:r>
          </w:p>
        </w:tc>
        <w:tc>
          <w:tcPr>
            <w:tcW w:w="126" w:type="dxa"/>
            <w:tcBorders/>
            <w:shd w:fill="auto" w:val="clear"/>
            <w:vAlign w:val="bottom"/>
          </w:tcPr>
          <w:p>
            <w:pPr>
              <w:pStyle w:val="TableContents"/>
              <w:spacing w:before="0" w:after="283"/>
              <w:rPr/>
            </w:pPr>
            <w:r>
              <w:rPr/>
              <w:t>  </w:t>
            </w:r>
          </w:p>
        </w:tc>
        <w:tc>
          <w:tcPr>
            <w:tcW w:w="2395" w:type="dxa"/>
            <w:tcBorders/>
            <w:shd w:fill="auto" w:val="clear"/>
          </w:tcPr>
          <w:p>
            <w:pPr>
              <w:pStyle w:val="TableContents"/>
              <w:spacing w:before="0" w:after="283"/>
              <w:jc w:val="center"/>
              <w:rPr/>
            </w:pPr>
            <w:r>
              <w:rPr/>
              <w:t>FOR ALL the election of the named director nominees</w:t>
            </w:r>
          </w:p>
        </w:tc>
      </w:tr>
      <w:tr>
        <w:trPr>
          <w:trHeight w:val="120" w:hRule="atLeast"/>
        </w:trPr>
        <w:tc>
          <w:tcPr>
            <w:tcW w:w="3746" w:type="dxa"/>
            <w:tcBorders/>
            <w:shd w:fill="auto" w:val="clear"/>
            <w:vAlign w:val="center"/>
          </w:tcPr>
          <w:p>
            <w:pPr>
              <w:pStyle w:val="TableContents"/>
              <w:spacing w:before="0" w:after="283"/>
              <w:rPr>
                <w:sz w:val="4"/>
                <w:szCs w:val="4"/>
              </w:rPr>
            </w:pPr>
            <w:r>
              <w:rPr>
                <w:sz w:val="4"/>
                <w:szCs w:val="4"/>
              </w:rPr>
            </w:r>
          </w:p>
        </w:tc>
        <w:tc>
          <w:tcPr>
            <w:tcW w:w="584" w:type="dxa"/>
            <w:gridSpan w:val="2"/>
            <w:tcBorders/>
            <w:shd w:fill="auto" w:val="clear"/>
            <w:vAlign w:val="center"/>
          </w:tcPr>
          <w:p>
            <w:pPr>
              <w:pStyle w:val="TableContents"/>
              <w:spacing w:before="0" w:after="283"/>
              <w:rPr>
                <w:sz w:val="4"/>
                <w:szCs w:val="4"/>
              </w:rPr>
            </w:pPr>
            <w:r>
              <w:rPr>
                <w:sz w:val="4"/>
                <w:szCs w:val="4"/>
              </w:rPr>
            </w:r>
          </w:p>
        </w:tc>
        <w:tc>
          <w:tcPr>
            <w:tcW w:w="3354" w:type="dxa"/>
            <w:gridSpan w:val="2"/>
            <w:tcBorders/>
            <w:shd w:fill="auto" w:val="clear"/>
            <w:vAlign w:val="center"/>
          </w:tcPr>
          <w:p>
            <w:pPr>
              <w:pStyle w:val="TableContents"/>
              <w:spacing w:before="0" w:after="283"/>
              <w:rPr>
                <w:sz w:val="4"/>
                <w:szCs w:val="4"/>
              </w:rPr>
            </w:pPr>
            <w:r>
              <w:rPr>
                <w:sz w:val="4"/>
                <w:szCs w:val="4"/>
              </w:rPr>
            </w:r>
          </w:p>
        </w:tc>
        <w:tc>
          <w:tcPr>
            <w:tcW w:w="2521" w:type="dxa"/>
            <w:gridSpan w:val="2"/>
            <w:tcBorders/>
            <w:shd w:fill="auto" w:val="clear"/>
            <w:vAlign w:val="center"/>
          </w:tcPr>
          <w:p>
            <w:pPr>
              <w:pStyle w:val="TableContents"/>
              <w:spacing w:before="0" w:after="283"/>
              <w:rPr>
                <w:sz w:val="4"/>
                <w:szCs w:val="4"/>
              </w:rPr>
            </w:pPr>
            <w:r>
              <w:rPr>
                <w:sz w:val="4"/>
                <w:szCs w:val="4"/>
              </w:rPr>
            </w:r>
          </w:p>
        </w:tc>
      </w:tr>
      <w:tr>
        <w:trPr/>
        <w:tc>
          <w:tcPr>
            <w:tcW w:w="3746" w:type="dxa"/>
            <w:tcBorders/>
            <w:shd w:fill="auto" w:val="clear"/>
          </w:tcPr>
          <w:p>
            <w:pPr>
              <w:pStyle w:val="TableContents"/>
              <w:spacing w:before="0" w:after="283"/>
              <w:rPr/>
            </w:pPr>
            <w:r>
              <w:rPr/>
              <w:t>Proposal No. 3: To ratify the appointment of PricewaterhouseCoopers LLP as the Companys independent registered public accounting firm for the fiscal year ending December 31, 2023.</w:t>
            </w:r>
          </w:p>
        </w:tc>
        <w:tc>
          <w:tcPr>
            <w:tcW w:w="194" w:type="dxa"/>
            <w:tcBorders/>
            <w:shd w:fill="auto" w:val="clear"/>
            <w:vAlign w:val="bottom"/>
          </w:tcPr>
          <w:p>
            <w:pPr>
              <w:pStyle w:val="TableContents"/>
              <w:spacing w:before="0" w:after="283"/>
              <w:rPr/>
            </w:pPr>
            <w:r>
              <w:rPr/>
              <w:t>  </w:t>
            </w:r>
          </w:p>
        </w:tc>
        <w:tc>
          <w:tcPr>
            <w:tcW w:w="390" w:type="dxa"/>
            <w:tcBorders/>
            <w:shd w:fill="auto" w:val="clear"/>
            <w:vAlign w:val="center"/>
          </w:tcPr>
          <w:p>
            <w:pPr>
              <w:pStyle w:val="TableContents"/>
              <w:spacing w:before="0" w:after="283"/>
              <w:rPr/>
            </w:pPr>
            <w:r>
              <w:rPr/>
              <w:t>11</w:t>
            </w:r>
          </w:p>
        </w:tc>
        <w:tc>
          <w:tcPr>
            <w:tcW w:w="194" w:type="dxa"/>
            <w:tcBorders/>
            <w:shd w:fill="auto" w:val="clear"/>
            <w:vAlign w:val="bottom"/>
          </w:tcPr>
          <w:p>
            <w:pPr>
              <w:pStyle w:val="TableContents"/>
              <w:spacing w:before="0" w:after="283"/>
              <w:rPr/>
            </w:pPr>
            <w:r>
              <w:rPr/>
              <w:t>  </w:t>
            </w:r>
          </w:p>
        </w:tc>
        <w:tc>
          <w:tcPr>
            <w:tcW w:w="3160" w:type="dxa"/>
            <w:tcBorders/>
            <w:shd w:fill="auto" w:val="clear"/>
          </w:tcPr>
          <w:p>
            <w:pPr>
              <w:pStyle w:val="TableContents"/>
              <w:spacing w:before="0" w:after="283"/>
              <w:rPr/>
            </w:pPr>
            <w:r>
              <w:rPr/>
              <w:t>Affirmative vote of the holders of a majority of the shares present by remote communication or represented by proxy and entitled to vote generally on the subject matter</w:t>
            </w:r>
          </w:p>
        </w:tc>
        <w:tc>
          <w:tcPr>
            <w:tcW w:w="126" w:type="dxa"/>
            <w:tcBorders/>
            <w:shd w:fill="auto" w:val="clear"/>
            <w:vAlign w:val="bottom"/>
          </w:tcPr>
          <w:p>
            <w:pPr>
              <w:pStyle w:val="TableContents"/>
              <w:spacing w:before="0" w:after="283"/>
              <w:rPr/>
            </w:pPr>
            <w:r>
              <w:rPr/>
              <w:t>  </w:t>
            </w:r>
          </w:p>
        </w:tc>
        <w:tc>
          <w:tcPr>
            <w:tcW w:w="2395" w:type="dxa"/>
            <w:tcBorders/>
            <w:shd w:fill="auto" w:val="clear"/>
          </w:tcPr>
          <w:p>
            <w:pPr>
              <w:pStyle w:val="TableContents"/>
              <w:spacing w:before="0" w:after="283"/>
              <w:jc w:val="center"/>
              <w:rPr/>
            </w:pPr>
            <w:r>
              <w:rPr/>
              <w:t>FOR the ratification of the appointment of PricewaterhouseCoopers LLP</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6"/>
        <w:gridCol w:w="167"/>
        <w:gridCol w:w="60"/>
        <w:gridCol w:w="260"/>
        <w:gridCol w:w="62"/>
      </w:tblGrid>
      <w:tr>
        <w:trPr/>
        <w:tc>
          <w:tcPr>
            <w:tcW w:w="965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656" w:type="dxa"/>
            <w:tcBorders/>
            <w:shd w:fill="auto" w:val="clear"/>
          </w:tcPr>
          <w:p>
            <w:pPr>
              <w:pStyle w:val="TableContents"/>
              <w:spacing w:before="0" w:after="0"/>
              <w:rPr/>
            </w:pPr>
            <w:hyperlink w:anchor="tx419064_1">
              <w:r>
                <w:rPr>
                  <w:rStyle w:val="InternetLink"/>
                  <w:rFonts w:ascii="Times New Roman" w:hAnsi="Times New Roman"/>
                  <w:sz w:val="20"/>
                </w:rPr>
                <w:t>QUESTIONS AND ANSWERS ABOUT THESE PROXY MATERIALS AND VOTING</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
              <w:r>
                <w:rPr>
                  <w:rStyle w:val="InternetLink"/>
                  <w:rFonts w:ascii="Times New Roman" w:hAnsi="Times New Roman"/>
                  <w:sz w:val="20"/>
                </w:rPr>
                <w:t>PROPOSAL NO.  1 APPROVAL OF AMENDMENT TO OUR CERTIFICATE OF INCORPORATION TO (I) DECLASSIFY OUR BOARD OF DIRECTORS AND (II) PERMIT REMOVAL OF DIRECTORS WITH OR WITHOUT CAUSE BY MAJORITY VOTE OF STOCKHOLDERS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
              <w:r>
                <w:rPr>
                  <w:rStyle w:val="InternetLink"/>
                  <w:rFonts w:ascii="Times New Roman" w:hAnsi="Times New Roman"/>
                  <w:sz w:val="20"/>
                </w:rPr>
                <w:t>PROPOSAL NO. 2 ELECTION OF TWO DIRECTORS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4">
              <w:r>
                <w:rPr>
                  <w:rStyle w:val="InternetLink"/>
                  <w:rFonts w:ascii="Times New Roman" w:hAnsi="Times New Roman"/>
                  <w:sz w:val="20"/>
                </w:rPr>
                <w:t>PROPOSAL NO. 3 RATIFICATION OF APPOINTMENT OF INDEPENDENT REGISTERED PUBLIC ACCOUNTING FIRM</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11</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5">
              <w:r>
                <w:rPr>
                  <w:rStyle w:val="InternetLink"/>
                  <w:rFonts w:ascii="Times New Roman" w:hAnsi="Times New Roman"/>
                  <w:sz w:val="20"/>
                </w:rPr>
                <w:t>INFORMATION REGARDING THE BOARD OF DIRECTORS AND CORPORATE GOVERNANCE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6">
              <w:r>
                <w:rPr>
                  <w:rStyle w:val="InternetLink"/>
                  <w:rFonts w:ascii="Times New Roman" w:hAnsi="Times New Roman"/>
                  <w:sz w:val="20"/>
                </w:rPr>
                <w:t>The Board of Directors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7">
              <w:r>
                <w:rPr>
                  <w:rStyle w:val="InternetLink"/>
                  <w:rFonts w:ascii="Times New Roman" w:hAnsi="Times New Roman"/>
                  <w:sz w:val="20"/>
                </w:rPr>
                <w:t>Current Class  II Directors with a Term Expiring at the 2023 Annual Meeting</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8">
              <w:r>
                <w:rPr>
                  <w:rStyle w:val="InternetLink"/>
                  <w:rFonts w:ascii="Times New Roman" w:hAnsi="Times New Roman"/>
                  <w:sz w:val="20"/>
                </w:rPr>
                <w:t>Current Class I Directors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9">
              <w:r>
                <w:rPr>
                  <w:rStyle w:val="InternetLink"/>
                  <w:rFonts w:ascii="Times New Roman" w:hAnsi="Times New Roman"/>
                  <w:sz w:val="20"/>
                </w:rPr>
                <w:t>Current Class III Directors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0">
              <w:r>
                <w:rPr>
                  <w:rStyle w:val="InternetLink"/>
                  <w:rFonts w:ascii="Times New Roman" w:hAnsi="Times New Roman"/>
                  <w:sz w:val="20"/>
                </w:rPr>
                <w:t>Board Diversity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1">
              <w:r>
                <w:rPr>
                  <w:rStyle w:val="InternetLink"/>
                  <w:rFonts w:ascii="Times New Roman" w:hAnsi="Times New Roman"/>
                  <w:sz w:val="20"/>
                </w:rPr>
                <w:t>Independence of the Board</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2">
              <w:r>
                <w:rPr>
                  <w:rStyle w:val="InternetLink"/>
                  <w:rFonts w:ascii="Times New Roman" w:hAnsi="Times New Roman"/>
                  <w:sz w:val="20"/>
                </w:rPr>
                <w:t>No Family Relationships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3">
              <w:r>
                <w:rPr>
                  <w:rStyle w:val="InternetLink"/>
                  <w:rFonts w:ascii="Times New Roman" w:hAnsi="Times New Roman"/>
                  <w:sz w:val="20"/>
                </w:rPr>
                <w:t>Board Leadership Structure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4">
              <w:r>
                <w:rPr>
                  <w:rStyle w:val="InternetLink"/>
                  <w:rFonts w:ascii="Times New Roman" w:hAnsi="Times New Roman"/>
                  <w:sz w:val="20"/>
                </w:rPr>
                <w:t>Role of the Board in Risk Oversight</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5">
              <w:r>
                <w:rPr>
                  <w:rStyle w:val="InternetLink"/>
                  <w:rFonts w:ascii="Times New Roman" w:hAnsi="Times New Roman"/>
                  <w:sz w:val="20"/>
                </w:rPr>
                <w:t>Meetings of the Board and Annual Meeting Attendance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6">
              <w:r>
                <w:rPr>
                  <w:rStyle w:val="InternetLink"/>
                  <w:rFonts w:ascii="Times New Roman" w:hAnsi="Times New Roman"/>
                  <w:sz w:val="20"/>
                </w:rPr>
                <w:t>Information Regarding Committees of the Board</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7">
              <w:r>
                <w:rPr>
                  <w:rStyle w:val="InternetLink"/>
                  <w:rFonts w:ascii="Times New Roman" w:hAnsi="Times New Roman"/>
                  <w:sz w:val="20"/>
                </w:rPr>
                <w:t>Audit Committee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8">
              <w:r>
                <w:rPr>
                  <w:rStyle w:val="InternetLink"/>
                  <w:rFonts w:ascii="Times New Roman" w:hAnsi="Times New Roman"/>
                  <w:sz w:val="20"/>
                </w:rPr>
                <w:t>Report of the Audit Committee of the Board of Directors*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19">
              <w:r>
                <w:rPr>
                  <w:rStyle w:val="InternetLink"/>
                  <w:rFonts w:ascii="Times New Roman" w:hAnsi="Times New Roman"/>
                  <w:sz w:val="20"/>
                </w:rPr>
                <w:t>Compensation Committee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0">
              <w:r>
                <w:rPr>
                  <w:rStyle w:val="InternetLink"/>
                  <w:rFonts w:ascii="Times New Roman" w:hAnsi="Times New Roman"/>
                  <w:sz w:val="20"/>
                </w:rPr>
                <w:t>Nominating and Corporate Governance Committee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1">
              <w:r>
                <w:rPr>
                  <w:rStyle w:val="InternetLink"/>
                  <w:rFonts w:ascii="Times New Roman" w:hAnsi="Times New Roman"/>
                  <w:sz w:val="20"/>
                </w:rPr>
                <w:t>Stockholder Communications with the Board</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2">
              <w:r>
                <w:rPr>
                  <w:rStyle w:val="InternetLink"/>
                  <w:rFonts w:ascii="Times New Roman" w:hAnsi="Times New Roman"/>
                  <w:sz w:val="20"/>
                </w:rPr>
                <w:t>Hedging Policy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3">
              <w:r>
                <w:rPr>
                  <w:rStyle w:val="InternetLink"/>
                  <w:rFonts w:ascii="Times New Roman" w:hAnsi="Times New Roman"/>
                  <w:sz w:val="20"/>
                </w:rPr>
                <w:t>EXECUTIVE OFFICERS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4">
              <w:r>
                <w:rPr>
                  <w:rStyle w:val="InternetLink"/>
                  <w:rFonts w:ascii="Times New Roman" w:hAnsi="Times New Roman"/>
                  <w:sz w:val="20"/>
                </w:rPr>
                <w:t>SECURITY OWNERSHIP OF CERTAIN BENEFICIAL OWNERS AND MANAGEMENT</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5">
              <w:r>
                <w:rPr>
                  <w:rStyle w:val="InternetLink"/>
                  <w:rFonts w:ascii="Times New Roman" w:hAnsi="Times New Roman"/>
                  <w:sz w:val="20"/>
                </w:rPr>
                <w:t>EXECUTIVE COMPENSATION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6">
              <w:r>
                <w:rPr>
                  <w:rStyle w:val="InternetLink"/>
                  <w:rFonts w:ascii="Times New Roman" w:hAnsi="Times New Roman"/>
                  <w:sz w:val="20"/>
                </w:rPr>
                <w:t>Summary Compensation Table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7">
              <w:r>
                <w:rPr>
                  <w:rStyle w:val="InternetLink"/>
                  <w:rFonts w:ascii="Times New Roman" w:hAnsi="Times New Roman"/>
                  <w:sz w:val="20"/>
                </w:rPr>
                <w:t>Narrative To Summary Compensation Table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8">
              <w:r>
                <w:rPr>
                  <w:rStyle w:val="InternetLink"/>
                  <w:rFonts w:ascii="Times New Roman" w:hAnsi="Times New Roman"/>
                  <w:sz w:val="20"/>
                </w:rPr>
                <w:t xml:space="preserve">Non-Equity Incentive Plan Compensation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29">
              <w:r>
                <w:rPr>
                  <w:rStyle w:val="InternetLink"/>
                  <w:rFonts w:ascii="Times New Roman" w:hAnsi="Times New Roman"/>
                  <w:sz w:val="20"/>
                </w:rPr>
                <w:t>Equity-Based Awards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0">
              <w:r>
                <w:rPr>
                  <w:rStyle w:val="InternetLink"/>
                  <w:rFonts w:ascii="Times New Roman" w:hAnsi="Times New Roman"/>
                  <w:sz w:val="20"/>
                </w:rPr>
                <w:t>Outstanding Equity Awards as of December 31, 2022</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1">
              <w:r>
                <w:rPr>
                  <w:rStyle w:val="InternetLink"/>
                  <w:rFonts w:ascii="Times New Roman" w:hAnsi="Times New Roman"/>
                  <w:sz w:val="20"/>
                </w:rPr>
                <w:t>Retirement Benefits and Other Compensation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2">
              <w:r>
                <w:rPr>
                  <w:rStyle w:val="InternetLink"/>
                  <w:rFonts w:ascii="Times New Roman" w:hAnsi="Times New Roman"/>
                  <w:sz w:val="20"/>
                </w:rPr>
                <w:t xml:space="preserve">Current Employment Agreements with David Hering, M.B.A., and Jill Andersen, J.D.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2a">
              <w:r>
                <w:rPr>
                  <w:rStyle w:val="InternetLink"/>
                  <w:rFonts w:ascii="Times New Roman" w:hAnsi="Times New Roman"/>
                  <w:sz w:val="20"/>
                </w:rPr>
                <w:t>Prior Employment Agreements with Tillman U. Gerngross, Ph.D., Rebecca Dabora, Ph.D., and Jane Pritchett Henderson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2b">
              <w:r>
                <w:rPr>
                  <w:rStyle w:val="InternetLink"/>
                  <w:rFonts w:ascii="Times New Roman" w:hAnsi="Times New Roman"/>
                  <w:sz w:val="20"/>
                </w:rPr>
                <w:t xml:space="preserve">Potential Payments Upon Termination or Change in Control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3">
              <w:r>
                <w:rPr>
                  <w:rStyle w:val="InternetLink"/>
                  <w:rFonts w:ascii="Times New Roman" w:hAnsi="Times New Roman"/>
                  <w:sz w:val="20"/>
                </w:rPr>
                <w:t>DIRECTOR COMPENSATION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36</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4">
              <w:r>
                <w:rPr>
                  <w:rStyle w:val="InternetLink"/>
                  <w:rFonts w:ascii="Times New Roman" w:hAnsi="Times New Roman"/>
                  <w:sz w:val="20"/>
                </w:rPr>
                <w:t>Narrative to Director Compensation Table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37</w:t>
            </w:r>
          </w:p>
        </w:tc>
        <w:tc>
          <w:tcPr>
            <w:tcW w:w="62" w:type="dxa"/>
            <w:tcBorders/>
            <w:shd w:fill="auto" w:val="clear"/>
            <w:vAlign w:val="bottom"/>
          </w:tcPr>
          <w:p>
            <w:pPr>
              <w:pStyle w:val="TableContents"/>
              <w:spacing w:before="0" w:after="283"/>
              <w:rPr/>
            </w:pPr>
            <w:r>
              <w:rPr/>
              <w:t> </w:t>
            </w:r>
          </w:p>
        </w:tc>
      </w:tr>
      <w:tr>
        <w:trPr/>
        <w:tc>
          <w:tcPr>
            <w:tcW w:w="9656" w:type="dxa"/>
            <w:tcBorders/>
            <w:shd w:fill="auto" w:val="clear"/>
          </w:tcPr>
          <w:p>
            <w:pPr>
              <w:pStyle w:val="TableContents"/>
              <w:spacing w:before="0" w:after="0"/>
              <w:rPr/>
            </w:pPr>
            <w:hyperlink w:anchor="tx419064_35">
              <w:r>
                <w:rPr>
                  <w:rStyle w:val="InternetLink"/>
                  <w:rFonts w:ascii="Times New Roman" w:hAnsi="Times New Roman"/>
                  <w:sz w:val="20"/>
                </w:rPr>
                <w:t>SECURITIES AUTHORIZED FOR ISSUANCE UNDER EQUITY COMPENSATION PLANS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38</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9648"/>
        <w:gridCol w:w="169"/>
        <w:gridCol w:w="60"/>
        <w:gridCol w:w="265"/>
        <w:gridCol w:w="63"/>
      </w:tblGrid>
      <w:tr>
        <w:trPr/>
        <w:tc>
          <w:tcPr>
            <w:tcW w:w="964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48" w:type="dxa"/>
            <w:tcBorders/>
            <w:shd w:fill="auto" w:val="clear"/>
          </w:tcPr>
          <w:p>
            <w:pPr>
              <w:pStyle w:val="TableContents"/>
              <w:spacing w:before="0" w:after="0"/>
              <w:rPr/>
            </w:pPr>
            <w:hyperlink w:anchor="tx419064_36">
              <w:r>
                <w:rPr>
                  <w:rStyle w:val="InternetLink"/>
                  <w:rFonts w:ascii="Times New Roman" w:hAnsi="Times New Roman"/>
                  <w:sz w:val="20"/>
                </w:rPr>
                <w:t>TRANSACTIONS WITH RELATED PERSONS AND INDEMNIFICATION</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37">
              <w:r>
                <w:rPr>
                  <w:rStyle w:val="InternetLink"/>
                  <w:rFonts w:ascii="Times New Roman" w:hAnsi="Times New Roman"/>
                  <w:sz w:val="20"/>
                </w:rPr>
                <w:t>Related Person Transactions Policy and Procedures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38">
              <w:r>
                <w:rPr>
                  <w:rStyle w:val="InternetLink"/>
                  <w:rFonts w:ascii="Times New Roman" w:hAnsi="Times New Roman"/>
                  <w:sz w:val="20"/>
                </w:rPr>
                <w:t>Certain Related Person Transactions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39">
              <w:r>
                <w:rPr>
                  <w:rStyle w:val="InternetLink"/>
                  <w:rFonts w:ascii="Times New Roman" w:hAnsi="Times New Roman"/>
                  <w:sz w:val="20"/>
                </w:rPr>
                <w:t>Agreements with PHP</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39a">
              <w:r>
                <w:rPr>
                  <w:rStyle w:val="InternetLink"/>
                  <w:rFonts w:ascii="Times New Roman" w:hAnsi="Times New Roman"/>
                  <w:sz w:val="20"/>
                </w:rPr>
                <w:t xml:space="preserve">Mithril Expense Reimbursement </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39b">
              <w:r>
                <w:rPr>
                  <w:rStyle w:val="InternetLink"/>
                  <w:rFonts w:ascii="Times New Roman" w:hAnsi="Times New Roman"/>
                  <w:sz w:val="20"/>
                </w:rPr>
                <w:t xml:space="preserve">Private Placements of Our Securities  Series C Preferred Stock Financing </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40">
              <w:r>
                <w:rPr>
                  <w:rStyle w:val="InternetLink"/>
                  <w:rFonts w:ascii="Times New Roman" w:hAnsi="Times New Roman"/>
                  <w:sz w:val="20"/>
                </w:rPr>
                <w:t>Agreements with Adimab</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42</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41">
              <w:r>
                <w:rPr>
                  <w:rStyle w:val="InternetLink"/>
                  <w:rFonts w:ascii="Times New Roman" w:hAnsi="Times New Roman"/>
                  <w:sz w:val="20"/>
                </w:rPr>
                <w:t>Investors Rights, Voting and Right of First Refusal Agreements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44</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42">
              <w:r>
                <w:rPr>
                  <w:rStyle w:val="InternetLink"/>
                  <w:rFonts w:ascii="Times New Roman" w:hAnsi="Times New Roman"/>
                  <w:sz w:val="20"/>
                </w:rPr>
                <w:t>Indemnification</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44</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43">
              <w:r>
                <w:rPr>
                  <w:rStyle w:val="InternetLink"/>
                  <w:rFonts w:ascii="Times New Roman" w:hAnsi="Times New Roman"/>
                  <w:sz w:val="20"/>
                </w:rPr>
                <w:t>DEADLINE FOR SUBMISSION OF STOCKHOLDER PROPOSALS FOR 2024 ANNUAL MEETING</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44</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44">
              <w:r>
                <w:rPr>
                  <w:rStyle w:val="InternetLink"/>
                  <w:rFonts w:ascii="Times New Roman" w:hAnsi="Times New Roman"/>
                  <w:sz w:val="20"/>
                </w:rPr>
                <w:t>DELIVERY OF DOCUMENTS TO STOCKHOLDERS SHARING AN ADDRESS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45</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19064_45">
              <w:r>
                <w:rPr>
                  <w:rStyle w:val="InternetLink"/>
                  <w:rFonts w:ascii="Times New Roman" w:hAnsi="Times New Roman"/>
                  <w:sz w:val="20"/>
                </w:rPr>
                <w:t>APPENDIX A</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46</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419064_1"/>
      <w:bookmarkEnd w:id="3"/>
      <w:r>
        <w:rPr>
          <w:rFonts w:ascii="Times New Roman" w:hAnsi="Times New Roman"/>
          <w:b/>
          <w:sz w:val="20"/>
        </w:rPr>
        <w:t xml:space="preserve">QUESTIONS AND ANSWERS ABOUT THESE PROXY MATERIALS AND VOTING </w:t>
      </w:r>
    </w:p>
    <w:p>
      <w:pPr>
        <w:pStyle w:val="TextBody"/>
        <w:spacing w:before="240" w:after="0"/>
        <w:jc w:val="left"/>
        <w:rPr>
          <w:rFonts w:ascii="Times New Roman" w:hAnsi="Times New Roman"/>
          <w:sz w:val="20"/>
        </w:rPr>
      </w:pPr>
      <w:r>
        <w:rPr>
          <w:rFonts w:ascii="Times New Roman" w:hAnsi="Times New Roman"/>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spacing w:before="360" w:after="0"/>
        <w:jc w:val="left"/>
        <w:rPr>
          <w:rFonts w:ascii="Times New Roman" w:hAnsi="Times New Roman"/>
          <w:b/>
          <w:sz w:val="20"/>
        </w:rPr>
      </w:pPr>
      <w:r>
        <w:rPr>
          <w:rFonts w:ascii="Times New Roman" w:hAnsi="Times New Roman"/>
          <w:b/>
          <w:sz w:val="20"/>
        </w:rPr>
        <w:t xml:space="preserve">Q: What am I being asked to vote on? </w:t>
      </w:r>
    </w:p>
    <w:p>
      <w:pPr>
        <w:pStyle w:val="TextBody"/>
        <w:spacing w:before="120" w:after="0"/>
        <w:jc w:val="left"/>
        <w:rPr>
          <w:rFonts w:ascii="Times New Roman" w:hAnsi="Times New Roman"/>
          <w:sz w:val="20"/>
        </w:rPr>
      </w:pPr>
      <w:r>
        <w:rPr>
          <w:rFonts w:ascii="Times New Roman" w:hAnsi="Times New Roman"/>
          <w:sz w:val="20"/>
        </w:rPr>
        <w:t xml:space="preserve">A: There are three matters scheduled for a vote at the Annual Meeting, which are described in more detail below in this Proxy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No. 1: Approval of an amendment to our Certificate of Incorporation to (i) declassify our Board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(Proposal No. 1 or the Declassification Amendment);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No. 2: Election of the two nominees for Class II director named in this Proxy Statement for a three-year term expiring at the 2026 Annual Meeting (provided, that if the Declassification Amendment is approved and implemented, the terms of such directors will expire at the 2024 Annual Meeting) (Proposal No. 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No. 3: Ratification of the appointment of PricewaterhouseCoopers LLP as the Companys independent registered public accounting firm for the fiscal year ending December 31, 2023 (Proposal No. 3). </w:t>
            </w:r>
          </w:p>
        </w:tc>
      </w:tr>
    </w:tbl>
    <w:p>
      <w:pPr>
        <w:pStyle w:val="TextBody"/>
        <w:spacing w:before="360" w:after="0"/>
        <w:jc w:val="left"/>
        <w:rPr>
          <w:rFonts w:ascii="Times New Roman" w:hAnsi="Times New Roman"/>
          <w:b/>
          <w:sz w:val="20"/>
        </w:rPr>
      </w:pPr>
      <w:r>
        <w:rPr>
          <w:rFonts w:ascii="Times New Roman" w:hAnsi="Times New Roman"/>
          <w:b/>
          <w:sz w:val="20"/>
        </w:rPr>
        <w:t xml:space="preserve">Q: How many votes are needed to approve each proposal?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For Proposal No. 1, the affirmative vote of the holders of at least 66 2/3% of the voting power of all then-outstanding shares entitled to vote generally in the election of directors of the Company as of March 24, 2023 (the Record Date), voting together as a single class, is required for approval. Abstentions and broker non-votes will have the same effect as votes Against Proposal No. 1. </w:t>
      </w:r>
    </w:p>
    <w:p>
      <w:pPr>
        <w:pStyle w:val="TextBody"/>
        <w:spacing w:before="240" w:after="0"/>
        <w:jc w:val="left"/>
        <w:rPr>
          <w:rFonts w:ascii="Times New Roman" w:hAnsi="Times New Roman"/>
          <w:sz w:val="20"/>
        </w:rPr>
      </w:pPr>
      <w:r>
        <w:rPr>
          <w:rFonts w:ascii="Times New Roman" w:hAnsi="Times New Roman"/>
          <w:sz w:val="20"/>
        </w:rPr>
        <w:t xml:space="preserve">For Proposal No. 2, the two nominees receiving the highest number of FOR votes from the holders of shares present or represented by proxy and entitled to vote on the election of directors will be elected for a three-year term expiring at the 2026 Annual Meeting (provided, that if the Declassification Amendment is approved and implemented, the terms of such directors will expire at the 2024 Annual Meeting). You may choose to vote or withhold your vote for one or more of such nominees. Withholding a vote from a director nominee will not be voted with respect to the director nominee indicated and will have no impact on the election of directors, although it will be counted for purposes of establishing a quorum. Broker non-votes will have no effect on the outcome of Proposal No. 2. </w:t>
      </w:r>
    </w:p>
    <w:p>
      <w:pPr>
        <w:pStyle w:val="TextBody"/>
        <w:spacing w:before="240" w:after="0"/>
        <w:jc w:val="left"/>
        <w:rPr>
          <w:rFonts w:ascii="Times New Roman" w:hAnsi="Times New Roman"/>
          <w:sz w:val="20"/>
        </w:rPr>
      </w:pPr>
      <w:r>
        <w:rPr>
          <w:rFonts w:ascii="Times New Roman" w:hAnsi="Times New Roman"/>
          <w:sz w:val="20"/>
        </w:rPr>
        <w:t xml:space="preserve">For Proposal No. 3, ratification of the appointment of PricewaterhouseCoopers LLP as the Companys independent registered public accounting firm for the fiscal year ending December 31, 2023, the affirmative vote of the holders of a majority of the shares present by remote communication or represented by proxy and entitled to vote generally on the subject matter is required for approval. Abstentions will have the same effect as votes Against Proposal No. 3. There will be no broker non-votes with respect to Proposal No. 3. </w:t>
      </w:r>
    </w:p>
    <w:p>
      <w:pPr>
        <w:pStyle w:val="TextBody"/>
        <w:spacing w:before="360" w:after="0"/>
        <w:jc w:val="left"/>
        <w:rPr>
          <w:rFonts w:ascii="Times New Roman" w:hAnsi="Times New Roman"/>
          <w:b/>
          <w:sz w:val="20"/>
        </w:rPr>
      </w:pPr>
      <w:r>
        <w:rPr>
          <w:rFonts w:ascii="Times New Roman" w:hAnsi="Times New Roman"/>
          <w:b/>
          <w:sz w:val="20"/>
        </w:rPr>
        <w:t xml:space="preserve">Q: What are the recommendations of the Board?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Our Board unanimously recommends that you vote your shares in accordance with the instructions on your proxy card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Declassification Amendment to declassify our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ALL the election of the two director nominees to our Board for a three-year term expiring at the 2026 Annual Meeting (provided, that if the Declassification Amendment is approved and implemented, the terms of such directors will expire at the 2024 Annual Meeting);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ratification of the appointment of PricewaterhouseCoopers LLP as our independent registered public accounting firm for the fiscal year ending December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Q: If the Declassification Amendment is approved, what will be the terms of the directors?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Declassification Amendment is approved and implemented, (i) the term of each director elected at the Annual Meeting will expire at the 2024 Annual Meeting and (ii) the term of all of our other directors will also expire at the 2024 Annual Meeting, regardless of the terms of the directors prior to approval of the Declassification Amendment. </w:t>
      </w:r>
    </w:p>
    <w:p>
      <w:pPr>
        <w:pStyle w:val="TextBody"/>
        <w:spacing w:before="360" w:after="0"/>
        <w:jc w:val="left"/>
        <w:rPr>
          <w:rFonts w:ascii="Times New Roman" w:hAnsi="Times New Roman"/>
          <w:b/>
          <w:sz w:val="20"/>
        </w:rPr>
      </w:pPr>
      <w:r>
        <w:rPr>
          <w:rFonts w:ascii="Times New Roman" w:hAnsi="Times New Roman"/>
          <w:b/>
          <w:sz w:val="20"/>
        </w:rPr>
        <w:t xml:space="preserve">Q: If the Declassification Amendment is not approved, what will be the terms of the directors?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Declassification Amendment is not approved, our Board will remain classified. The nominees for election at the Annual Meeting will be the Class II directors and, if elected, will be elected to serve a three-year term expiring at the 2026 Annual Meeting. The Class III directors and the Class I directors will continue to serve the remainder of their terms expiring at the 2024 Annual Meeting and the 2025 Annual Meeting of Stockholders (the 2025 Annual Meeting), respectively. </w:t>
      </w:r>
    </w:p>
    <w:p>
      <w:pPr>
        <w:pStyle w:val="TextBody"/>
        <w:spacing w:before="360" w:after="0"/>
        <w:jc w:val="left"/>
        <w:rPr>
          <w:rFonts w:ascii="Times New Roman" w:hAnsi="Times New Roman"/>
          <w:b/>
          <w:sz w:val="20"/>
        </w:rPr>
      </w:pPr>
      <w:r>
        <w:rPr>
          <w:rFonts w:ascii="Times New Roman" w:hAnsi="Times New Roman"/>
          <w:b/>
          <w:sz w:val="20"/>
        </w:rPr>
        <w:t xml:space="preserve">Q: Who can attend the Annual Meeting, and how do I attend?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All stockholders are invited to attend the Annual Meeting. </w:t>
      </w:r>
    </w:p>
    <w:p>
      <w:pPr>
        <w:pStyle w:val="TextBody"/>
        <w:spacing w:before="240" w:after="0"/>
        <w:jc w:val="left"/>
        <w:rPr>
          <w:rFonts w:ascii="Times New Roman" w:hAnsi="Times New Roman"/>
          <w:sz w:val="20"/>
        </w:rPr>
      </w:pPr>
      <w:r>
        <w:rPr>
          <w:rFonts w:ascii="Times New Roman" w:hAnsi="Times New Roman"/>
          <w:sz w:val="20"/>
        </w:rPr>
        <w:t xml:space="preserve">The Annual Meeting is a virtual only meeting held through a live webcast at </w:t>
      </w:r>
      <w:r>
        <w:rPr>
          <w:rFonts w:ascii="Times New Roman" w:hAnsi="Times New Roman"/>
          <w:i/>
          <w:sz w:val="20"/>
        </w:rPr>
        <w:t>www.virtualshareholdermeeting.com/IVVD2023</w:t>
      </w:r>
      <w:r>
        <w:rPr>
          <w:rFonts w:ascii="Times New Roman" w:hAnsi="Times New Roman"/>
          <w:sz w:val="20"/>
        </w:rPr>
        <w:t xml:space="preserve">. You will not be able to attend the Annual Meeting in person. </w:t>
      </w:r>
    </w:p>
    <w:p>
      <w:pPr>
        <w:pStyle w:val="TextBody"/>
        <w:spacing w:before="240" w:after="0"/>
        <w:jc w:val="left"/>
        <w:rPr>
          <w:rFonts w:ascii="Times New Roman" w:hAnsi="Times New Roman"/>
          <w:sz w:val="20"/>
        </w:rPr>
      </w:pPr>
      <w:r>
        <w:rPr>
          <w:rFonts w:ascii="Times New Roman" w:hAnsi="Times New Roman"/>
          <w:sz w:val="20"/>
        </w:rPr>
        <w:t xml:space="preserve">You are entitled to attend and ask questions at the Annual Meeting if you were a stockholder as of the close of business on the Record Date (i.e., March 24, 2023). To be admitted to the Annual Meeting, you will need to visit </w:t>
      </w:r>
      <w:r>
        <w:rPr>
          <w:rFonts w:ascii="Times New Roman" w:hAnsi="Times New Roman"/>
          <w:i/>
          <w:sz w:val="20"/>
        </w:rPr>
        <w:t xml:space="preserve">www.virtualshareholdermeeting.com/IVVD2023 </w:t>
      </w:r>
      <w:r>
        <w:rPr>
          <w:rFonts w:ascii="Times New Roman" w:hAnsi="Times New Roman"/>
          <w:sz w:val="20"/>
        </w:rPr>
        <w:t xml:space="preserve">and enter the 16-digit Control Number found next to the label Control Number on your Notice, proxy card or in the email in which this Proxy Statement was sent to you. If you are a beneficial stockholder, you should contact the bank, broker or other institution where you hold your account well in advance of the Annual Meeting if you have questions about obtaining your Control Number or voting instruction form to vote. </w:t>
      </w:r>
    </w:p>
    <w:p>
      <w:pPr>
        <w:pStyle w:val="TextBody"/>
        <w:spacing w:before="240" w:after="0"/>
        <w:jc w:val="left"/>
        <w:rPr>
          <w:rFonts w:ascii="Times New Roman" w:hAnsi="Times New Roman"/>
          <w:sz w:val="20"/>
        </w:rPr>
      </w:pPr>
      <w:r>
        <w:rPr>
          <w:rFonts w:ascii="Times New Roman" w:hAnsi="Times New Roman"/>
          <w:sz w:val="20"/>
        </w:rPr>
        <w:t xml:space="preserve">Whether or not you attend the Annual Meeting, it is important that you submit your proxy so that your shares are voted at the Annual Meeting. </w:t>
      </w:r>
    </w:p>
    <w:p>
      <w:pPr>
        <w:pStyle w:val="TextBody"/>
        <w:spacing w:before="240" w:after="0"/>
        <w:jc w:val="left"/>
        <w:rPr>
          <w:rFonts w:ascii="Times New Roman" w:hAnsi="Times New Roman"/>
          <w:sz w:val="20"/>
        </w:rPr>
      </w:pPr>
      <w:r>
        <w:rPr>
          <w:rFonts w:ascii="Times New Roman" w:hAnsi="Times New Roman"/>
          <w:sz w:val="20"/>
        </w:rPr>
        <w:t xml:space="preserve">We encourage you to access the Annual Meeting before it begins. Online check-in will begin at 8:00 a.m. Eastern Time on May 23, 2023. </w:t>
      </w:r>
    </w:p>
    <w:p>
      <w:pPr>
        <w:pStyle w:val="TextBody"/>
        <w:spacing w:before="240" w:after="0"/>
        <w:jc w:val="left"/>
        <w:rPr>
          <w:rFonts w:ascii="Times New Roman" w:hAnsi="Times New Roman"/>
          <w:sz w:val="20"/>
        </w:rPr>
      </w:pPr>
      <w:r>
        <w:rPr>
          <w:rFonts w:ascii="Times New Roman" w:hAnsi="Times New Roman"/>
          <w:sz w:val="20"/>
        </w:rPr>
        <w:t xml:space="preserve">If you were not a stockholder as of the Record Date, or you do not log-in using your Control Number, you will be able to log-in as a guest by visiting </w:t>
      </w:r>
      <w:r>
        <w:rPr>
          <w:rFonts w:ascii="Times New Roman" w:hAnsi="Times New Roman"/>
          <w:i/>
          <w:sz w:val="20"/>
        </w:rPr>
        <w:t>www.virtualshareholdermeeting.com/IVVD2023</w:t>
      </w:r>
      <w:r>
        <w:rPr>
          <w:rFonts w:ascii="Times New Roman" w:hAnsi="Times New Roman"/>
          <w:sz w:val="20"/>
        </w:rPr>
        <w:t xml:space="preserve"> and registering as a guest. Please note that if you log-in as a guest, you will not be able to vote your shares or ask questions during the Annual Meeting. </w:t>
      </w:r>
    </w:p>
    <w:p>
      <w:pPr>
        <w:pStyle w:val="TextBody"/>
        <w:spacing w:before="360" w:after="0"/>
        <w:jc w:val="left"/>
        <w:rPr>
          <w:rFonts w:ascii="Times New Roman" w:hAnsi="Times New Roman"/>
          <w:b/>
          <w:sz w:val="20"/>
        </w:rPr>
      </w:pPr>
      <w:r>
        <w:rPr>
          <w:rFonts w:ascii="Times New Roman" w:hAnsi="Times New Roman"/>
          <w:b/>
          <w:sz w:val="20"/>
        </w:rPr>
        <w:t xml:space="preserve">Q: Who can vote at the Annual Meeting, and how many shares can they vote?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Only stockholders of record at the close of business on the Record Date will be entitled to vote at the Annual Meeting. At the close of business on the Record Date, there were 109,316,226 shares of common stock outstanding and entitled to vote. </w:t>
      </w:r>
    </w:p>
    <w:p>
      <w:pPr>
        <w:pStyle w:val="TextBody"/>
        <w:spacing w:before="240" w:after="0"/>
        <w:jc w:val="left"/>
        <w:rPr>
          <w:rFonts w:ascii="Times New Roman" w:hAnsi="Times New Roman"/>
          <w:sz w:val="20"/>
        </w:rPr>
      </w:pPr>
      <w:r>
        <w:rPr>
          <w:rFonts w:ascii="Times New Roman" w:hAnsi="Times New Roman"/>
          <w:sz w:val="20"/>
        </w:rPr>
        <w:t xml:space="preserve">Each stockholder entitled to vote at the Annual Meeting may cast one vote for each share of common stock owned by him, her or it that has voting power upon each matter considered at the Annual Meeting. Our stockholders do not have the right to cumulate their votes in the election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Q: How can I see who is entitled to vote at the Annual Meeting?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For a period of ten days ending on the day before the date of the Annual Meeting, a list of our record stockholders as of the close of business on the Record Date will be available for examination by any stockholder of record for any purpose germane to the Annual Meeting at our corporate headquarters during regular business hours. Please contact our Corporate Secretary at Invivyd, Inc., 1601 Trapelo Road, Suite 178, Waltham, Massachusetts 02451, Attn: Corporate Secretary, (781) 819-0080 to make arrangements to inspect the list. </w:t>
      </w:r>
    </w:p>
    <w:p>
      <w:pPr>
        <w:pStyle w:val="TextBody"/>
        <w:spacing w:before="360" w:after="0"/>
        <w:jc w:val="left"/>
        <w:rPr>
          <w:rFonts w:ascii="Times New Roman" w:hAnsi="Times New Roman"/>
          <w:b/>
          <w:sz w:val="20"/>
        </w:rPr>
      </w:pPr>
      <w:r>
        <w:rPr>
          <w:rFonts w:ascii="Times New Roman" w:hAnsi="Times New Roman"/>
          <w:b/>
          <w:sz w:val="20"/>
        </w:rPr>
        <w:t xml:space="preserve">Q: Where can I get technical assistance during the Annual Meeting?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Annual Meeting platform is fully supported across browsers and devices running the most updated version of applicable software and plugins. Attendees should ensure they have a strong internet connection, allow plenty of time to log in, and can hear streaming audio prior to the start of the Annual Meeting. </w:t>
      </w:r>
    </w:p>
    <w:p>
      <w:pPr>
        <w:pStyle w:val="TextBody"/>
        <w:spacing w:before="240" w:after="0"/>
        <w:jc w:val="left"/>
        <w:rPr>
          <w:rFonts w:ascii="Times New Roman" w:hAnsi="Times New Roman"/>
          <w:sz w:val="20"/>
        </w:rPr>
      </w:pPr>
      <w:r>
        <w:rPr>
          <w:rFonts w:ascii="Times New Roman" w:hAnsi="Times New Roman"/>
          <w:sz w:val="20"/>
        </w:rPr>
        <w:t>If you have difficulty accessing the Annual Meeting or experience technical difficulties during the Annual Meeting, please call the toll-free number that will be available on our virtual stockholder login site (</w:t>
      </w:r>
      <w:r>
        <w:rPr>
          <w:rFonts w:ascii="Times New Roman" w:hAnsi="Times New Roman"/>
          <w:i/>
          <w:sz w:val="20"/>
        </w:rPr>
        <w:t>www.virtualshareholdermeeting.com/IVVD2023</w:t>
      </w:r>
      <w:r>
        <w:rPr>
          <w:rFonts w:ascii="Times New Roman" w:hAnsi="Times New Roman"/>
          <w:sz w:val="20"/>
        </w:rPr>
        <w:t xml:space="preserve">) for assistance. We will have technicians available to help you with any technical difficulties you may have beginning 10 minutes prior to the start of the Annual Meeting, and technicians will be available through the conclusion of the Annual Meeting. Additional information regarding matters addressing technical and logistical issues, including technical support during the Annual Meeting, will be available on the Annual Meeting website. </w:t>
      </w:r>
    </w:p>
    <w:p>
      <w:pPr>
        <w:pStyle w:val="TextBody"/>
        <w:spacing w:before="360" w:after="0"/>
        <w:jc w:val="left"/>
        <w:rPr>
          <w:rFonts w:ascii="Times New Roman" w:hAnsi="Times New Roman"/>
          <w:b/>
          <w:sz w:val="20"/>
        </w:rPr>
      </w:pPr>
      <w:r>
        <w:rPr>
          <w:rFonts w:ascii="Times New Roman" w:hAnsi="Times New Roman"/>
          <w:b/>
          <w:sz w:val="20"/>
        </w:rPr>
        <w:t xml:space="preserve">Q: Why is the Annual Meeting online, and will I still have the same participation rights as I would have at an in-person stockholder meeting?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By hosting the Annual Meeting online, we are able to communicate more effectively with our stockholders, enable increased attendance and participation from locations around the world, reduce costs and increase overall efficiency and safety for us and our stockholders. The virtual Annual Meeting has been designed to provide the same rights to participate as you would have at an in-person meeting. </w:t>
      </w:r>
    </w:p>
    <w:p>
      <w:pPr>
        <w:pStyle w:val="TextBody"/>
        <w:spacing w:before="240" w:after="0"/>
        <w:jc w:val="left"/>
        <w:rPr>
          <w:rFonts w:ascii="Times New Roman" w:hAnsi="Times New Roman"/>
          <w:sz w:val="20"/>
        </w:rPr>
      </w:pPr>
      <w:r>
        <w:rPr>
          <w:rFonts w:ascii="Times New Roman" w:hAnsi="Times New Roman"/>
          <w:sz w:val="20"/>
        </w:rPr>
        <w:t xml:space="preserve">In addition to voting online during the Annual Meeting or changing a vote you may have submitted previously by following the methods described in this Proxy Statement, stockholders who attend the Annual Meeting and log in using their Control Number will have an opportunity to submit questions online during a portion of the Annual Meeting. Instructions for submitting a question during the Annual Meeting will be provided on the Annual Meeting website. We will endeavor to answer as many submitted questions as time permits; however, we reserve the right to exclude questions regarding topics that are not pertinent to meeting matters or company business or are inappropriate. If we receive substantially similar questions, we will group such questions together and provide a single response to avoid repetition. </w:t>
      </w:r>
    </w:p>
    <w:p>
      <w:pPr>
        <w:pStyle w:val="TextBody"/>
        <w:spacing w:before="360" w:after="0"/>
        <w:jc w:val="left"/>
        <w:rPr>
          <w:rFonts w:ascii="Times New Roman" w:hAnsi="Times New Roman"/>
          <w:b/>
          <w:sz w:val="20"/>
        </w:rPr>
      </w:pPr>
      <w:r>
        <w:rPr>
          <w:rFonts w:ascii="Times New Roman" w:hAnsi="Times New Roman"/>
          <w:b/>
          <w:sz w:val="20"/>
        </w:rPr>
        <w:t xml:space="preserve">Q: What if another matter is properly brought before the Annual Meeting?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Our Board knows of no other matters that will be presented for consideration at the Annual Meeting. If any other matters are properly brought before the Annual Meeting and at any adjournment or postponement thereof, it is the intention of the persons named in the accompanying proxy to vote on those matters in accordance with their best judgment to the extent authorized under Rule 14a-4 under the Securities Exchange Act of 1934, as amended (the Exchange Act). </w:t>
      </w:r>
    </w:p>
    <w:p>
      <w:pPr>
        <w:pStyle w:val="TextBody"/>
        <w:spacing w:before="360" w:after="0"/>
        <w:jc w:val="left"/>
        <w:rPr>
          <w:rFonts w:ascii="Times New Roman" w:hAnsi="Times New Roman"/>
          <w:b/>
          <w:sz w:val="20"/>
        </w:rPr>
      </w:pPr>
      <w:r>
        <w:rPr>
          <w:rFonts w:ascii="Times New Roman" w:hAnsi="Times New Roman"/>
          <w:b/>
          <w:sz w:val="20"/>
        </w:rPr>
        <w:t xml:space="preserve">Q: How do I vote?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procedures for voting are fairly simple: </w:t>
      </w:r>
    </w:p>
    <w:p>
      <w:pPr>
        <w:pStyle w:val="TextBody"/>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our transfer agent, then you are a stockholder of record.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you are a stockholder of record, your proxy is being solicited directly by us, and you may vote online at the Annual Meeting or vote by proxy. Whether or not you plan to attend the Annual Meeting, we urge you to vote by proxy through the internet, vote by proxy over the telephone, or vote by proxy using a proxy card that you may request or that we may elect to deliver at a later time to ensure your vote is counted. You may still attend the Annual Meeting and vote at the meeting even if you have already submitted your proxy.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w:t>
            </w:r>
            <w:r>
              <w:rPr>
                <w:rFonts w:ascii="Times New Roman" w:hAnsi="Times New Roman"/>
                <w:b/>
                <w:i/>
                <w:sz w:val="20"/>
              </w:rPr>
              <w:t>during</w:t>
            </w:r>
            <w:r>
              <w:rPr>
                <w:rFonts w:ascii="Times New Roman" w:hAnsi="Times New Roman"/>
                <w:sz w:val="20"/>
              </w:rPr>
              <w:t xml:space="preserve"> the Annual Meeting, if you are a stockholder of record as of the Record Date, follow the instructions at </w:t>
            </w:r>
            <w:r>
              <w:rPr>
                <w:rFonts w:ascii="Times New Roman" w:hAnsi="Times New Roman"/>
                <w:i/>
                <w:sz w:val="20"/>
              </w:rPr>
              <w:t>www.virtualshareholdermeeting.com/IVVD2023</w:t>
            </w:r>
            <w:r>
              <w:rPr>
                <w:rFonts w:ascii="Times New Roman" w:hAnsi="Times New Roman"/>
                <w:sz w:val="20"/>
              </w:rPr>
              <w:t xml:space="preserve">. You will need to enter the 16-digit Control Number found on your Notice of Internet Availability, proxy card, or in the email sending you the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submit your proxy </w:t>
            </w:r>
            <w:r>
              <w:rPr>
                <w:rFonts w:ascii="Times New Roman" w:hAnsi="Times New Roman"/>
                <w:b/>
                <w:i/>
                <w:sz w:val="20"/>
              </w:rPr>
              <w:t>prior</w:t>
            </w:r>
            <w:r>
              <w:rPr>
                <w:rFonts w:ascii="Times New Roman" w:hAnsi="Times New Roman"/>
                <w:sz w:val="20"/>
              </w:rPr>
              <w:t xml:space="preserve"> to the Annual Meeting (until 11:59 p.m. Eastern Time on May 22, 2023), you may vote via the internet at </w:t>
            </w:r>
            <w:r>
              <w:rPr>
                <w:rFonts w:ascii="Times New Roman" w:hAnsi="Times New Roman"/>
                <w:i/>
                <w:sz w:val="20"/>
              </w:rPr>
              <w:t>www.proxyvote.com</w:t>
            </w:r>
            <w:r>
              <w:rPr>
                <w:rFonts w:ascii="Times New Roman" w:hAnsi="Times New Roman"/>
                <w:sz w:val="20"/>
              </w:rPr>
              <w:t xml:space="preserve">, by telephone, or by completing and returning the proxy card, as described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5"/>
        <w:gridCol w:w="102"/>
        <w:gridCol w:w="8880"/>
      </w:tblGrid>
      <w:tr>
        <w:trPr/>
        <w:tc>
          <w:tcPr>
            <w:tcW w:w="101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submit your proxy by mail, please request a paper copy of the materials, which will include a proxy card. Please promptly complete, sign and date the proxy card return it promptly to ensure that it is received prior to the closing of the polls at the Annual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428"/>
        <w:gridCol w:w="306"/>
        <w:gridCol w:w="204"/>
        <w:gridCol w:w="8267"/>
      </w:tblGrid>
      <w:tr>
        <w:trPr/>
        <w:tc>
          <w:tcPr>
            <w:tcW w:w="142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826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sign your proxy card but do not indicate how you wish to vote, the proxies will vote your shares FOR the Declassification Amendment, FOR ALL for the election of the two named Class II director nominees, FOR the ratification of PricewaterhouseCoopers LLP as our independent registered public accounting firm for the fiscal year ending December 31, 2023 and, if any other matter is properly presented at the Annual Meeting, your proxy (one of the individuals named on your proxy card) will vote your shares using his or her discretion.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428"/>
        <w:gridCol w:w="306"/>
        <w:gridCol w:w="204"/>
        <w:gridCol w:w="8267"/>
      </w:tblGrid>
      <w:tr>
        <w:trPr/>
        <w:tc>
          <w:tcPr>
            <w:tcW w:w="142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204" w:type="dxa"/>
            <w:tcBorders/>
            <w:shd w:fill="auto" w:val="clear"/>
          </w:tcPr>
          <w:p>
            <w:pPr>
              <w:pStyle w:val="TableContents"/>
              <w:spacing w:before="0" w:after="283"/>
              <w:rPr/>
            </w:pPr>
            <w:r>
              <w:rPr/>
              <w:t> </w:t>
            </w:r>
          </w:p>
        </w:tc>
        <w:tc>
          <w:tcPr>
            <w:tcW w:w="826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Unsigned proxy cards will not be counted.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submit your proxy over the telephone, dial toll-free 1-800-690-6903 using a touch-tone phone and follow the recorded instructions. You will be asked to provide the Control Number from the Notice or proxy card. Your telephone proxy must be received by 11:59 p.m., Eastern Time on May 22, 2023 to be counted.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06"/>
        <w:gridCol w:w="102"/>
        <w:gridCol w:w="8881"/>
      </w:tblGrid>
      <w:tr>
        <w:trPr/>
        <w:tc>
          <w:tcPr>
            <w:tcW w:w="101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submit your proxy through the internet prior to the meeting, go to </w:t>
            </w:r>
            <w:r>
              <w:rPr>
                <w:rFonts w:ascii="Times New Roman" w:hAnsi="Times New Roman"/>
                <w:i/>
                <w:sz w:val="20"/>
              </w:rPr>
              <w:t>www.proxyvote.com</w:t>
            </w:r>
            <w:r>
              <w:rPr>
                <w:rFonts w:ascii="Times New Roman" w:hAnsi="Times New Roman"/>
                <w:sz w:val="20"/>
              </w:rPr>
              <w:t xml:space="preserve"> and follow the instructions to submit your vote on an electronic proxy card. You will be asked to provide the Control Number from the Notice or proxy card. You may submit your proxy through the internet 24 hours a day. Your internet proxy must be received by 11:59 p.m. Eastern Time on May 22, 2023 to be counted. </w:t>
            </w:r>
          </w:p>
        </w:tc>
      </w:tr>
    </w:tbl>
    <w:p>
      <w:pPr>
        <w:pStyle w:val="TextBody"/>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spacing w:before="120" w:after="0"/>
        <w:jc w:val="left"/>
        <w:rPr>
          <w:rFonts w:ascii="Times New Roman" w:hAnsi="Times New Roman"/>
          <w:sz w:val="20"/>
        </w:rPr>
      </w:pPr>
      <w:r>
        <w:rPr>
          <w:rFonts w:ascii="Times New Roman" w:hAnsi="Times New Roman"/>
          <w:sz w:val="20"/>
        </w:rPr>
        <w:t xml:space="preserve">If on the Record Date your shares were held indirectly (that is, you held your shares in street name in a brokerage account or by another nominee holder), then you are a beneficial owner. </w:t>
      </w:r>
    </w:p>
    <w:p>
      <w:pPr>
        <w:pStyle w:val="TextBody"/>
        <w:spacing w:before="240" w:after="0"/>
        <w:jc w:val="left"/>
        <w:rPr>
          <w:rFonts w:ascii="Times New Roman" w:hAnsi="Times New Roman"/>
          <w:sz w:val="20"/>
        </w:rPr>
      </w:pPr>
      <w:r>
        <w:rPr>
          <w:rFonts w:ascii="Times New Roman" w:hAnsi="Times New Roman"/>
          <w:sz w:val="20"/>
        </w:rPr>
        <w:t xml:space="preserve">If you are a beneficial owner, a Notice or voting instruction form has been provided to you by your broker, bank or other agent describing how to submit voting instructions for your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you receive a voting instruction form, you can submit your voting instructions by completing and returning such voting instruction form. Please be sure to mark your voting choices on your voting instruction form before you return it. You may also be able to submit your voting instructions by telephone or through the internet or at the Annual Meeting, depending on your voting instructions (with a legal proxy from your broker, bank or other agent). Please refer to the instructions provided with your voting instruction form for information about submitting your voting instructions in these ways. See also </w:t>
            </w:r>
            <w:r>
              <w:rPr>
                <w:rFonts w:ascii="Times New Roman" w:hAnsi="Times New Roman"/>
                <w:i/>
                <w:sz w:val="20"/>
              </w:rPr>
              <w:t>If I am a beneficial owner of shares held in street name and I do not provide my broker or bank with voting instructions, what happens?</w:t>
            </w:r>
            <w:r>
              <w:rPr>
                <w:rFonts w:ascii="Times New Roman" w:hAnsi="Times New Roman"/>
                <w:sz w:val="20"/>
              </w:rPr>
              <w:t xml:space="preserve"> below.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spacing w:before="240" w:after="0"/>
        <w:jc w:val="left"/>
        <w:rPr>
          <w:rFonts w:ascii="Times New Roman" w:hAnsi="Times New Roman"/>
          <w:b/>
          <w:sz w:val="20"/>
        </w:rPr>
      </w:pPr>
      <w:r>
        <w:rPr>
          <w:rFonts w:ascii="Times New Roman" w:hAnsi="Times New Roman"/>
          <w:b/>
          <w:sz w:val="20"/>
        </w:rPr>
        <w:t xml:space="preserve">If you have any questions or require assistance in submitting a proxy for your shares, or if you would like additional copies of the proxy materials, please contact Georgeson LLC, our proxy solicitor. </w:t>
      </w:r>
    </w:p>
    <w:p>
      <w:pPr>
        <w:pStyle w:val="TextBody"/>
        <w:spacing w:before="360" w:after="0"/>
        <w:jc w:val="left"/>
        <w:rPr>
          <w:rFonts w:ascii="Times New Roman" w:hAnsi="Times New Roman"/>
          <w:b/>
          <w:sz w:val="20"/>
        </w:rPr>
      </w:pPr>
      <w:r>
        <w:rPr>
          <w:rFonts w:ascii="Times New Roman" w:hAnsi="Times New Roman"/>
          <w:b/>
          <w:sz w:val="20"/>
        </w:rPr>
        <w:t xml:space="preserve">Q: What does it mean to vote by proxy?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A proxy is a person you appoint to vote on your behalf. Unless you vote live during the Annual Meeting, by voting using any of the other methods described in this Proxy Statement, you will be appointing as your proxies David Hering, our Chief Executive Officer, and Jill Andersen, our Chief Legal Officer and Corporate Secretary. They may act together or individually on your behalf, and will have the authority to appoint a substitute to act as proxy. Whether or not you expect to attend the Annual Meeting, we request that you please use the means available to you to vote by proxy so as to ensure that your shares of common stock may be voted. </w:t>
      </w:r>
    </w:p>
    <w:p>
      <w:pPr>
        <w:pStyle w:val="TextBody"/>
        <w:spacing w:before="360" w:after="0"/>
        <w:jc w:val="left"/>
        <w:rPr>
          <w:rFonts w:ascii="Times New Roman" w:hAnsi="Times New Roman"/>
          <w:b/>
          <w:sz w:val="20"/>
        </w:rPr>
      </w:pPr>
      <w:r>
        <w:rPr>
          <w:rFonts w:ascii="Times New Roman" w:hAnsi="Times New Roman"/>
          <w:b/>
          <w:sz w:val="20"/>
        </w:rPr>
        <w:t xml:space="preserve">Q: If I am a beneficial owner of shares held in street name and I do not provide my broker or bank with voting instructions, what happens? </w:t>
      </w:r>
    </w:p>
    <w:p>
      <w:pPr>
        <w:pStyle w:val="TextBody"/>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you are a beneficial owner of shares held in street name and your voting instruction form or Notice does not indicate that you may vote your shares directly (or you have not obtained a legal proxy from your broker, bank or other agent), you must provide your broker, bank or other agent with instructions on how to vote your shares for non-routine matters. Your brokerage firm is entitled to vote shares held for a beneficial holder on discretionary, or routine, matters, such as the ratification of the appointment of PricewaterhouseCoopers LLP as our independent registered public accounting firm, without instructions from the beneficial holder of those shares. On the other hand, a brokerage firm is not entitled to vote shares held for a beneficial holder on certain non-discretionary items, or non-routine matters, such as certain charter amendments or the election of directors. Consequently, if you do not submit any voting instructions to your brokerage firm, your brokerage firm may exercise its discretion to vote your shares only on the proposal to ratify the appointment of PricewaterhouseCoopers LLP. For non-discretionary matters, if you do not submit any voting instructions, your shares will (i) constitute broker non-votes, (ii) count for establishing the presence of a quorum, (iii) have the same effect as voting against the Declassification Amendment proposal, and (iv) have no effect on the election of directors. </w:t>
      </w:r>
    </w:p>
    <w:p>
      <w:pPr>
        <w:pStyle w:val="TextBody"/>
        <w:spacing w:before="360" w:after="0"/>
        <w:jc w:val="left"/>
        <w:rPr>
          <w:rFonts w:ascii="Times New Roman" w:hAnsi="Times New Roman"/>
          <w:b/>
          <w:sz w:val="20"/>
        </w:rPr>
      </w:pPr>
      <w:r>
        <w:rPr>
          <w:rFonts w:ascii="Times New Roman" w:hAnsi="Times New Roman"/>
          <w:b/>
          <w:sz w:val="20"/>
        </w:rPr>
        <w:t xml:space="preserve">Q: Can I change my vote or revoke my proxy?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Yes. You can revoke your proxy at any time before the final vote at the Annual Meeting. </w:t>
      </w:r>
    </w:p>
    <w:p>
      <w:pPr>
        <w:pStyle w:val="TextBody"/>
        <w:spacing w:before="240" w:after="0"/>
        <w:jc w:val="left"/>
        <w:rPr>
          <w:rFonts w:ascii="Times New Roman" w:hAnsi="Times New Roman"/>
          <w:sz w:val="20"/>
        </w:rPr>
      </w:pPr>
      <w:r>
        <w:rPr>
          <w:rFonts w:ascii="Times New Roman" w:hAnsi="Times New Roman"/>
          <w:sz w:val="20"/>
        </w:rPr>
        <w:t xml:space="preserve">If you are a stockholder of record, you may revoke your proxy by: (1) submitting a new proxy on the internet or by telephone or submitting another properly completed proxy card with a later date than your original card, but no later than (x) 11:59 p.m. on May 21, 2023 if you are submitting by mail and (y) 11:59 p.m. on May 22, 2023 if you are submitting by telephone or internet; or (2) attending and voting at the Annual Meeting (note that simply attending the Annual Meeting will not, by itself, revoke your proxy). We will count your vote in accordance with the last instructions we receive from you prior to the closing of the polls. </w:t>
      </w:r>
    </w:p>
    <w:p>
      <w:pPr>
        <w:pStyle w:val="TextBody"/>
        <w:spacing w:before="240" w:after="0"/>
        <w:jc w:val="left"/>
        <w:rPr>
          <w:rFonts w:ascii="Times New Roman" w:hAnsi="Times New Roman"/>
          <w:sz w:val="20"/>
        </w:rPr>
      </w:pPr>
      <w:r>
        <w:rPr>
          <w:rFonts w:ascii="Times New Roman" w:hAnsi="Times New Roman"/>
          <w:sz w:val="20"/>
        </w:rPr>
        <w:t xml:space="preserve">If you are a beneficial owner, you should follow the instructions provided by your broker, bank or other agent. </w:t>
      </w:r>
    </w:p>
    <w:p>
      <w:pPr>
        <w:pStyle w:val="TextBody"/>
        <w:spacing w:before="360" w:after="0"/>
        <w:jc w:val="left"/>
        <w:rPr>
          <w:rFonts w:ascii="Times New Roman" w:hAnsi="Times New Roman"/>
          <w:b/>
          <w:sz w:val="20"/>
        </w:rPr>
      </w:pPr>
      <w:r>
        <w:rPr>
          <w:rFonts w:ascii="Times New Roman" w:hAnsi="Times New Roman"/>
          <w:b/>
          <w:sz w:val="20"/>
        </w:rPr>
        <w:t xml:space="preserve">Q: How are votes counted?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Votes will be counted by the inspector of election appointed for the Annual Meeting, who will separately count, for Proposal No. 1, For and Against votes, abstentions and broker non-votes, for Proposal No. 2, For and Withhold votes and broker non-votes for each nominee; and, for Proposal No. 3, For and Against votes and abstentions. Your vote will not be disclosed either within our Company or to third parties, except as necessary to meet applicable legal requirements, to allow for the tabulation of votes and certificate of the vote, and to facilitate a successful proxy solicitation.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Q: What is the quorum requirement, and what happens if a quorum is not present at the Annual Meeting?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A quorum of stockholders is necessary to hold a valid meeting. A quorum will be present if stockholders holding at least a majority of the outstanding shares entitled to vote are present at the meeting or represented by proxy. On the Record Date, there were 109,316,226 shares of common stock outstanding and entitled to vote. Thus, the holders of 54,658,114 shares must be present or represented by proxy at the Annual Meeting to have a quorum. </w:t>
      </w:r>
    </w:p>
    <w:p>
      <w:pPr>
        <w:pStyle w:val="TextBody"/>
        <w:spacing w:before="240" w:after="0"/>
        <w:jc w:val="left"/>
        <w:rPr>
          <w:rFonts w:ascii="Times New Roman" w:hAnsi="Times New Roman"/>
          <w:sz w:val="20"/>
        </w:rPr>
      </w:pPr>
      <w:r>
        <w:rPr>
          <w:rFonts w:ascii="Times New Roman" w:hAnsi="Times New Roman"/>
          <w:sz w:val="20"/>
        </w:rPr>
        <w:t>Your shares will be counted towards the quorum only if you submit a valid proxy (or one is submitted on your behalf by your broker, bank or other nominee) or if you attend the meeting (see </w:t>
      </w:r>
      <w:r>
        <w:rPr>
          <w:rFonts w:ascii="Times New Roman" w:hAnsi="Times New Roman"/>
          <w:i/>
          <w:sz w:val="20"/>
        </w:rPr>
        <w:t>Who can attend the Annual Meeting, and how do I attend?</w:t>
      </w:r>
      <w:r>
        <w:rPr>
          <w:rFonts w:ascii="Times New Roman" w:hAnsi="Times New Roman"/>
          <w:sz w:val="20"/>
        </w:rPr>
        <w:t xml:space="preserve"> above for details). Abstentions and broker non-votes, if any, will be counted towards the quorum requirement. If there is no quorum, the Annual Meeting will be adjourned by either the chairperson of the meeting or by the vote of a majority of the shares present by remote communication or represented by proxy, until a quorum is obtained. If an adjournment is for more than 30 days or a new record date is fixed for the adjourned meeting, we will provide notice of the adjourned meeting to each stockholder of record entitled to vote at the meeting. </w:t>
      </w:r>
    </w:p>
    <w:p>
      <w:pPr>
        <w:pStyle w:val="TextBody"/>
        <w:spacing w:before="360" w:after="0"/>
        <w:jc w:val="left"/>
        <w:rPr>
          <w:rFonts w:ascii="Times New Roman" w:hAnsi="Times New Roman"/>
          <w:b/>
          <w:sz w:val="20"/>
        </w:rPr>
      </w:pPr>
      <w:r>
        <w:rPr>
          <w:rFonts w:ascii="Times New Roman" w:hAnsi="Times New Roman"/>
          <w:b/>
          <w:sz w:val="20"/>
        </w:rPr>
        <w:t xml:space="preserve">Q: Where can I access the Annual Report?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A copy of our 2022 Annual Report, which consists of our Annual Report on Form 10-K for the year ended December 31, 2022, has been made available or mailed concurrently with this Proxy Statement, without charge, to our stockholders entitled to notice of and to vote at the Annual Meeting, provided that we have not included the exhibits to the Annual Report on Form 10-K. We will provide copies of the exhibits to the Form 10-K upon request by eligible stockholders, provided that we may impose a reasonable fee for providing such exhibits, which is limited to our reasonable expenses. Requests for copies of such exhibits should be mailed to our Corporate Secretary at Invivyd, Inc., 1601 Trapelo Road, Suite 178, Waltham, Massachusetts 02451, Attn: Corporate Secretary. </w:t>
      </w:r>
    </w:p>
    <w:p>
      <w:pPr>
        <w:pStyle w:val="TextBody"/>
        <w:spacing w:before="360" w:after="0"/>
        <w:jc w:val="left"/>
        <w:rPr>
          <w:rFonts w:ascii="Times New Roman" w:hAnsi="Times New Roman"/>
          <w:b/>
          <w:sz w:val="20"/>
        </w:rPr>
      </w:pPr>
      <w:r>
        <w:rPr>
          <w:rFonts w:ascii="Times New Roman" w:hAnsi="Times New Roman"/>
          <w:b/>
          <w:sz w:val="20"/>
        </w:rPr>
        <w:t xml:space="preserve">Q: Why did I receive a notice in the mail regarding the internet availability of proxy materials instead of a full set of proxy materials?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We have elected to provide access to our proxy materials on the internet. Accordingly, we are sending the Notice to our stockholders. All stockholders will have the ability to access the proxy materials on the website referred to in the Notice or request to receive a printed set of the proxy materials. Instructions on how to access the proxy materials on the internet or to request a printed copy may be found in the Notice. In addition, stockholders may request to receive proxy materials in printed form by mail or electronically by email on an ongoing basis. We encourage stockholders to take advantage of the availability of proxy materials on the internet to help us reduce the environmental impact of the Annual Meeting. </w:t>
      </w:r>
    </w:p>
    <w:p>
      <w:pPr>
        <w:pStyle w:val="TextBody"/>
        <w:spacing w:before="360" w:after="0"/>
        <w:jc w:val="left"/>
        <w:rPr>
          <w:rFonts w:ascii="Times New Roman" w:hAnsi="Times New Roman"/>
          <w:b/>
          <w:sz w:val="20"/>
        </w:rPr>
      </w:pPr>
      <w:r>
        <w:rPr>
          <w:rFonts w:ascii="Times New Roman" w:hAnsi="Times New Roman"/>
          <w:b/>
          <w:sz w:val="20"/>
        </w:rPr>
        <w:t xml:space="preserve">Q: What does it mean if I receive more than one Notice or set of proxy materials?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If you receive more than one Notice or set of proxy materials, your shares may be registered in more than one name or in different accounts. To ensure that all of your shares are voted, please submit each proxy card or voting instruction form you receive or, if you submit a proxy over the internet or by telephone, you will need to enter each of your Control Numbers. </w:t>
      </w:r>
    </w:p>
    <w:p>
      <w:pPr>
        <w:pStyle w:val="TextBody"/>
        <w:spacing w:before="360" w:after="0"/>
        <w:jc w:val="left"/>
        <w:rPr>
          <w:rFonts w:ascii="Times New Roman" w:hAnsi="Times New Roman"/>
          <w:b/>
          <w:sz w:val="20"/>
        </w:rPr>
      </w:pPr>
      <w:r>
        <w:rPr>
          <w:rFonts w:ascii="Times New Roman" w:hAnsi="Times New Roman"/>
          <w:b/>
          <w:sz w:val="20"/>
        </w:rPr>
        <w:t xml:space="preserve">Q: How will proxies be solicited and who is paying for the cost of the proxy solicitation?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We will pay for the entire cost of soliciting proxies, including the printing, handling and mailing of the Annual Meeting materials. In addition to these proxy materials, our directors and certain executive officers may, without additional remuneration, solicit proxies in person, by telephone, or by other means of communication. We may also reimburse brokerage firms, banks and other agents for their reasonable out-of-pocket expenses for forwarding Proxy Materials to our stockholders, if any. </w:t>
      </w:r>
    </w:p>
    <w:p>
      <w:pPr>
        <w:pStyle w:val="TextBody"/>
        <w:spacing w:before="240" w:after="0"/>
        <w:jc w:val="left"/>
        <w:rPr>
          <w:rFonts w:ascii="Times New Roman" w:hAnsi="Times New Roman"/>
          <w:sz w:val="20"/>
        </w:rPr>
      </w:pPr>
      <w:r>
        <w:rPr>
          <w:rFonts w:ascii="Times New Roman" w:hAnsi="Times New Roman"/>
          <w:sz w:val="20"/>
        </w:rPr>
        <w:t xml:space="preserve">Additionally, the Company has retained Georgeson LLC, a proxy solicitation firm, to solicit proxies from stockholders in connection with the Annual Meeting on the Boards behalf. Under our agreement with Georgeson LLC, they will receive a fee of up to approximately $15,000 plus the reimbursement of reasonable costs and expenses. The Company also agreed to indemnify Georgeson LLC against certain liabilities relating to, or arising out of, its retention. Georgeson LLC may solicit proxies by mail, telephone and email.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Q: Who is the independent registered public accounting firm, and will it be represented at the Annual Meeting?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PricewaterhouseCoopers LLP served as our independent registered public accounting firm for the fiscal year ended December 31, 2022 and audited our financial statements for such fiscal year. We expect that one or more representatives of PricewaterhouseCoopers LLP will be present at the Annual Meeting. They will have an opportunity to make a statement, if they desire, and will be available to answer appropriate questions during a portion of the Annual Meeting. PricewaterhouseCoopers LLP has been appointed by the Audit Committee of our Board (the Audit Committee) to serve as our independent registered public accounting firm for the fiscal year ending December 31, 2023. </w:t>
      </w:r>
    </w:p>
    <w:p>
      <w:pPr>
        <w:pStyle w:val="TextBody"/>
        <w:spacing w:before="360" w:after="0"/>
        <w:jc w:val="left"/>
        <w:rPr>
          <w:rFonts w:ascii="Times New Roman" w:hAnsi="Times New Roman"/>
          <w:b/>
          <w:sz w:val="20"/>
        </w:rPr>
      </w:pPr>
      <w:r>
        <w:rPr>
          <w:rFonts w:ascii="Times New Roman" w:hAnsi="Times New Roman"/>
          <w:b/>
          <w:sz w:val="20"/>
        </w:rPr>
        <w:t xml:space="preserve">Q: Why are we being asked to ratify the appointment of PricewaterhouseCoopers LLP?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Although stockholder approval of the Audit Committees appointment of PricewaterhouseCoopers LLP as our independent registered public accounting firm is not required, we believe that it is advisable to give stockholders an opportunity to ratify this appointment. If this proposal is not approved at the Annual Meeting, the Audit Committee may reconsider its appointment of PricewaterhouseCoopers LLP, but will not be required to take any action. </w:t>
      </w:r>
    </w:p>
    <w:p>
      <w:pPr>
        <w:pStyle w:val="TextBody"/>
        <w:spacing w:before="360" w:after="0"/>
        <w:jc w:val="left"/>
        <w:rPr>
          <w:rFonts w:ascii="Times New Roman" w:hAnsi="Times New Roman"/>
          <w:b/>
          <w:sz w:val="20"/>
        </w:rPr>
      </w:pPr>
      <w:r>
        <w:rPr>
          <w:rFonts w:ascii="Times New Roman" w:hAnsi="Times New Roman"/>
          <w:b/>
          <w:sz w:val="20"/>
        </w:rPr>
        <w:t xml:space="preserve">Q: How can I find out the results of the voting at the Annual Meeting?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Preliminary voting results will be announced at the Annual Meeting. In addition, final voting results will be reported in a Current Report on Form 8-K, which we will file with the Securities and Exchange Commission (the SEC) on EDGAR at www.sec.gov within four business days of the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x419064_2"/>
      <w:bookmarkEnd w:id="4"/>
      <w:r>
        <w:rPr>
          <w:rFonts w:ascii="Times New Roman" w:hAnsi="Times New Roman"/>
          <w:b/>
          <w:sz w:val="20"/>
        </w:rPr>
        <w:t xml:space="preserve">PROPOSAL NO. 1 </w:t>
      </w:r>
    </w:p>
    <w:p>
      <w:pPr>
        <w:pStyle w:val="TextBody"/>
        <w:spacing w:before="120" w:after="0"/>
        <w:jc w:val="center"/>
        <w:rPr>
          <w:rFonts w:ascii="Times New Roman" w:hAnsi="Times New Roman"/>
          <w:b/>
          <w:sz w:val="20"/>
        </w:rPr>
      </w:pPr>
      <w:r>
        <w:rPr>
          <w:rFonts w:ascii="Times New Roman" w:hAnsi="Times New Roman"/>
          <w:b/>
          <w:sz w:val="20"/>
        </w:rPr>
        <w:t xml:space="preserve">APPROVAL OF AMENDMENT TO OUR CERTIFICATE OF INCORPORATION TO (I) DECLASSIFY </w:t>
      </w:r>
    </w:p>
    <w:p>
      <w:pPr>
        <w:pStyle w:val="TextBody"/>
        <w:spacing w:before="0" w:after="0"/>
        <w:jc w:val="center"/>
        <w:rPr>
          <w:rFonts w:ascii="Times New Roman" w:hAnsi="Times New Roman"/>
          <w:b/>
          <w:sz w:val="20"/>
        </w:rPr>
      </w:pPr>
      <w:r>
        <w:rPr>
          <w:rFonts w:ascii="Times New Roman" w:hAnsi="Times New Roman"/>
          <w:b/>
          <w:sz w:val="20"/>
        </w:rPr>
        <w:t xml:space="preserve">OUR BOARD OF DIRECTORS AND (II) PERMIT REMOVAL OF DIRECTORS WITH OR WITHOUT </w:t>
      </w:r>
    </w:p>
    <w:p>
      <w:pPr>
        <w:pStyle w:val="TextBody"/>
        <w:spacing w:before="0" w:after="0"/>
        <w:jc w:val="center"/>
        <w:rPr>
          <w:rFonts w:ascii="Times New Roman" w:hAnsi="Times New Roman"/>
          <w:b/>
          <w:sz w:val="20"/>
        </w:rPr>
      </w:pPr>
      <w:r>
        <w:rPr>
          <w:rFonts w:ascii="Times New Roman" w:hAnsi="Times New Roman"/>
          <w:b/>
          <w:sz w:val="20"/>
        </w:rPr>
        <w:t xml:space="preserve">CAUSE BY MAJORITY VOTE OF STOCKHOLDERS </w:t>
      </w:r>
    </w:p>
    <w:p>
      <w:pPr>
        <w:pStyle w:val="TextBody"/>
        <w:spacing w:before="240" w:after="0"/>
        <w:jc w:val="left"/>
        <w:rPr>
          <w:rFonts w:ascii="Times New Roman" w:hAnsi="Times New Roman"/>
          <w:sz w:val="20"/>
        </w:rPr>
      </w:pPr>
      <w:r>
        <w:rPr>
          <w:rFonts w:ascii="Times New Roman" w:hAnsi="Times New Roman"/>
          <w:sz w:val="20"/>
        </w:rPr>
        <w:t xml:space="preserve">Currently, under our Amended and Restated Certificate of Incorporation (as amended, the Certificate of Incorporation) and our Amended and Restated Bylaws (the Bylaws), our Board is divided into three classes, with each class elected every three years. The current terms of our director classes expire as follows: Class II director terms will expire at the 2023 Annual Meeting, Class III director terms will expire at the 2024 Annual Meeting, and Class I director terms will expire at the 2025 Annual Meeting. </w:t>
      </w:r>
    </w:p>
    <w:p>
      <w:pPr>
        <w:pStyle w:val="TextBody"/>
        <w:spacing w:before="240" w:after="0"/>
        <w:jc w:val="left"/>
        <w:rPr>
          <w:rFonts w:ascii="Times New Roman" w:hAnsi="Times New Roman"/>
          <w:sz w:val="20"/>
        </w:rPr>
      </w:pPr>
      <w:r>
        <w:rPr>
          <w:rFonts w:ascii="Times New Roman" w:hAnsi="Times New Roman"/>
          <w:sz w:val="20"/>
        </w:rPr>
        <w:t xml:space="preserve">On the recommendation of the Nominating and Corporate Governance Committee of our Board (the Nominating and Corporate Governance Committee), our Board has approved and declared advisable, and recommends that you approve, an amendment to our Certificate of Incorporation that, if implemented, will immediately (i) declassify our Board, with each elected director serving for a one-year term until the next years annual meeting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w:t>
      </w:r>
    </w:p>
    <w:p>
      <w:pPr>
        <w:pStyle w:val="TextBody"/>
        <w:spacing w:before="360" w:after="0"/>
        <w:jc w:val="left"/>
        <w:rPr>
          <w:rFonts w:ascii="Times New Roman" w:hAnsi="Times New Roman"/>
          <w:b/>
          <w:sz w:val="20"/>
        </w:rPr>
      </w:pPr>
      <w:r>
        <w:rPr>
          <w:rFonts w:ascii="Times New Roman" w:hAnsi="Times New Roman"/>
          <w:b/>
          <w:sz w:val="20"/>
        </w:rPr>
        <w:t xml:space="preserve">Background of the Proposal </w:t>
      </w:r>
    </w:p>
    <w:p>
      <w:pPr>
        <w:pStyle w:val="TextBody"/>
        <w:spacing w:before="120" w:after="0"/>
        <w:jc w:val="left"/>
        <w:rPr>
          <w:rFonts w:ascii="Times New Roman" w:hAnsi="Times New Roman"/>
          <w:sz w:val="20"/>
        </w:rPr>
      </w:pPr>
      <w:r>
        <w:rPr>
          <w:rFonts w:ascii="Times New Roman" w:hAnsi="Times New Roman"/>
          <w:sz w:val="20"/>
        </w:rPr>
        <w:t xml:space="preserve">At our 2022 Annual Meeting of Stockholders, our stockholders approved an advisory, non-binding vote that our Board be declassified in advance of the 2023 Annual Meeting. After careful consideration of a variety of factors, including the level of stockholder support for the advisory, non-binding proposal, as well as the benefits of annual election of directors, our Board, upon the recommendation of the Nominating and Corporate Governance Committee, has determined that it is in the best interests of the Company and its stockholders to declassify our Board immediately upon the filing of a certificate of amendment setting forth the Declassification Amendment with the Secretary of State of the State of Delaware (the Certificate of Amendment). </w:t>
      </w:r>
    </w:p>
    <w:p>
      <w:pPr>
        <w:pStyle w:val="TextBody"/>
        <w:spacing w:before="240" w:after="0"/>
        <w:jc w:val="left"/>
        <w:rPr>
          <w:rFonts w:ascii="Times New Roman" w:hAnsi="Times New Roman"/>
          <w:sz w:val="20"/>
        </w:rPr>
      </w:pPr>
      <w:r>
        <w:rPr>
          <w:rFonts w:ascii="Times New Roman" w:hAnsi="Times New Roman"/>
          <w:sz w:val="20"/>
        </w:rPr>
        <w:t xml:space="preserve">Our Board regularly reviews, with assistance from the Nominating and Corporate Governance Committee, the Companys corporate governance practices and structures. Our Board recognized that the classified structure provides certain benefits by promoting continuity and stability in the management of the business and affairs of the Company and encouraging directors to take a longer-term perspective. Although our Board continues to believe these are important benefits, our Board has considered the fact that classified boards may be viewed as reducing the accountability of directors to stockholders, as stockholders are unable to evaluate and elect all directors on an annual basis. Our Board also recognized the growing sentiment among stockholders and the investment community in favor of annual elections, and that many institutional investors believe that the election of directors is the primary means for stockholders to influence corporate governance policies and hold management accountable for implementing those policies. After carefully weighing these and other considerations, our Board has determined that it would be in the best interests of the Company and its stockholders to declassify the Board of Directors and recommends that stockholders approve the proposed Declassification Amendment. </w:t>
      </w:r>
    </w:p>
    <w:p>
      <w:pPr>
        <w:pStyle w:val="TextBody"/>
        <w:spacing w:before="360" w:after="0"/>
        <w:jc w:val="left"/>
        <w:rPr>
          <w:rFonts w:ascii="Times New Roman" w:hAnsi="Times New Roman"/>
          <w:b/>
          <w:sz w:val="20"/>
        </w:rPr>
      </w:pPr>
      <w:r>
        <w:rPr>
          <w:rFonts w:ascii="Times New Roman" w:hAnsi="Times New Roman"/>
          <w:b/>
          <w:sz w:val="20"/>
        </w:rPr>
        <w:t xml:space="preserve">Proposed Amendment </w:t>
      </w:r>
    </w:p>
    <w:p>
      <w:pPr>
        <w:pStyle w:val="TextBody"/>
        <w:spacing w:before="120" w:after="0"/>
        <w:jc w:val="left"/>
        <w:rPr>
          <w:rFonts w:ascii="Times New Roman" w:hAnsi="Times New Roman"/>
          <w:sz w:val="20"/>
        </w:rPr>
      </w:pPr>
      <w:r>
        <w:rPr>
          <w:rFonts w:ascii="Times New Roman" w:hAnsi="Times New Roman"/>
          <w:sz w:val="20"/>
        </w:rPr>
        <w:t xml:space="preserve">The following description of the proposed amendment is a summary and is qualified by the full text of the proposed amendment, which is attached to this Proxy Statement as Appendix A. </w:t>
      </w:r>
    </w:p>
    <w:p>
      <w:pPr>
        <w:pStyle w:val="TextBody"/>
        <w:spacing w:before="240" w:after="0"/>
        <w:jc w:val="left"/>
        <w:rPr>
          <w:rFonts w:ascii="Times New Roman" w:hAnsi="Times New Roman"/>
          <w:sz w:val="20"/>
        </w:rPr>
      </w:pPr>
      <w:r>
        <w:rPr>
          <w:rFonts w:ascii="Times New Roman" w:hAnsi="Times New Roman"/>
          <w:sz w:val="20"/>
        </w:rPr>
        <w:t xml:space="preserve">If Proposal No. 1 is approved at the 2023 Annual Meeting, the Company intends to file the Certificate of Amendment as soon as practicable following the 2023 Annual Meeting. Following the filing and effectiveness of the Certificate of Amendment, our Board would no longer be classified, and any director elected for a term extending beyond our 2024 Annual Meeting (including the directors elected for a three-year term at this Annual Meeting) would, notwithstanding such term, hold office only until the 2024 Annual Meeting. The proposed amendments would not change the present number of directors or the Boards authority to change that number to fill any vacancies or newly created directorships. Any director appointed to fill newly created Board seats or vacancies would hold office for the remaining term of his or her predecessor, which would be for a term expiring at the next annual meeting of stockholders following his or her appointment.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Regardless of whether Proposal No. 1 is approved, each director elected at the 2023 Annual Meeting would be elected to a term of three years expiring at the 2026 Annual Meeting. However, if Proposal No. 1 is approved and implemented, our Board will be immediately declassified and the terms of all directors (including the directors elected at this Annual Meeting) will expire at the 2024 Annual Meeting. From and after the filing and effectiveness of the Certificate of Amendment, the terms of all directors elected at an annual meeting will expire at the next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If Proposal No. 1 is not approved and/or the Declassification Amendment is not implemented, our Board will remain classified. The nominees for election at the 2023 Annual Meeting would be the Class II directors and, if elected, would be elected to serve a three-year term expiring at our 2026 Annual Meeting. The Class I directors and the Class III directors would, in accordance with the Certificate of Incorporation, continue to serve the remainder of their terms ending with the 2025 Annual Meeting and the 2024 Annual Meeting, respectively, or until a directors earlier death, resignation or removal. </w:t>
      </w:r>
    </w:p>
    <w:p>
      <w:pPr>
        <w:pStyle w:val="TextBody"/>
        <w:spacing w:before="240" w:after="0"/>
        <w:jc w:val="left"/>
        <w:rPr>
          <w:rFonts w:ascii="Times New Roman" w:hAnsi="Times New Roman"/>
          <w:sz w:val="20"/>
        </w:rPr>
      </w:pPr>
      <w:r>
        <w:rPr>
          <w:rFonts w:ascii="Times New Roman" w:hAnsi="Times New Roman"/>
          <w:sz w:val="20"/>
        </w:rPr>
        <w:t xml:space="preserve">Delaware law provides that members of a classified board may be removed only for cause (unless otherwise provided in the certificate of incorporation) and that members of a board that is not classified may be removed by stockholders with or without cause. At present, because our Board is classified, our Certificate of Incorporation provides that our directors are removable only for cause. In conjunction with the declassification of our Board, the Declassification Amendment includes conforming changes to the Certificate of Incorporation to comply with Delaware law by providing that, upon the filing and effectiveness of the Certificate of Amendment, directors may be removed with or without cause. The Declassification Amendment also changes the requisite stockholder vote required to remove directors. Under the Certificate of Incorporation, the affirmative vote of sixty-six and two-thirds percent (66 2/3%) of the voting power of all then-outstanding shares of capital stock of the Company entitled to vote generally at an election of directors is required to remove directors. The Declassification Amendment provides that such removal may be effected upon the affirmative vote of the holders of at least a majority of the voting power of all then-outstanding shares of capital stock of the Company entitled to vote generally at an election of directors. </w:t>
      </w:r>
    </w:p>
    <w:p>
      <w:pPr>
        <w:pStyle w:val="TextBody"/>
        <w:spacing w:before="240" w:after="0"/>
        <w:jc w:val="left"/>
        <w:rPr>
          <w:rFonts w:ascii="Times New Roman" w:hAnsi="Times New Roman"/>
          <w:sz w:val="20"/>
        </w:rPr>
      </w:pPr>
      <w:r>
        <w:rPr>
          <w:rFonts w:ascii="Times New Roman" w:hAnsi="Times New Roman"/>
          <w:sz w:val="20"/>
        </w:rPr>
        <w:t xml:space="preserve">If Proposal No. 1 is not approved and/or the Declassification Amendment is not implemented, none of the changes described in Appendix A will be made to our Certificate of Incorporation. </w:t>
      </w:r>
    </w:p>
    <w:p>
      <w:pPr>
        <w:pStyle w:val="TextBody"/>
        <w:spacing w:before="360" w:after="0"/>
        <w:jc w:val="left"/>
        <w:rPr>
          <w:rFonts w:ascii="Times New Roman" w:hAnsi="Times New Roman"/>
          <w:b/>
          <w:sz w:val="20"/>
        </w:rPr>
      </w:pPr>
      <w:r>
        <w:rPr>
          <w:rFonts w:ascii="Times New Roman" w:hAnsi="Times New Roman"/>
          <w:b/>
          <w:sz w:val="20"/>
        </w:rPr>
        <w:t xml:space="preserve">Amendments to our Bylaws </w:t>
      </w:r>
    </w:p>
    <w:p>
      <w:pPr>
        <w:pStyle w:val="TextBody"/>
        <w:spacing w:before="120" w:after="0"/>
        <w:jc w:val="left"/>
        <w:rPr>
          <w:rFonts w:ascii="Times New Roman" w:hAnsi="Times New Roman"/>
          <w:sz w:val="20"/>
        </w:rPr>
      </w:pPr>
      <w:r>
        <w:rPr>
          <w:rFonts w:ascii="Times New Roman" w:hAnsi="Times New Roman"/>
          <w:sz w:val="20"/>
        </w:rPr>
        <w:t xml:space="preserve">If the Declassification Amendment is approved by our stockholders and implemented, our Bylaws will be amended to, among other things, remove references to the classified board structure and conform to the updated removal provisions. Pursuant to Article V, Section C of our Certificate of Incorporation and Delaware law, the amendments to our Bylaws are not subject to stockholder approval. If the Declassification Amendment is not approved and implemented, no changes will be made to our Bylaws.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Pursuant to Article VIII, Section B of our Certificate of Incorporation, the approval of the Declassification Amendment requires the affirmative vote of the holders of at least 66 2/3% of the voting power of all of the then-outstanding shares of capital stock of the Company entitled to vote generally in the election of directors, voting together as a single class. If you fail to vote or fail to instruct your broker or other nominee to vote, or vote to abstain from voting on this proposal, it will have the same effect as voting AGAINST the proposal to amend our Certificate of Incorporation. </w:t>
      </w:r>
    </w:p>
    <w:p>
      <w:pPr>
        <w:pStyle w:val="TextBody"/>
        <w:spacing w:before="480" w:after="0"/>
        <w:jc w:val="center"/>
        <w:rPr>
          <w:rFonts w:ascii="Times New Roman" w:hAnsi="Times New Roman"/>
          <w:b/>
          <w:sz w:val="20"/>
        </w:rPr>
      </w:pPr>
      <w:r>
        <w:rPr>
          <w:rFonts w:ascii="Times New Roman" w:hAnsi="Times New Roman"/>
          <w:b/>
          <w:sz w:val="20"/>
        </w:rPr>
        <w:t xml:space="preserve">THE BOARD RECOMMENDS </w:t>
      </w:r>
    </w:p>
    <w:p>
      <w:pPr>
        <w:pStyle w:val="TextBody"/>
        <w:spacing w:before="0" w:after="0"/>
        <w:jc w:val="center"/>
        <w:rPr>
          <w:rFonts w:ascii="Times New Roman" w:hAnsi="Times New Roman"/>
          <w:sz w:val="20"/>
        </w:rPr>
      </w:pPr>
      <w:r>
        <w:rPr>
          <w:rFonts w:ascii="Times New Roman" w:hAnsi="Times New Roman"/>
          <w:b/>
          <w:sz w:val="20"/>
        </w:rPr>
        <w:t>A VOTE </w:t>
      </w:r>
      <w:r>
        <w:rPr>
          <w:rFonts w:ascii="Times New Roman" w:hAnsi="Times New Roman"/>
          <w:b/>
          <w:sz w:val="20"/>
          <w:u w:val="single"/>
        </w:rPr>
        <w:t>FOR</w:t>
      </w:r>
      <w:r>
        <w:rPr>
          <w:rFonts w:ascii="Times New Roman" w:hAnsi="Times New Roman"/>
          <w:b/>
          <w:sz w:val="20"/>
        </w:rPr>
        <w:t> THE DECLASSIFICATION AMENDMENT AS DESCRIBED ABOVE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419064_3"/>
      <w:bookmarkEnd w:id="5"/>
      <w:r>
        <w:rPr>
          <w:rFonts w:ascii="Times New Roman" w:hAnsi="Times New Roman"/>
          <w:b/>
          <w:sz w:val="20"/>
        </w:rPr>
        <w:t xml:space="preserve">PROPOSAL NO. 2 </w:t>
      </w:r>
    </w:p>
    <w:p>
      <w:pPr>
        <w:pStyle w:val="TextBody"/>
        <w:spacing w:before="120" w:after="0"/>
        <w:jc w:val="center"/>
        <w:rPr>
          <w:rFonts w:ascii="Times New Roman" w:hAnsi="Times New Roman"/>
          <w:b/>
          <w:sz w:val="20"/>
        </w:rPr>
      </w:pPr>
      <w:r>
        <w:rPr>
          <w:rFonts w:ascii="Times New Roman" w:hAnsi="Times New Roman"/>
          <w:b/>
          <w:sz w:val="20"/>
        </w:rPr>
        <w:t xml:space="preserve">ELECTION OF TWO DIRECTORS </w:t>
      </w:r>
    </w:p>
    <w:p>
      <w:pPr>
        <w:pStyle w:val="TextBody"/>
        <w:spacing w:before="240" w:after="0"/>
        <w:jc w:val="left"/>
        <w:rPr>
          <w:rFonts w:ascii="Times New Roman" w:hAnsi="Times New Roman"/>
          <w:sz w:val="20"/>
        </w:rPr>
      </w:pPr>
      <w:r>
        <w:rPr>
          <w:rFonts w:ascii="Times New Roman" w:hAnsi="Times New Roman"/>
          <w:sz w:val="20"/>
        </w:rPr>
        <w:t xml:space="preserve">Our Board currently consists of eight directors, with three directors currently designated as Class I directors, two directors currently designated as Class II directors, and three directors currently designated as Class III directors. Our Certificate of Incorporation currently provides for a classified Board, so that the term of the existing Class II directors will expire at this years Annual Meeting, the terms of the Class III directors will expire at the 2024 Annual Meeting, and the terms of the Class I directors will expire at the 2025 Annual Meeting. </w:t>
      </w:r>
    </w:p>
    <w:p>
      <w:pPr>
        <w:pStyle w:val="TextBody"/>
        <w:spacing w:before="240" w:after="0"/>
        <w:jc w:val="left"/>
        <w:rPr>
          <w:rFonts w:ascii="Times New Roman" w:hAnsi="Times New Roman"/>
          <w:sz w:val="20"/>
        </w:rPr>
      </w:pPr>
      <w:r>
        <w:rPr>
          <w:rFonts w:ascii="Times New Roman" w:hAnsi="Times New Roman"/>
          <w:sz w:val="20"/>
        </w:rPr>
        <w:t xml:space="preserve">Our Board has nominated Christine Lindenboom and Terrance McGuire as directors to serve until the 2026 Annual Meeting (provided, that if the Declassification Amendment is approved and implemented, the terms of such directors will expire at the 2024 Annual Meeting). </w:t>
      </w:r>
    </w:p>
    <w:p>
      <w:pPr>
        <w:pStyle w:val="TextBody"/>
        <w:spacing w:before="240" w:after="0"/>
        <w:jc w:val="left"/>
        <w:rPr>
          <w:rFonts w:ascii="Times New Roman" w:hAnsi="Times New Roman"/>
          <w:sz w:val="20"/>
        </w:rPr>
      </w:pPr>
      <w:r>
        <w:rPr>
          <w:rFonts w:ascii="Times New Roman" w:hAnsi="Times New Roman"/>
          <w:sz w:val="20"/>
        </w:rPr>
        <w:t xml:space="preserve">Detailed biographical information regarding each of the nominees and the other continuing directors is provided in this Proxy Statement below under the heading The Board of Directors. Each of the nominees has been determined by our Board to be independent. </w:t>
      </w:r>
    </w:p>
    <w:p>
      <w:pPr>
        <w:pStyle w:val="TextBody"/>
        <w:spacing w:before="240" w:after="0"/>
        <w:jc w:val="left"/>
        <w:rPr>
          <w:rFonts w:ascii="Times New Roman" w:hAnsi="Times New Roman"/>
          <w:sz w:val="20"/>
        </w:rPr>
      </w:pPr>
      <w:r>
        <w:rPr>
          <w:rFonts w:ascii="Times New Roman" w:hAnsi="Times New Roman"/>
          <w:sz w:val="20"/>
        </w:rPr>
        <w:t xml:space="preserve">Regardless of whether Proposal No. 1 is approved, each director elected at the 2023 Annual Meeting would be elected to a term of three years expiring at the 2026 Annual Meeting. However, if Proposal No. 1 is approved and implemented, our Board will be immediately declassified and the terms of all directors (including the directors elected at this Annual Meeting) will expire at the 2024 Annual Meeting. From and after the filing and effectiveness of the Certificate of Amendment, the terms of all directors elected at an annual meeting will expire at the next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If Proposal No. 1 is not approved and/or the Declassification Amendment is not implemented, our Board will remain classified. The nominees for election at the 2023 Annual Meeting would be the Class II directors and, if elected, would serve a three-year term expiring at the 2026 Annual Meeting. The Class I directors and the Class III directors would, in accordance with the Certificate of Incorporation, continue to serve the remainder of their terms ending with the 2025 Annual Meeting and the 2024 Annual Meeting, respectively, and until such directors successors are elected and qualified or until a directors earlier death, resignation or removal. In that scenario, the individual directors would continue to serve in the classes specified below: </w:t>
      </w:r>
    </w:p>
    <w:p>
      <w:pPr>
        <w:pStyle w:val="TextBody"/>
        <w:spacing w:before="0" w:after="0"/>
        <w:jc w:val="left"/>
        <w:rPr/>
      </w:pPr>
      <w:r>
        <w:rPr/>
        <w:t> </w:t>
      </w:r>
    </w:p>
    <w:tbl>
      <w:tblPr>
        <w:tblW w:w="11720" w:type="dxa"/>
        <w:jc w:val="center"/>
        <w:tblInd w:w="0" w:type="dxa"/>
        <w:tblCellMar>
          <w:top w:w="0" w:type="dxa"/>
          <w:left w:w="0" w:type="dxa"/>
          <w:bottom w:w="0" w:type="dxa"/>
          <w:right w:w="0" w:type="dxa"/>
        </w:tblCellMar>
      </w:tblPr>
      <w:tblGrid>
        <w:gridCol w:w="1040"/>
        <w:gridCol w:w="120"/>
        <w:gridCol w:w="3170"/>
        <w:gridCol w:w="120"/>
        <w:gridCol w:w="2855"/>
        <w:gridCol w:w="120"/>
        <w:gridCol w:w="4295"/>
      </w:tblGrid>
      <w:tr>
        <w:trPr/>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95" w:type="dxa"/>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Director</w:t>
            </w:r>
          </w:p>
        </w:tc>
        <w:tc>
          <w:tcPr>
            <w:tcW w:w="120" w:type="dxa"/>
            <w:tcBorders/>
            <w:shd w:fill="auto" w:val="clear"/>
            <w:vAlign w:val="bottom"/>
          </w:tcPr>
          <w:p>
            <w:pPr>
              <w:pStyle w:val="TableContents"/>
              <w:spacing w:before="0" w:after="283"/>
              <w:rPr/>
            </w:pPr>
            <w:r>
              <w:rPr/>
              <w:t>  </w:t>
            </w:r>
          </w:p>
        </w:tc>
        <w:tc>
          <w:tcPr>
            <w:tcW w:w="3170" w:type="dxa"/>
            <w:tcBorders>
              <w:bottom w:val="single" w:sz="8" w:space="0" w:color="000000"/>
            </w:tcBorders>
            <w:shd w:fill="auto" w:val="clear"/>
            <w:tcMar>
              <w:bottom w:w="28" w:type="dxa"/>
            </w:tcMar>
            <w:vAlign w:val="bottom"/>
          </w:tcPr>
          <w:p>
            <w:pPr>
              <w:pStyle w:val="TableContents"/>
              <w:spacing w:before="0" w:after="283"/>
              <w:jc w:val="center"/>
              <w:rPr/>
            </w:pPr>
            <w:r>
              <w:rPr>
                <w:b/>
              </w:rPr>
              <w:t>Class II Directors (standing for</w:t>
              <w:br/>
              <w:t>election for term expiring</w:t>
            </w:r>
            <w:r>
              <w:rPr/>
              <w:br/>
            </w:r>
            <w:r>
              <w:rPr>
                <w:b/>
              </w:rPr>
              <w:t>at the 2026 Annual Meeting)</w:t>
            </w:r>
          </w:p>
        </w:tc>
        <w:tc>
          <w:tcPr>
            <w:tcW w:w="120" w:type="dxa"/>
            <w:tcBorders/>
            <w:shd w:fill="auto" w:val="clear"/>
            <w:vAlign w:val="bottom"/>
          </w:tcPr>
          <w:p>
            <w:pPr>
              <w:pStyle w:val="TableContents"/>
              <w:spacing w:before="0" w:after="283"/>
              <w:rPr/>
            </w:pPr>
            <w:r>
              <w:rPr/>
              <w:t>  </w:t>
            </w:r>
          </w:p>
        </w:tc>
        <w:tc>
          <w:tcPr>
            <w:tcW w:w="2855" w:type="dxa"/>
            <w:tcBorders>
              <w:bottom w:val="single" w:sz="8" w:space="0" w:color="000000"/>
            </w:tcBorders>
            <w:shd w:fill="auto" w:val="clear"/>
            <w:tcMar>
              <w:bottom w:w="28" w:type="dxa"/>
            </w:tcMar>
            <w:vAlign w:val="bottom"/>
          </w:tcPr>
          <w:p>
            <w:pPr>
              <w:pStyle w:val="TableContents"/>
              <w:spacing w:before="0" w:after="283"/>
              <w:jc w:val="center"/>
              <w:rPr>
                <w:b/>
              </w:rPr>
            </w:pPr>
            <w:r>
              <w:rPr>
                <w:b/>
              </w:rPr>
              <w:t>Class I Directors (currently</w:t>
              <w:br/>
              <w:t>serving until term expires at</w:t>
              <w:br/>
              <w:t>the 2025 Annual Meeting)</w:t>
            </w:r>
          </w:p>
        </w:tc>
        <w:tc>
          <w:tcPr>
            <w:tcW w:w="120" w:type="dxa"/>
            <w:tcBorders/>
            <w:shd w:fill="auto" w:val="clear"/>
            <w:vAlign w:val="bottom"/>
          </w:tcPr>
          <w:p>
            <w:pPr>
              <w:pStyle w:val="TableContents"/>
              <w:spacing w:before="0" w:after="283"/>
              <w:rPr/>
            </w:pPr>
            <w:r>
              <w:rPr/>
              <w:t>  </w:t>
            </w:r>
          </w:p>
        </w:tc>
        <w:tc>
          <w:tcPr>
            <w:tcW w:w="4295" w:type="dxa"/>
            <w:tcBorders>
              <w:bottom w:val="single" w:sz="8" w:space="0" w:color="000000"/>
            </w:tcBorders>
            <w:shd w:fill="auto" w:val="clear"/>
            <w:tcMar>
              <w:bottom w:w="28" w:type="dxa"/>
            </w:tcMar>
            <w:vAlign w:val="bottom"/>
          </w:tcPr>
          <w:p>
            <w:pPr>
              <w:pStyle w:val="TableContents"/>
              <w:spacing w:before="0" w:after="283"/>
              <w:jc w:val="center"/>
              <w:rPr>
                <w:b/>
              </w:rPr>
            </w:pPr>
            <w:r>
              <w:rPr>
                <w:b/>
              </w:rPr>
              <w:t>Class III Directors (currently serving until</w:t>
              <w:br/>
              <w:t>term expires at the 2024 Annual Meeting)</w:t>
            </w:r>
          </w:p>
        </w:tc>
      </w:tr>
      <w:tr>
        <w:trPr/>
        <w:tc>
          <w:tcPr>
            <w:tcW w:w="1040" w:type="dxa"/>
            <w:tcBorders/>
            <w:shd w:fill="CCEEFF" w:val="clear"/>
          </w:tcPr>
          <w:p>
            <w:pPr>
              <w:pStyle w:val="TableContents"/>
              <w:spacing w:before="0" w:after="0"/>
              <w:rPr>
                <w:rFonts w:ascii="Times New Roman" w:hAnsi="Times New Roman"/>
                <w:sz w:val="20"/>
              </w:rPr>
            </w:pPr>
            <w:r>
              <w:rPr>
                <w:rFonts w:ascii="Times New Roman" w:hAnsi="Times New Roman"/>
                <w:sz w:val="20"/>
              </w:rPr>
              <w:t>Tamsin Berry</w:t>
            </w:r>
          </w:p>
        </w:tc>
        <w:tc>
          <w:tcPr>
            <w:tcW w:w="120" w:type="dxa"/>
            <w:tcBorders/>
            <w:shd w:fill="CCEEFF" w:val="clear"/>
            <w:vAlign w:val="bottom"/>
          </w:tcPr>
          <w:p>
            <w:pPr>
              <w:pStyle w:val="TableContents"/>
              <w:spacing w:before="0" w:after="283"/>
              <w:rPr/>
            </w:pPr>
            <w:r>
              <w:rPr/>
              <w:t>  </w:t>
            </w:r>
          </w:p>
        </w:tc>
        <w:tc>
          <w:tcPr>
            <w:tcW w:w="317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855" w:type="dxa"/>
            <w:tcBorders/>
            <w:shd w:fill="CCEEFF" w:val="clear"/>
            <w:vAlign w:val="bottom"/>
          </w:tcPr>
          <w:p>
            <w:pPr>
              <w:pStyle w:val="TableContents"/>
              <w:spacing w:before="0" w:after="283"/>
              <w:jc w:val="center"/>
              <w:rPr/>
            </w:pPr>
            <w:r>
              <w:rPr/>
              <w:t>I</w:t>
            </w:r>
          </w:p>
        </w:tc>
        <w:tc>
          <w:tcPr>
            <w:tcW w:w="120" w:type="dxa"/>
            <w:tcBorders/>
            <w:shd w:fill="CCEEFF" w:val="clear"/>
            <w:vAlign w:val="bottom"/>
          </w:tcPr>
          <w:p>
            <w:pPr>
              <w:pStyle w:val="TableContents"/>
              <w:spacing w:before="0" w:after="283"/>
              <w:rPr/>
            </w:pPr>
            <w:r>
              <w:rPr/>
              <w:t>  </w:t>
            </w:r>
          </w:p>
        </w:tc>
        <w:tc>
          <w:tcPr>
            <w:tcW w:w="4295" w:type="dxa"/>
            <w:tcBorders/>
            <w:shd w:fill="CCEEFF" w:val="clear"/>
            <w:vAlign w:val="bottom"/>
          </w:tcPr>
          <w:p>
            <w:pPr>
              <w:pStyle w:val="TableContents"/>
              <w:spacing w:before="0" w:after="283"/>
              <w:rPr>
                <w:sz w:val="4"/>
                <w:szCs w:val="4"/>
              </w:rPr>
            </w:pPr>
            <w:r>
              <w:rPr>
                <w:sz w:val="4"/>
                <w:szCs w:val="4"/>
              </w:rPr>
            </w:r>
          </w:p>
        </w:tc>
      </w:tr>
      <w:tr>
        <w:trPr/>
        <w:tc>
          <w:tcPr>
            <w:tcW w:w="1040" w:type="dxa"/>
            <w:tcBorders/>
            <w:shd w:fill="auto" w:val="clear"/>
          </w:tcPr>
          <w:p>
            <w:pPr>
              <w:pStyle w:val="TableContents"/>
              <w:spacing w:before="0" w:after="0"/>
              <w:rPr>
                <w:rFonts w:ascii="Times New Roman" w:hAnsi="Times New Roman"/>
                <w:sz w:val="20"/>
              </w:rPr>
            </w:pPr>
            <w:r>
              <w:rPr>
                <w:rFonts w:ascii="Times New Roman" w:hAnsi="Times New Roman"/>
                <w:sz w:val="20"/>
              </w:rPr>
              <w:t>Marc Elia</w:t>
            </w:r>
          </w:p>
        </w:tc>
        <w:tc>
          <w:tcPr>
            <w:tcW w:w="120" w:type="dxa"/>
            <w:tcBorders/>
            <w:shd w:fill="auto" w:val="clear"/>
            <w:vAlign w:val="bottom"/>
          </w:tcPr>
          <w:p>
            <w:pPr>
              <w:pStyle w:val="TableContents"/>
              <w:spacing w:before="0" w:after="283"/>
              <w:rPr/>
            </w:pPr>
            <w:r>
              <w:rPr/>
              <w:t>  </w:t>
            </w:r>
          </w:p>
        </w:tc>
        <w:tc>
          <w:tcPr>
            <w:tcW w:w="317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855" w:type="dxa"/>
            <w:tcBorders/>
            <w:shd w:fill="auto" w:val="clear"/>
            <w:vAlign w:val="bottom"/>
          </w:tcPr>
          <w:p>
            <w:pPr>
              <w:pStyle w:val="TableContents"/>
              <w:spacing w:before="0" w:after="283"/>
              <w:jc w:val="center"/>
              <w:rPr/>
            </w:pPr>
            <w:r>
              <w:rPr/>
              <w:t>I</w:t>
            </w:r>
          </w:p>
        </w:tc>
        <w:tc>
          <w:tcPr>
            <w:tcW w:w="120" w:type="dxa"/>
            <w:tcBorders/>
            <w:shd w:fill="auto" w:val="clear"/>
            <w:vAlign w:val="bottom"/>
          </w:tcPr>
          <w:p>
            <w:pPr>
              <w:pStyle w:val="TableContents"/>
              <w:spacing w:before="0" w:after="283"/>
              <w:rPr/>
            </w:pPr>
            <w:r>
              <w:rPr/>
              <w:t>  </w:t>
            </w:r>
          </w:p>
        </w:tc>
        <w:tc>
          <w:tcPr>
            <w:tcW w:w="4295" w:type="dxa"/>
            <w:tcBorders/>
            <w:shd w:fill="auto" w:val="clear"/>
            <w:vAlign w:val="bottom"/>
          </w:tcPr>
          <w:p>
            <w:pPr>
              <w:pStyle w:val="TableContents"/>
              <w:spacing w:before="0" w:after="283"/>
              <w:rPr>
                <w:sz w:val="4"/>
                <w:szCs w:val="4"/>
              </w:rPr>
            </w:pPr>
            <w:r>
              <w:rPr>
                <w:sz w:val="4"/>
                <w:szCs w:val="4"/>
              </w:rPr>
            </w:r>
          </w:p>
        </w:tc>
      </w:tr>
      <w:tr>
        <w:trPr/>
        <w:tc>
          <w:tcPr>
            <w:tcW w:w="1040" w:type="dxa"/>
            <w:tcBorders/>
            <w:shd w:fill="CCEEFF" w:val="clear"/>
          </w:tcPr>
          <w:p>
            <w:pPr>
              <w:pStyle w:val="TableContents"/>
              <w:spacing w:before="0" w:after="0"/>
              <w:rPr>
                <w:rFonts w:ascii="Times New Roman" w:hAnsi="Times New Roman"/>
                <w:sz w:val="20"/>
              </w:rPr>
            </w:pPr>
            <w:r>
              <w:rPr>
                <w:rFonts w:ascii="Times New Roman" w:hAnsi="Times New Roman"/>
                <w:sz w:val="20"/>
              </w:rPr>
              <w:t>David Hering, M.B.A</w:t>
            </w:r>
          </w:p>
        </w:tc>
        <w:tc>
          <w:tcPr>
            <w:tcW w:w="120" w:type="dxa"/>
            <w:tcBorders/>
            <w:shd w:fill="CCEEFF" w:val="clear"/>
            <w:vAlign w:val="bottom"/>
          </w:tcPr>
          <w:p>
            <w:pPr>
              <w:pStyle w:val="TableContents"/>
              <w:spacing w:before="0" w:after="283"/>
              <w:rPr/>
            </w:pPr>
            <w:r>
              <w:rPr/>
              <w:t>  </w:t>
            </w:r>
          </w:p>
        </w:tc>
        <w:tc>
          <w:tcPr>
            <w:tcW w:w="317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8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4295" w:type="dxa"/>
            <w:tcBorders/>
            <w:shd w:fill="CCEEFF" w:val="clear"/>
            <w:vAlign w:val="bottom"/>
          </w:tcPr>
          <w:p>
            <w:pPr>
              <w:pStyle w:val="TableContents"/>
              <w:spacing w:before="0" w:after="283"/>
              <w:jc w:val="center"/>
              <w:rPr/>
            </w:pPr>
            <w:r>
              <w:rPr/>
              <w:t>III</w:t>
            </w:r>
          </w:p>
        </w:tc>
      </w:tr>
      <w:tr>
        <w:trPr/>
        <w:tc>
          <w:tcPr>
            <w:tcW w:w="1040" w:type="dxa"/>
            <w:tcBorders/>
            <w:shd w:fill="auto" w:val="clear"/>
          </w:tcPr>
          <w:p>
            <w:pPr>
              <w:pStyle w:val="TableContents"/>
              <w:spacing w:before="0" w:after="0"/>
              <w:rPr>
                <w:rFonts w:ascii="Times New Roman" w:hAnsi="Times New Roman"/>
                <w:sz w:val="20"/>
              </w:rPr>
            </w:pPr>
            <w:r>
              <w:rPr>
                <w:rFonts w:ascii="Times New Roman" w:hAnsi="Times New Roman"/>
                <w:sz w:val="20"/>
              </w:rPr>
              <w:t>Tom Heyman</w:t>
            </w:r>
          </w:p>
        </w:tc>
        <w:tc>
          <w:tcPr>
            <w:tcW w:w="120" w:type="dxa"/>
            <w:tcBorders/>
            <w:shd w:fill="auto" w:val="clear"/>
            <w:vAlign w:val="bottom"/>
          </w:tcPr>
          <w:p>
            <w:pPr>
              <w:pStyle w:val="TableContents"/>
              <w:spacing w:before="0" w:after="283"/>
              <w:rPr/>
            </w:pPr>
            <w:r>
              <w:rPr/>
              <w:t>  </w:t>
            </w:r>
          </w:p>
        </w:tc>
        <w:tc>
          <w:tcPr>
            <w:tcW w:w="317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8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295" w:type="dxa"/>
            <w:tcBorders/>
            <w:shd w:fill="auto" w:val="clear"/>
            <w:vAlign w:val="bottom"/>
          </w:tcPr>
          <w:p>
            <w:pPr>
              <w:pStyle w:val="TableContents"/>
              <w:spacing w:before="0" w:after="283"/>
              <w:jc w:val="center"/>
              <w:rPr/>
            </w:pPr>
            <w:r>
              <w:rPr/>
              <w:t>III</w:t>
            </w:r>
          </w:p>
        </w:tc>
      </w:tr>
      <w:tr>
        <w:trPr/>
        <w:tc>
          <w:tcPr>
            <w:tcW w:w="1040" w:type="dxa"/>
            <w:tcBorders/>
            <w:shd w:fill="CCEEFF" w:val="clear"/>
          </w:tcPr>
          <w:p>
            <w:pPr>
              <w:pStyle w:val="TableContents"/>
              <w:spacing w:before="0" w:after="0"/>
              <w:rPr>
                <w:rFonts w:ascii="Times New Roman" w:hAnsi="Times New Roman"/>
                <w:i/>
                <w:sz w:val="20"/>
              </w:rPr>
            </w:pPr>
            <w:r>
              <w:rPr>
                <w:rFonts w:ascii="Times New Roman" w:hAnsi="Times New Roman"/>
                <w:i/>
                <w:sz w:val="20"/>
              </w:rPr>
              <w:t>Christine Lindenboom*</w:t>
            </w:r>
          </w:p>
        </w:tc>
        <w:tc>
          <w:tcPr>
            <w:tcW w:w="120" w:type="dxa"/>
            <w:tcBorders/>
            <w:shd w:fill="CCEEFF" w:val="clear"/>
            <w:vAlign w:val="bottom"/>
          </w:tcPr>
          <w:p>
            <w:pPr>
              <w:pStyle w:val="TableContents"/>
              <w:spacing w:before="0" w:after="283"/>
              <w:rPr/>
            </w:pPr>
            <w:r>
              <w:rPr/>
              <w:t>  </w:t>
            </w:r>
          </w:p>
        </w:tc>
        <w:tc>
          <w:tcPr>
            <w:tcW w:w="3170" w:type="dxa"/>
            <w:tcBorders/>
            <w:shd w:fill="CCEEFF" w:val="clear"/>
            <w:vAlign w:val="bottom"/>
          </w:tcPr>
          <w:p>
            <w:pPr>
              <w:pStyle w:val="TableContents"/>
              <w:spacing w:before="0" w:after="283"/>
              <w:jc w:val="center"/>
              <w:rPr/>
            </w:pPr>
            <w:r>
              <w:rPr/>
              <w:t>II</w:t>
            </w:r>
          </w:p>
        </w:tc>
        <w:tc>
          <w:tcPr>
            <w:tcW w:w="120" w:type="dxa"/>
            <w:tcBorders/>
            <w:shd w:fill="CCEEFF" w:val="clear"/>
            <w:vAlign w:val="bottom"/>
          </w:tcPr>
          <w:p>
            <w:pPr>
              <w:pStyle w:val="TableContents"/>
              <w:spacing w:before="0" w:after="283"/>
              <w:rPr/>
            </w:pPr>
            <w:r>
              <w:rPr/>
              <w:t>  </w:t>
            </w:r>
          </w:p>
        </w:tc>
        <w:tc>
          <w:tcPr>
            <w:tcW w:w="28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4295" w:type="dxa"/>
            <w:tcBorders/>
            <w:shd w:fill="CCEEFF" w:val="clear"/>
            <w:vAlign w:val="bottom"/>
          </w:tcPr>
          <w:p>
            <w:pPr>
              <w:pStyle w:val="TableContents"/>
              <w:spacing w:before="0" w:after="283"/>
              <w:rPr>
                <w:sz w:val="4"/>
                <w:szCs w:val="4"/>
              </w:rPr>
            </w:pPr>
            <w:r>
              <w:rPr>
                <w:sz w:val="4"/>
                <w:szCs w:val="4"/>
              </w:rPr>
            </w:r>
          </w:p>
        </w:tc>
      </w:tr>
      <w:tr>
        <w:trPr/>
        <w:tc>
          <w:tcPr>
            <w:tcW w:w="1040" w:type="dxa"/>
            <w:tcBorders/>
            <w:shd w:fill="auto" w:val="clear"/>
          </w:tcPr>
          <w:p>
            <w:pPr>
              <w:pStyle w:val="TableContents"/>
              <w:spacing w:before="0" w:after="0"/>
              <w:rPr>
                <w:rFonts w:ascii="Times New Roman" w:hAnsi="Times New Roman"/>
                <w:i/>
                <w:sz w:val="20"/>
              </w:rPr>
            </w:pPr>
            <w:r>
              <w:rPr>
                <w:rFonts w:ascii="Times New Roman" w:hAnsi="Times New Roman"/>
                <w:i/>
                <w:sz w:val="20"/>
              </w:rPr>
              <w:t>Terrance McGuire*</w:t>
            </w:r>
          </w:p>
        </w:tc>
        <w:tc>
          <w:tcPr>
            <w:tcW w:w="120" w:type="dxa"/>
            <w:tcBorders/>
            <w:shd w:fill="auto" w:val="clear"/>
            <w:vAlign w:val="bottom"/>
          </w:tcPr>
          <w:p>
            <w:pPr>
              <w:pStyle w:val="TableContents"/>
              <w:spacing w:before="0" w:after="283"/>
              <w:rPr/>
            </w:pPr>
            <w:r>
              <w:rPr/>
              <w:t>  </w:t>
            </w:r>
          </w:p>
        </w:tc>
        <w:tc>
          <w:tcPr>
            <w:tcW w:w="3170" w:type="dxa"/>
            <w:tcBorders/>
            <w:shd w:fill="auto" w:val="clear"/>
            <w:vAlign w:val="bottom"/>
          </w:tcPr>
          <w:p>
            <w:pPr>
              <w:pStyle w:val="TableContents"/>
              <w:spacing w:before="0" w:after="283"/>
              <w:jc w:val="center"/>
              <w:rPr/>
            </w:pPr>
            <w:r>
              <w:rPr/>
              <w:t>II</w:t>
            </w:r>
          </w:p>
        </w:tc>
        <w:tc>
          <w:tcPr>
            <w:tcW w:w="120" w:type="dxa"/>
            <w:tcBorders/>
            <w:shd w:fill="auto" w:val="clear"/>
            <w:vAlign w:val="bottom"/>
          </w:tcPr>
          <w:p>
            <w:pPr>
              <w:pStyle w:val="TableContents"/>
              <w:spacing w:before="0" w:after="283"/>
              <w:rPr/>
            </w:pPr>
            <w:r>
              <w:rPr/>
              <w:t>  </w:t>
            </w:r>
          </w:p>
        </w:tc>
        <w:tc>
          <w:tcPr>
            <w:tcW w:w="28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295" w:type="dxa"/>
            <w:tcBorders/>
            <w:shd w:fill="auto" w:val="clear"/>
            <w:vAlign w:val="bottom"/>
          </w:tcPr>
          <w:p>
            <w:pPr>
              <w:pStyle w:val="TableContents"/>
              <w:spacing w:before="0" w:after="283"/>
              <w:rPr>
                <w:sz w:val="4"/>
                <w:szCs w:val="4"/>
              </w:rPr>
            </w:pPr>
            <w:r>
              <w:rPr>
                <w:sz w:val="4"/>
                <w:szCs w:val="4"/>
              </w:rPr>
            </w:r>
          </w:p>
        </w:tc>
      </w:tr>
      <w:tr>
        <w:trPr/>
        <w:tc>
          <w:tcPr>
            <w:tcW w:w="1040" w:type="dxa"/>
            <w:tcBorders/>
            <w:shd w:fill="CCEEFF" w:val="clear"/>
          </w:tcPr>
          <w:p>
            <w:pPr>
              <w:pStyle w:val="TableContents"/>
              <w:spacing w:before="0" w:after="0"/>
              <w:rPr>
                <w:rFonts w:ascii="Times New Roman" w:hAnsi="Times New Roman"/>
                <w:sz w:val="20"/>
              </w:rPr>
            </w:pPr>
            <w:r>
              <w:rPr>
                <w:rFonts w:ascii="Times New Roman" w:hAnsi="Times New Roman"/>
                <w:sz w:val="20"/>
              </w:rPr>
              <w:t>Clive A. Meanwell, M.D.</w:t>
            </w:r>
          </w:p>
        </w:tc>
        <w:tc>
          <w:tcPr>
            <w:tcW w:w="120" w:type="dxa"/>
            <w:tcBorders/>
            <w:shd w:fill="CCEEFF" w:val="clear"/>
            <w:vAlign w:val="bottom"/>
          </w:tcPr>
          <w:p>
            <w:pPr>
              <w:pStyle w:val="TableContents"/>
              <w:spacing w:before="0" w:after="283"/>
              <w:rPr/>
            </w:pPr>
            <w:r>
              <w:rPr/>
              <w:t>  </w:t>
            </w:r>
          </w:p>
        </w:tc>
        <w:tc>
          <w:tcPr>
            <w:tcW w:w="317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855" w:type="dxa"/>
            <w:tcBorders/>
            <w:shd w:fill="CCEEFF" w:val="clear"/>
            <w:vAlign w:val="bottom"/>
          </w:tcPr>
          <w:p>
            <w:pPr>
              <w:pStyle w:val="TableContents"/>
              <w:spacing w:before="0" w:after="283"/>
              <w:jc w:val="center"/>
              <w:rPr/>
            </w:pPr>
            <w:r>
              <w:rPr/>
              <w:t>I</w:t>
            </w:r>
          </w:p>
        </w:tc>
        <w:tc>
          <w:tcPr>
            <w:tcW w:w="120" w:type="dxa"/>
            <w:tcBorders/>
            <w:shd w:fill="CCEEFF" w:val="clear"/>
            <w:vAlign w:val="bottom"/>
          </w:tcPr>
          <w:p>
            <w:pPr>
              <w:pStyle w:val="TableContents"/>
              <w:spacing w:before="0" w:after="283"/>
              <w:rPr/>
            </w:pPr>
            <w:r>
              <w:rPr/>
              <w:t>  </w:t>
            </w:r>
          </w:p>
        </w:tc>
        <w:tc>
          <w:tcPr>
            <w:tcW w:w="4295" w:type="dxa"/>
            <w:tcBorders/>
            <w:shd w:fill="CCEEFF" w:val="clear"/>
            <w:vAlign w:val="bottom"/>
          </w:tcPr>
          <w:p>
            <w:pPr>
              <w:pStyle w:val="TableContents"/>
              <w:spacing w:before="0" w:after="283"/>
              <w:rPr>
                <w:sz w:val="4"/>
                <w:szCs w:val="4"/>
              </w:rPr>
            </w:pPr>
            <w:r>
              <w:rPr>
                <w:sz w:val="4"/>
                <w:szCs w:val="4"/>
              </w:rPr>
            </w:r>
          </w:p>
        </w:tc>
      </w:tr>
      <w:tr>
        <w:trPr/>
        <w:tc>
          <w:tcPr>
            <w:tcW w:w="1040" w:type="dxa"/>
            <w:tcBorders/>
            <w:shd w:fill="auto" w:val="clear"/>
          </w:tcPr>
          <w:p>
            <w:pPr>
              <w:pStyle w:val="TableContents"/>
              <w:spacing w:before="0" w:after="0"/>
              <w:rPr>
                <w:rFonts w:ascii="Times New Roman" w:hAnsi="Times New Roman"/>
                <w:sz w:val="20"/>
              </w:rPr>
            </w:pPr>
            <w:r>
              <w:rPr>
                <w:rFonts w:ascii="Times New Roman" w:hAnsi="Times New Roman"/>
                <w:sz w:val="20"/>
              </w:rPr>
              <w:t>Michael S. Wyzga</w:t>
            </w:r>
          </w:p>
        </w:tc>
        <w:tc>
          <w:tcPr>
            <w:tcW w:w="120" w:type="dxa"/>
            <w:tcBorders/>
            <w:shd w:fill="auto" w:val="clear"/>
            <w:vAlign w:val="bottom"/>
          </w:tcPr>
          <w:p>
            <w:pPr>
              <w:pStyle w:val="TableContents"/>
              <w:spacing w:before="0" w:after="283"/>
              <w:rPr/>
            </w:pPr>
            <w:r>
              <w:rPr/>
              <w:t>  </w:t>
            </w:r>
          </w:p>
        </w:tc>
        <w:tc>
          <w:tcPr>
            <w:tcW w:w="317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8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295" w:type="dxa"/>
            <w:tcBorders/>
            <w:shd w:fill="auto" w:val="clear"/>
            <w:vAlign w:val="bottom"/>
          </w:tcPr>
          <w:p>
            <w:pPr>
              <w:pStyle w:val="TableContents"/>
              <w:spacing w:before="0" w:after="283"/>
              <w:jc w:val="center"/>
              <w:rPr/>
            </w:pPr>
            <w:r>
              <w:rPr/>
              <w:t>III</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Nominee for director pursuant to this Proposal No. 2. </w:t>
            </w:r>
          </w:p>
        </w:tc>
      </w:tr>
    </w:tbl>
    <w:p>
      <w:pPr>
        <w:pStyle w:val="TextBody"/>
        <w:spacing w:before="240" w:after="0"/>
        <w:jc w:val="left"/>
        <w:rPr>
          <w:rFonts w:ascii="Times New Roman" w:hAnsi="Times New Roman"/>
          <w:sz w:val="20"/>
        </w:rPr>
      </w:pPr>
      <w:r>
        <w:rPr>
          <w:rFonts w:ascii="Times New Roman" w:hAnsi="Times New Roman"/>
          <w:sz w:val="20"/>
        </w:rPr>
        <w:t xml:space="preserve">If a nominee is unable or unwilling to serve, the shares to be voted for such nominee that are represented by proxies will be voted for any substitute nominee designated by our Board. The Company did not receive any stockholder nominations for director. If a quorum is present at the Annual Meeting, the two nominees for Class II director receiving the highest number of votes cast, in person or by proxy, will be elected to serve as Class II directors. Abstentions and broker non-votes will have no effect on the election of directors. If not otherwise specified, proxies will be voted </w:t>
      </w:r>
      <w:r>
        <w:rPr>
          <w:rFonts w:ascii="Times New Roman" w:hAnsi="Times New Roman"/>
          <w:b/>
          <w:sz w:val="20"/>
        </w:rPr>
        <w:t>FOR ALL</w:t>
      </w:r>
      <w:r>
        <w:rPr>
          <w:rFonts w:ascii="Times New Roman" w:hAnsi="Times New Roman"/>
          <w:sz w:val="20"/>
        </w:rPr>
        <w:t xml:space="preserve"> of the nominees for Class II director named above. </w:t>
      </w:r>
    </w:p>
    <w:p>
      <w:pPr>
        <w:pStyle w:val="TextBody"/>
        <w:spacing w:before="480" w:after="0"/>
        <w:jc w:val="center"/>
        <w:rPr>
          <w:rFonts w:ascii="Times New Roman" w:hAnsi="Times New Roman"/>
          <w:b/>
          <w:sz w:val="20"/>
        </w:rPr>
      </w:pPr>
      <w:r>
        <w:rPr>
          <w:rFonts w:ascii="Times New Roman" w:hAnsi="Times New Roman"/>
          <w:b/>
          <w:sz w:val="20"/>
        </w:rPr>
        <w:t xml:space="preserve">THE BOARD RECOMMENDS </w:t>
      </w:r>
    </w:p>
    <w:p>
      <w:pPr>
        <w:pStyle w:val="TextBody"/>
        <w:spacing w:before="0" w:after="0"/>
        <w:jc w:val="center"/>
        <w:rPr>
          <w:rFonts w:ascii="Times New Roman" w:hAnsi="Times New Roman"/>
          <w:b/>
          <w:sz w:val="20"/>
        </w:rPr>
      </w:pPr>
      <w:r>
        <w:rPr>
          <w:rFonts w:ascii="Times New Roman" w:hAnsi="Times New Roman"/>
          <w:b/>
          <w:sz w:val="20"/>
        </w:rPr>
        <w:t>A VOTE </w:t>
      </w:r>
      <w:r>
        <w:rPr>
          <w:rFonts w:ascii="Times New Roman" w:hAnsi="Times New Roman"/>
          <w:b/>
          <w:sz w:val="20"/>
          <w:u w:val="single"/>
        </w:rPr>
        <w:t>FOR ALL</w:t>
      </w:r>
      <w:r>
        <w:rPr>
          <w:rFonts w:ascii="Times New Roman" w:hAnsi="Times New Roman"/>
          <w:b/>
          <w:sz w:val="20"/>
        </w:rPr>
        <w:t xml:space="preserve"> THE ELECTION OF THE DIRECTOR NOMINEES NAMED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419064_4"/>
      <w:bookmarkEnd w:id="6"/>
      <w:r>
        <w:rPr>
          <w:rFonts w:ascii="Times New Roman" w:hAnsi="Times New Roman"/>
          <w:b/>
          <w:sz w:val="20"/>
        </w:rPr>
        <w:t xml:space="preserve">PROPOSAL NO. 3 </w:t>
      </w:r>
    </w:p>
    <w:p>
      <w:pPr>
        <w:pStyle w:val="TextBody"/>
        <w:spacing w:before="120" w:after="0"/>
        <w:jc w:val="center"/>
        <w:rPr>
          <w:rFonts w:ascii="Times New Roman" w:hAnsi="Times New Roman"/>
          <w:b/>
          <w:sz w:val="20"/>
        </w:rPr>
      </w:pPr>
      <w:r>
        <w:rPr>
          <w:rFonts w:ascii="Times New Roman" w:hAnsi="Times New Roman"/>
          <w:b/>
          <w:sz w:val="20"/>
        </w:rPr>
        <w:t xml:space="preserve">RATIFICATION OF APPOINTMENT OF </w:t>
      </w:r>
    </w:p>
    <w:p>
      <w:pPr>
        <w:pStyle w:val="TextBody"/>
        <w:spacing w:before="0" w:after="0"/>
        <w:jc w:val="center"/>
        <w:rPr>
          <w:rFonts w:ascii="Times New Roman" w:hAnsi="Times New Roman"/>
          <w:b/>
          <w:sz w:val="20"/>
        </w:rPr>
      </w:pPr>
      <w:r>
        <w:rPr>
          <w:rFonts w:ascii="Times New Roman" w:hAnsi="Times New Roman"/>
          <w:b/>
          <w:sz w:val="20"/>
        </w:rPr>
        <w:t xml:space="preserve">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Audit Committee has appointed PricewaterhouseCoopers LLP as the Companys independent registered public accounting firm for the fiscal year ending December 31, 2023 and has further directed that management submit the appointment of the independent registered public accounting firm for ratification by the stockholders at the Annual Meeting. PricewaterhouseCoopers LLP has audited the Companys financial statements since its inception in 2020. Representatives of PricewaterhouseCoopers LLP are expected to be present at the Annual Meeting. They will have an opportunity to make a statement if they so desire and will be available to respond to appropriate questions. </w:t>
      </w:r>
    </w:p>
    <w:p>
      <w:pPr>
        <w:pStyle w:val="TextBody"/>
        <w:spacing w:before="240" w:after="0"/>
        <w:jc w:val="left"/>
        <w:rPr>
          <w:rFonts w:ascii="Times New Roman" w:hAnsi="Times New Roman"/>
          <w:sz w:val="20"/>
        </w:rPr>
      </w:pPr>
      <w:r>
        <w:rPr>
          <w:rFonts w:ascii="Times New Roman" w:hAnsi="Times New Roman"/>
          <w:sz w:val="20"/>
        </w:rPr>
        <w:t xml:space="preserve">Neither the Companys Bylaws nor other governing documents or law require stockholder ratification of the appointment of PricewaterhouseCoopers LLP as the Companys independent registered public accounting firm. However, the Audit Committee is submitting the appointment of PricewaterhouseCoopers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different independent auditors at any time during the year if the Audit Committee determines that such a change would be in the best interests of the Company and its stockholders. </w:t>
      </w:r>
    </w:p>
    <w:p>
      <w:pPr>
        <w:pStyle w:val="TextBody"/>
        <w:spacing w:before="240" w:after="0"/>
        <w:jc w:val="left"/>
        <w:rPr>
          <w:rFonts w:ascii="Times New Roman" w:hAnsi="Times New Roman"/>
          <w:sz w:val="20"/>
        </w:rPr>
      </w:pPr>
      <w:r>
        <w:rPr>
          <w:rFonts w:ascii="Times New Roman" w:hAnsi="Times New Roman"/>
          <w:sz w:val="20"/>
        </w:rPr>
        <w:t xml:space="preserve">The affirmative vote of the holders of a majority of the shares present or represented by proxy and entitled to vote on the matter at the Annual Meeting will be required to ratify the appointment of PricewaterhouseCoopers LLP. </w:t>
      </w:r>
    </w:p>
    <w:p>
      <w:pPr>
        <w:pStyle w:val="TextBody"/>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spacing w:before="120" w:after="0"/>
        <w:jc w:val="left"/>
        <w:rPr>
          <w:rFonts w:ascii="Times New Roman" w:hAnsi="Times New Roman"/>
          <w:sz w:val="20"/>
        </w:rPr>
      </w:pPr>
      <w:r>
        <w:rPr>
          <w:rFonts w:ascii="Times New Roman" w:hAnsi="Times New Roman"/>
          <w:sz w:val="20"/>
        </w:rPr>
        <w:t xml:space="preserve">The following table represents aggregate fees billed to the Company for the fiscal years ended December 31, 2022 and December 31, 2021 by PricewaterhouseCoopers LLP, the Companys independent registered public accounting firm.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908"/>
        <w:gridCol w:w="364"/>
        <w:gridCol w:w="292"/>
        <w:gridCol w:w="1706"/>
        <w:gridCol w:w="60"/>
        <w:gridCol w:w="364"/>
        <w:gridCol w:w="249"/>
        <w:gridCol w:w="1749"/>
        <w:gridCol w:w="63"/>
      </w:tblGrid>
      <w:tr>
        <w:trPr/>
        <w:tc>
          <w:tcPr>
            <w:tcW w:w="2908"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90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Fiscal Year Ended</w:t>
              <w:br/>
              <w:t>December 31, 2022</w:t>
            </w:r>
          </w:p>
        </w:tc>
        <w:tc>
          <w:tcPr>
            <w:tcW w:w="6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Fiscal Year Ended</w:t>
              <w:br/>
              <w:t>December 31, 2021</w:t>
            </w:r>
          </w:p>
        </w:tc>
        <w:tc>
          <w:tcPr>
            <w:tcW w:w="63" w:type="dxa"/>
            <w:tcBorders/>
            <w:shd w:fill="auto" w:val="clear"/>
            <w:vAlign w:val="bottom"/>
          </w:tcPr>
          <w:p>
            <w:pPr>
              <w:pStyle w:val="TableContents"/>
              <w:spacing w:before="0" w:after="283"/>
              <w:rPr/>
            </w:pPr>
            <w:r>
              <w:rPr/>
              <w:t> </w:t>
            </w:r>
          </w:p>
        </w:tc>
      </w:tr>
      <w:tr>
        <w:trPr/>
        <w:tc>
          <w:tcPr>
            <w:tcW w:w="2908" w:type="dxa"/>
            <w:tcBorders/>
            <w:shd w:fill="CCEEFF" w:val="clear"/>
          </w:tcPr>
          <w:p>
            <w:pPr>
              <w:pStyle w:val="TableContents"/>
              <w:spacing w:before="0" w:after="0"/>
              <w:rPr>
                <w:rFonts w:ascii="Times New Roman" w:hAnsi="Times New Roman"/>
                <w:sz w:val="20"/>
              </w:rPr>
            </w:pPr>
            <w:r>
              <w:rPr>
                <w:rFonts w:ascii="Times New Roman" w:hAnsi="Times New Roman"/>
                <w:sz w:val="20"/>
              </w:rPr>
              <w:t>Audit Fees(1)</w:t>
            </w:r>
          </w:p>
        </w:tc>
        <w:tc>
          <w:tcPr>
            <w:tcW w:w="364"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706" w:type="dxa"/>
            <w:tcBorders/>
            <w:shd w:fill="CCEEFF" w:val="clear"/>
            <w:vAlign w:val="bottom"/>
          </w:tcPr>
          <w:p>
            <w:pPr>
              <w:pStyle w:val="TableContents"/>
              <w:spacing w:before="0" w:after="283"/>
              <w:jc w:val="right"/>
              <w:rPr/>
            </w:pPr>
            <w:r>
              <w:rPr/>
              <w:t>698,000</w:t>
            </w:r>
          </w:p>
        </w:tc>
        <w:tc>
          <w:tcPr>
            <w:tcW w:w="6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w:t>
            </w:r>
          </w:p>
        </w:tc>
        <w:tc>
          <w:tcPr>
            <w:tcW w:w="1749" w:type="dxa"/>
            <w:tcBorders/>
            <w:shd w:fill="CCEEFF" w:val="clear"/>
            <w:vAlign w:val="bottom"/>
          </w:tcPr>
          <w:p>
            <w:pPr>
              <w:pStyle w:val="TableContents"/>
              <w:spacing w:before="0" w:after="283"/>
              <w:jc w:val="right"/>
              <w:rPr/>
            </w:pPr>
            <w:r>
              <w:rPr/>
              <w:t>2,013,000</w:t>
            </w:r>
          </w:p>
        </w:tc>
        <w:tc>
          <w:tcPr>
            <w:tcW w:w="63" w:type="dxa"/>
            <w:tcBorders/>
            <w:shd w:fill="CCEEFF" w:val="clear"/>
            <w:vAlign w:val="bottom"/>
          </w:tcPr>
          <w:p>
            <w:pPr>
              <w:pStyle w:val="TableContents"/>
              <w:spacing w:before="0" w:after="283"/>
              <w:rPr/>
            </w:pPr>
            <w:r>
              <w:rPr/>
              <w:t> </w:t>
            </w:r>
          </w:p>
        </w:tc>
      </w:tr>
      <w:tr>
        <w:trPr/>
        <w:tc>
          <w:tcPr>
            <w:tcW w:w="2908" w:type="dxa"/>
            <w:tcBorders/>
            <w:shd w:fill="auto" w:val="clear"/>
          </w:tcPr>
          <w:p>
            <w:pPr>
              <w:pStyle w:val="TableContents"/>
              <w:spacing w:before="0" w:after="0"/>
              <w:rPr>
                <w:rFonts w:ascii="Times New Roman" w:hAnsi="Times New Roman"/>
                <w:sz w:val="20"/>
              </w:rPr>
            </w:pPr>
            <w:r>
              <w:rPr>
                <w:rFonts w:ascii="Times New Roman" w:hAnsi="Times New Roman"/>
                <w:sz w:val="20"/>
              </w:rPr>
              <w:t>Audit-Related Fees</w:t>
            </w:r>
          </w:p>
        </w:tc>
        <w:tc>
          <w:tcPr>
            <w:tcW w:w="364"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749"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2908" w:type="dxa"/>
            <w:tcBorders/>
            <w:shd w:fill="CCEEFF" w:val="clear"/>
          </w:tcPr>
          <w:p>
            <w:pPr>
              <w:pStyle w:val="TableContents"/>
              <w:spacing w:before="0" w:after="0"/>
              <w:rPr>
                <w:rFonts w:ascii="Times New Roman" w:hAnsi="Times New Roman"/>
                <w:sz w:val="20"/>
              </w:rPr>
            </w:pPr>
            <w:r>
              <w:rPr>
                <w:rFonts w:ascii="Times New Roman" w:hAnsi="Times New Roman"/>
                <w:sz w:val="20"/>
              </w:rPr>
              <w:t>Tax Fees</w:t>
            </w:r>
          </w:p>
        </w:tc>
        <w:tc>
          <w:tcPr>
            <w:tcW w:w="364"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7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749"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2908" w:type="dxa"/>
            <w:tcBorders/>
            <w:shd w:fill="auto" w:val="clear"/>
          </w:tcPr>
          <w:p>
            <w:pPr>
              <w:pStyle w:val="TableContents"/>
              <w:spacing w:before="0" w:after="0"/>
              <w:rPr>
                <w:rFonts w:ascii="Times New Roman" w:hAnsi="Times New Roman"/>
                <w:sz w:val="20"/>
              </w:rPr>
            </w:pPr>
            <w:r>
              <w:rPr>
                <w:rFonts w:ascii="Times New Roman" w:hAnsi="Times New Roman"/>
                <w:sz w:val="20"/>
              </w:rPr>
              <w:t>All Other Fees(2)</w:t>
            </w:r>
          </w:p>
        </w:tc>
        <w:tc>
          <w:tcPr>
            <w:tcW w:w="364"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pPr>
            <w:r>
              <w:rPr/>
              <w:t>4,353</w:t>
            </w:r>
          </w:p>
        </w:tc>
        <w:tc>
          <w:tcPr>
            <w:tcW w:w="60"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749" w:type="dxa"/>
            <w:tcBorders/>
            <w:shd w:fill="auto" w:val="clear"/>
            <w:vAlign w:val="bottom"/>
          </w:tcPr>
          <w:p>
            <w:pPr>
              <w:pStyle w:val="TableContents"/>
              <w:spacing w:before="0" w:after="283"/>
              <w:jc w:val="right"/>
              <w:rPr/>
            </w:pPr>
            <w:r>
              <w:rPr/>
              <w:t>4,150</w:t>
            </w:r>
          </w:p>
        </w:tc>
        <w:tc>
          <w:tcPr>
            <w:tcW w:w="63" w:type="dxa"/>
            <w:tcBorders/>
            <w:shd w:fill="auto" w:val="clear"/>
            <w:vAlign w:val="bottom"/>
          </w:tcPr>
          <w:p>
            <w:pPr>
              <w:pStyle w:val="TableContents"/>
              <w:spacing w:before="0" w:after="283"/>
              <w:rPr/>
            </w:pPr>
            <w:r>
              <w:rPr/>
              <w:t> </w:t>
            </w:r>
          </w:p>
        </w:tc>
      </w:tr>
      <w:tr>
        <w:trPr/>
        <w:tc>
          <w:tcPr>
            <w:tcW w:w="2908"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pBdr>
                <w:top w:val="single" w:sz="2" w:space="1" w:color="000000"/>
              </w:pBdr>
              <w:spacing w:before="0" w:after="0"/>
              <w:rPr/>
            </w:pPr>
            <w:r>
              <w:rPr/>
              <w:t> </w:t>
            </w:r>
          </w:p>
        </w:tc>
        <w:tc>
          <w:tcPr>
            <w:tcW w:w="17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pBdr>
                <w:top w:val="single" w:sz="2" w:space="1" w:color="000000"/>
              </w:pBdr>
              <w:spacing w:before="0" w:after="0"/>
              <w:rPr/>
            </w:pPr>
            <w:r>
              <w:rPr/>
              <w:t> </w:t>
            </w:r>
          </w:p>
        </w:tc>
        <w:tc>
          <w:tcPr>
            <w:tcW w:w="174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2908" w:type="dxa"/>
            <w:tcBorders/>
            <w:shd w:fill="CCEEFF" w:val="clear"/>
          </w:tcPr>
          <w:p>
            <w:pPr>
              <w:pStyle w:val="TableContents"/>
              <w:spacing w:before="0" w:after="0"/>
              <w:rPr>
                <w:rFonts w:ascii="Times New Roman" w:hAnsi="Times New Roman"/>
                <w:sz w:val="20"/>
              </w:rPr>
            </w:pPr>
            <w:r>
              <w:rPr>
                <w:rFonts w:ascii="Times New Roman" w:hAnsi="Times New Roman"/>
                <w:sz w:val="20"/>
              </w:rPr>
              <w:t>Total Fees</w:t>
            </w:r>
          </w:p>
        </w:tc>
        <w:tc>
          <w:tcPr>
            <w:tcW w:w="364"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706" w:type="dxa"/>
            <w:tcBorders/>
            <w:shd w:fill="CCEEFF" w:val="clear"/>
            <w:vAlign w:val="bottom"/>
          </w:tcPr>
          <w:p>
            <w:pPr>
              <w:pStyle w:val="TableContents"/>
              <w:spacing w:before="0" w:after="283"/>
              <w:jc w:val="right"/>
              <w:rPr/>
            </w:pPr>
            <w:r>
              <w:rPr/>
              <w:t>702,353</w:t>
            </w:r>
          </w:p>
        </w:tc>
        <w:tc>
          <w:tcPr>
            <w:tcW w:w="6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w:t>
            </w:r>
          </w:p>
        </w:tc>
        <w:tc>
          <w:tcPr>
            <w:tcW w:w="1749" w:type="dxa"/>
            <w:tcBorders/>
            <w:shd w:fill="CCEEFF" w:val="clear"/>
            <w:vAlign w:val="bottom"/>
          </w:tcPr>
          <w:p>
            <w:pPr>
              <w:pStyle w:val="TableContents"/>
              <w:spacing w:before="0" w:after="283"/>
              <w:jc w:val="right"/>
              <w:rPr/>
            </w:pPr>
            <w:r>
              <w:rPr/>
              <w:t>2,017,150</w:t>
            </w:r>
          </w:p>
        </w:tc>
        <w:tc>
          <w:tcPr>
            <w:tcW w:w="63"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Audit Fees consist of professional services rendered for the audits and reviews of the Companys consolidated financial statements, professional services rendered for issuance of consents, assistance with review of documents filed with the SEC and out-of-pocket expenses incurred.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Other Fees consist of an annual license fee for technical accounting research software and the use of accounting disclosure checklists. </w:t>
            </w:r>
          </w:p>
        </w:tc>
      </w:tr>
    </w:tbl>
    <w:p>
      <w:pPr>
        <w:pStyle w:val="TextBody"/>
        <w:spacing w:before="240" w:after="0"/>
        <w:jc w:val="left"/>
        <w:rPr>
          <w:rFonts w:ascii="Times New Roman" w:hAnsi="Times New Roman"/>
          <w:sz w:val="20"/>
        </w:rPr>
      </w:pPr>
      <w:r>
        <w:rPr>
          <w:rFonts w:ascii="Times New Roman" w:hAnsi="Times New Roman"/>
          <w:sz w:val="20"/>
        </w:rPr>
        <w:t xml:space="preserve">All fees described above were pre-approved by the Audit Committee.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Pre-Approval Policies and Procedures </w:t>
      </w:r>
    </w:p>
    <w:p>
      <w:pPr>
        <w:pStyle w:val="TextBody"/>
        <w:spacing w:before="120" w:after="0"/>
        <w:jc w:val="left"/>
        <w:rPr>
          <w:rFonts w:ascii="Times New Roman" w:hAnsi="Times New Roman"/>
          <w:sz w:val="20"/>
        </w:rPr>
      </w:pPr>
      <w:r>
        <w:rPr>
          <w:rFonts w:ascii="Times New Roman" w:hAnsi="Times New Roman"/>
          <w:sz w:val="20"/>
        </w:rPr>
        <w:t xml:space="preserve">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 permissible non-audit services up to specified amounts. Any pre-approval decisions made pursuant to delegated authority must be reported to the full Audit Committee at its next scheduled meeting. </w:t>
      </w:r>
    </w:p>
    <w:p>
      <w:pPr>
        <w:pStyle w:val="TextBody"/>
        <w:spacing w:before="480" w:after="0"/>
        <w:jc w:val="center"/>
        <w:rPr>
          <w:rFonts w:ascii="Times New Roman" w:hAnsi="Times New Roman"/>
          <w:b/>
          <w:sz w:val="20"/>
        </w:rPr>
      </w:pPr>
      <w:r>
        <w:rPr>
          <w:rFonts w:ascii="Times New Roman" w:hAnsi="Times New Roman"/>
          <w:b/>
          <w:sz w:val="20"/>
        </w:rPr>
        <w:t>THE BOARD RECOMMENDS A VOTE </w:t>
      </w:r>
      <w:r>
        <w:rPr>
          <w:rFonts w:ascii="Times New Roman" w:hAnsi="Times New Roman"/>
          <w:b/>
          <w:sz w:val="20"/>
          <w:u w:val="single"/>
        </w:rPr>
        <w:t>FOR</w:t>
      </w:r>
      <w:r>
        <w:rPr>
          <w:rFonts w:ascii="Times New Roman" w:hAnsi="Times New Roman"/>
          <w:b/>
          <w:sz w:val="20"/>
        </w:rPr>
        <w:t xml:space="preserve"> THE RATIFICATION OF THE APPOINTMENT OF PRICEWATERHOUSECOOPERS LLP AS THE COMPANYS INDEPENDENT REGISTERED </w:t>
      </w:r>
    </w:p>
    <w:p>
      <w:pPr>
        <w:pStyle w:val="TextBody"/>
        <w:spacing w:before="0" w:after="0"/>
        <w:jc w:val="center"/>
        <w:rPr>
          <w:rFonts w:ascii="Times New Roman" w:hAnsi="Times New Roman"/>
          <w:b/>
          <w:sz w:val="20"/>
        </w:rPr>
      </w:pPr>
      <w:r>
        <w:rPr>
          <w:rFonts w:ascii="Times New Roman" w:hAnsi="Times New Roman"/>
          <w:b/>
          <w:sz w:val="20"/>
        </w:rPr>
        <w:t xml:space="preserve">PUBLIC ACCOUNTING FIRM FOR THE FISCAL YEAR ENDING DECEMBER 31,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419064_5"/>
      <w:bookmarkEnd w:id="7"/>
      <w:r>
        <w:rPr>
          <w:rFonts w:ascii="Times New Roman" w:hAnsi="Times New Roman"/>
          <w:b/>
          <w:sz w:val="20"/>
        </w:rPr>
        <w:t xml:space="preserve">INFORMATION REGARDING THE BOARD OF DIRECTORS AND CORPORATE GOVERNANCE </w:t>
      </w:r>
    </w:p>
    <w:p>
      <w:pPr>
        <w:pStyle w:val="TextBody"/>
        <w:spacing w:before="240" w:after="0"/>
        <w:jc w:val="left"/>
        <w:rPr>
          <w:rFonts w:ascii="Times New Roman" w:hAnsi="Times New Roman"/>
          <w:b/>
          <w:sz w:val="20"/>
        </w:rPr>
      </w:pPr>
      <w:bookmarkStart w:id="8" w:name="tx419064_6"/>
      <w:bookmarkEnd w:id="8"/>
      <w:r>
        <w:rPr>
          <w:rFonts w:ascii="Times New Roman" w:hAnsi="Times New Roman"/>
          <w:b/>
          <w:sz w:val="20"/>
        </w:rPr>
        <w:t xml:space="preserve">The Board of Directors </w:t>
      </w:r>
    </w:p>
    <w:p>
      <w:pPr>
        <w:pStyle w:val="TextBody"/>
        <w:spacing w:before="240" w:after="0"/>
        <w:jc w:val="left"/>
        <w:rPr>
          <w:rFonts w:ascii="Times New Roman" w:hAnsi="Times New Roman"/>
          <w:sz w:val="20"/>
        </w:rPr>
      </w:pPr>
      <w:r>
        <w:rPr>
          <w:rFonts w:ascii="Times New Roman" w:hAnsi="Times New Roman"/>
          <w:sz w:val="20"/>
        </w:rPr>
        <w:t xml:space="preserve">The following is a brief biography of each of our current directors. </w:t>
      </w:r>
    </w:p>
    <w:p>
      <w:pPr>
        <w:pStyle w:val="TextBody"/>
        <w:spacing w:before="240" w:after="0"/>
        <w:jc w:val="left"/>
        <w:rPr>
          <w:rFonts w:ascii="Times New Roman" w:hAnsi="Times New Roman"/>
          <w:b/>
          <w:sz w:val="20"/>
        </w:rPr>
      </w:pPr>
      <w:bookmarkStart w:id="9" w:name="tx419064_7"/>
      <w:bookmarkEnd w:id="9"/>
      <w:r>
        <w:rPr>
          <w:rFonts w:ascii="Times New Roman" w:hAnsi="Times New Roman"/>
          <w:b/>
          <w:sz w:val="20"/>
        </w:rPr>
        <w:t xml:space="preserve">Current Class II Directors with a Term Expiring at the 2023 Annual Meeting </w:t>
      </w:r>
    </w:p>
    <w:p>
      <w:pPr>
        <w:pStyle w:val="TextBody"/>
        <w:spacing w:before="240" w:after="0"/>
        <w:jc w:val="left"/>
        <w:rPr>
          <w:rFonts w:ascii="Times New Roman" w:hAnsi="Times New Roman"/>
          <w:sz w:val="20"/>
        </w:rPr>
      </w:pPr>
      <w:r>
        <w:rPr>
          <w:rFonts w:ascii="Times New Roman" w:hAnsi="Times New Roman"/>
          <w:b/>
          <w:i/>
          <w:sz w:val="20"/>
        </w:rPr>
        <w:t>Christine Lindenboom</w:t>
      </w:r>
      <w:r>
        <w:rPr>
          <w:rFonts w:ascii="Times New Roman" w:hAnsi="Times New Roman"/>
          <w:i/>
          <w:sz w:val="20"/>
        </w:rPr>
        <w:t xml:space="preserve">, age 42 </w:t>
      </w:r>
    </w:p>
    <w:p>
      <w:pPr>
        <w:pStyle w:val="TextBody"/>
        <w:spacing w:before="240" w:after="0"/>
        <w:jc w:val="left"/>
        <w:rPr>
          <w:rFonts w:ascii="Times New Roman" w:hAnsi="Times New Roman"/>
          <w:sz w:val="20"/>
        </w:rPr>
      </w:pPr>
      <w:r>
        <w:rPr>
          <w:rFonts w:ascii="Times New Roman" w:hAnsi="Times New Roman"/>
          <w:sz w:val="20"/>
        </w:rPr>
        <w:t xml:space="preserve">Christine Lindenboom has served as a member of our Board since October 2022. Ms. Lindenboom currently serves as the Senior Vice President, Investor Relations and Corporate Communications of Alnylam Pharmaceuticals, Inc., a biopharmaceutical company, where she has been employed since September 2015. Prior to Alnylam, Ms. Lindenboom served as Senior Director, Corporate Affairs for Pfizer, Inc., a multinational pharmaceutical and biotechnology corporation, from December 2013 to September 2015. Earlier in her career, Ms. Lindenboom served in various positions at Amgen, Inc., a multinational biopharmaceutical company, from April 2006 to November 2013, most recently serving as Director, Media Relations, Global Communications and Philanthropy at the time of her departure. Ms. Lindenboom currently serves on the board of directors of Kendall Square Association, an internationally recognized innovation district located in Cambridge, MA. Ms. Lindenboom received a B.A. from Northeastern University. We believe Ms. Lindenboom is qualified to serve as a member of our Board because of her business acumen and deep knowledge of the biopharmaceutical industry. </w:t>
      </w:r>
    </w:p>
    <w:p>
      <w:pPr>
        <w:pStyle w:val="TextBody"/>
        <w:spacing w:before="360" w:after="0"/>
        <w:jc w:val="left"/>
        <w:rPr>
          <w:rFonts w:ascii="Times New Roman" w:hAnsi="Times New Roman"/>
          <w:sz w:val="20"/>
        </w:rPr>
      </w:pPr>
      <w:r>
        <w:rPr>
          <w:rFonts w:ascii="Times New Roman" w:hAnsi="Times New Roman"/>
          <w:b/>
          <w:i/>
          <w:sz w:val="20"/>
        </w:rPr>
        <w:t>Terrance McGuire</w:t>
      </w:r>
      <w:r>
        <w:rPr>
          <w:rFonts w:ascii="Times New Roman" w:hAnsi="Times New Roman"/>
          <w:i/>
          <w:sz w:val="20"/>
        </w:rPr>
        <w:t xml:space="preserve">, age 67 </w:t>
      </w:r>
    </w:p>
    <w:p>
      <w:pPr>
        <w:pStyle w:val="TextBody"/>
        <w:spacing w:before="120" w:after="0"/>
        <w:jc w:val="left"/>
        <w:rPr>
          <w:rFonts w:ascii="Times New Roman" w:hAnsi="Times New Roman"/>
          <w:sz w:val="20"/>
        </w:rPr>
      </w:pPr>
      <w:r>
        <w:rPr>
          <w:rFonts w:ascii="Times New Roman" w:hAnsi="Times New Roman"/>
          <w:sz w:val="20"/>
        </w:rPr>
        <w:t xml:space="preserve">Terrance McGuire has served as a member of our Board since October 2020. Mr. McGuire is a founding partner of Polaris Partners, a venture capital firm active in the field of healthcare and biotechnology companies, which he co-founded in 1996. Mr. McGuire serves on the board of directors of several private companies and has served on the board of directors of Alector, Inc. since 2013, Seer, Inc. since December 2017 and Cyclerion Therapeutics, Inc. since April 2019. In addition, Mr. McGuire previously served on the board of directors of Pulmatrix, Inc. from 2016 to September 2019, Ironwood Pharmaceuticals, Inc. from 1998 to April 2019, Arsanis, Inc. from 2011 to March 2019, and Acceleron Pharma Inc. from 2005 to November 2017. Mr. McGuire is the former chairman of the National Venture Capital Association, which represents ninety percent of the venture capitalists in the U.S., former chairman of the board of the Thayer School of Engineering at Dartmouth College, and a member of the board of directors of The Arthur Rock Center for Entrepreneurship at Harvard Business School, The Healthcare Initiative Board at Harvard Business School, and The Scientific Advisory Board at Brigham Research Institute. Mr. McGuire received a B.S. in physics and economics from Hobart College, an M.S. in Engineering from the Thayer School at Dartmouth College and an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 </w:t>
      </w:r>
    </w:p>
    <w:p>
      <w:pPr>
        <w:pStyle w:val="TextBody"/>
        <w:spacing w:before="360" w:after="0"/>
        <w:jc w:val="left"/>
        <w:rPr>
          <w:rFonts w:ascii="Times New Roman" w:hAnsi="Times New Roman"/>
          <w:b/>
          <w:sz w:val="20"/>
        </w:rPr>
      </w:pPr>
      <w:bookmarkStart w:id="10" w:name="tx419064_8"/>
      <w:bookmarkEnd w:id="10"/>
      <w:r>
        <w:rPr>
          <w:rFonts w:ascii="Times New Roman" w:hAnsi="Times New Roman"/>
          <w:b/>
          <w:sz w:val="20"/>
        </w:rPr>
        <w:t xml:space="preserve">Current Class I Directors </w:t>
      </w:r>
    </w:p>
    <w:p>
      <w:pPr>
        <w:pStyle w:val="TextBody"/>
        <w:spacing w:before="120" w:after="0"/>
        <w:jc w:val="left"/>
        <w:rPr>
          <w:rFonts w:ascii="Times New Roman" w:hAnsi="Times New Roman"/>
          <w:sz w:val="20"/>
        </w:rPr>
      </w:pPr>
      <w:r>
        <w:rPr>
          <w:rFonts w:ascii="Times New Roman" w:hAnsi="Times New Roman"/>
          <w:b/>
          <w:i/>
          <w:sz w:val="20"/>
        </w:rPr>
        <w:t>Tamsin Berry</w:t>
      </w:r>
      <w:r>
        <w:rPr>
          <w:rFonts w:ascii="Times New Roman" w:hAnsi="Times New Roman"/>
          <w:i/>
          <w:sz w:val="20"/>
        </w:rPr>
        <w:t xml:space="preserve">, age 42 </w:t>
      </w:r>
    </w:p>
    <w:p>
      <w:pPr>
        <w:pStyle w:val="TextBody"/>
        <w:spacing w:before="120" w:after="0"/>
        <w:jc w:val="left"/>
        <w:rPr>
          <w:rFonts w:ascii="Times New Roman" w:hAnsi="Times New Roman"/>
          <w:sz w:val="20"/>
        </w:rPr>
      </w:pPr>
      <w:r>
        <w:rPr>
          <w:rFonts w:ascii="Times New Roman" w:hAnsi="Times New Roman"/>
          <w:sz w:val="20"/>
        </w:rPr>
        <w:t xml:space="preserve">Tamsin Berry has served as a member of our Board since June 2022. Ms. Berry has served as a partner at Population Health Partners, a global investment firm, since June 2020. Since November 2021, she has served as non-executive director, and also as a board member, of the Global Pathogen Analysis Service, a not-for-profit pathogen surveillance bioinformatics company. Since March 2021, she has served as an advisor to EQRx, a biotechnology firm. Since December 2020, she has served as advisor to University of Oxford for the Global Health Security Consortium, which includes the Tony Blair Institute. From February 2019 to March 2020, she served as the director of the U.K. Office for Life Sciences, where she worked with Sir John Bell to write the U.K.s Life Sciences Industrial Strategy. She previously served as Deputy Director of the U.K. Office for Life Sciences, from November 2015 to February 2019. Ms. Berry has held a number of leadership positions in government, spanning policy, corporate, and communications roles at the Cabinet Office, Department of Health, and Public Health England. From March 2020 to June 2020, her final role was in the COVID Taskforce, where Ms. Berry was the senior responsible officer for serology and seroprevalence at the start of the pandemic and was awarded an OBE for her work. Ms. Berry received a bachelor of laws degree from the University of Nottingham and a masters degree from the University of Leeds. We believe Ms. Berry is qualified to serve as a member of our Board because of her extensive experience in government and expertise in health policy.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Marc Elia</w:t>
      </w:r>
      <w:r>
        <w:rPr>
          <w:rFonts w:ascii="Times New Roman" w:hAnsi="Times New Roman"/>
          <w:i/>
          <w:sz w:val="20"/>
        </w:rPr>
        <w:t xml:space="preserve">, age 47 </w:t>
      </w:r>
    </w:p>
    <w:p>
      <w:pPr>
        <w:pStyle w:val="TextBody"/>
        <w:spacing w:before="120" w:after="0"/>
        <w:jc w:val="left"/>
        <w:rPr>
          <w:rFonts w:ascii="Times New Roman" w:hAnsi="Times New Roman"/>
          <w:sz w:val="20"/>
        </w:rPr>
      </w:pPr>
      <w:r>
        <w:rPr>
          <w:rFonts w:ascii="Times New Roman" w:hAnsi="Times New Roman"/>
          <w:sz w:val="20"/>
        </w:rPr>
        <w:t xml:space="preserve">Marc Elia has served as a member of our Board since June 2022 and as Chairperson of our Board since July 2022. Mr. Elia is the founder and chief investment officer of M28 Capital Management L.P., a healthcare sector investment fund, since September 2019. Prior to that, from January 2012 to September 2019, Mr. Elia served as a partner at Bridger Capital, an investment fund. Mr. Elia serves on the board of directors of SQZ Biotechnology, a clinical-stage biotechnology company, and Fractyl Health Inc., an organ editing metabolic therapeutics company. Prior to his career in investing, Mr. Elia held various roles across the biotechnology industry at N30 Pharmaceuticals, Chiron Corporation, and L.E.K. Consulting. Mr. Elia previously served as a director of the Company from July 2020 to April 2021. Mr. Elia holds a B.A. in Economics from Carleton College. We believe Mr. Elia is qualified to serve as a member of our Board because of his broad operational and transactional experience, particularly in the pharmaceutical and biotech industries. </w:t>
      </w:r>
    </w:p>
    <w:p>
      <w:pPr>
        <w:pStyle w:val="TextBody"/>
        <w:spacing w:before="360" w:after="0"/>
        <w:jc w:val="left"/>
        <w:rPr>
          <w:rFonts w:ascii="Times New Roman" w:hAnsi="Times New Roman"/>
          <w:sz w:val="20"/>
        </w:rPr>
      </w:pPr>
      <w:r>
        <w:rPr>
          <w:rFonts w:ascii="Times New Roman" w:hAnsi="Times New Roman"/>
          <w:b/>
          <w:i/>
          <w:sz w:val="20"/>
        </w:rPr>
        <w:t>Clive A. Meanwell, M.D.</w:t>
      </w:r>
      <w:r>
        <w:rPr>
          <w:rFonts w:ascii="Times New Roman" w:hAnsi="Times New Roman"/>
          <w:i/>
          <w:sz w:val="20"/>
        </w:rPr>
        <w:t xml:space="preserve">, age 65 </w:t>
      </w:r>
    </w:p>
    <w:p>
      <w:pPr>
        <w:pStyle w:val="TextBody"/>
        <w:spacing w:before="120" w:after="0"/>
        <w:jc w:val="left"/>
        <w:rPr>
          <w:rFonts w:ascii="Times New Roman" w:hAnsi="Times New Roman"/>
          <w:sz w:val="20"/>
        </w:rPr>
      </w:pPr>
      <w:r>
        <w:rPr>
          <w:rFonts w:ascii="Times New Roman" w:hAnsi="Times New Roman"/>
          <w:sz w:val="20"/>
        </w:rPr>
        <w:t>Clive A. Meanwell has served as a member of our Board since June 2022. Dr. Meanwell has served as the executive chair and co-founder of Population Health Partners, a global investment firm, since May 2020. Dr. Meanwell also co-founded Population Health Investment Co., Inc., a special purpose acquisition company, and served as its Chief Executive Officer and director from September 2020 until January 2023. Dr. Meanwell was a founder of The Medicines Company and was a director of The Medicines Company from 1996 until The Medicines Company was acquired by Novartis in January 2020. From December 2018 until January 2020, Dr. Meanwell served as The Medicine Companys chief innovation officer. Prior to December 2018, he served as The Medicine Companys chief executive officer since February 2012, The Medicine Companys chief executive officer and president from October 2009 to February 2012, The Medicine Companys chief executive officer from August 2004 to October 2009, as The Medicine Companys president from August 2004 to December 2004, The Medicine Companys executive chairman from September 2001 to August 2004 and The Medicine Companys chief executive officer and president from 1996 to September 2001. Dr. Meanwell was also chairman of The Medicine Companys board from September 2001 to August 2015. Dr. Meanwell is the vice chairman of BB Biotech, a Swiss investment corporation. He serves on the board of directors of EQRx, a biotechnology firm, Fractyl Health, Inc., an organ editing metabolic therapeutics company, Comanche Biopharma, a biotechnology firm, Saama, a clinical research software firm, and Hugo Health, a clinical research software firm. From 1995 to 1996, Dr. Meanwell was a partner and managing director at MPM Capital, L.P., a venture capital firm. From 1986 to 1995, Dr. Meanwell held various positions at Hoffmann-La Roche, Inc., a pharmaceutical company, including senior vice president from 1992 to 1995, vice president from 1991 to 1992 and director of product development from 1986 to 1991. Dr. Meanwell received an M.B. Ch.B. and an M.D. </w:t>
      </w:r>
      <w:r>
        <w:rPr>
          <w:rFonts w:ascii="Times New Roman" w:hAnsi="Times New Roman"/>
          <w:i/>
          <w:sz w:val="20"/>
        </w:rPr>
        <w:t>summa cum laude</w:t>
      </w:r>
      <w:r>
        <w:rPr>
          <w:rFonts w:ascii="Times New Roman" w:hAnsi="Times New Roman"/>
          <w:sz w:val="20"/>
        </w:rPr>
        <w:t xml:space="preserve"> degree from the University of Birmingham, United Kingdom. We believe Dr. Meanwell is qualified to serve as a member of our Board because of his scientific expertise and significant experience in building and leading successful biotechnology companies and developing pharmaceuticals. </w:t>
      </w:r>
    </w:p>
    <w:p>
      <w:pPr>
        <w:pStyle w:val="TextBody"/>
        <w:spacing w:before="360" w:after="0"/>
        <w:jc w:val="left"/>
        <w:rPr>
          <w:rFonts w:ascii="Times New Roman" w:hAnsi="Times New Roman"/>
          <w:b/>
          <w:sz w:val="20"/>
        </w:rPr>
      </w:pPr>
      <w:bookmarkStart w:id="11" w:name="tx419064_9"/>
      <w:bookmarkEnd w:id="11"/>
      <w:r>
        <w:rPr>
          <w:rFonts w:ascii="Times New Roman" w:hAnsi="Times New Roman"/>
          <w:b/>
          <w:sz w:val="20"/>
        </w:rPr>
        <w:t xml:space="preserve">Current Class III Directors </w:t>
      </w:r>
    </w:p>
    <w:p>
      <w:pPr>
        <w:pStyle w:val="TextBody"/>
        <w:spacing w:before="120" w:after="0"/>
        <w:jc w:val="left"/>
        <w:rPr>
          <w:rFonts w:ascii="Times New Roman" w:hAnsi="Times New Roman"/>
          <w:sz w:val="20"/>
        </w:rPr>
      </w:pPr>
      <w:r>
        <w:rPr>
          <w:rFonts w:ascii="Times New Roman" w:hAnsi="Times New Roman"/>
          <w:b/>
          <w:i/>
          <w:sz w:val="20"/>
        </w:rPr>
        <w:t>Tom Heyman</w:t>
      </w:r>
      <w:r>
        <w:rPr>
          <w:rFonts w:ascii="Times New Roman" w:hAnsi="Times New Roman"/>
          <w:i/>
          <w:sz w:val="20"/>
        </w:rPr>
        <w:t xml:space="preserve">, age 67 </w:t>
      </w:r>
    </w:p>
    <w:p>
      <w:pPr>
        <w:pStyle w:val="TextBody"/>
        <w:spacing w:before="120" w:after="0"/>
        <w:jc w:val="left"/>
        <w:rPr>
          <w:rFonts w:ascii="Times New Roman" w:hAnsi="Times New Roman"/>
          <w:sz w:val="20"/>
        </w:rPr>
      </w:pPr>
      <w:r>
        <w:rPr>
          <w:rFonts w:ascii="Times New Roman" w:hAnsi="Times New Roman"/>
          <w:sz w:val="20"/>
        </w:rPr>
        <w:t xml:space="preserve">Tom Heyman has served as a member of our Board since June 2021. Mr. Heyman currently serves as Interim Chief Executive Officer of Interlaken Therapeutics, Inc. Mr. Heyman previously served as the President of Johnson &amp; Johnsons Corporate Venture Capital Group from April 2015 to September 2019 and as the Global Head of Business Development for Johnson &amp; Johnsons Pharmaceutical Group from March 1992 to March 2015. In addition, Mr. Heyman previously served as Chief Executive Officer of Janssen Pharmaceuticals from November 2008 to November 2016. Mr. Heyman has served as a director of OptiNose, Inc. since December 2020, a director of Akero Therapeutics, Inc. since June 2020, a director of Legend Biotech Corporation since August 2022, and a director of Xilio Therapeutics since September 2022. Mr. Heyman received his Master of Laws from Katholieke Universiteit Leuven. We believe Mr. Heyman is qualified to serve as a member of our Board because of his significant experience in the pharmaceutical industry, as well as his expertise in the biotechnology industry through his career in venture capital.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David Hering, M.B.A.</w:t>
      </w:r>
      <w:r>
        <w:rPr>
          <w:rFonts w:ascii="Times New Roman" w:hAnsi="Times New Roman"/>
          <w:i/>
          <w:sz w:val="20"/>
        </w:rPr>
        <w:t xml:space="preserve">, age 48 </w:t>
      </w:r>
    </w:p>
    <w:p>
      <w:pPr>
        <w:pStyle w:val="TextBody"/>
        <w:spacing w:before="120" w:after="0"/>
        <w:jc w:val="left"/>
        <w:rPr>
          <w:rFonts w:ascii="Times New Roman" w:hAnsi="Times New Roman"/>
          <w:sz w:val="20"/>
        </w:rPr>
      </w:pPr>
      <w:r>
        <w:rPr>
          <w:rFonts w:ascii="Times New Roman" w:hAnsi="Times New Roman"/>
          <w:sz w:val="20"/>
        </w:rPr>
        <w:t xml:space="preserve">David Hering, M.B.A. has served as our Chief Executive Officer and a member of our Board since July 2022. He previously served as our Interim Chief Executive Officer from February 2022 until July 2022 and as our Chief Operating Officer from June 2021 until July 2022. Prior to joining Invivyd, Mr. Hering served as the Head of the 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 We believe Mr. Hering is qualified to serve as a member of our Board because of his role as our Chief Executive Officer, as well as his experience leading organizations focused on infectious disease medicines, including the launch of the first and market leading COVID-19 vaccine during his time at Pfizer. </w:t>
      </w:r>
    </w:p>
    <w:p>
      <w:pPr>
        <w:pStyle w:val="TextBody"/>
        <w:spacing w:before="360" w:after="0"/>
        <w:jc w:val="left"/>
        <w:rPr>
          <w:rFonts w:ascii="Times New Roman" w:hAnsi="Times New Roman"/>
          <w:sz w:val="20"/>
        </w:rPr>
      </w:pPr>
      <w:r>
        <w:rPr>
          <w:rFonts w:ascii="Times New Roman" w:hAnsi="Times New Roman"/>
          <w:b/>
          <w:i/>
          <w:sz w:val="20"/>
        </w:rPr>
        <w:t>Michael S. Wyzga</w:t>
      </w:r>
      <w:r>
        <w:rPr>
          <w:rFonts w:ascii="Times New Roman" w:hAnsi="Times New Roman"/>
          <w:i/>
          <w:sz w:val="20"/>
        </w:rPr>
        <w:t xml:space="preserve">, age 68 </w:t>
      </w:r>
    </w:p>
    <w:p>
      <w:pPr>
        <w:pStyle w:val="TextBody"/>
        <w:spacing w:before="120" w:after="0"/>
        <w:jc w:val="left"/>
        <w:rPr>
          <w:rFonts w:ascii="Times New Roman" w:hAnsi="Times New Roman"/>
          <w:sz w:val="20"/>
        </w:rPr>
      </w:pPr>
      <w:r>
        <w:rPr>
          <w:rFonts w:ascii="Times New Roman" w:hAnsi="Times New Roman"/>
          <w:sz w:val="20"/>
        </w:rPr>
        <w:t xml:space="preserve">Michael S. Wyzga has served as a member of our Board since July 2021. Mr. Wyzga has served as the President of MSW Consulting, Inc. since November 2013. Mr. Wyzga has served as a member and chair of the board of directors for GenSight Biologics S.A. since July 2015 and for X4 Pharmaceuticals, Inc. since July 2018, and as a member and deputy chair of the board of Mereo BioPharma Group plc since April 2019. Mr. Wyzga served as a member of the board and chair of the audit committee for LogicBio Therapeutics, Inc. from December 2018 until its sale in November 2022. Mr. Wyzga previously served as a director and chair of the audit and finance committee for Exact Sciences Corp. from February 2015 to June 2021 and as a member of the board of directors of OncoMed Pharmaceuticals, Inc. from October 2013 to April 2019. Mr. Wyzga received an M.B.A. from Providence College and a B.S. from Suffolk University. We believe Mr. Wyzga is qualified to serve as a member of our Board because of his experience in the biotechnology space and his financial experience.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12" w:name="tx419064_10"/>
      <w:bookmarkEnd w:id="12"/>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The Board Diversity Matrix below provides the diversity statistics for our Board.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75"/>
        <w:gridCol w:w="120"/>
        <w:gridCol w:w="1320"/>
        <w:gridCol w:w="120"/>
        <w:gridCol w:w="1279"/>
        <w:gridCol w:w="120"/>
        <w:gridCol w:w="1313"/>
        <w:gridCol w:w="120"/>
        <w:gridCol w:w="1338"/>
      </w:tblGrid>
      <w:tr>
        <w:trPr/>
        <w:tc>
          <w:tcPr>
            <w:tcW w:w="44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Board Diversity Matrix (As of March 27, 2023)</w:t>
            </w:r>
          </w:p>
        </w:tc>
      </w:tr>
      <w:tr>
        <w:trPr/>
        <w:tc>
          <w:tcPr>
            <w:tcW w:w="4475"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Total Number of Directors</w:t>
            </w:r>
          </w:p>
        </w:tc>
        <w:tc>
          <w:tcPr>
            <w:tcW w:w="120" w:type="dxa"/>
            <w:tcBorders/>
            <w:shd w:fill="auto" w:val="clear"/>
            <w:vAlign w:val="bottom"/>
          </w:tcPr>
          <w:p>
            <w:pPr>
              <w:pStyle w:val="TableContents"/>
              <w:spacing w:before="0" w:after="283"/>
              <w:rPr/>
            </w:pPr>
            <w:r>
              <w:rPr/>
              <w:t>  </w:t>
            </w:r>
          </w:p>
        </w:tc>
        <w:tc>
          <w:tcPr>
            <w:tcW w:w="5610" w:type="dxa"/>
            <w:gridSpan w:val="7"/>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sz w:val="16"/>
              </w:rPr>
            </w:pPr>
            <w:r>
              <w:rPr>
                <w:rFonts w:ascii="Times New Roman" w:hAnsi="Times New Roman"/>
                <w:sz w:val="16"/>
              </w:rPr>
              <w:t>8</w:t>
            </w:r>
          </w:p>
        </w:tc>
      </w:tr>
      <w:tr>
        <w:trPr/>
        <w:tc>
          <w:tcPr>
            <w:tcW w:w="44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2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Female</w:t>
            </w:r>
          </w:p>
        </w:tc>
        <w:tc>
          <w:tcPr>
            <w:tcW w:w="120" w:type="dxa"/>
            <w:tcBorders/>
            <w:shd w:fill="auto" w:val="clear"/>
            <w:vAlign w:val="bottom"/>
          </w:tcPr>
          <w:p>
            <w:pPr>
              <w:pStyle w:val="TableContents"/>
              <w:spacing w:before="0" w:after="283"/>
              <w:rPr/>
            </w:pPr>
            <w:r>
              <w:rPr/>
              <w:t>  </w:t>
            </w:r>
          </w:p>
        </w:tc>
        <w:tc>
          <w:tcPr>
            <w:tcW w:w="127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Male</w:t>
            </w:r>
          </w:p>
        </w:tc>
        <w:tc>
          <w:tcPr>
            <w:tcW w:w="120" w:type="dxa"/>
            <w:tcBorders/>
            <w:shd w:fill="auto" w:val="clear"/>
            <w:vAlign w:val="bottom"/>
          </w:tcPr>
          <w:p>
            <w:pPr>
              <w:pStyle w:val="TableContents"/>
              <w:spacing w:before="0" w:after="283"/>
              <w:rPr/>
            </w:pPr>
            <w:r>
              <w:rPr/>
              <w:t>  </w:t>
            </w:r>
          </w:p>
        </w:tc>
        <w:tc>
          <w:tcPr>
            <w:tcW w:w="1313"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Non-</w:t>
            </w:r>
          </w:p>
          <w:p>
            <w:pPr>
              <w:pStyle w:val="TableContents"/>
              <w:spacing w:before="0" w:after="20"/>
              <w:jc w:val="center"/>
              <w:rPr>
                <w:rFonts w:ascii="Times New Roman" w:hAnsi="Times New Roman"/>
                <w:b/>
                <w:sz w:val="16"/>
              </w:rPr>
            </w:pPr>
            <w:r>
              <w:rPr>
                <w:rFonts w:ascii="Times New Roman" w:hAnsi="Times New Roman"/>
                <w:b/>
                <w:sz w:val="16"/>
              </w:rPr>
              <w:t>Binary</w:t>
            </w:r>
          </w:p>
        </w:tc>
        <w:tc>
          <w:tcPr>
            <w:tcW w:w="120" w:type="dxa"/>
            <w:tcBorders/>
            <w:shd w:fill="auto" w:val="clear"/>
            <w:vAlign w:val="bottom"/>
          </w:tcPr>
          <w:p>
            <w:pPr>
              <w:pStyle w:val="TableContents"/>
              <w:spacing w:before="0" w:after="283"/>
              <w:rPr/>
            </w:pPr>
            <w:r>
              <w:rPr/>
              <w:t>  </w:t>
            </w:r>
          </w:p>
        </w:tc>
        <w:tc>
          <w:tcPr>
            <w:tcW w:w="1338"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Did Not</w:t>
            </w:r>
          </w:p>
          <w:p>
            <w:pPr>
              <w:pStyle w:val="TableContents"/>
              <w:spacing w:before="0" w:after="0"/>
              <w:jc w:val="center"/>
              <w:rPr>
                <w:rFonts w:ascii="Times New Roman" w:hAnsi="Times New Roman"/>
                <w:b/>
                <w:sz w:val="16"/>
              </w:rPr>
            </w:pPr>
            <w:r>
              <w:rPr>
                <w:rFonts w:ascii="Times New Roman" w:hAnsi="Times New Roman"/>
                <w:b/>
                <w:sz w:val="16"/>
              </w:rPr>
              <w:t>Disclose</w:t>
            </w:r>
          </w:p>
          <w:p>
            <w:pPr>
              <w:pStyle w:val="TableContents"/>
              <w:spacing w:before="0" w:after="20"/>
              <w:jc w:val="center"/>
              <w:rPr>
                <w:rFonts w:ascii="Times New Roman" w:hAnsi="Times New Roman"/>
                <w:b/>
                <w:sz w:val="16"/>
              </w:rPr>
            </w:pPr>
            <w:r>
              <w:rPr>
                <w:rFonts w:ascii="Times New Roman" w:hAnsi="Times New Roman"/>
                <w:b/>
                <w:sz w:val="16"/>
              </w:rPr>
              <w:t>Gender</w:t>
            </w:r>
          </w:p>
        </w:tc>
      </w:tr>
      <w:tr>
        <w:trPr/>
        <w:tc>
          <w:tcPr>
            <w:tcW w:w="44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Part I: Gender Identity</w:t>
            </w:r>
          </w:p>
        </w:tc>
        <w:tc>
          <w:tcPr>
            <w:tcW w:w="12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rPr>
                <w:sz w:val="4"/>
                <w:szCs w:val="4"/>
              </w:rPr>
            </w:pPr>
            <w:r>
              <w:rPr>
                <w:sz w:val="4"/>
                <w:szCs w:val="4"/>
              </w:rPr>
            </w:r>
          </w:p>
        </w:tc>
      </w:tr>
      <w:tr>
        <w:trPr/>
        <w:tc>
          <w:tcPr>
            <w:tcW w:w="44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Directors</w:t>
            </w:r>
          </w:p>
        </w:tc>
        <w:tc>
          <w:tcPr>
            <w:tcW w:w="12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center"/>
              <w:rPr/>
            </w:pPr>
            <w:r>
              <w:rPr/>
              <w:t>2</w:t>
            </w:r>
          </w:p>
        </w:tc>
        <w:tc>
          <w:tcPr>
            <w:tcW w:w="120"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center"/>
              <w:rPr/>
            </w:pPr>
            <w:r>
              <w:rPr/>
              <w:t>4</w:t>
            </w:r>
          </w:p>
        </w:tc>
        <w:tc>
          <w:tcPr>
            <w:tcW w:w="12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center"/>
              <w:rPr/>
            </w:pPr>
            <w:r>
              <w:rPr/>
              <w:t>2</w:t>
            </w:r>
          </w:p>
        </w:tc>
      </w:tr>
      <w:tr>
        <w:trPr/>
        <w:tc>
          <w:tcPr>
            <w:tcW w:w="447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Part II: Demographic Background</w:t>
            </w:r>
          </w:p>
        </w:tc>
        <w:tc>
          <w:tcPr>
            <w:tcW w:w="12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rPr>
                <w:sz w:val="4"/>
                <w:szCs w:val="4"/>
              </w:rPr>
            </w:pPr>
            <w:r>
              <w:rPr>
                <w:sz w:val="4"/>
                <w:szCs w:val="4"/>
              </w:rPr>
            </w:r>
          </w:p>
        </w:tc>
      </w:tr>
      <w:tr>
        <w:trPr/>
        <w:tc>
          <w:tcPr>
            <w:tcW w:w="44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African American or Black</w:t>
            </w:r>
          </w:p>
        </w:tc>
        <w:tc>
          <w:tcPr>
            <w:tcW w:w="12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center"/>
              <w:rPr/>
            </w:pPr>
            <w:r>
              <w:rPr/>
              <w:t></w:t>
            </w:r>
          </w:p>
        </w:tc>
      </w:tr>
      <w:tr>
        <w:trPr/>
        <w:tc>
          <w:tcPr>
            <w:tcW w:w="447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Alaskan Native or Native American</w:t>
            </w:r>
          </w:p>
        </w:tc>
        <w:tc>
          <w:tcPr>
            <w:tcW w:w="12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center"/>
              <w:rPr/>
            </w:pPr>
            <w:r>
              <w:rPr/>
              <w:t></w:t>
            </w:r>
          </w:p>
        </w:tc>
        <w:tc>
          <w:tcPr>
            <w:tcW w:w="120"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jc w:val="center"/>
              <w:rPr/>
            </w:pPr>
            <w:r>
              <w:rPr/>
              <w:t></w:t>
            </w:r>
          </w:p>
        </w:tc>
        <w:tc>
          <w:tcPr>
            <w:tcW w:w="12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center"/>
              <w:rPr/>
            </w:pPr>
            <w:r>
              <w:rPr/>
              <w:t></w:t>
            </w:r>
          </w:p>
        </w:tc>
        <w:tc>
          <w:tcPr>
            <w:tcW w:w="120"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center"/>
              <w:rPr/>
            </w:pPr>
            <w:r>
              <w:rPr/>
              <w:t></w:t>
            </w:r>
          </w:p>
        </w:tc>
      </w:tr>
      <w:tr>
        <w:trPr/>
        <w:tc>
          <w:tcPr>
            <w:tcW w:w="44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Asian</w:t>
            </w:r>
          </w:p>
        </w:tc>
        <w:tc>
          <w:tcPr>
            <w:tcW w:w="12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center"/>
              <w:rPr/>
            </w:pPr>
            <w:r>
              <w:rPr/>
              <w:t></w:t>
            </w:r>
          </w:p>
        </w:tc>
      </w:tr>
      <w:tr>
        <w:trPr/>
        <w:tc>
          <w:tcPr>
            <w:tcW w:w="447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Hispanic or Latinx</w:t>
            </w:r>
          </w:p>
        </w:tc>
        <w:tc>
          <w:tcPr>
            <w:tcW w:w="12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center"/>
              <w:rPr/>
            </w:pPr>
            <w:r>
              <w:rPr/>
              <w:t></w:t>
            </w:r>
          </w:p>
        </w:tc>
        <w:tc>
          <w:tcPr>
            <w:tcW w:w="120"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jc w:val="center"/>
              <w:rPr/>
            </w:pPr>
            <w:r>
              <w:rPr/>
              <w:t></w:t>
            </w:r>
          </w:p>
        </w:tc>
        <w:tc>
          <w:tcPr>
            <w:tcW w:w="12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center"/>
              <w:rPr/>
            </w:pPr>
            <w:r>
              <w:rPr/>
              <w:t></w:t>
            </w:r>
          </w:p>
        </w:tc>
        <w:tc>
          <w:tcPr>
            <w:tcW w:w="120"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center"/>
              <w:rPr/>
            </w:pPr>
            <w:r>
              <w:rPr/>
              <w:t></w:t>
            </w:r>
          </w:p>
        </w:tc>
      </w:tr>
      <w:tr>
        <w:trPr/>
        <w:tc>
          <w:tcPr>
            <w:tcW w:w="4475" w:type="dxa"/>
            <w:tcBorders/>
            <w:shd w:fill="auto" w:val="clear"/>
          </w:tcPr>
          <w:p>
            <w:pPr>
              <w:pStyle w:val="TableContents"/>
              <w:spacing w:before="0" w:after="0"/>
              <w:rPr>
                <w:rFonts w:ascii="Times New Roman" w:hAnsi="Times New Roman"/>
                <w:sz w:val="20"/>
              </w:rPr>
            </w:pPr>
            <w:r>
              <w:rPr>
                <w:rFonts w:ascii="Times New Roman" w:hAnsi="Times New Roman"/>
                <w:sz w:val="20"/>
              </w:rPr>
              <w:t>Native Hawaiian or Pacific Islander</w:t>
            </w:r>
          </w:p>
        </w:tc>
        <w:tc>
          <w:tcPr>
            <w:tcW w:w="12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center"/>
              <w:rPr/>
            </w:pPr>
            <w:r>
              <w:rPr/>
              <w:t></w:t>
            </w:r>
          </w:p>
        </w:tc>
      </w:tr>
      <w:tr>
        <w:trPr/>
        <w:tc>
          <w:tcPr>
            <w:tcW w:w="4475" w:type="dxa"/>
            <w:tcBorders/>
            <w:shd w:fill="CCEEFF" w:val="clear"/>
          </w:tcPr>
          <w:p>
            <w:pPr>
              <w:pStyle w:val="TableContents"/>
              <w:spacing w:before="0" w:after="0"/>
              <w:rPr>
                <w:rFonts w:ascii="Times New Roman" w:hAnsi="Times New Roman"/>
                <w:sz w:val="20"/>
              </w:rPr>
            </w:pPr>
            <w:r>
              <w:rPr>
                <w:rFonts w:ascii="Times New Roman" w:hAnsi="Times New Roman"/>
                <w:sz w:val="20"/>
              </w:rPr>
              <w:t>White</w:t>
            </w:r>
          </w:p>
        </w:tc>
        <w:tc>
          <w:tcPr>
            <w:tcW w:w="12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center"/>
              <w:rPr/>
            </w:pPr>
            <w:r>
              <w:rPr/>
              <w:t>2</w:t>
            </w:r>
          </w:p>
        </w:tc>
        <w:tc>
          <w:tcPr>
            <w:tcW w:w="120" w:type="dxa"/>
            <w:tcBorders/>
            <w:shd w:fill="CCEEFF" w:val="clear"/>
            <w:vAlign w:val="bottom"/>
          </w:tcPr>
          <w:p>
            <w:pPr>
              <w:pStyle w:val="TableContents"/>
              <w:spacing w:before="0" w:after="283"/>
              <w:rPr/>
            </w:pPr>
            <w:r>
              <w:rPr/>
              <w:t>  </w:t>
            </w:r>
          </w:p>
        </w:tc>
        <w:tc>
          <w:tcPr>
            <w:tcW w:w="1279" w:type="dxa"/>
            <w:tcBorders/>
            <w:shd w:fill="CCEEFF" w:val="clear"/>
            <w:vAlign w:val="bottom"/>
          </w:tcPr>
          <w:p>
            <w:pPr>
              <w:pStyle w:val="TableContents"/>
              <w:spacing w:before="0" w:after="283"/>
              <w:jc w:val="center"/>
              <w:rPr/>
            </w:pPr>
            <w:r>
              <w:rPr/>
              <w:t>4</w:t>
            </w:r>
          </w:p>
        </w:tc>
        <w:tc>
          <w:tcPr>
            <w:tcW w:w="12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center"/>
              <w:rPr/>
            </w:pPr>
            <w:r>
              <w:rPr/>
              <w:t></w:t>
            </w:r>
          </w:p>
        </w:tc>
        <w:tc>
          <w:tcPr>
            <w:tcW w:w="120"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center"/>
              <w:rPr/>
            </w:pPr>
            <w:r>
              <w:rPr/>
              <w:t></w:t>
            </w:r>
          </w:p>
        </w:tc>
      </w:tr>
      <w:tr>
        <w:trPr/>
        <w:tc>
          <w:tcPr>
            <w:tcW w:w="4475" w:type="dxa"/>
            <w:tcBorders/>
            <w:shd w:fill="auto" w:val="clear"/>
          </w:tcPr>
          <w:p>
            <w:pPr>
              <w:pStyle w:val="TableContents"/>
              <w:spacing w:before="0" w:after="0"/>
              <w:rPr>
                <w:rFonts w:ascii="Times New Roman" w:hAnsi="Times New Roman"/>
                <w:sz w:val="20"/>
              </w:rPr>
            </w:pPr>
            <w:r>
              <w:rPr>
                <w:rFonts w:ascii="Times New Roman" w:hAnsi="Times New Roman"/>
                <w:sz w:val="20"/>
              </w:rPr>
              <w:t>Two or More Races or Ethnicities</w:t>
            </w:r>
          </w:p>
        </w:tc>
        <w:tc>
          <w:tcPr>
            <w:tcW w:w="12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279"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center"/>
              <w:rPr/>
            </w:pPr>
            <w:r>
              <w:rPr/>
              <w:t></w:t>
            </w:r>
          </w:p>
        </w:tc>
      </w:tr>
      <w:tr>
        <w:trPr/>
        <w:tc>
          <w:tcPr>
            <w:tcW w:w="4475" w:type="dxa"/>
            <w:tcBorders/>
            <w:shd w:fill="CCEEFF" w:val="clear"/>
          </w:tcPr>
          <w:p>
            <w:pPr>
              <w:pStyle w:val="TableContents"/>
              <w:spacing w:before="0" w:after="0"/>
              <w:rPr>
                <w:rFonts w:ascii="Times New Roman" w:hAnsi="Times New Roman"/>
                <w:sz w:val="20"/>
              </w:rPr>
            </w:pPr>
            <w:r>
              <w:rPr>
                <w:rFonts w:ascii="Times New Roman" w:hAnsi="Times New Roman"/>
                <w:sz w:val="20"/>
              </w:rPr>
              <w:t>LGBTQ+</w:t>
            </w:r>
          </w:p>
        </w:tc>
        <w:tc>
          <w:tcPr>
            <w:tcW w:w="120" w:type="dxa"/>
            <w:tcBorders/>
            <w:shd w:fill="CCEEFF" w:val="clear"/>
            <w:vAlign w:val="bottom"/>
          </w:tcPr>
          <w:p>
            <w:pPr>
              <w:pStyle w:val="TableContents"/>
              <w:spacing w:before="0" w:after="283"/>
              <w:rPr/>
            </w:pPr>
            <w:r>
              <w:rPr/>
              <w:t>  </w:t>
            </w:r>
          </w:p>
        </w:tc>
        <w:tc>
          <w:tcPr>
            <w:tcW w:w="5610" w:type="dxa"/>
            <w:gridSpan w:val="7"/>
            <w:tcBorders/>
            <w:shd w:fill="CCEEFF" w:val="clear"/>
            <w:vAlign w:val="bottom"/>
          </w:tcPr>
          <w:p>
            <w:pPr>
              <w:pStyle w:val="TableContents"/>
              <w:spacing w:before="0" w:after="283"/>
              <w:jc w:val="center"/>
              <w:rPr/>
            </w:pPr>
            <w:r>
              <w:rPr/>
              <w:t></w:t>
            </w:r>
          </w:p>
        </w:tc>
      </w:tr>
      <w:tr>
        <w:trPr/>
        <w:tc>
          <w:tcPr>
            <w:tcW w:w="4475" w:type="dxa"/>
            <w:tcBorders/>
            <w:shd w:fill="auto" w:val="clear"/>
          </w:tcPr>
          <w:p>
            <w:pPr>
              <w:pStyle w:val="TableContents"/>
              <w:spacing w:before="0" w:after="0"/>
              <w:rPr>
                <w:rFonts w:ascii="Times New Roman" w:hAnsi="Times New Roman"/>
                <w:sz w:val="20"/>
              </w:rPr>
            </w:pPr>
            <w:r>
              <w:rPr>
                <w:rFonts w:ascii="Times New Roman" w:hAnsi="Times New Roman"/>
                <w:sz w:val="20"/>
              </w:rPr>
              <w:t>Did Not Disclose Race or Ethnicity</w:t>
            </w:r>
          </w:p>
        </w:tc>
        <w:tc>
          <w:tcPr>
            <w:tcW w:w="120" w:type="dxa"/>
            <w:tcBorders/>
            <w:shd w:fill="auto" w:val="clear"/>
            <w:vAlign w:val="bottom"/>
          </w:tcPr>
          <w:p>
            <w:pPr>
              <w:pStyle w:val="TableContents"/>
              <w:spacing w:before="0" w:after="283"/>
              <w:rPr/>
            </w:pPr>
            <w:r>
              <w:rPr/>
              <w:t>  </w:t>
            </w:r>
          </w:p>
        </w:tc>
        <w:tc>
          <w:tcPr>
            <w:tcW w:w="5610" w:type="dxa"/>
            <w:gridSpan w:val="7"/>
            <w:tcBorders/>
            <w:shd w:fill="auto" w:val="clear"/>
            <w:vAlign w:val="bottom"/>
          </w:tcPr>
          <w:p>
            <w:pPr>
              <w:pStyle w:val="TableContents"/>
              <w:spacing w:before="0" w:after="283"/>
              <w:jc w:val="center"/>
              <w:rPr/>
            </w:pPr>
            <w:r>
              <w:rPr/>
              <w:t>2</w:t>
            </w:r>
          </w:p>
        </w:tc>
      </w:tr>
      <w:tr>
        <w:trPr/>
        <w:tc>
          <w:tcPr>
            <w:tcW w:w="4475" w:type="dxa"/>
            <w:tcBorders/>
            <w:shd w:fill="CCEEFF" w:val="clear"/>
          </w:tcPr>
          <w:p>
            <w:pPr>
              <w:pStyle w:val="TableContents"/>
              <w:spacing w:before="0" w:after="0"/>
              <w:rPr>
                <w:rFonts w:ascii="Times New Roman" w:hAnsi="Times New Roman"/>
                <w:sz w:val="20"/>
              </w:rPr>
            </w:pPr>
            <w:r>
              <w:rPr>
                <w:rFonts w:ascii="Times New Roman" w:hAnsi="Times New Roman"/>
                <w:sz w:val="20"/>
              </w:rPr>
              <w:t>Did Not Disclose LGBTQ+ Status</w:t>
            </w:r>
          </w:p>
        </w:tc>
        <w:tc>
          <w:tcPr>
            <w:tcW w:w="120" w:type="dxa"/>
            <w:tcBorders/>
            <w:shd w:fill="CCEEFF" w:val="clear"/>
            <w:vAlign w:val="bottom"/>
          </w:tcPr>
          <w:p>
            <w:pPr>
              <w:pStyle w:val="TableContents"/>
              <w:spacing w:before="0" w:after="283"/>
              <w:rPr/>
            </w:pPr>
            <w:r>
              <w:rPr/>
              <w:t>  </w:t>
            </w:r>
          </w:p>
        </w:tc>
        <w:tc>
          <w:tcPr>
            <w:tcW w:w="5610" w:type="dxa"/>
            <w:gridSpan w:val="7"/>
            <w:tcBorders/>
            <w:shd w:fill="CCEEFF" w:val="clear"/>
            <w:vAlign w:val="bottom"/>
          </w:tcPr>
          <w:p>
            <w:pPr>
              <w:pStyle w:val="TableContents"/>
              <w:spacing w:before="0" w:after="283"/>
              <w:jc w:val="center"/>
              <w:rPr/>
            </w:pPr>
            <w:r>
              <w:rPr/>
              <w:t>4</w:t>
            </w:r>
          </w:p>
        </w:tc>
      </w:tr>
    </w:tbl>
    <w:p>
      <w:pPr>
        <w:pStyle w:val="TextBody"/>
        <w:spacing w:before="240" w:after="0"/>
        <w:jc w:val="left"/>
        <w:rPr>
          <w:rFonts w:ascii="Times New Roman" w:hAnsi="Times New Roman"/>
          <w:b/>
          <w:sz w:val="20"/>
        </w:rPr>
      </w:pPr>
      <w:bookmarkStart w:id="13" w:name="tx419064_11"/>
      <w:bookmarkEnd w:id="13"/>
      <w:r>
        <w:rPr>
          <w:rFonts w:ascii="Times New Roman" w:hAnsi="Times New Roman"/>
          <w:b/>
          <w:sz w:val="20"/>
        </w:rPr>
        <w:t xml:space="preserve">Independence of the Board </w:t>
      </w:r>
    </w:p>
    <w:p>
      <w:pPr>
        <w:pStyle w:val="TextBody"/>
        <w:spacing w:before="240" w:after="0"/>
        <w:jc w:val="left"/>
        <w:rPr>
          <w:rFonts w:ascii="Times New Roman" w:hAnsi="Times New Roman"/>
          <w:sz w:val="20"/>
        </w:rPr>
      </w:pPr>
      <w:r>
        <w:rPr>
          <w:rFonts w:ascii="Times New Roman" w:hAnsi="Times New Roman"/>
          <w:sz w:val="20"/>
        </w:rPr>
        <w:t xml:space="preserve">As required under The Nasdaq Stock Market LLC (Nasdaq) listing standards, a majority of the members of a listed companys board must qualify as independent, as affirmatively determined by the board. Our Board consults with the Companys legal counsel to ensure that our Boards determinations are consistent with relevant securities and other laws and regulations regarding the definition of independent, including those set forth in pertinent Nasdaq listing standards, as in effect from time to time. </w:t>
      </w:r>
    </w:p>
    <w:p>
      <w:pPr>
        <w:pStyle w:val="TextBody"/>
        <w:spacing w:before="240" w:after="0"/>
        <w:jc w:val="left"/>
        <w:rPr>
          <w:rFonts w:ascii="Times New Roman" w:hAnsi="Times New Roman"/>
          <w:sz w:val="20"/>
        </w:rPr>
      </w:pPr>
      <w:r>
        <w:rPr>
          <w:rFonts w:ascii="Times New Roman" w:hAnsi="Times New Roman"/>
          <w:sz w:val="20"/>
        </w:rPr>
        <w:t xml:space="preserve">Consistent with these considerations, after review of all relevant identified transactions and relationships between each director, or any of his or her family members, and the Company, its senior management and its registered independent public accounting firm, our Board has affirmatively determined that: (i) all of our directors, other than Mr. Hering, Dr. Meanwell and Ms. Berry, are independent within the meaning of Nasdaq Rule 5605(a)(2); (ii) Marc Elia, Tom Heyman and Michael Wyzga meet the additional test for independence for audit committee members imposed by Rule 10A-3 under the Exchange Act and Nasdaq Rule 5605(c)(2)(A); and (iii) Tom Heyman, Michael Wyzga and Christine Lindenboom meet the additional test for independence for compensation committee members imposed by Nasdaq Rule 5605(d)(2). In making this determination, our Board considered the relationships that each director has with us and all other facts and circumstances that our Board deemed relevant in determining their independence, including the beneficial ownership of our common stock by each director and such directors affiliated entities, any previous agreements or arrangements with us and any of our directors and, with respect to Dr. Meanwell and Ms. Berry, the Companys contractual arrangements with Population Health Partners, L.P. (PHP). </w:t>
      </w:r>
    </w:p>
    <w:p>
      <w:pPr>
        <w:pStyle w:val="TextBody"/>
        <w:spacing w:before="360" w:after="0"/>
        <w:jc w:val="left"/>
        <w:rPr>
          <w:rFonts w:ascii="Times New Roman" w:hAnsi="Times New Roman"/>
          <w:b/>
          <w:sz w:val="20"/>
        </w:rPr>
      </w:pPr>
      <w:bookmarkStart w:id="14" w:name="tx419064_12"/>
      <w:bookmarkEnd w:id="14"/>
      <w:r>
        <w:rPr>
          <w:rFonts w:ascii="Times New Roman" w:hAnsi="Times New Roman"/>
          <w:b/>
          <w:sz w:val="20"/>
        </w:rPr>
        <w:t xml:space="preserve">No Family Relationships </w:t>
      </w:r>
    </w:p>
    <w:p>
      <w:pPr>
        <w:pStyle w:val="TextBody"/>
        <w:spacing w:before="120" w:after="0"/>
        <w:jc w:val="left"/>
        <w:rPr>
          <w:rFonts w:ascii="Times New Roman" w:hAnsi="Times New Roman"/>
          <w:sz w:val="20"/>
        </w:rPr>
      </w:pPr>
      <w:r>
        <w:rPr>
          <w:rFonts w:ascii="Times New Roman" w:hAnsi="Times New Roman"/>
          <w:sz w:val="20"/>
        </w:rPr>
        <w:t xml:space="preserve">There are no family relationships between any of our executive officers, directors or director nominees. </w:t>
      </w:r>
    </w:p>
    <w:p>
      <w:pPr>
        <w:pStyle w:val="TextBody"/>
        <w:spacing w:before="360" w:after="0"/>
        <w:jc w:val="left"/>
        <w:rPr>
          <w:rFonts w:ascii="Times New Roman" w:hAnsi="Times New Roman"/>
          <w:b/>
          <w:sz w:val="20"/>
        </w:rPr>
      </w:pPr>
      <w:bookmarkStart w:id="15" w:name="tx419064_13"/>
      <w:bookmarkEnd w:id="15"/>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The roles of our Board Chairperson and the Chief Executive Officer are held by two different individuals, as we seek to maintain an appropriate balance between management and our Board. Currently, Marc Elia serves as our independent Board Chairperson, and David Hering serves as our Chief Executive Officer. Mr. Elia, as our Board Chairperson, has authority, among other things, to develop and approve an appropriate Board meeting schedule and meeting agendas in consultation with the Chief Executive Officer, to convene, moderate and develop the agendas for meetings of the independent members of our Board, and to preside over Board meetings when the Chief Executive Officer is not present or when Board or Chief Executive Officer performance or compensation is discussed. Accordingly, our Board Chairperson has substantial ability to shape the work of our Board. The Company believes that separation of the positions of Board Chairperson and Chief Executive Officer reinforces the independence of our Board in its oversight of the business and affairs of the Company. In addition, the Company believes that having an independent Board Chairperson creates an environment that is more conducive to objective evaluation and oversight of managements performance, increasing management accountability and improving the ability of our Board to monitor whether managements actions are in the best interests of the Company and its stockholders. As a result, the Company believes that having an independent Board Chairperson can enhance the effectiveness of our Board as a whole.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16" w:name="tx419064_14"/>
      <w:bookmarkEnd w:id="16"/>
      <w:r>
        <w:rPr>
          <w:rFonts w:ascii="Times New Roman" w:hAnsi="Times New Roman"/>
          <w:b/>
          <w:sz w:val="20"/>
        </w:rPr>
        <w:t xml:space="preserve">Role of the Board in Risk Oversight </w:t>
      </w:r>
    </w:p>
    <w:p>
      <w:pPr>
        <w:pStyle w:val="TextBody"/>
        <w:spacing w:before="120" w:after="0"/>
        <w:jc w:val="left"/>
        <w:rPr>
          <w:rFonts w:ascii="Times New Roman" w:hAnsi="Times New Roman"/>
          <w:sz w:val="20"/>
        </w:rPr>
      </w:pPr>
      <w:r>
        <w:rPr>
          <w:rFonts w:ascii="Times New Roman" w:hAnsi="Times New Roman"/>
          <w:sz w:val="20"/>
        </w:rPr>
        <w:t xml:space="preserve">One of our Boards key functions is informed oversight of the Companys risk management process. Our Board does not have a standing risk management committee, but rather administers this oversight function directly through our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 </w:t>
      </w:r>
    </w:p>
    <w:p>
      <w:pPr>
        <w:pStyle w:val="TextBody"/>
        <w:spacing w:before="240" w:after="0"/>
        <w:jc w:val="left"/>
        <w:rPr>
          <w:rFonts w:ascii="Times New Roman" w:hAnsi="Times New Roman"/>
          <w:sz w:val="20"/>
        </w:rPr>
      </w:pPr>
      <w:r>
        <w:rPr>
          <w:rFonts w:ascii="Times New Roman" w:hAnsi="Times New Roman"/>
          <w:sz w:val="20"/>
        </w:rPr>
        <w:t xml:space="preserve">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Furthermore the Audit Committee also is responsible for overseeing and reviewing with management the Companys major legal compliance risk exposures and the steps management has taken to monitor or mitigate such exposures, including the Companys procedures and any related policies with respect to risk assessment and risk management. Our Nominating and Corporate Governance Committee reviews and assesses our corporate governance guidelines and Code of Business Ethics and Conduct. Our Compensation Committee of our Board (the Compensation Committee) assesses and monitors whether any of our compensation policies and programs has the potential to encourage excessive risk-taking. Both our Board as a whole and the various standing committees receive periodic reports from management regarding material enterprise risks, as well as incidental reports as matters may arise. </w:t>
      </w:r>
    </w:p>
    <w:p>
      <w:pPr>
        <w:pStyle w:val="TextBody"/>
        <w:spacing w:before="480" w:after="0"/>
        <w:jc w:val="left"/>
        <w:rPr>
          <w:rFonts w:ascii="Times New Roman" w:hAnsi="Times New Roman"/>
          <w:b/>
          <w:sz w:val="20"/>
        </w:rPr>
      </w:pPr>
      <w:bookmarkStart w:id="17" w:name="tx419064_15"/>
      <w:bookmarkEnd w:id="17"/>
      <w:r>
        <w:rPr>
          <w:rFonts w:ascii="Times New Roman" w:hAnsi="Times New Roman"/>
          <w:b/>
          <w:sz w:val="20"/>
        </w:rPr>
        <w:t xml:space="preserve">Meetings of the Board and Annual Meeting Attendance </w:t>
      </w:r>
    </w:p>
    <w:p>
      <w:pPr>
        <w:pStyle w:val="TextBody"/>
        <w:spacing w:before="120" w:after="0"/>
        <w:jc w:val="left"/>
        <w:rPr>
          <w:rFonts w:ascii="Times New Roman" w:hAnsi="Times New Roman"/>
          <w:sz w:val="20"/>
        </w:rPr>
      </w:pPr>
      <w:r>
        <w:rPr>
          <w:rFonts w:ascii="Times New Roman" w:hAnsi="Times New Roman"/>
          <w:sz w:val="20"/>
        </w:rPr>
        <w:t xml:space="preserve">Our Board met 23 times during the last fiscal year. During 2022, each director attended at least 75% of (i) the number of Board meetings held during the period for which he or she has been a director and (ii) the total number of committee meetings held during the period for which he or she has served on each such committee. </w:t>
      </w:r>
    </w:p>
    <w:p>
      <w:pPr>
        <w:pStyle w:val="TextBody"/>
        <w:spacing w:before="240" w:after="0"/>
        <w:jc w:val="left"/>
        <w:rPr>
          <w:rFonts w:ascii="Times New Roman" w:hAnsi="Times New Roman"/>
          <w:sz w:val="20"/>
        </w:rPr>
      </w:pPr>
      <w:r>
        <w:rPr>
          <w:rFonts w:ascii="Times New Roman" w:hAnsi="Times New Roman"/>
          <w:sz w:val="20"/>
        </w:rPr>
        <w:t xml:space="preserve">Seven of the Companys then-serving directors attended the 2022 Annual Meeting of Stockholders. It is our policy to invite directors to attend the annual general meetings of shareholders.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18" w:name="tx419064_16"/>
      <w:bookmarkEnd w:id="18"/>
      <w:r>
        <w:rPr>
          <w:rFonts w:ascii="Times New Roman" w:hAnsi="Times New Roman"/>
          <w:b/>
          <w:sz w:val="20"/>
        </w:rPr>
        <w:t xml:space="preserve">Information Regarding Committees of the Board </w:t>
      </w:r>
    </w:p>
    <w:p>
      <w:pPr>
        <w:pStyle w:val="TextBody"/>
        <w:spacing w:before="120" w:after="0"/>
        <w:jc w:val="left"/>
        <w:rPr>
          <w:rFonts w:ascii="Times New Roman" w:hAnsi="Times New Roman"/>
          <w:sz w:val="20"/>
        </w:rPr>
      </w:pPr>
      <w:r>
        <w:rPr>
          <w:rFonts w:ascii="Times New Roman" w:hAnsi="Times New Roman"/>
          <w:sz w:val="20"/>
        </w:rPr>
        <w:t xml:space="preserve">Our Board has three standing committees: an Audit Committee, a Compensation Committee and a Nominating and Corporate Governance Committee. Each committee has adopted a written committee charter, which are available on the Companys website at www.investors.invivyd.com. </w:t>
      </w:r>
    </w:p>
    <w:p>
      <w:pPr>
        <w:pStyle w:val="TextBody"/>
        <w:spacing w:before="240" w:after="0"/>
        <w:jc w:val="left"/>
        <w:rPr>
          <w:rFonts w:ascii="Times New Roman" w:hAnsi="Times New Roman"/>
          <w:sz w:val="20"/>
        </w:rPr>
      </w:pPr>
      <w:r>
        <w:rPr>
          <w:rFonts w:ascii="Times New Roman" w:hAnsi="Times New Roman"/>
          <w:sz w:val="20"/>
        </w:rPr>
        <w:t xml:space="preserve">The current composition of each of our Boards committees and the number of meetings held during the last fiscal year for each committee is set forth in the following table, and a description of each committee of our Board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894"/>
        <w:gridCol w:w="300"/>
        <w:gridCol w:w="1224"/>
        <w:gridCol w:w="300"/>
        <w:gridCol w:w="1491"/>
        <w:gridCol w:w="300"/>
        <w:gridCol w:w="1696"/>
      </w:tblGrid>
      <w:tr>
        <w:trPr/>
        <w:tc>
          <w:tcPr>
            <w:tcW w:w="489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489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300" w:type="dxa"/>
            <w:tcBorders/>
            <w:shd w:fill="auto" w:val="clear"/>
            <w:vAlign w:val="bottom"/>
          </w:tcPr>
          <w:p>
            <w:pPr>
              <w:pStyle w:val="TableContents"/>
              <w:spacing w:before="0" w:after="283"/>
              <w:rPr/>
            </w:pPr>
            <w:r>
              <w:rPr/>
              <w:t>  </w:t>
            </w:r>
          </w:p>
        </w:tc>
        <w:tc>
          <w:tcPr>
            <w:tcW w:w="1224" w:type="dxa"/>
            <w:tcBorders>
              <w:bottom w:val="single" w:sz="8" w:space="0" w:color="000000"/>
            </w:tcBorders>
            <w:shd w:fill="auto" w:val="clear"/>
            <w:tcMar>
              <w:bottom w:w="28" w:type="dxa"/>
            </w:tcMar>
            <w:vAlign w:val="bottom"/>
          </w:tcPr>
          <w:p>
            <w:pPr>
              <w:pStyle w:val="TableContents"/>
              <w:spacing w:before="0" w:after="283"/>
              <w:jc w:val="center"/>
              <w:rPr/>
            </w:pPr>
            <w:r>
              <w:rPr>
                <w:b/>
              </w:rPr>
              <w:t>Audit</w:t>
            </w:r>
            <w:r>
              <w:rPr/>
              <w:br/>
            </w:r>
            <w:r>
              <w:rPr>
                <w:b/>
              </w:rPr>
              <w:t>Committee(1)</w:t>
            </w:r>
          </w:p>
        </w:tc>
        <w:tc>
          <w:tcPr>
            <w:tcW w:w="300" w:type="dxa"/>
            <w:tcBorders/>
            <w:shd w:fill="auto" w:val="clear"/>
            <w:vAlign w:val="bottom"/>
          </w:tcPr>
          <w:p>
            <w:pPr>
              <w:pStyle w:val="TableContents"/>
              <w:spacing w:before="0" w:after="283"/>
              <w:rPr/>
            </w:pPr>
            <w:r>
              <w:rPr/>
              <w:t>  </w:t>
            </w:r>
          </w:p>
        </w:tc>
        <w:tc>
          <w:tcPr>
            <w:tcW w:w="1491" w:type="dxa"/>
            <w:tcBorders>
              <w:bottom w:val="single" w:sz="8" w:space="0" w:color="000000"/>
            </w:tcBorders>
            <w:shd w:fill="auto" w:val="clear"/>
            <w:tcMar>
              <w:bottom w:w="28" w:type="dxa"/>
            </w:tcMar>
            <w:vAlign w:val="bottom"/>
          </w:tcPr>
          <w:p>
            <w:pPr>
              <w:pStyle w:val="TableContents"/>
              <w:spacing w:before="0" w:after="283"/>
              <w:jc w:val="center"/>
              <w:rPr>
                <w:b/>
              </w:rPr>
            </w:pPr>
            <w:r>
              <w:rPr>
                <w:b/>
              </w:rPr>
              <w:t>Compensation</w:t>
              <w:br/>
              <w:t>Committee(2)</w:t>
            </w:r>
          </w:p>
        </w:tc>
        <w:tc>
          <w:tcPr>
            <w:tcW w:w="300" w:type="dxa"/>
            <w:tcBorders/>
            <w:shd w:fill="auto" w:val="clear"/>
            <w:vAlign w:val="bottom"/>
          </w:tcPr>
          <w:p>
            <w:pPr>
              <w:pStyle w:val="TableContents"/>
              <w:spacing w:before="0" w:after="283"/>
              <w:rPr/>
            </w:pPr>
            <w:r>
              <w:rPr/>
              <w:t>  </w:t>
            </w:r>
          </w:p>
        </w:tc>
        <w:tc>
          <w:tcPr>
            <w:tcW w:w="1696" w:type="dxa"/>
            <w:tcBorders>
              <w:bottom w:val="single" w:sz="8" w:space="0" w:color="000000"/>
            </w:tcBorders>
            <w:shd w:fill="auto" w:val="clear"/>
            <w:tcMar>
              <w:bottom w:w="28" w:type="dxa"/>
            </w:tcMar>
            <w:vAlign w:val="bottom"/>
          </w:tcPr>
          <w:p>
            <w:pPr>
              <w:pStyle w:val="TableContents"/>
              <w:spacing w:before="0" w:after="283"/>
              <w:jc w:val="center"/>
              <w:rPr>
                <w:b/>
              </w:rPr>
            </w:pPr>
            <w:r>
              <w:rPr>
                <w:b/>
              </w:rPr>
              <w:t>Nominating and</w:t>
              <w:br/>
              <w:t>Corporate</w:t>
              <w:br/>
              <w:t>Governance</w:t>
              <w:br/>
              <w:t>Committee(3)</w:t>
            </w:r>
          </w:p>
        </w:tc>
      </w:tr>
      <w:tr>
        <w:trPr/>
        <w:tc>
          <w:tcPr>
            <w:tcW w:w="4894" w:type="dxa"/>
            <w:tcBorders/>
            <w:shd w:fill="CCEEFF" w:val="clear"/>
            <w:vAlign w:val="bottom"/>
          </w:tcPr>
          <w:p>
            <w:pPr>
              <w:pStyle w:val="TableContents"/>
              <w:spacing w:before="0" w:after="283"/>
              <w:rPr/>
            </w:pPr>
            <w:r>
              <w:rPr/>
              <w:t>Tamsin Berry(4)</w:t>
            </w:r>
          </w:p>
        </w:tc>
        <w:tc>
          <w:tcPr>
            <w:tcW w:w="30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696" w:type="dxa"/>
            <w:tcBorders/>
            <w:shd w:fill="CCEEFF" w:val="clear"/>
            <w:vAlign w:val="bottom"/>
          </w:tcPr>
          <w:p>
            <w:pPr>
              <w:pStyle w:val="TableContents"/>
              <w:spacing w:before="0" w:after="283"/>
              <w:rPr>
                <w:sz w:val="4"/>
                <w:szCs w:val="4"/>
              </w:rPr>
            </w:pPr>
            <w:r>
              <w:rPr>
                <w:sz w:val="4"/>
                <w:szCs w:val="4"/>
              </w:rPr>
            </w:r>
          </w:p>
        </w:tc>
      </w:tr>
      <w:tr>
        <w:trPr/>
        <w:tc>
          <w:tcPr>
            <w:tcW w:w="4894" w:type="dxa"/>
            <w:tcBorders/>
            <w:shd w:fill="auto" w:val="clear"/>
            <w:vAlign w:val="bottom"/>
          </w:tcPr>
          <w:p>
            <w:pPr>
              <w:pStyle w:val="TableContents"/>
              <w:spacing w:before="0" w:after="283"/>
              <w:rPr>
                <w:sz w:val="20"/>
              </w:rPr>
            </w:pPr>
            <w:r>
              <w:rPr>
                <w:sz w:val="20"/>
              </w:rPr>
              <w:t>Marc Elia</w:t>
            </w:r>
          </w:p>
        </w:tc>
        <w:tc>
          <w:tcPr>
            <w:tcW w:w="30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center"/>
              <w:rPr/>
            </w:pPr>
            <w:r>
              <w:rPr/>
              <w:drawing>
                <wp:inline distT="0" distB="0" distL="0" distR="0">
                  <wp:extent cx="219075"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9075" cy="219075"/>
                          </a:xfrm>
                          <a:prstGeom prst="rect">
                            <a:avLst/>
                          </a:prstGeom>
                        </pic:spPr>
                      </pic:pic>
                    </a:graphicData>
                  </a:graphic>
                </wp:inline>
              </w:drawing>
            </w:r>
            <w:r>
              <w:rPr/>
              <w:t xml:space="preserve"> </w:t>
            </w:r>
          </w:p>
        </w:tc>
        <w:tc>
          <w:tcPr>
            <w:tcW w:w="300"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96" w:type="dxa"/>
            <w:tcBorders/>
            <w:shd w:fill="auto" w:val="clear"/>
            <w:vAlign w:val="bottom"/>
          </w:tcPr>
          <w:p>
            <w:pPr>
              <w:pStyle w:val="TableContents"/>
              <w:spacing w:before="0" w:after="283"/>
              <w:jc w:val="center"/>
              <w:rPr/>
            </w:pPr>
            <w:r>
              <w:rPr/>
              <w:drawing>
                <wp:inline distT="0" distB="0" distL="0" distR="0">
                  <wp:extent cx="219075"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9075" cy="219075"/>
                          </a:xfrm>
                          <a:prstGeom prst="rect">
                            <a:avLst/>
                          </a:prstGeom>
                        </pic:spPr>
                      </pic:pic>
                    </a:graphicData>
                  </a:graphic>
                </wp:inline>
              </w:drawing>
            </w:r>
            <w:r>
              <w:rPr/>
              <w:t xml:space="preserve"> </w:t>
            </w:r>
          </w:p>
        </w:tc>
      </w:tr>
      <w:tr>
        <w:trPr/>
        <w:tc>
          <w:tcPr>
            <w:tcW w:w="4894" w:type="dxa"/>
            <w:tcBorders/>
            <w:shd w:fill="CCEEFF" w:val="clear"/>
            <w:vAlign w:val="bottom"/>
          </w:tcPr>
          <w:p>
            <w:pPr>
              <w:pStyle w:val="TableContents"/>
              <w:spacing w:before="0" w:after="283"/>
              <w:rPr/>
            </w:pPr>
            <w:r>
              <w:rPr/>
              <w:t>David Hering, M.B.A</w:t>
            </w:r>
          </w:p>
        </w:tc>
        <w:tc>
          <w:tcPr>
            <w:tcW w:w="30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696" w:type="dxa"/>
            <w:tcBorders/>
            <w:shd w:fill="CCEEFF" w:val="clear"/>
            <w:vAlign w:val="bottom"/>
          </w:tcPr>
          <w:p>
            <w:pPr>
              <w:pStyle w:val="TableContents"/>
              <w:spacing w:before="0" w:after="283"/>
              <w:rPr>
                <w:sz w:val="4"/>
                <w:szCs w:val="4"/>
              </w:rPr>
            </w:pPr>
            <w:r>
              <w:rPr>
                <w:sz w:val="4"/>
                <w:szCs w:val="4"/>
              </w:rPr>
            </w:r>
          </w:p>
        </w:tc>
      </w:tr>
      <w:tr>
        <w:trPr/>
        <w:tc>
          <w:tcPr>
            <w:tcW w:w="4894" w:type="dxa"/>
            <w:tcBorders/>
            <w:shd w:fill="auto" w:val="clear"/>
            <w:vAlign w:val="bottom"/>
          </w:tcPr>
          <w:p>
            <w:pPr>
              <w:pStyle w:val="TableContents"/>
              <w:spacing w:before="0" w:after="283"/>
              <w:rPr>
                <w:sz w:val="20"/>
              </w:rPr>
            </w:pPr>
            <w:r>
              <w:rPr>
                <w:sz w:val="20"/>
              </w:rPr>
              <w:t>Tom Heyman(4)</w:t>
            </w:r>
          </w:p>
        </w:tc>
        <w:tc>
          <w:tcPr>
            <w:tcW w:w="30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center"/>
              <w:rPr/>
            </w:pPr>
            <w:r>
              <w:rPr/>
              <w:drawing>
                <wp:inline distT="0" distB="0" distL="0" distR="0">
                  <wp:extent cx="257175"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7175" cy="257175"/>
                          </a:xfrm>
                          <a:prstGeom prst="rect">
                            <a:avLst/>
                          </a:prstGeom>
                        </pic:spPr>
                      </pic:pic>
                    </a:graphicData>
                  </a:graphic>
                </wp:inline>
              </w:drawing>
            </w:r>
            <w:r>
              <w:rPr/>
              <w:t xml:space="preserve"> </w:t>
            </w:r>
          </w:p>
        </w:tc>
        <w:tc>
          <w:tcPr>
            <w:tcW w:w="300"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center"/>
              <w:rPr/>
            </w:pPr>
            <w:r>
              <w:rPr/>
              <w:drawing>
                <wp:inline distT="0" distB="0" distL="0" distR="0">
                  <wp:extent cx="219075" cy="219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9075" cy="219075"/>
                          </a:xfrm>
                          <a:prstGeom prst="rect">
                            <a:avLst/>
                          </a:prstGeom>
                        </pic:spPr>
                      </pic:pic>
                    </a:graphicData>
                  </a:graphic>
                </wp:inline>
              </w:drawing>
            </w:r>
            <w:r>
              <w:rPr/>
              <w:t xml:space="preserve"> </w:t>
            </w:r>
          </w:p>
        </w:tc>
        <w:tc>
          <w:tcPr>
            <w:tcW w:w="300" w:type="dxa"/>
            <w:tcBorders/>
            <w:shd w:fill="auto" w:val="clear"/>
            <w:vAlign w:val="bottom"/>
          </w:tcPr>
          <w:p>
            <w:pPr>
              <w:pStyle w:val="TableContents"/>
              <w:spacing w:before="0" w:after="283"/>
              <w:rPr/>
            </w:pPr>
            <w:r>
              <w:rPr/>
              <w:t>  </w:t>
            </w:r>
          </w:p>
        </w:tc>
        <w:tc>
          <w:tcPr>
            <w:tcW w:w="1696" w:type="dxa"/>
            <w:tcBorders/>
            <w:shd w:fill="auto" w:val="clear"/>
            <w:vAlign w:val="bottom"/>
          </w:tcPr>
          <w:p>
            <w:pPr>
              <w:pStyle w:val="TableContents"/>
              <w:spacing w:before="0" w:after="283"/>
              <w:rPr>
                <w:sz w:val="4"/>
                <w:szCs w:val="4"/>
              </w:rPr>
            </w:pPr>
            <w:r>
              <w:rPr>
                <w:sz w:val="4"/>
                <w:szCs w:val="4"/>
              </w:rPr>
            </w:r>
          </w:p>
        </w:tc>
      </w:tr>
      <w:tr>
        <w:trPr/>
        <w:tc>
          <w:tcPr>
            <w:tcW w:w="4894" w:type="dxa"/>
            <w:tcBorders/>
            <w:shd w:fill="CCEEFF" w:val="clear"/>
            <w:vAlign w:val="bottom"/>
          </w:tcPr>
          <w:p>
            <w:pPr>
              <w:pStyle w:val="TableContents"/>
              <w:spacing w:before="0" w:after="283"/>
              <w:rPr>
                <w:sz w:val="20"/>
              </w:rPr>
            </w:pPr>
            <w:r>
              <w:rPr>
                <w:sz w:val="20"/>
              </w:rPr>
              <w:t>Christine Lindenboom</w:t>
            </w:r>
          </w:p>
        </w:tc>
        <w:tc>
          <w:tcPr>
            <w:tcW w:w="30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center"/>
              <w:rPr/>
            </w:pPr>
            <w:r>
              <w:rPr/>
              <w:drawing>
                <wp:inline distT="0" distB="0" distL="0" distR="0">
                  <wp:extent cx="257175"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7175" cy="257175"/>
                          </a:xfrm>
                          <a:prstGeom prst="rect">
                            <a:avLst/>
                          </a:prstGeom>
                        </pic:spPr>
                      </pic:pic>
                    </a:graphicData>
                  </a:graphic>
                </wp:inline>
              </w:drawing>
            </w:r>
            <w:r>
              <w:rPr/>
              <w:t xml:space="preserve"> </w:t>
            </w:r>
          </w:p>
        </w:tc>
        <w:tc>
          <w:tcPr>
            <w:tcW w:w="300" w:type="dxa"/>
            <w:tcBorders/>
            <w:shd w:fill="CCEEFF" w:val="clear"/>
            <w:vAlign w:val="bottom"/>
          </w:tcPr>
          <w:p>
            <w:pPr>
              <w:pStyle w:val="TableContents"/>
              <w:spacing w:before="0" w:after="283"/>
              <w:rPr/>
            </w:pPr>
            <w:r>
              <w:rPr/>
              <w:t>  </w:t>
            </w:r>
          </w:p>
        </w:tc>
        <w:tc>
          <w:tcPr>
            <w:tcW w:w="1696" w:type="dxa"/>
            <w:tcBorders/>
            <w:shd w:fill="CCEEFF" w:val="clear"/>
            <w:vAlign w:val="bottom"/>
          </w:tcPr>
          <w:p>
            <w:pPr>
              <w:pStyle w:val="TableContents"/>
              <w:spacing w:before="0" w:after="283"/>
              <w:jc w:val="center"/>
              <w:rPr/>
            </w:pPr>
            <w:r>
              <w:rPr/>
              <w:drawing>
                <wp:inline distT="0" distB="0" distL="0" distR="0">
                  <wp:extent cx="257175"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7175" cy="257175"/>
                          </a:xfrm>
                          <a:prstGeom prst="rect">
                            <a:avLst/>
                          </a:prstGeom>
                        </pic:spPr>
                      </pic:pic>
                    </a:graphicData>
                  </a:graphic>
                </wp:inline>
              </w:drawing>
            </w:r>
            <w:r>
              <w:rPr/>
              <w:t xml:space="preserve"> </w:t>
            </w:r>
          </w:p>
        </w:tc>
      </w:tr>
      <w:tr>
        <w:trPr/>
        <w:tc>
          <w:tcPr>
            <w:tcW w:w="4894" w:type="dxa"/>
            <w:tcBorders/>
            <w:shd w:fill="auto" w:val="clear"/>
          </w:tcPr>
          <w:p>
            <w:pPr>
              <w:pStyle w:val="TableContents"/>
              <w:spacing w:before="0" w:after="0"/>
              <w:rPr>
                <w:rFonts w:ascii="Times New Roman" w:hAnsi="Times New Roman"/>
                <w:sz w:val="20"/>
              </w:rPr>
            </w:pPr>
            <w:r>
              <w:rPr>
                <w:rFonts w:ascii="Times New Roman" w:hAnsi="Times New Roman"/>
                <w:sz w:val="20"/>
              </w:rPr>
              <w:t>Terrance McGuire</w:t>
            </w:r>
          </w:p>
        </w:tc>
        <w:tc>
          <w:tcPr>
            <w:tcW w:w="30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96" w:type="dxa"/>
            <w:tcBorders/>
            <w:shd w:fill="auto" w:val="clear"/>
            <w:vAlign w:val="bottom"/>
          </w:tcPr>
          <w:p>
            <w:pPr>
              <w:pStyle w:val="TableContents"/>
              <w:spacing w:before="0" w:after="283"/>
              <w:jc w:val="center"/>
              <w:rPr/>
            </w:pPr>
            <w:r>
              <w:rPr/>
              <w:drawing>
                <wp:inline distT="0" distB="0" distL="0" distR="0">
                  <wp:extent cx="257175"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7175" cy="257175"/>
                          </a:xfrm>
                          <a:prstGeom prst="rect">
                            <a:avLst/>
                          </a:prstGeom>
                        </pic:spPr>
                      </pic:pic>
                    </a:graphicData>
                  </a:graphic>
                </wp:inline>
              </w:drawing>
            </w:r>
            <w:r>
              <w:rPr/>
              <w:t xml:space="preserve"> </w:t>
            </w:r>
          </w:p>
        </w:tc>
      </w:tr>
      <w:tr>
        <w:trPr/>
        <w:tc>
          <w:tcPr>
            <w:tcW w:w="4894" w:type="dxa"/>
            <w:tcBorders/>
            <w:shd w:fill="CCEEFF" w:val="clear"/>
          </w:tcPr>
          <w:p>
            <w:pPr>
              <w:pStyle w:val="TableContents"/>
              <w:spacing w:before="0" w:after="0"/>
              <w:rPr>
                <w:rFonts w:ascii="Times New Roman" w:hAnsi="Times New Roman"/>
                <w:sz w:val="20"/>
              </w:rPr>
            </w:pPr>
            <w:r>
              <w:rPr>
                <w:rFonts w:ascii="Times New Roman" w:hAnsi="Times New Roman"/>
                <w:sz w:val="20"/>
              </w:rPr>
              <w:t>Clive A. Meanwell, M.D.(5)</w:t>
            </w:r>
          </w:p>
        </w:tc>
        <w:tc>
          <w:tcPr>
            <w:tcW w:w="30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696" w:type="dxa"/>
            <w:tcBorders/>
            <w:shd w:fill="CCEEFF" w:val="clear"/>
            <w:vAlign w:val="bottom"/>
          </w:tcPr>
          <w:p>
            <w:pPr>
              <w:pStyle w:val="TableContents"/>
              <w:spacing w:before="0" w:after="283"/>
              <w:rPr>
                <w:sz w:val="4"/>
                <w:szCs w:val="4"/>
              </w:rPr>
            </w:pPr>
            <w:r>
              <w:rPr>
                <w:sz w:val="4"/>
                <w:szCs w:val="4"/>
              </w:rPr>
            </w:r>
          </w:p>
        </w:tc>
      </w:tr>
      <w:tr>
        <w:trPr/>
        <w:tc>
          <w:tcPr>
            <w:tcW w:w="4894" w:type="dxa"/>
            <w:tcBorders/>
            <w:shd w:fill="auto" w:val="clear"/>
          </w:tcPr>
          <w:p>
            <w:pPr>
              <w:pStyle w:val="TableContents"/>
              <w:spacing w:before="0" w:after="0"/>
              <w:rPr>
                <w:rFonts w:ascii="Times New Roman" w:hAnsi="Times New Roman"/>
                <w:sz w:val="20"/>
              </w:rPr>
            </w:pPr>
            <w:r>
              <w:rPr>
                <w:rFonts w:ascii="Times New Roman" w:hAnsi="Times New Roman"/>
                <w:sz w:val="20"/>
              </w:rPr>
              <w:t>Michael S. Wyzga</w:t>
            </w:r>
          </w:p>
        </w:tc>
        <w:tc>
          <w:tcPr>
            <w:tcW w:w="30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center"/>
              <w:rPr/>
            </w:pPr>
            <w:r>
              <w:rPr/>
              <w:drawing>
                <wp:inline distT="0" distB="0" distL="0" distR="0">
                  <wp:extent cx="219075" cy="21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9075" cy="219075"/>
                          </a:xfrm>
                          <a:prstGeom prst="rect">
                            <a:avLst/>
                          </a:prstGeom>
                        </pic:spPr>
                      </pic:pic>
                    </a:graphicData>
                  </a:graphic>
                </wp:inline>
              </w:drawing>
            </w:r>
            <w:r>
              <w:rPr/>
              <w:t xml:space="preserve"> </w:t>
            </w:r>
          </w:p>
        </w:tc>
        <w:tc>
          <w:tcPr>
            <w:tcW w:w="300"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center"/>
              <w:rPr/>
            </w:pPr>
            <w:r>
              <w:rPr/>
              <w:drawing>
                <wp:inline distT="0" distB="0" distL="0" distR="0">
                  <wp:extent cx="257175" cy="257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7175" cy="257175"/>
                          </a:xfrm>
                          <a:prstGeom prst="rect">
                            <a:avLst/>
                          </a:prstGeom>
                        </pic:spPr>
                      </pic:pic>
                    </a:graphicData>
                  </a:graphic>
                </wp:inline>
              </w:drawing>
            </w:r>
            <w:r>
              <w:rPr/>
              <w:t xml:space="preserve"> </w:t>
            </w:r>
          </w:p>
        </w:tc>
        <w:tc>
          <w:tcPr>
            <w:tcW w:w="300" w:type="dxa"/>
            <w:tcBorders/>
            <w:shd w:fill="auto" w:val="clear"/>
            <w:vAlign w:val="bottom"/>
          </w:tcPr>
          <w:p>
            <w:pPr>
              <w:pStyle w:val="TableContents"/>
              <w:spacing w:before="0" w:after="283"/>
              <w:rPr/>
            </w:pPr>
            <w:r>
              <w:rPr/>
              <w:t>  </w:t>
            </w:r>
          </w:p>
        </w:tc>
        <w:tc>
          <w:tcPr>
            <w:tcW w:w="1696" w:type="dxa"/>
            <w:tcBorders/>
            <w:shd w:fill="auto" w:val="clear"/>
            <w:vAlign w:val="bottom"/>
          </w:tcPr>
          <w:p>
            <w:pPr>
              <w:pStyle w:val="TableContents"/>
              <w:spacing w:before="0" w:after="283"/>
              <w:rPr>
                <w:sz w:val="4"/>
                <w:szCs w:val="4"/>
              </w:rPr>
            </w:pPr>
            <w:r>
              <w:rPr>
                <w:sz w:val="4"/>
                <w:szCs w:val="4"/>
              </w:rPr>
            </w:r>
          </w:p>
        </w:tc>
      </w:tr>
      <w:tr>
        <w:trPr/>
        <w:tc>
          <w:tcPr>
            <w:tcW w:w="489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meetings in fiscal year 2022</w:t>
            </w:r>
          </w:p>
        </w:tc>
        <w:tc>
          <w:tcPr>
            <w:tcW w:w="30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center"/>
              <w:rPr>
                <w:b/>
              </w:rPr>
            </w:pPr>
            <w:r>
              <w:rPr>
                <w:b/>
              </w:rPr>
              <w:t>10</w:t>
            </w:r>
          </w:p>
        </w:tc>
        <w:tc>
          <w:tcPr>
            <w:tcW w:w="300"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center"/>
              <w:rPr>
                <w:b/>
              </w:rPr>
            </w:pPr>
            <w:r>
              <w:rPr>
                <w:b/>
              </w:rPr>
              <w:t>11</w:t>
            </w:r>
          </w:p>
        </w:tc>
        <w:tc>
          <w:tcPr>
            <w:tcW w:w="300" w:type="dxa"/>
            <w:tcBorders/>
            <w:shd w:fill="CCEEFF" w:val="clear"/>
            <w:vAlign w:val="bottom"/>
          </w:tcPr>
          <w:p>
            <w:pPr>
              <w:pStyle w:val="TableContents"/>
              <w:spacing w:before="0" w:after="283"/>
              <w:rPr/>
            </w:pPr>
            <w:r>
              <w:rPr/>
              <w:t>  </w:t>
            </w:r>
          </w:p>
        </w:tc>
        <w:tc>
          <w:tcPr>
            <w:tcW w:w="1696" w:type="dxa"/>
            <w:tcBorders/>
            <w:shd w:fill="CCEEFF" w:val="clear"/>
            <w:vAlign w:val="bottom"/>
          </w:tcPr>
          <w:p>
            <w:pPr>
              <w:pStyle w:val="TableContents"/>
              <w:spacing w:before="0" w:after="283"/>
              <w:jc w:val="center"/>
              <w:rPr>
                <w:b/>
              </w:rPr>
            </w:pPr>
            <w:r>
              <w:rPr>
                <w:b/>
              </w:rPr>
              <w:t>4</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drawing>
          <wp:inline distT="0" distB="0" distL="0" distR="0">
            <wp:extent cx="257175" cy="257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7175" cy="257175"/>
                    </a:xfrm>
                    <a:prstGeom prst="rect">
                      <a:avLst/>
                    </a:prstGeom>
                  </pic:spPr>
                </pic:pic>
              </a:graphicData>
            </a:graphic>
          </wp:inline>
        </w:drawing>
      </w:r>
      <w:r>
        <w:rPr/>
        <w:t xml:space="preserve">   </w:t>
      </w:r>
      <w:r>
        <w:rPr>
          <w:rFonts w:ascii="Times New Roman" w:hAnsi="Times New Roman"/>
          <w:sz w:val="20"/>
        </w:rPr>
        <w:t xml:space="preserve">= Member </w:t>
      </w:r>
    </w:p>
    <w:p>
      <w:pPr>
        <w:pStyle w:val="TextBody"/>
        <w:spacing w:before="0" w:after="0"/>
        <w:jc w:val="left"/>
        <w:rPr/>
      </w:pPr>
      <w:r>
        <w:rPr/>
        <w:drawing>
          <wp:inline distT="0" distB="0" distL="0" distR="0">
            <wp:extent cx="219075" cy="219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19075" cy="219075"/>
                    </a:xfrm>
                    <a:prstGeom prst="rect">
                      <a:avLst/>
                    </a:prstGeom>
                  </pic:spPr>
                </pic:pic>
              </a:graphicData>
            </a:graphic>
          </wp:inline>
        </w:drawing>
      </w:r>
      <w:r>
        <w:rPr/>
        <w:t xml:space="preserve">   </w:t>
      </w:r>
      <w:r>
        <w:rPr>
          <w:rFonts w:ascii="Times New Roman" w:hAnsi="Times New Roman"/>
          <w:sz w:val="20"/>
        </w:rPr>
        <w:t xml:space="preserve">= Committee Chairperson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Rene Russo, Pharm.D., a former member of our Board, served on the Audit Committee. Dr. Russo did not stand for re-election at the 2022 Annual Meeting of Stockholders held on June 22, 2022, upon which time she ceased to be a member of our Board, including the Audit Committee. </w:t>
            </w:r>
          </w:p>
        </w:tc>
      </w:tr>
    </w:tbl>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Howard Mayer, M.D., and Redonda Miller, M.D., M.B.A., former members of our Board, served on the Compensation Committee prior to their resignations from our Board, including the Compensation Committee, on June 24, 2022 and October 20, 2022, respectively. </w:t>
            </w:r>
          </w:p>
        </w:tc>
      </w:tr>
    </w:tbl>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Anand Shah, M.D., a former member of our Board, served on the Nominating and Corporate Governance Committee. Dr. Shah resigned from our Board, including the Nominating and Corporate Governance Committee, on June 22, 2022. Ellen Marram, M.B.A., a former member of our Board, served on the Nominating and Corporate Governance Committee. Ms. Marram did not stand for re-election at the 2022 Annual Meeting of Stockholders held on June 22, 2022, upon which time she ceased to be a member of our Board, including the Nominating and Corporate Governance Committee. </w:t>
            </w:r>
          </w:p>
        </w:tc>
      </w:tr>
    </w:tbl>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(4)</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Tamsin Berry and Tom Heyman served on the Nominating and Corporate Governance Committee for a portion of 2022, but neither currently serve on the Nominating and Corporate Governance Committee. </w:t>
            </w:r>
          </w:p>
        </w:tc>
      </w:tr>
    </w:tbl>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Clive A. Meanwell, M.D., served on the Compensation Committee for a portion of 2022, but does not currently serve on the Compensation Committee. </w:t>
            </w:r>
          </w:p>
        </w:tc>
      </w:tr>
    </w:tbl>
    <w:p>
      <w:pPr>
        <w:pStyle w:val="TextBody"/>
        <w:spacing w:before="240" w:after="0"/>
        <w:jc w:val="left"/>
        <w:rPr>
          <w:rFonts w:ascii="Times New Roman" w:hAnsi="Times New Roman"/>
          <w:sz w:val="20"/>
        </w:rPr>
      </w:pPr>
      <w:r>
        <w:rPr>
          <w:rFonts w:ascii="Times New Roman" w:hAnsi="Times New Roman"/>
          <w:sz w:val="20"/>
        </w:rPr>
        <w:t xml:space="preserve">Each of the committees has authority to engage legal counsel or other experts or consultants, at the expense of the Company, as it deems necessary or appropriate to carry out its responsibilities. Our Board has determined that each member of each committee meets the applicable Nasdaq rules and regulations regarding independence and each member is free of any relationship that would impair his or her individual exercise of independent judgment with regard to the Company. </w:t>
      </w:r>
    </w:p>
    <w:p>
      <w:pPr>
        <w:pStyle w:val="TextBody"/>
        <w:spacing w:before="360" w:after="0"/>
        <w:jc w:val="left"/>
        <w:rPr>
          <w:rFonts w:ascii="Times New Roman" w:hAnsi="Times New Roman"/>
          <w:b/>
          <w:sz w:val="20"/>
        </w:rPr>
      </w:pPr>
      <w:bookmarkStart w:id="19" w:name="tx419064_17"/>
      <w:bookmarkEnd w:id="19"/>
      <w:r>
        <w:rPr>
          <w:rFonts w:ascii="Times New Roman" w:hAnsi="Times New Roman"/>
          <w:b/>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The primary purpose of our Audit Committee is to oversee the Companys corporate accounting and financial reporting processes and the annual audit of its financial statements. For this purpose, the Audit Committee performs several functions. The principal duties and responsibilities of our Audit Committee include,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 the performance and assesses the independence and qualifications of the independent auditors;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determine and approve the engagement of the independent auditors;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determine whether to retain or terminate the existing independent auditors or to appoint and engage new independent auditors;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approve the retention of the independent auditors to perform any proposed permissible non-audit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monitor the rotation of partners of the independent auditors on the Companys audit engagement team as required by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confer with management and the independent auditors regarding the effectiveness of internal control over financial reporting;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the Companys annual audited financial statements and quarterly financial statements with management and the independent auditors, including a review of the Companys disclosures under Managements Discussion and Analysis of Financial Condition and Results of Operations, and to recommend whether such financial statements should be included in our Annual Report on Form 10-K and our Quarterly Reports on 10-Q,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approve or disapprove all related persons transactions on an ongoing basis. </w:t>
            </w:r>
          </w:p>
        </w:tc>
      </w:tr>
    </w:tbl>
    <w:p>
      <w:pPr>
        <w:pStyle w:val="TextBody"/>
        <w:spacing w:before="240" w:after="0"/>
        <w:jc w:val="left"/>
        <w:rPr>
          <w:rFonts w:ascii="Times New Roman" w:hAnsi="Times New Roman"/>
          <w:sz w:val="20"/>
        </w:rPr>
      </w:pPr>
      <w:r>
        <w:rPr>
          <w:rFonts w:ascii="Times New Roman" w:hAnsi="Times New Roman"/>
          <w:sz w:val="20"/>
        </w:rPr>
        <w:t xml:space="preserve">Our Board has determined that Mr. Wyzga qualifies as an audit committee financial expert, as defined in applicable SEC rules. Our Board made a qualitative assessment of Mr. Wyzgas level of knowledge and experience based on a number of factors, including Mr. Wyzgas formal education and his experience as a chief executive officer, chief financial officer and member of the audit committee of the boards of directors of other public companies. </w:t>
      </w:r>
    </w:p>
    <w:p>
      <w:pPr>
        <w:pStyle w:val="TextBody"/>
        <w:spacing w:before="360" w:after="0"/>
        <w:jc w:val="left"/>
        <w:rPr>
          <w:rFonts w:ascii="Times New Roman" w:hAnsi="Times New Roman"/>
          <w:b/>
          <w:sz w:val="20"/>
        </w:rPr>
      </w:pPr>
      <w:bookmarkStart w:id="20" w:name="tx419064_18"/>
      <w:bookmarkEnd w:id="20"/>
      <w:r>
        <w:rPr>
          <w:rFonts w:ascii="Times New Roman" w:hAnsi="Times New Roman"/>
          <w:b/>
          <w:sz w:val="20"/>
        </w:rPr>
        <w:t xml:space="preserve">Report of the Audit Committee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The Audit Committee has reviewed and discussed the audited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Companys audited financial statements be included in the Companys Annual Report on Form 10-K for the fiscal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Michael S. Wyzga, Chairperson </w:t>
      </w:r>
    </w:p>
    <w:p>
      <w:pPr>
        <w:pStyle w:val="TextBody"/>
        <w:spacing w:before="0" w:after="0"/>
        <w:jc w:val="left"/>
        <w:rPr>
          <w:rFonts w:ascii="Times New Roman" w:hAnsi="Times New Roman"/>
          <w:sz w:val="20"/>
        </w:rPr>
      </w:pPr>
      <w:r>
        <w:rPr>
          <w:rFonts w:ascii="Times New Roman" w:hAnsi="Times New Roman"/>
          <w:sz w:val="20"/>
        </w:rPr>
        <w:t xml:space="preserve">Tom Heyman </w:t>
      </w:r>
    </w:p>
    <w:p>
      <w:pPr>
        <w:pStyle w:val="TextBody"/>
        <w:spacing w:before="0" w:after="0"/>
        <w:jc w:val="left"/>
        <w:rPr>
          <w:rFonts w:ascii="Times New Roman" w:hAnsi="Times New Roman"/>
          <w:sz w:val="20"/>
        </w:rPr>
      </w:pPr>
      <w:r>
        <w:rPr>
          <w:rFonts w:ascii="Times New Roman" w:hAnsi="Times New Roman"/>
          <w:sz w:val="20"/>
        </w:rPr>
        <w:t xml:space="preserve">Marc Elia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i/>
              </w:rPr>
            </w:pPr>
            <w:r>
              <w:rPr>
                <w:i/>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 except to the extent we specifically incorporate such report by reference therein.</w:t>
            </w:r>
            <w:r>
              <w:rPr>
                <w:rFonts w:ascii="Times New Roman" w:hAnsi="Times New Roman"/>
                <w:sz w:val="20"/>
              </w:rPr>
              <w:t xml:space="preserve"> </w:t>
            </w:r>
          </w:p>
        </w:tc>
      </w:tr>
    </w:tbl>
    <w:p>
      <w:pPr>
        <w:pStyle w:val="TextBody"/>
        <w:spacing w:before="480" w:after="0"/>
        <w:jc w:val="left"/>
        <w:rPr>
          <w:rFonts w:ascii="Times New Roman" w:hAnsi="Times New Roman"/>
          <w:b/>
          <w:sz w:val="20"/>
        </w:rPr>
      </w:pPr>
      <w:bookmarkStart w:id="21" w:name="tx419064_19"/>
      <w:bookmarkEnd w:id="21"/>
      <w:r>
        <w:rPr>
          <w:rFonts w:ascii="Times New Roman" w:hAnsi="Times New Roman"/>
          <w:b/>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The primary purpose of our Compensation Committee is to act on behalf of our Board to oversee the Companys compensation policies, plans and programs, to review and determine (or recommend to our Board for approval) the compensation to be paid to the Companys executive officers and directors, and to assist our Board in its oversight of the Companys strategies relating to culture and human capital leadership,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approval (or review and recommendation to our Board for approval) of corporate and individual performance objectives relevant to the compensation of the Companys executive officers and evaluation of performance in light of these stated objectives;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approval (or review and recommendation to our Board for approval) of the compensation and other terms of employment or service, including severance and change-in-control arrangements, of the Companys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administration of the Companys equity compensation plans and any other similar plans and programs that the Compensation Committee may evaluate and approve from time to time, such as pension and profit-sharing plans or deferred compensation plans;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recommendation to our Board of the type and amount of compensation to be paid or awarded to non-employee directors. </w:t>
            </w:r>
          </w:p>
        </w:tc>
      </w:tr>
    </w:tbl>
    <w:p>
      <w:pPr>
        <w:pStyle w:val="TextBody"/>
        <w:spacing w:before="360" w:after="0"/>
        <w:jc w:val="left"/>
        <w:rPr>
          <w:rFonts w:ascii="Times New Roman" w:hAnsi="Times New Roman"/>
          <w:i/>
          <w:sz w:val="20"/>
        </w:rPr>
      </w:pPr>
      <w:r>
        <w:rPr>
          <w:rFonts w:ascii="Times New Roman" w:hAnsi="Times New Roman"/>
          <w:i/>
          <w:sz w:val="20"/>
        </w:rPr>
        <w:t xml:space="preserve">Compensation Committee Processes and Procedures </w:t>
      </w:r>
    </w:p>
    <w:p>
      <w:pPr>
        <w:pStyle w:val="TextBody"/>
        <w:spacing w:before="120" w:after="0"/>
        <w:jc w:val="left"/>
        <w:rPr>
          <w:rFonts w:ascii="Times New Roman" w:hAnsi="Times New Roman"/>
          <w:sz w:val="20"/>
        </w:rPr>
      </w:pPr>
      <w:r>
        <w:rPr>
          <w:rFonts w:ascii="Times New Roman" w:hAnsi="Times New Roman"/>
          <w:sz w:val="20"/>
        </w:rPr>
        <w:t xml:space="preserve">Typically, the Compensation Committee meets quarterly and with greater frequency if necessary. The agenda for each meeting is usually developed by the Chairperson of the Compensation Committee, in consultation with the Chief Executive Officer, the Senior Vice President, Human Resources, and the compensation consultant engaged by the Compensation Committee, if any.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does not participate in, and may not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as deemed necessary or appropriate by any member of the Compensation Committee to discharge his or her responsibilities as a member of the Compensation Committee.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w:t>
      </w:r>
    </w:p>
    <w:p>
      <w:pPr>
        <w:pStyle w:val="TextBody"/>
        <w:spacing w:before="240" w:after="0"/>
        <w:jc w:val="left"/>
        <w:rPr>
          <w:rFonts w:ascii="Times New Roman" w:hAnsi="Times New Roman"/>
          <w:sz w:val="20"/>
        </w:rPr>
      </w:pPr>
      <w:r>
        <w:rPr>
          <w:rFonts w:ascii="Times New Roman" w:hAnsi="Times New Roman"/>
          <w:sz w:val="20"/>
        </w:rPr>
        <w:t xml:space="preserve">In fiscal year 2021, the Compensation Committee engaged Pearl Meyer as its independent compensation consultant after taking into consideration the six factors prescribed by the SEC and Nasdaq. As part of its engagement, Pearl Meyer was requested by the Compensation Committee to develop a comparative group of companies and to perform analyses of competitive performance and compensation levels for that group. At the request of the Compensation Committee, Pearl Meyer also conducted individual interviews with members of the Compensation Committee and senior management and other employees identified by the Compensation Committee to learn more about the Companys business operations and strategy, key performance metrics and strategic goals, as well as the labor markets in which the Company competes. Pearl Meyer ultimately developed recommendations that were presented to the Compensation Committee for its consideration. Following an active dialogue with Pearl Meyer and resulting modifications, the Compensation Committee approved the modified recommendations of Pearl Meyer. </w:t>
      </w:r>
    </w:p>
    <w:p>
      <w:pPr>
        <w:pStyle w:val="TextBody"/>
        <w:spacing w:before="240" w:after="0"/>
        <w:jc w:val="left"/>
        <w:rPr>
          <w:rFonts w:ascii="Times New Roman" w:hAnsi="Times New Roman"/>
          <w:sz w:val="20"/>
        </w:rPr>
      </w:pPr>
      <w:r>
        <w:rPr>
          <w:rFonts w:ascii="Times New Roman" w:hAnsi="Times New Roman"/>
          <w:sz w:val="20"/>
        </w:rPr>
        <w:t xml:space="preserve">In October 2022, the Compensation Committee determined to change compensation consultants and, after taking into consideration the six factors prescribed by the SEC and Nasdaq referenced above, the Compensation Committee engaged Alpine Rewards, LLC (Alpine Rewards) as its independent compensation consultant. Prior to engaging Alpine Rewards, management recommended several potential consultants, and the Compensation Committee then evaluated each such recommendation. The Compensation Committee reviewed the proposed scope, terms and fees of Alpine Rewards and determined that it was advisable and in the best interests of the Compensation Committee to engage Alpine Rewards as a compensation consultant to the Compensation Committee given its focus in the life sciences and technology sectors and its comprehensive expertise in executive compensation and employee rewards. The Compensation Committee requested that Alpine Rewards: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 the efficacy of the Companys existing compensation strategy and practices in supporting and reinforcing the Companys near-term and long-term strategic goals;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assist in refining the Companys compensation strategy and philosophy to enable an executive compensation program that directly supports that strategy. </w:t>
            </w:r>
          </w:p>
        </w:tc>
      </w:tr>
    </w:tbl>
    <w:p>
      <w:pPr>
        <w:pStyle w:val="TextBody"/>
        <w:spacing w:before="240" w:after="0"/>
        <w:jc w:val="left"/>
        <w:rPr>
          <w:rFonts w:ascii="Times New Roman" w:hAnsi="Times New Roman"/>
          <w:sz w:val="20"/>
        </w:rPr>
      </w:pPr>
      <w:r>
        <w:rPr>
          <w:rFonts w:ascii="Times New Roman" w:hAnsi="Times New Roman"/>
          <w:sz w:val="20"/>
        </w:rPr>
        <w:t xml:space="preserve">As part of its engagement, Alpine Rewards was requested by the Compensation Committee to evaluate the Companys executive compensation peer group and to perform analyses of competitive performance and compensation levels for that group. At the request of the Compensation Committee, Alpine Rewards also met with members of the Compensation Committee and senior management and other employees identified by the Compensation Committee to learn more about the Companys business operations and strategy, key performance metrics and strategic goals, as well as the labor markets in which the Company competes. Alpine Rewards ultimately developed recommendations that were presented to the Compensation Committee for its consideration. Following an active dialogue with Alpine Rewards, the Compensation Committee approved the recommendations of Alpine Rewards. </w:t>
      </w:r>
    </w:p>
    <w:p>
      <w:pPr>
        <w:pStyle w:val="TextBody"/>
        <w:spacing w:before="240" w:after="0"/>
        <w:jc w:val="left"/>
        <w:rPr>
          <w:rFonts w:ascii="Times New Roman" w:hAnsi="Times New Roman"/>
          <w:sz w:val="20"/>
        </w:rPr>
      </w:pPr>
      <w:r>
        <w:rPr>
          <w:rFonts w:ascii="Times New Roman" w:hAnsi="Times New Roman"/>
          <w:sz w:val="20"/>
        </w:rPr>
        <w:t xml:space="preserve">In March 2023, after taking into consideration the six factors prescribed by the SEC and Nasdaq referenced above, the Compensation Committee approved the continued engagement of Alpine Rewards. </w:t>
      </w:r>
    </w:p>
    <w:p>
      <w:pPr>
        <w:pStyle w:val="TextBody"/>
        <w:spacing w:before="240" w:after="0"/>
        <w:jc w:val="left"/>
        <w:rPr>
          <w:rFonts w:ascii="Times New Roman" w:hAnsi="Times New Roman"/>
          <w:sz w:val="20"/>
        </w:rPr>
      </w:pPr>
      <w:r>
        <w:rPr>
          <w:rFonts w:ascii="Times New Roman" w:hAnsi="Times New Roman"/>
          <w:sz w:val="20"/>
        </w:rPr>
        <w:t xml:space="preserve">Under its charter, the Compensation Committee may form, and delegate authority to, subcommittees as appropriate. In fiscal year 2022, at the recommendation of the Compensation Committee, our Board delegated authority under the Companys 2021 Equity Incentive Plan to our Chief Executive Officer to grant options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our Board. In particular, the Chief Executive Officer may not grant options to acquire more than a fixed number of shares per year, and individually in accordance with minimum and maximum limits for each employees classification set forth in the Companys non-executive employee equity grant guidelines. During fiscal year 2022, the Chief Executive Officer exercised his authority to grant options to purchase an aggregate of 3,965,931 shares to non-officer employees. </w:t>
      </w:r>
    </w:p>
    <w:p>
      <w:pPr>
        <w:pStyle w:val="TextBody"/>
        <w:spacing w:before="240" w:after="0"/>
        <w:jc w:val="left"/>
        <w:rPr>
          <w:rFonts w:ascii="Times New Roman" w:hAnsi="Times New Roman"/>
          <w:sz w:val="20"/>
        </w:rPr>
      </w:pPr>
      <w:r>
        <w:rPr>
          <w:rFonts w:ascii="Times New Roman" w:hAnsi="Times New Roman"/>
          <w:sz w:val="20"/>
        </w:rPr>
        <w:t xml:space="preserve">Generally, the Compensation Committee makes most of the significant adjustments to annual compensation, determines bonus and equity awards and establishes new performance objectives at one or more meetings held during the first quarter of the year or the last quarter of the preceding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 determines, or recommends to the Board, compensation levels and establishes, or recommends that the Board establish, performance objectives for the current year. For executives other than the Chief Executive Officer, the Compensation Committee solicits and considers evaluations and recommendations submitted to the Compensation Committee by the Chief Executive Officer and then the Compensation Committee determines, or recommends to our Board, any adjustments to compensation as well as equity awards to be granted. In the case of the Chief Executive Officer, the evaluation of his performance is conducted by the Compensation Committee, which determines, or recommends to our Board,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w:t>
      </w:r>
    </w:p>
    <w:p>
      <w:pPr>
        <w:pStyle w:val="TextBody"/>
        <w:spacing w:before="360" w:after="0"/>
        <w:jc w:val="left"/>
        <w:rPr>
          <w:rFonts w:ascii="Times New Roman" w:hAnsi="Times New Roman"/>
          <w:b/>
          <w:sz w:val="20"/>
        </w:rPr>
      </w:pPr>
      <w:bookmarkStart w:id="22" w:name="tx419064_20"/>
      <w:bookmarkEnd w:id="22"/>
      <w:r>
        <w:rPr>
          <w:rFonts w:ascii="Times New Roman" w:hAnsi="Times New Roman"/>
          <w:b/>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The primary purpose of our Nominating and Corporate Governance Committee is to oversee aspects of the Companys corporate governance functions on behalf of our Board, identify, review and evaluate candidates to serve as directors of the Company (consistent with criteria approved by our Board), review and evaluate incumbent directors, recommend to our Board for selection candidates for election to our Board, make recommendations to our Board regarding the membership of the committees of our Board, assess the performance of our Board and consider our Boards leadership structure, develop a set of corporate governance guidelines and principles for the Company, and oversee the Companys environmental, social and governance activities.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Consistent with the criteria for director qualifications set by our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our Board, the operating requirements of the Company and the long-term interests of stockholders. The Nominating and Corporate Governance Committee is committed to consideration of diversity and inclusion and, accordingly, in conducting this assessment, our Board considers diversity of race, ethnicity, gender, age, education, cultural background, skills, and other factors as it deems appropriate, given the current needs of our Board and the Company, to maintain a balance of knowledge, experience and capability. As presently constituted, our Board represents a deliberate mix of members who have a deep understanding of the Companys 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 </w:t>
      </w:r>
    </w:p>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appreciates the value of thoughtful Board refreshment, and regularly identifies and considers qualities, skills and other director attributes that would enhance the composition of our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our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our Board. The Nominating and Corporate Governance Committee meets to discuss and consider the candidates qualifications and then selects a nominee for recommendation to our Board by majority vote. In fiscal year 2022, the Nominating and Corporate Governance Committee paid a fee to a recruiting firm to assist in the process of identifying or evaluating director candidates. One of our non-employee directors initially recommended Christine Lindenboom as a potential candidate to serve on our Board. </w:t>
      </w:r>
    </w:p>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our Board may do so by delivering a written recommendation to the Nominating and Corporate Governance Committee at the following address: Invivyd, Inc., 1601 Trapelo Road, Suite 178, Waltham, Massachusetts 02451, Attn: Corporate Secretary, at least 90 days, but not less than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our Bylaws. Any such submission must be accompanied by the written consent of the proposed nominee to be named as a nominee and to serve as a director if elected.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23" w:name="tx419064_21"/>
      <w:bookmarkEnd w:id="23"/>
      <w:r>
        <w:rPr>
          <w:rFonts w:ascii="Times New Roman" w:hAnsi="Times New Roman"/>
          <w:b/>
          <w:sz w:val="20"/>
        </w:rPr>
        <w:t xml:space="preserve">Stockholder Communications with the Board </w:t>
      </w:r>
    </w:p>
    <w:p>
      <w:pPr>
        <w:pStyle w:val="TextBody"/>
        <w:spacing w:before="120" w:after="0"/>
        <w:jc w:val="left"/>
        <w:rPr>
          <w:rFonts w:ascii="Times New Roman" w:hAnsi="Times New Roman"/>
          <w:sz w:val="20"/>
        </w:rPr>
      </w:pPr>
      <w:r>
        <w:rPr>
          <w:rFonts w:ascii="Times New Roman" w:hAnsi="Times New Roman"/>
          <w:sz w:val="20"/>
        </w:rPr>
        <w:t xml:space="preserve">Our Board has adopted a formal process by which stockholders may communicate with our Board or any of its directors. Stockholders who wish to communicate with our Board may do so by sending written communications addressed to the Corporate Secretary at the following address: Invivyd, Inc., 1601 Trapelo Road, Suite 178, Waltham, Massachusetts 02451. The Corporate Secretary will review each communication and will forward such communication to our Board or to any individual director to whom the communication is addressed unless the communication contains advertisements or solicitations or is unduly hostile, threatening or similarly inappropriate. </w:t>
      </w:r>
    </w:p>
    <w:p>
      <w:pPr>
        <w:pStyle w:val="TextBody"/>
        <w:spacing w:before="360" w:after="0"/>
        <w:jc w:val="left"/>
        <w:rPr>
          <w:rFonts w:ascii="Times New Roman" w:hAnsi="Times New Roman"/>
          <w:b/>
          <w:sz w:val="20"/>
        </w:rPr>
      </w:pPr>
      <w:bookmarkStart w:id="24" w:name="tx419064_22"/>
      <w:bookmarkEnd w:id="24"/>
      <w:r>
        <w:rPr>
          <w:rFonts w:ascii="Times New Roman" w:hAnsi="Times New Roman"/>
          <w:b/>
          <w:sz w:val="20"/>
        </w:rPr>
        <w:t xml:space="preserve">Hedging Policy </w:t>
      </w:r>
    </w:p>
    <w:p>
      <w:pPr>
        <w:pStyle w:val="TextBody"/>
        <w:spacing w:before="120" w:after="0"/>
        <w:jc w:val="left"/>
        <w:rPr>
          <w:rFonts w:ascii="Times New Roman" w:hAnsi="Times New Roman"/>
          <w:sz w:val="20"/>
        </w:rPr>
      </w:pPr>
      <w:r>
        <w:rPr>
          <w:rFonts w:ascii="Times New Roman" w:hAnsi="Times New Roman"/>
          <w:sz w:val="20"/>
        </w:rPr>
        <w:t xml:space="preserve">Our Insider Trading Prevention Policy prohibits our directors and employees, including our executive officers, from engaging in any hedging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x419064_23"/>
      <w:bookmarkEnd w:id="25"/>
      <w:r>
        <w:rPr>
          <w:rFonts w:ascii="Times New Roman" w:hAnsi="Times New Roman"/>
          <w:b/>
          <w:sz w:val="20"/>
        </w:rPr>
        <w:t xml:space="preserve">EXECUTIVE OFFICERS </w:t>
      </w:r>
    </w:p>
    <w:p>
      <w:pPr>
        <w:pStyle w:val="TextBody"/>
        <w:spacing w:before="240" w:after="0"/>
        <w:jc w:val="left"/>
        <w:rPr>
          <w:rFonts w:ascii="Times New Roman" w:hAnsi="Times New Roman"/>
          <w:sz w:val="20"/>
        </w:rPr>
      </w:pPr>
      <w:r>
        <w:rPr>
          <w:rFonts w:ascii="Times New Roman" w:hAnsi="Times New Roman"/>
          <w:sz w:val="20"/>
        </w:rPr>
        <w:t xml:space="preserve">Our current executive officers, and their respective ages as of March 27, 2023,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35"/>
        <w:gridCol w:w="120"/>
        <w:gridCol w:w="79"/>
        <w:gridCol w:w="359"/>
        <w:gridCol w:w="108"/>
        <w:gridCol w:w="216"/>
        <w:gridCol w:w="5788"/>
      </w:tblGrid>
      <w:tr>
        <w:trPr/>
        <w:tc>
          <w:tcPr>
            <w:tcW w:w="3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5788" w:type="dxa"/>
            <w:tcBorders/>
            <w:shd w:fill="auto" w:val="clear"/>
            <w:vAlign w:val="center"/>
          </w:tcPr>
          <w:p>
            <w:pPr>
              <w:pStyle w:val="TableContents"/>
              <w:spacing w:before="0" w:after="283"/>
              <w:rPr>
                <w:sz w:val="4"/>
                <w:szCs w:val="4"/>
              </w:rPr>
            </w:pPr>
            <w:r>
              <w:rPr>
                <w:sz w:val="4"/>
                <w:szCs w:val="4"/>
              </w:rPr>
            </w:r>
          </w:p>
        </w:tc>
      </w:tr>
      <w:tr>
        <w:trPr/>
        <w:tc>
          <w:tcPr>
            <w:tcW w:w="353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bottom"/>
          </w:tcPr>
          <w:p>
            <w:pPr>
              <w:pStyle w:val="TableContents"/>
              <w:spacing w:before="0" w:after="283"/>
              <w:rPr/>
            </w:pPr>
            <w:r>
              <w:rPr/>
              <w:t>  </w:t>
            </w:r>
          </w:p>
        </w:tc>
        <w:tc>
          <w:tcPr>
            <w:tcW w:w="43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10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8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Position(s)</w:t>
            </w:r>
          </w:p>
        </w:tc>
      </w:tr>
      <w:tr>
        <w:trPr/>
        <w:tc>
          <w:tcPr>
            <w:tcW w:w="3535" w:type="dxa"/>
            <w:tcBorders/>
            <w:shd w:fill="auto" w:val="clear"/>
          </w:tcPr>
          <w:p>
            <w:pPr>
              <w:pStyle w:val="TableContents"/>
              <w:spacing w:before="0" w:after="0"/>
              <w:rPr>
                <w:rFonts w:ascii="Times New Roman" w:hAnsi="Times New Roman"/>
                <w:sz w:val="20"/>
              </w:rPr>
            </w:pPr>
            <w:r>
              <w:rPr>
                <w:rFonts w:ascii="Times New Roman" w:hAnsi="Times New Roman"/>
                <w:sz w:val="20"/>
              </w:rPr>
              <w:t>David Hering, M.B.A.</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pPr>
            <w:r>
              <w:rPr/>
              <w:t>48</w:t>
            </w:r>
          </w:p>
        </w:tc>
        <w:tc>
          <w:tcPr>
            <w:tcW w:w="10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88"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 &amp; Director</w:t>
            </w:r>
          </w:p>
        </w:tc>
      </w:tr>
      <w:tr>
        <w:trPr/>
        <w:tc>
          <w:tcPr>
            <w:tcW w:w="3535" w:type="dxa"/>
            <w:tcBorders/>
            <w:shd w:fill="auto" w:val="clear"/>
          </w:tcPr>
          <w:p>
            <w:pPr>
              <w:pStyle w:val="TableContents"/>
              <w:spacing w:before="0" w:after="0"/>
              <w:rPr>
                <w:rFonts w:ascii="Times New Roman" w:hAnsi="Times New Roman"/>
                <w:sz w:val="20"/>
              </w:rPr>
            </w:pPr>
            <w:r>
              <w:rPr>
                <w:rFonts w:ascii="Times New Roman" w:hAnsi="Times New Roman"/>
                <w:sz w:val="20"/>
              </w:rPr>
              <w:t>Jill Andersen, J.D.</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pPr>
            <w:r>
              <w:rPr/>
              <w:t>50</w:t>
            </w:r>
          </w:p>
        </w:tc>
        <w:tc>
          <w:tcPr>
            <w:tcW w:w="10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88" w:type="dxa"/>
            <w:tcBorders/>
            <w:shd w:fill="auto" w:val="clear"/>
          </w:tcPr>
          <w:p>
            <w:pPr>
              <w:pStyle w:val="TableContents"/>
              <w:spacing w:before="0" w:after="0"/>
              <w:rPr>
                <w:rFonts w:ascii="Times New Roman" w:hAnsi="Times New Roman"/>
                <w:sz w:val="20"/>
              </w:rPr>
            </w:pPr>
            <w:r>
              <w:rPr>
                <w:rFonts w:ascii="Times New Roman" w:hAnsi="Times New Roman"/>
                <w:sz w:val="20"/>
              </w:rPr>
              <w:t>Chief Legal Officer and Corporate Secretary</w:t>
            </w:r>
          </w:p>
        </w:tc>
      </w:tr>
      <w:tr>
        <w:trPr/>
        <w:tc>
          <w:tcPr>
            <w:tcW w:w="3535" w:type="dxa"/>
            <w:tcBorders/>
            <w:shd w:fill="auto" w:val="clear"/>
          </w:tcPr>
          <w:p>
            <w:pPr>
              <w:pStyle w:val="TableContents"/>
              <w:spacing w:before="0" w:after="0"/>
              <w:rPr>
                <w:rFonts w:ascii="Times New Roman" w:hAnsi="Times New Roman"/>
                <w:sz w:val="20"/>
              </w:rPr>
            </w:pPr>
            <w:r>
              <w:rPr>
                <w:rFonts w:ascii="Times New Roman" w:hAnsi="Times New Roman"/>
                <w:sz w:val="20"/>
              </w:rPr>
              <w:t>Frederick Driscoll</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pPr>
            <w:r>
              <w:rPr/>
              <w:t>72</w:t>
            </w:r>
          </w:p>
        </w:tc>
        <w:tc>
          <w:tcPr>
            <w:tcW w:w="10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88" w:type="dxa"/>
            <w:tcBorders/>
            <w:shd w:fill="auto" w:val="clear"/>
          </w:tcPr>
          <w:p>
            <w:pPr>
              <w:pStyle w:val="TableContents"/>
              <w:spacing w:before="0" w:after="0"/>
              <w:rPr>
                <w:rFonts w:ascii="Times New Roman" w:hAnsi="Times New Roman"/>
                <w:sz w:val="20"/>
              </w:rPr>
            </w:pPr>
            <w:r>
              <w:rPr>
                <w:rFonts w:ascii="Times New Roman" w:hAnsi="Times New Roman"/>
                <w:sz w:val="20"/>
              </w:rPr>
              <w:t>Interim Chief Financial Officer</w:t>
            </w:r>
          </w:p>
        </w:tc>
      </w:tr>
      <w:tr>
        <w:trPr/>
        <w:tc>
          <w:tcPr>
            <w:tcW w:w="3535" w:type="dxa"/>
            <w:tcBorders/>
            <w:shd w:fill="auto" w:val="clear"/>
          </w:tcPr>
          <w:p>
            <w:pPr>
              <w:pStyle w:val="TableContents"/>
              <w:spacing w:before="0" w:after="0"/>
              <w:rPr>
                <w:rFonts w:ascii="Times New Roman" w:hAnsi="Times New Roman"/>
                <w:sz w:val="20"/>
              </w:rPr>
            </w:pPr>
            <w:r>
              <w:rPr>
                <w:rFonts w:ascii="Times New Roman" w:hAnsi="Times New Roman"/>
                <w:sz w:val="20"/>
              </w:rPr>
              <w:t>Jeremy Gowler</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pPr>
            <w:r>
              <w:rPr/>
              <w:t>46</w:t>
            </w:r>
          </w:p>
        </w:tc>
        <w:tc>
          <w:tcPr>
            <w:tcW w:w="10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88" w:type="dxa"/>
            <w:tcBorders/>
            <w:shd w:fill="auto" w:val="clear"/>
          </w:tcPr>
          <w:p>
            <w:pPr>
              <w:pStyle w:val="TableContents"/>
              <w:spacing w:before="0" w:after="0"/>
              <w:rPr>
                <w:rFonts w:ascii="Times New Roman" w:hAnsi="Times New Roman"/>
                <w:sz w:val="20"/>
              </w:rPr>
            </w:pPr>
            <w:r>
              <w:rPr>
                <w:rFonts w:ascii="Times New Roman" w:hAnsi="Times New Roman"/>
                <w:sz w:val="20"/>
              </w:rPr>
              <w:t>Chief Operating Officer &amp; Chief Commercial Officer</w:t>
            </w:r>
          </w:p>
        </w:tc>
      </w:tr>
      <w:tr>
        <w:trPr/>
        <w:tc>
          <w:tcPr>
            <w:tcW w:w="3535" w:type="dxa"/>
            <w:tcBorders/>
            <w:shd w:fill="auto" w:val="clear"/>
          </w:tcPr>
          <w:p>
            <w:pPr>
              <w:pStyle w:val="TableContents"/>
              <w:spacing w:before="0" w:after="0"/>
              <w:rPr>
                <w:rFonts w:ascii="Times New Roman" w:hAnsi="Times New Roman"/>
                <w:sz w:val="20"/>
              </w:rPr>
            </w:pPr>
            <w:r>
              <w:rPr>
                <w:rFonts w:ascii="Times New Roman" w:hAnsi="Times New Roman"/>
                <w:sz w:val="20"/>
              </w:rPr>
              <w:t>Stacy Price</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pPr>
            <w:r>
              <w:rPr/>
              <w:t>54</w:t>
            </w:r>
          </w:p>
        </w:tc>
        <w:tc>
          <w:tcPr>
            <w:tcW w:w="10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88" w:type="dxa"/>
            <w:tcBorders/>
            <w:shd w:fill="auto" w:val="clear"/>
          </w:tcPr>
          <w:p>
            <w:pPr>
              <w:pStyle w:val="TableContents"/>
              <w:spacing w:before="0" w:after="0"/>
              <w:rPr>
                <w:rFonts w:ascii="Times New Roman" w:hAnsi="Times New Roman"/>
                <w:sz w:val="20"/>
              </w:rPr>
            </w:pPr>
            <w:r>
              <w:rPr>
                <w:rFonts w:ascii="Times New Roman" w:hAnsi="Times New Roman"/>
                <w:sz w:val="20"/>
              </w:rPr>
              <w:t>Chief Technology and Manufacturing Officer</w:t>
            </w:r>
          </w:p>
        </w:tc>
      </w:tr>
      <w:tr>
        <w:trPr/>
        <w:tc>
          <w:tcPr>
            <w:tcW w:w="3535" w:type="dxa"/>
            <w:tcBorders/>
            <w:shd w:fill="auto" w:val="clear"/>
          </w:tcPr>
          <w:p>
            <w:pPr>
              <w:pStyle w:val="TableContents"/>
              <w:spacing w:before="0" w:after="0"/>
              <w:rPr>
                <w:rFonts w:ascii="Times New Roman" w:hAnsi="Times New Roman"/>
                <w:sz w:val="20"/>
              </w:rPr>
            </w:pPr>
            <w:r>
              <w:rPr>
                <w:rFonts w:ascii="Times New Roman" w:hAnsi="Times New Roman"/>
                <w:sz w:val="20"/>
              </w:rPr>
              <w:t>Peter Schmidt, M.D., M.S.</w:t>
            </w:r>
          </w:p>
        </w:tc>
        <w:tc>
          <w:tcPr>
            <w:tcW w:w="12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jc w:val="right"/>
              <w:rPr/>
            </w:pPr>
            <w:r>
              <w:rPr/>
              <w:t>42</w:t>
            </w:r>
          </w:p>
        </w:tc>
        <w:tc>
          <w:tcPr>
            <w:tcW w:w="108"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88" w:type="dxa"/>
            <w:tcBorders/>
            <w:shd w:fill="auto" w:val="clear"/>
          </w:tcPr>
          <w:p>
            <w:pPr>
              <w:pStyle w:val="TableContents"/>
              <w:spacing w:before="0" w:after="0"/>
              <w:rPr>
                <w:rFonts w:ascii="Times New Roman" w:hAnsi="Times New Roman"/>
                <w:sz w:val="20"/>
              </w:rPr>
            </w:pPr>
            <w:r>
              <w:rPr>
                <w:rFonts w:ascii="Times New Roman" w:hAnsi="Times New Roman"/>
                <w:sz w:val="20"/>
              </w:rPr>
              <w:t>Chief Medical Officer</w:t>
            </w:r>
          </w:p>
        </w:tc>
      </w:tr>
    </w:tbl>
    <w:p>
      <w:pPr>
        <w:pStyle w:val="TextBody"/>
        <w:spacing w:before="240" w:after="0"/>
        <w:jc w:val="left"/>
        <w:rPr>
          <w:rFonts w:ascii="Times New Roman" w:hAnsi="Times New Roman"/>
          <w:sz w:val="20"/>
        </w:rPr>
      </w:pPr>
      <w:r>
        <w:rPr>
          <w:rFonts w:ascii="Times New Roman" w:hAnsi="Times New Roman"/>
          <w:b/>
          <w:sz w:val="20"/>
        </w:rPr>
        <w:t>David Hering, M.B.A.</w:t>
      </w:r>
      <w:r>
        <w:rPr>
          <w:rFonts w:ascii="Times New Roman" w:hAnsi="Times New Roman"/>
          <w:sz w:val="20"/>
        </w:rPr>
        <w:t xml:space="preserve"> has served as our Chief Executive Officer since July 2022. He previously served as our Interim Chief Executive Officer from February 2022 until July 2022 and as our Chief Operating Officer from June 2021 until July 2022. Please refer to the </w:t>
      </w:r>
      <w:r>
        <w:rPr>
          <w:rFonts w:ascii="Times New Roman" w:hAnsi="Times New Roman"/>
          <w:i/>
          <w:sz w:val="20"/>
        </w:rPr>
        <w:t>Board of Directors</w:t>
      </w:r>
      <w:r>
        <w:rPr>
          <w:rFonts w:ascii="Times New Roman" w:hAnsi="Times New Roman"/>
          <w:sz w:val="20"/>
        </w:rPr>
        <w:t xml:space="preserve"> section in this Proxy Statement above for Mr. Herings biographical information. </w:t>
      </w:r>
    </w:p>
    <w:p>
      <w:pPr>
        <w:pStyle w:val="TextBody"/>
        <w:spacing w:before="240" w:after="0"/>
        <w:jc w:val="left"/>
        <w:rPr>
          <w:rFonts w:ascii="Times New Roman" w:hAnsi="Times New Roman"/>
          <w:sz w:val="20"/>
        </w:rPr>
      </w:pPr>
      <w:r>
        <w:rPr>
          <w:rFonts w:ascii="Times New Roman" w:hAnsi="Times New Roman"/>
          <w:b/>
          <w:sz w:val="20"/>
        </w:rPr>
        <w:t>Jill Andersen, J.D.</w:t>
      </w:r>
      <w:r>
        <w:rPr>
          <w:rFonts w:ascii="Times New Roman" w:hAnsi="Times New Roman"/>
          <w:sz w:val="20"/>
        </w:rPr>
        <w:t xml:space="preserve"> has served as our Chief Legal Officer and Corporate Secretary since November 2021. Prior to joining Invivyd, Ms. Andersen served as General Counsel, Corporate Secretary and Chief Compliance Officer of Oyster Point Pharma, Inc. from June 2020 to October 2021. Before joining Oyster Point, Ms. Andersen served as Vice President, Legal at Bristol-Myers Squibb Company from November 2019 to May 2020 and as Vice President and Head of Legal, Inflammation &amp; Immunology Franchise, U.S. Market Access and Contracts, from September 2016 to November 2019. Ms. Andersen also served as Vice President and General Counsel, Legal &amp; Intellectual Property Global Assets at Novartis Services, Inc., from March 2015 to September 2016. Ms. Andersen received a B.S. in Finance from Boston College and a J.D. from Wake Forest University School of Law. </w:t>
      </w:r>
    </w:p>
    <w:p>
      <w:pPr>
        <w:pStyle w:val="TextBody"/>
        <w:spacing w:before="240" w:after="0"/>
        <w:jc w:val="left"/>
        <w:rPr>
          <w:rFonts w:ascii="Times New Roman" w:hAnsi="Times New Roman"/>
          <w:sz w:val="20"/>
        </w:rPr>
      </w:pPr>
      <w:r>
        <w:rPr>
          <w:rFonts w:ascii="Times New Roman" w:hAnsi="Times New Roman"/>
          <w:b/>
          <w:sz w:val="20"/>
        </w:rPr>
        <w:t>Frederick Driscoll</w:t>
      </w:r>
      <w:r>
        <w:rPr>
          <w:rFonts w:ascii="Times New Roman" w:hAnsi="Times New Roman"/>
          <w:sz w:val="20"/>
        </w:rPr>
        <w:t xml:space="preserve"> has served as our Interim Chief Financial Officer since October 2022. Mr. Driscoll most recently served as the Chief Financial Officer of Renovacor, Inc. from March 2022 until his resignation in June 2022. Prior to Renovacor, Mr. Driscoll served as the Chief Financial Officer of Flexion Therapeutics, Inc. from May 2021 to November 2021. He served in the same capacity from 2013 until his retirement from the position in 2017, during which time he led Flexions initial public offering in 2014. In addition, Mr. Driscoll served as Chief Financial Officer at Novavax, Inc. from 2009 to 2013. Mr. Driscoll has been a member of the board of directors of Cellectar Biosciences, Inc. since April 2017, MEI Pharma, Inc. since February 2018 and Cue Biopharma, Inc. since June 2018. Mr. Driscoll earned a B.S. in Accounting and Finance from Bentley University. </w:t>
      </w:r>
    </w:p>
    <w:p>
      <w:pPr>
        <w:pStyle w:val="TextBody"/>
        <w:spacing w:before="240" w:after="0"/>
        <w:jc w:val="left"/>
        <w:rPr>
          <w:rFonts w:ascii="Times New Roman" w:hAnsi="Times New Roman"/>
          <w:sz w:val="20"/>
        </w:rPr>
      </w:pPr>
      <w:r>
        <w:rPr>
          <w:rFonts w:ascii="Times New Roman" w:hAnsi="Times New Roman"/>
          <w:b/>
          <w:sz w:val="20"/>
        </w:rPr>
        <w:t>Jeremy Gowler</w:t>
      </w:r>
      <w:r>
        <w:rPr>
          <w:rFonts w:ascii="Times New Roman" w:hAnsi="Times New Roman"/>
          <w:sz w:val="20"/>
        </w:rPr>
        <w:t xml:space="preserve"> has served as our Chief Operating Officer and Chief Commercial Officer since December 2022. Most recently, Mr. Gowler held the role of Global Head of Commercial for the Biopharmaceutical business of Sandoz (a division of Novartis) from April 2020 until his departure in 2022 to join Invivyd. Mr. Gowler began his career at Novartis in 2002 and progressed through roles of increasing responsibility in the areas of marketing, sales, medical affairs and operations in Canada, the US and in Switzerland until his departure in 2014. He then joined PaxVax, a private equity backed biotechnology company, where he held the role of VP, Global Commercial from 2014 until October 2018. PaxVax was sold to Emergent Biosolutions in 2018, where Mr. Gowler became VP of Global Commercial for Emergents vaccine business unit until his departure for Sandoz in October 2020. Mr. Gowler holds a BSc with a double major in Biology and Environmental Studies from the University of Victoria and a Dipl T in Marketing Management from the British Columbia Institute of Technology. </w:t>
      </w:r>
    </w:p>
    <w:p>
      <w:pPr>
        <w:pStyle w:val="TextBody"/>
        <w:spacing w:before="240" w:after="0"/>
        <w:jc w:val="left"/>
        <w:rPr>
          <w:rFonts w:ascii="Times New Roman" w:hAnsi="Times New Roman"/>
          <w:sz w:val="20"/>
        </w:rPr>
      </w:pPr>
      <w:r>
        <w:rPr>
          <w:rFonts w:ascii="Times New Roman" w:hAnsi="Times New Roman"/>
          <w:b/>
          <w:sz w:val="20"/>
        </w:rPr>
        <w:t>Stacy Price</w:t>
      </w:r>
      <w:r>
        <w:rPr>
          <w:rFonts w:ascii="Times New Roman" w:hAnsi="Times New Roman"/>
          <w:sz w:val="20"/>
        </w:rPr>
        <w:t xml:space="preserve"> has served as our Chief Technology and Manufacturing Officer since March 2023. She brings over 25 years of experience in commercial and clinical biotechnology operations management, most recently as the Chief Technical Officer at Akouos, Inc. from November 2021 to March 2023. During that time, she established the technical operations strategy to support multiple adeno-associated virus combination gene therapy programs and contributed to the completion and approval of an investigational new drug application. Prior to that, she was Vice President of Technical Operations Ziopharm Oncology, Inc. from May 2017 to February 2020, before advancing to Senior Vice President of Technical Operations from February 2020 to September 2021, where she was responsible for the development and delivery of chemistry, manufacturing, and controls strategy as well as the facilities construction of a research and manufacturing site for cell and combination gene therapy products. Before Ziopharm, she held multiple </w:t>
      </w:r>
    </w:p>
    <w:p>
      <w:pPr>
        <w:pStyle w:val="TextBody"/>
        <w:spacing w:before="0" w:after="0"/>
        <w:jc w:val="left"/>
        <w:rPr>
          <w:rFonts w:ascii="Times New Roman" w:hAnsi="Times New Roman"/>
          <w:sz w:val="20"/>
        </w:rPr>
      </w:pPr>
      <w:r>
        <w:rPr>
          <w:rFonts w:ascii="Times New Roman" w:hAnsi="Times New Roman"/>
          <w:sz w:val="20"/>
        </w:rPr>
        <w:t xml:space="preserve">manufacturing and operational roles of increasing responsibility across the pharmaceutical and biotechnology industry. She holds an M.S. in Biochemical Engineering and a B.S. in Chemical Engineering from Tufts University.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Peter Schmidt, M.D., M.S.</w:t>
      </w:r>
      <w:r>
        <w:rPr>
          <w:rFonts w:ascii="Times New Roman" w:hAnsi="Times New Roman"/>
          <w:sz w:val="20"/>
        </w:rPr>
        <w:t xml:space="preserve"> has served as our Chief Medical Officer since December 2022. Previously, Dr. Schmidt was our Vice President of Clinical Research since November 2020 until his appointment as Chief Medical Officer. Prior to joining Invivyd, Dr. Schmidt worked in academic research and therapeutics development for neurology, pain, and respiratory products, including most recently as Vice President, Clinical Research at Invicta Medical, Inc., a medical technology company, from November 2019 to November 2020, where he was responsible for regulatory affairs, clinical engineering, and clinical affairs. Prior to that, Dr. Schmidt served as Senior Director, Medical Affairs and Clinical Development at Zosano Pharma Corporation, a biopharmaceutical company, from March 2017 to October 2019, where he was responsible for overseeing all clinical development programs, contract research organizations and clinical sites, as well as all aspects of medical affairs. Dr. Schmidt is an Assistant Clinical Professor in the Division of Pain Medicine at the Stanford University School of Medicine. He received a B.A. in Psychology from Cornell University, an M.S. in Epidemiology and Clinical Research from Stanford University and an M.D. from the University of Colorado School of Medicine.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x419064_24"/>
      <w:bookmarkEnd w:id="26"/>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ownership of the Companys common stock as of March 27, 2023 by: (i) each director and nominee for director; (ii) each of the executive officers named in the Summary Compensation Table; (iii) all current executive officers and directors of the Company as a group; and (iv) all those known by the Company to be beneficial owners of more than five percent of its common stock. Applicable percentages are based on 109,316,226 shares of common stock outstanding on March 27, 2023. </w:t>
      </w:r>
    </w:p>
    <w:p>
      <w:pPr>
        <w:pStyle w:val="TextBody"/>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27, 2023.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w:t>
      </w:r>
    </w:p>
    <w:p>
      <w:pPr>
        <w:pStyle w:val="TextBody"/>
        <w:spacing w:before="240" w:after="0"/>
        <w:jc w:val="left"/>
        <w:rPr>
          <w:rFonts w:ascii="Times New Roman" w:hAnsi="Times New Roman"/>
          <w:sz w:val="20"/>
        </w:rPr>
      </w:pPr>
      <w:r>
        <w:rPr>
          <w:rFonts w:ascii="Times New Roman" w:hAnsi="Times New Roman"/>
          <w:sz w:val="20"/>
        </w:rPr>
        <w:t xml:space="preserve">Common stock subject to stock options currently exercisable or exercisable within 60 days of March 27, 2023 are deemed to be outstanding for computing the percentage ownership of the person holding these options and the percentage ownership of any group of which the holder is a member but are not deemed outstanding for computing the percentage of any other person. </w:t>
      </w:r>
    </w:p>
    <w:p>
      <w:pPr>
        <w:pStyle w:val="TextBody"/>
        <w:spacing w:before="240" w:after="0"/>
        <w:jc w:val="left"/>
        <w:rPr>
          <w:rFonts w:ascii="Times New Roman" w:hAnsi="Times New Roman"/>
          <w:sz w:val="20"/>
        </w:rPr>
      </w:pPr>
      <w:r>
        <w:rPr>
          <w:rFonts w:ascii="Times New Roman" w:hAnsi="Times New Roman"/>
          <w:sz w:val="20"/>
        </w:rPr>
        <w:t xml:space="preserve">Unless noted otherwise, the address of all listed directors and executive officers is c/o Invivyd, Inc., 1601 Trapelo Road, Suite 178, Waltham, Massachusetts 02451.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852"/>
        <w:gridCol w:w="413"/>
        <w:gridCol w:w="97"/>
        <w:gridCol w:w="1796"/>
        <w:gridCol w:w="60"/>
        <w:gridCol w:w="413"/>
        <w:gridCol w:w="198"/>
        <w:gridCol w:w="1464"/>
        <w:gridCol w:w="279"/>
      </w:tblGrid>
      <w:tr>
        <w:trPr/>
        <w:tc>
          <w:tcPr>
            <w:tcW w:w="385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852"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402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Beneficial Ownership (1)</w:t>
            </w:r>
          </w:p>
        </w:tc>
        <w:tc>
          <w:tcPr>
            <w:tcW w:w="279" w:type="dxa"/>
            <w:tcBorders/>
            <w:shd w:fill="auto" w:val="clear"/>
            <w:vAlign w:val="bottom"/>
          </w:tcPr>
          <w:p>
            <w:pPr>
              <w:pStyle w:val="TableContents"/>
              <w:spacing w:before="0" w:after="283"/>
              <w:rPr/>
            </w:pPr>
            <w:r>
              <w:rPr/>
              <w:t> </w:t>
            </w:r>
          </w:p>
        </w:tc>
      </w:tr>
      <w:tr>
        <w:trPr/>
        <w:tc>
          <w:tcPr>
            <w:tcW w:w="385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Beneficial Owner</w:t>
            </w:r>
          </w:p>
        </w:tc>
        <w:tc>
          <w:tcPr>
            <w:tcW w:w="413" w:type="dxa"/>
            <w:tcBorders/>
            <w:shd w:fill="auto" w:val="clear"/>
            <w:vAlign w:val="bottom"/>
          </w:tcPr>
          <w:p>
            <w:pPr>
              <w:pStyle w:val="TableContents"/>
              <w:spacing w:before="0" w:after="283"/>
              <w:rPr/>
            </w:pPr>
            <w:r>
              <w:rPr/>
              <w:t>  </w:t>
            </w:r>
          </w:p>
        </w:tc>
        <w:tc>
          <w:tcPr>
            <w:tcW w:w="18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6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 Total</w:t>
              <w:br/>
              <w:t>(%)</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b/>
                <w:sz w:val="20"/>
              </w:rPr>
            </w:pPr>
            <w:r>
              <w:rPr>
                <w:rFonts w:ascii="Times New Roman" w:hAnsi="Times New Roman"/>
                <w:b/>
                <w:sz w:val="20"/>
              </w:rPr>
              <w:t>5% or Greater Stockholders</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sz w:val="4"/>
                <w:szCs w:val="4"/>
              </w:rPr>
            </w:pPr>
            <w:r>
              <w:rPr>
                <w:sz w:val="4"/>
                <w:szCs w:val="4"/>
              </w:rPr>
            </w:r>
          </w:p>
        </w:tc>
        <w:tc>
          <w:tcPr>
            <w:tcW w:w="1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sz w:val="4"/>
                <w:szCs w:val="4"/>
              </w:rPr>
            </w:pPr>
            <w:r>
              <w:rPr>
                <w:sz w:val="4"/>
                <w:szCs w:val="4"/>
              </w:rPr>
            </w:r>
          </w:p>
        </w:tc>
        <w:tc>
          <w:tcPr>
            <w:tcW w:w="1464" w:type="dxa"/>
            <w:tcBorders/>
            <w:shd w:fill="CCEEFF" w:val="clear"/>
            <w:vAlign w:val="bottom"/>
          </w:tcPr>
          <w:p>
            <w:pPr>
              <w:pStyle w:val="TableContents"/>
              <w:spacing w:before="0" w:after="283"/>
              <w:rPr>
                <w:sz w:val="4"/>
                <w:szCs w:val="4"/>
              </w:rPr>
            </w:pPr>
            <w:r>
              <w:rPr>
                <w:sz w:val="4"/>
                <w:szCs w:val="4"/>
              </w:rPr>
            </w:r>
          </w:p>
        </w:tc>
        <w:tc>
          <w:tcPr>
            <w:tcW w:w="279" w:type="dxa"/>
            <w:tcBorders/>
            <w:shd w:fill="CCEEFF" w:val="clear"/>
            <w:vAlign w:val="bottom"/>
          </w:tcPr>
          <w:p>
            <w:pPr>
              <w:pStyle w:val="TableContents"/>
              <w:spacing w:before="0" w:after="283"/>
              <w:rPr>
                <w:sz w:val="4"/>
                <w:szCs w:val="4"/>
              </w:rPr>
            </w:pPr>
            <w:r>
              <w:rPr>
                <w:sz w:val="4"/>
                <w:szCs w:val="4"/>
              </w:rPr>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Adimab, LLC(2)</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26,687,906</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24.4</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FMR LLC(3)</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14,110,982</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12.9</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Mithril II LP(4)</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11,241,580</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10.3</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M28 Capital Management LP(5)</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9,248,250</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8.5</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Polaris Venture Partners V, L.P.(6)</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8,531,700</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7.8</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Alphabet Inc.(7)</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5,680,785</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5.2</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b/>
                <w:sz w:val="20"/>
              </w:rPr>
            </w:pPr>
            <w:r>
              <w:rPr>
                <w:rFonts w:ascii="Times New Roman" w:hAnsi="Times New Roman"/>
                <w:b/>
                <w:sz w:val="20"/>
              </w:rPr>
              <w:t>Directors, Director Nominees and Named Executive Officers</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sz w:val="4"/>
                <w:szCs w:val="4"/>
              </w:rPr>
            </w:pPr>
            <w:r>
              <w:rPr>
                <w:sz w:val="4"/>
                <w:szCs w:val="4"/>
              </w:rPr>
            </w:r>
          </w:p>
        </w:tc>
        <w:tc>
          <w:tcPr>
            <w:tcW w:w="17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sz w:val="4"/>
                <w:szCs w:val="4"/>
              </w:rPr>
            </w:pPr>
            <w:r>
              <w:rPr>
                <w:sz w:val="4"/>
                <w:szCs w:val="4"/>
              </w:rPr>
            </w:r>
          </w:p>
        </w:tc>
        <w:tc>
          <w:tcPr>
            <w:tcW w:w="1464"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Tamsin Berry</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Marc Elia(5)</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9,248,250</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8.5</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David Hering, M.B.A.(8)</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1,358,744</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1.2</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Tom Heyman(9)</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132,465</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Christine Lindenboom</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Terrance McGuire(6)</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8,627,455</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7.9</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Clive A. Meanwell, M.D.(10)</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1,201,680</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1.1</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Michael S. Wyzga(11)</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116,510</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Jill Andersen, J.D.(12)</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439,001</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tcPr>
          <w:p>
            <w:pPr>
              <w:pStyle w:val="TableContents"/>
              <w:spacing w:before="0" w:after="0"/>
              <w:rPr>
                <w:rFonts w:ascii="Times New Roman" w:hAnsi="Times New Roman"/>
                <w:sz w:val="20"/>
              </w:rPr>
            </w:pPr>
            <w:r>
              <w:rPr>
                <w:rFonts w:ascii="Times New Roman" w:hAnsi="Times New Roman"/>
                <w:sz w:val="20"/>
              </w:rPr>
              <w:t>Rebecca Dabora, Ph.D. (13)</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567,212</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Jane Pritchett Henderson(14)</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742,002</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385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Tillman U. Gerngross, Ph.D.</w:t>
            </w:r>
          </w:p>
        </w:tc>
        <w:tc>
          <w:tcPr>
            <w:tcW w:w="41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64"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3852" w:type="dxa"/>
            <w:tcBorders/>
            <w:shd w:fill="CCEEFF" w:val="clear"/>
          </w:tcPr>
          <w:p>
            <w:pPr>
              <w:pStyle w:val="TableContents"/>
              <w:spacing w:before="0" w:after="0"/>
              <w:rPr>
                <w:rFonts w:ascii="Times New Roman" w:hAnsi="Times New Roman"/>
                <w:sz w:val="20"/>
              </w:rPr>
            </w:pPr>
            <w:r>
              <w:rPr>
                <w:rFonts w:ascii="Times New Roman" w:hAnsi="Times New Roman"/>
                <w:sz w:val="20"/>
              </w:rPr>
              <w:t>All directors and current executive officers as a group (13 persons) (15)</w:t>
            </w:r>
          </w:p>
        </w:tc>
        <w:tc>
          <w:tcPr>
            <w:tcW w:w="413"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21,287,940</w:t>
            </w:r>
          </w:p>
        </w:tc>
        <w:tc>
          <w:tcPr>
            <w:tcW w:w="60"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64" w:type="dxa"/>
            <w:tcBorders/>
            <w:shd w:fill="CCEEFF" w:val="clear"/>
            <w:vAlign w:val="bottom"/>
          </w:tcPr>
          <w:p>
            <w:pPr>
              <w:pStyle w:val="TableContents"/>
              <w:spacing w:before="0" w:after="283"/>
              <w:jc w:val="right"/>
              <w:rPr/>
            </w:pPr>
            <w:r>
              <w:rPr/>
              <w:t>19.1</w:t>
            </w:r>
          </w:p>
        </w:tc>
        <w:tc>
          <w:tcPr>
            <w:tcW w:w="279"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one percent.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table is based upon information supplied by officers, directors and principal stockholders, Schedules 13D and 13G filed with the SEC, and the Companys records.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information has been obtained from a Schedule 13D/A filed on June 24, 2022 by Adimab, LLC (Adimab). Tillman U. Gerngross, Ph.D., a former member of our Board and our former Chief Executive Officer, and Terrance McGuire, a current member of our Board, are members of the Board of Directors of Adimab; these individuals disclaim beneficial ownership with respect to the shares held by Adimab except to the extent of their pecuniary interest therein. The principal business address of Adimab and Dr. Gerngross is c/o Philip Chase, 7 Lucent Drive, Lebanon, NH 03766.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information has been obtained from a Schedule 13G/A filed on February 9, 2023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14,110,187 shares of our common stock and sole power to dispose or direct the disposition of 14,110,982 shares of our common stock. Abigail P. Johnson may be deemed to have sole power to dispose or direct the disposition of 14,110,982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of FMR LLC is 245 Summer Street, Boston, MA 02210.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information has been obtained from a Schedule 13D/A filed on July 5,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former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information has been obtained from a Schedule 13D/A filed on August 19, 2022 by M28 Capital Management LP (M28 Capital). Consists of 9,248,250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the Chairperson of our Board, is the Chief Investment Officer of M28 Capital and Managing Member of M28 Capital Management GP LLC, the general partner of M28 Capital, and exercises investment discretion with respect to these securities. The principal business address of M28 Capital and Marc Elia is 700 Canal Street, 2nd Floor, Stamford, CT 06902.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information has been obtained from a Schedule 13D/A filed on June 24,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4,800,460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vAlign w:val="center"/>
          </w:tcPr>
          <w:p>
            <w:pPr>
              <w:pStyle w:val="TableContents"/>
              <w:spacing w:before="0" w:after="283"/>
              <w:rPr/>
            </w:pPr>
            <w:r>
              <w:rPr/>
              <w:t> </w:t>
            </w:r>
          </w:p>
        </w:tc>
        <w:tc>
          <w:tcPr>
            <w:tcW w:w="9800" w:type="dxa"/>
            <w:tcBorders/>
            <w:shd w:fill="auto" w:val="clear"/>
          </w:tcPr>
          <w:p>
            <w:pPr>
              <w:pStyle w:val="TableContents"/>
              <w:spacing w:before="0" w:after="283"/>
              <w:jc w:val="left"/>
              <w:rPr/>
            </w:pPr>
            <w:r>
              <w:rPr/>
              <w:t xml:space="preserve">shares of our common stock held of record by Polaris Partners IX, L.P. (Polaris IX) and (vi) 497,660 shares of our common stock held of record by Polaris Healthcare Technology Opportunities Fund, L.P. (Polaris HCT). Polaris Venture Management Co. V, L.L.C. (PVMC V) is the general partner of each of Polaris V, Polaris EF V, Polaris FF V and Polaris SFF V and may 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an interest holder in PPGP IX and a member of our Board, David Barrett, Brian Chee, Amir Nashat and Amy Schulman are the managing members of PPGP IX and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David Barrett, Brian Chee, Amir Nashat and Amy Schulman are the managing members of PHCT GP and may be deemed to have shared voting, investment and dispositive power with respect to the securities held by Polaris HCT. For Mr. McGuires reported holdings, the total amount also includes options to purchase 95,755 shares of common stock currently exercisable or exercisable within 60 days of March 27, 2023. The principal business address of each of the persons and entities referenced in this footnote is c/o Polaris Partners, One Marina Park Drive, 8th Floor, Boston, MA 02210.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information has been obtained from a Schedule 13G filed on February 14, 2022 by entities affiliated with Alphabet Inc. Consists of (i)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8,000 shares of common stock and (ii) options to purchase 1,350,744 shares of common stock currently exercisable or exercisable within 60 days of March 27,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options to purchase 132,465 shares of common stock currently exercisable or exercisable within 60 days of March 27,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information has been obtained from a Schedule 13D/A filed on June 22, 2022 by PHP. Consists of shares of common stock held of record by Population Health Equity Partners III, L.P. (PH III) and Population Health Equity Partners VII, L.P. (PH VII). Population Health Equity Partners III GP, LLC (PH III GP) is the general partner of PH III and Population Health Equity Partners VII GP, LLC (PH VII GP) is the general partner of PH VII. Clive Meanwell, M.D., a member of our Board, is a managing member of both PH III GP and PH VII GP and may be deemed to have shared voting, investment and dispositive power with respect to these securities. The principal business address of the entities and persons referenced in this footnote is c/o Christopher Cox, Population Health Partners, L.P., 1200 Morris Turnpike, Suite 3005, Short Hills, NJ 07078.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options to purchase 116,510 shares of common stock currently exercisable or exercisable within 60 days of March 27,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2,700 shares of common stock and (ii) options to purchase 436,301 shares of common stock currently exercisable or exercisable within 60 days of March 27,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options to purchase 567,212 shares of common stock currently exercisable or exercisable within 60 days of March 27,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options to purchase 742,002 shares of common stock currently exercisable or exercisable within 60 days of March 27,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19,004,301 shares of common stock and (ii) options to purchase 2,283,639 shares of common stock currently exercisable or exercisable within 60 days of March 27,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tx419064_25"/>
      <w:bookmarkEnd w:id="27"/>
      <w:r>
        <w:rPr>
          <w:rFonts w:ascii="Times New Roman" w:hAnsi="Times New Roman"/>
          <w:b/>
          <w:sz w:val="20"/>
        </w:rPr>
        <w:t xml:space="preserve">EXECUTIVE COMPENSATION </w:t>
      </w:r>
    </w:p>
    <w:p>
      <w:pPr>
        <w:pStyle w:val="TextBody"/>
        <w:spacing w:before="240" w:after="0"/>
        <w:jc w:val="left"/>
        <w:rPr>
          <w:rFonts w:ascii="Times New Roman" w:hAnsi="Times New Roman"/>
          <w:sz w:val="20"/>
        </w:rPr>
      </w:pPr>
      <w:r>
        <w:rPr>
          <w:rFonts w:ascii="Times New Roman" w:hAnsi="Times New Roman"/>
          <w:sz w:val="20"/>
        </w:rPr>
        <w:t xml:space="preserve">Our named executive officers for the fiscal year ended December 31, 2022 consist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David Hering, M.B.A., our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Tillman U. Gerngross, Ph.D., our former Chief Executive Officer(1);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Jill Andersen, J.D., our Chief Legal Officer and Corporate Secretary;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Rebecca Dabora, Ph.D., our former Chief Technology and Manufacturing Officer (2);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Jane Pritchett Henderson, our former Chief Financial and Business Officer.(3)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Gerngross served as our Chief Executive Officer until February 23,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Dabora served as our Chief Technology and Manufacturing Officer until February 3,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Ms. Henderson served as our Chief Financial and Business Officer until October 12, 2022. </w:t>
            </w:r>
          </w:p>
        </w:tc>
      </w:tr>
    </w:tbl>
    <w:p>
      <w:pPr>
        <w:pStyle w:val="TextBody"/>
        <w:spacing w:before="240" w:after="0"/>
        <w:jc w:val="left"/>
        <w:rPr>
          <w:rFonts w:ascii="Times New Roman" w:hAnsi="Times New Roman"/>
          <w:sz w:val="20"/>
        </w:rPr>
      </w:pPr>
      <w:r>
        <w:rPr>
          <w:rFonts w:ascii="Times New Roman" w:hAnsi="Times New Roman"/>
          <w:sz w:val="20"/>
        </w:rPr>
        <w:t xml:space="preserve">As an emerging growth company under the Jumpstart Our Business Startups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 </w:t>
      </w:r>
    </w:p>
    <w:p>
      <w:pPr>
        <w:pStyle w:val="TextBody"/>
        <w:spacing w:before="480" w:after="0"/>
        <w:jc w:val="left"/>
        <w:rPr>
          <w:rFonts w:ascii="Times New Roman" w:hAnsi="Times New Roman"/>
          <w:b/>
          <w:sz w:val="20"/>
        </w:rPr>
      </w:pPr>
      <w:bookmarkStart w:id="28" w:name="tx419064_26"/>
      <w:bookmarkEnd w:id="28"/>
      <w:r>
        <w:rPr>
          <w:rFonts w:ascii="Times New Roman" w:hAnsi="Times New Roman"/>
          <w:b/>
          <w:sz w:val="20"/>
        </w:rPr>
        <w:t xml:space="preserve">Summary Compensation Table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regarding compensation awarded or paid to, or earned by, our named executive officers with respect to the years ended December 31, 2022 and December 31, 2021. Ms. Henderson and Dr. Dabora were not named executive officers for the year ended December 31, 2021; accordingly, their compensation for such year is not included in the following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23"/>
        <w:gridCol w:w="128"/>
        <w:gridCol w:w="60"/>
        <w:gridCol w:w="500"/>
        <w:gridCol w:w="60"/>
        <w:gridCol w:w="128"/>
        <w:gridCol w:w="60"/>
        <w:gridCol w:w="804"/>
        <w:gridCol w:w="60"/>
        <w:gridCol w:w="128"/>
        <w:gridCol w:w="60"/>
        <w:gridCol w:w="1103"/>
        <w:gridCol w:w="59"/>
        <w:gridCol w:w="128"/>
        <w:gridCol w:w="103"/>
        <w:gridCol w:w="1395"/>
        <w:gridCol w:w="60"/>
        <w:gridCol w:w="128"/>
        <w:gridCol w:w="103"/>
        <w:gridCol w:w="1395"/>
        <w:gridCol w:w="60"/>
        <w:gridCol w:w="128"/>
        <w:gridCol w:w="60"/>
        <w:gridCol w:w="1103"/>
        <w:gridCol w:w="69"/>
      </w:tblGrid>
      <w:tr>
        <w:trPr/>
        <w:tc>
          <w:tcPr>
            <w:tcW w:w="232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2323"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128"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Salary</w:t>
            </w:r>
            <w:r>
              <w:rPr/>
              <w:br/>
            </w:r>
            <w:r>
              <w:rPr>
                <w:b/>
              </w:rPr>
              <w:t>($)</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($)(1)</w:t>
            </w:r>
          </w:p>
        </w:tc>
        <w:tc>
          <w:tcPr>
            <w:tcW w:w="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Non-Equity</w:t>
              <w:br/>
              <w:t>Incentive Plan</w:t>
              <w:br/>
              <w:t>Compensation</w:t>
              <w:br/>
              <w:t>($)(2)</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4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($)(3)</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1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69" w:type="dxa"/>
            <w:tcBorders/>
            <w:shd w:fill="auto" w:val="clear"/>
            <w:vAlign w:val="bottom"/>
          </w:tcPr>
          <w:p>
            <w:pPr>
              <w:pStyle w:val="TableContents"/>
              <w:spacing w:before="0" w:after="283"/>
              <w:rPr/>
            </w:pPr>
            <w:r>
              <w:rPr/>
              <w:t> </w:t>
            </w:r>
          </w:p>
        </w:tc>
      </w:tr>
      <w:tr>
        <w:trPr/>
        <w:tc>
          <w:tcPr>
            <w:tcW w:w="2323" w:type="dxa"/>
            <w:tcBorders/>
            <w:shd w:fill="CCEEFF" w:val="clear"/>
          </w:tcPr>
          <w:p>
            <w:pPr>
              <w:pStyle w:val="TableContents"/>
              <w:spacing w:before="0" w:after="0"/>
              <w:rPr>
                <w:rFonts w:ascii="Times New Roman" w:hAnsi="Times New Roman"/>
                <w:sz w:val="20"/>
              </w:rPr>
            </w:pPr>
            <w:r>
              <w:rPr>
                <w:rFonts w:ascii="Times New Roman" w:hAnsi="Times New Roman"/>
                <w:sz w:val="20"/>
              </w:rPr>
              <w:t>David Hering, M.B.A.</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579,297</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8,402,750</w:t>
            </w:r>
          </w:p>
        </w:tc>
        <w:tc>
          <w:tcPr>
            <w:tcW w:w="59"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342,000</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11,207</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9,335,253</w:t>
            </w:r>
          </w:p>
        </w:tc>
        <w:tc>
          <w:tcPr>
            <w:tcW w:w="69" w:type="dxa"/>
            <w:tcBorders/>
            <w:shd w:fill="CCEEFF" w:val="clear"/>
            <w:vAlign w:val="bottom"/>
          </w:tcPr>
          <w:p>
            <w:pPr>
              <w:pStyle w:val="TableContents"/>
              <w:spacing w:before="0" w:after="283"/>
              <w:rPr/>
            </w:pPr>
            <w:r>
              <w:rPr/>
              <w:t> </w:t>
            </w:r>
          </w:p>
        </w:tc>
      </w:tr>
      <w:tr>
        <w:trPr/>
        <w:tc>
          <w:tcPr>
            <w:tcW w:w="2323" w:type="dxa"/>
            <w:tcBorders/>
            <w:shd w:fill="CCEEFF" w:val="clear"/>
          </w:tcPr>
          <w:p>
            <w:pPr>
              <w:pStyle w:val="TableContents"/>
              <w:spacing w:before="0" w:after="0"/>
              <w:rPr>
                <w:rFonts w:ascii="Times New Roman" w:hAnsi="Times New Roman"/>
                <w:sz w:val="20"/>
              </w:rPr>
            </w:pPr>
            <w:r>
              <w:rPr>
                <w:rFonts w:ascii="Times New Roman" w:hAnsi="Times New Roman"/>
                <w:i/>
                <w:sz w:val="20"/>
              </w:rPr>
              <w:t>Chief Executive Officer</w:t>
            </w:r>
            <w:r>
              <w:rPr>
                <w:rFonts w:ascii="Times New Roman" w:hAnsi="Times New Roman"/>
                <w:sz w:val="20"/>
              </w:rPr>
              <w:t>(4)</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2021</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206,577</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10,591,881</w:t>
            </w:r>
          </w:p>
        </w:tc>
        <w:tc>
          <w:tcPr>
            <w:tcW w:w="59"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92,267</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7,421</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10,898,146</w:t>
            </w:r>
          </w:p>
        </w:tc>
        <w:tc>
          <w:tcPr>
            <w:tcW w:w="69" w:type="dxa"/>
            <w:tcBorders/>
            <w:shd w:fill="CCEEFF" w:val="clear"/>
            <w:vAlign w:val="bottom"/>
          </w:tcPr>
          <w:p>
            <w:pPr>
              <w:pStyle w:val="TableContents"/>
              <w:spacing w:before="0" w:after="283"/>
              <w:rPr/>
            </w:pPr>
            <w:r>
              <w:rPr/>
              <w:t> </w:t>
            </w:r>
          </w:p>
        </w:tc>
      </w:tr>
      <w:tr>
        <w:trPr/>
        <w:tc>
          <w:tcPr>
            <w:tcW w:w="2323" w:type="dxa"/>
            <w:tcBorders/>
            <w:shd w:fill="auto" w:val="clear"/>
          </w:tcPr>
          <w:p>
            <w:pPr>
              <w:pStyle w:val="TableContents"/>
              <w:spacing w:before="0" w:after="0"/>
              <w:rPr>
                <w:rFonts w:ascii="Times New Roman" w:hAnsi="Times New Roman"/>
                <w:sz w:val="20"/>
              </w:rPr>
            </w:pPr>
            <w:r>
              <w:rPr>
                <w:rFonts w:ascii="Times New Roman" w:hAnsi="Times New Roman"/>
                <w:sz w:val="20"/>
              </w:rPr>
              <w:t>Jill Andersen, J.D.</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433,333</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3,245,250</w:t>
            </w:r>
          </w:p>
        </w:tc>
        <w:tc>
          <w:tcPr>
            <w:tcW w:w="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174,800</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11,197</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3,864,580</w:t>
            </w:r>
          </w:p>
        </w:tc>
        <w:tc>
          <w:tcPr>
            <w:tcW w:w="69" w:type="dxa"/>
            <w:tcBorders/>
            <w:shd w:fill="auto" w:val="clear"/>
            <w:vAlign w:val="bottom"/>
          </w:tcPr>
          <w:p>
            <w:pPr>
              <w:pStyle w:val="TableContents"/>
              <w:spacing w:before="0" w:after="283"/>
              <w:rPr/>
            </w:pPr>
            <w:r>
              <w:rPr/>
              <w:t> </w:t>
            </w:r>
          </w:p>
        </w:tc>
      </w:tr>
      <w:tr>
        <w:trPr/>
        <w:tc>
          <w:tcPr>
            <w:tcW w:w="2323" w:type="dxa"/>
            <w:tcBorders/>
            <w:shd w:fill="auto" w:val="clear"/>
          </w:tcPr>
          <w:p>
            <w:pPr>
              <w:pStyle w:val="TableContents"/>
              <w:spacing w:before="0" w:after="0"/>
              <w:rPr>
                <w:rFonts w:ascii="Times New Roman" w:hAnsi="Times New Roman"/>
                <w:i/>
                <w:sz w:val="20"/>
              </w:rPr>
            </w:pPr>
            <w:r>
              <w:rPr>
                <w:rFonts w:ascii="Times New Roman" w:hAnsi="Times New Roman"/>
                <w:i/>
                <w:sz w:val="20"/>
              </w:rPr>
              <w:t>Chief Legal Officer</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66,667</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10,142,801</w:t>
            </w:r>
          </w:p>
        </w:tc>
        <w:tc>
          <w:tcPr>
            <w:tcW w:w="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177,600</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2,513</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10,389,581</w:t>
            </w:r>
          </w:p>
        </w:tc>
        <w:tc>
          <w:tcPr>
            <w:tcW w:w="69" w:type="dxa"/>
            <w:tcBorders/>
            <w:shd w:fill="auto" w:val="clear"/>
            <w:vAlign w:val="bottom"/>
          </w:tcPr>
          <w:p>
            <w:pPr>
              <w:pStyle w:val="TableContents"/>
              <w:spacing w:before="0" w:after="283"/>
              <w:rPr/>
            </w:pPr>
            <w:r>
              <w:rPr/>
              <w:t> </w:t>
            </w:r>
          </w:p>
        </w:tc>
      </w:tr>
      <w:tr>
        <w:trPr/>
        <w:tc>
          <w:tcPr>
            <w:tcW w:w="2323" w:type="dxa"/>
            <w:tcBorders/>
            <w:shd w:fill="CCEEFF" w:val="clear"/>
          </w:tcPr>
          <w:p>
            <w:pPr>
              <w:pStyle w:val="TableContents"/>
              <w:spacing w:before="0" w:after="0"/>
              <w:rPr>
                <w:rFonts w:ascii="Times New Roman" w:hAnsi="Times New Roman"/>
                <w:sz w:val="20"/>
              </w:rPr>
            </w:pPr>
            <w:r>
              <w:rPr>
                <w:rFonts w:ascii="Times New Roman" w:hAnsi="Times New Roman"/>
                <w:sz w:val="20"/>
              </w:rPr>
              <w:t>Jane Pritchett Henderson</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459,940</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764,750</w:t>
            </w:r>
          </w:p>
        </w:tc>
        <w:tc>
          <w:tcPr>
            <w:tcW w:w="59"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186,674</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411,840</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1,823,204</w:t>
            </w:r>
          </w:p>
        </w:tc>
        <w:tc>
          <w:tcPr>
            <w:tcW w:w="69" w:type="dxa"/>
            <w:tcBorders/>
            <w:shd w:fill="CCEEFF" w:val="clear"/>
            <w:vAlign w:val="bottom"/>
          </w:tcPr>
          <w:p>
            <w:pPr>
              <w:pStyle w:val="TableContents"/>
              <w:spacing w:before="0" w:after="283"/>
              <w:rPr/>
            </w:pPr>
            <w:r>
              <w:rPr/>
              <w:t> </w:t>
            </w:r>
          </w:p>
        </w:tc>
      </w:tr>
      <w:tr>
        <w:trPr/>
        <w:tc>
          <w:tcPr>
            <w:tcW w:w="2323" w:type="dxa"/>
            <w:tcBorders/>
            <w:shd w:fill="CCEEFF" w:val="clear"/>
          </w:tcPr>
          <w:p>
            <w:pPr>
              <w:pStyle w:val="TableContents"/>
              <w:spacing w:before="0" w:after="0"/>
              <w:rPr>
                <w:rFonts w:ascii="Times New Roman" w:hAnsi="Times New Roman"/>
                <w:i/>
                <w:sz w:val="20"/>
              </w:rPr>
            </w:pPr>
            <w:r>
              <w:rPr>
                <w:rFonts w:ascii="Times New Roman" w:hAnsi="Times New Roman"/>
                <w:i/>
                <w:sz w:val="20"/>
              </w:rPr>
              <w:t>Former Chief Financial and Business Officer</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2021</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rPr/>
            </w:pPr>
            <w:r>
              <w:rPr/>
              <w:t> </w:t>
            </w:r>
          </w:p>
        </w:tc>
      </w:tr>
      <w:tr>
        <w:trPr/>
        <w:tc>
          <w:tcPr>
            <w:tcW w:w="2323" w:type="dxa"/>
            <w:tcBorders/>
            <w:shd w:fill="auto" w:val="clear"/>
          </w:tcPr>
          <w:p>
            <w:pPr>
              <w:pStyle w:val="TableContents"/>
              <w:spacing w:before="0" w:after="0"/>
              <w:rPr>
                <w:rFonts w:ascii="Times New Roman" w:hAnsi="Times New Roman"/>
                <w:sz w:val="20"/>
              </w:rPr>
            </w:pPr>
            <w:r>
              <w:rPr>
                <w:rFonts w:ascii="Times New Roman" w:hAnsi="Times New Roman"/>
                <w:sz w:val="20"/>
              </w:rPr>
              <w:t>Tillman U. Gerngross, Ph.D.</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94,569</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764,750</w:t>
            </w:r>
          </w:p>
        </w:tc>
        <w:tc>
          <w:tcPr>
            <w:tcW w:w="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6,359</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865,678</w:t>
            </w:r>
          </w:p>
        </w:tc>
        <w:tc>
          <w:tcPr>
            <w:tcW w:w="69" w:type="dxa"/>
            <w:tcBorders/>
            <w:shd w:fill="auto" w:val="clear"/>
            <w:vAlign w:val="bottom"/>
          </w:tcPr>
          <w:p>
            <w:pPr>
              <w:pStyle w:val="TableContents"/>
              <w:spacing w:before="0" w:after="283"/>
              <w:rPr/>
            </w:pPr>
            <w:r>
              <w:rPr/>
              <w:t> </w:t>
            </w:r>
          </w:p>
        </w:tc>
      </w:tr>
      <w:tr>
        <w:trPr/>
        <w:tc>
          <w:tcPr>
            <w:tcW w:w="2323" w:type="dxa"/>
            <w:tcBorders/>
            <w:shd w:fill="auto" w:val="clear"/>
          </w:tcPr>
          <w:p>
            <w:pPr>
              <w:pStyle w:val="TableContents"/>
              <w:spacing w:before="0" w:after="0"/>
              <w:rPr>
                <w:rFonts w:ascii="Times New Roman" w:hAnsi="Times New Roman"/>
                <w:sz w:val="20"/>
              </w:rPr>
            </w:pPr>
            <w:r>
              <w:rPr>
                <w:rFonts w:ascii="Times New Roman" w:hAnsi="Times New Roman"/>
                <w:i/>
                <w:sz w:val="20"/>
              </w:rPr>
              <w:t>Former Chief Executive Officer</w:t>
            </w:r>
            <w:r>
              <w:rPr>
                <w:rFonts w:ascii="Times New Roman" w:hAnsi="Times New Roman"/>
                <w:sz w:val="20"/>
              </w:rPr>
              <w:t>(5)</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2021</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221,058</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30,315,451</w:t>
            </w:r>
          </w:p>
        </w:tc>
        <w:tc>
          <w:tcPr>
            <w:tcW w:w="59"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106,647</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7,718</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30,650,874</w:t>
            </w:r>
          </w:p>
        </w:tc>
        <w:tc>
          <w:tcPr>
            <w:tcW w:w="69" w:type="dxa"/>
            <w:tcBorders/>
            <w:shd w:fill="auto" w:val="clear"/>
            <w:vAlign w:val="bottom"/>
          </w:tcPr>
          <w:p>
            <w:pPr>
              <w:pStyle w:val="TableContents"/>
              <w:spacing w:before="0" w:after="283"/>
              <w:rPr/>
            </w:pPr>
            <w:r>
              <w:rPr/>
              <w:t> </w:t>
            </w:r>
          </w:p>
        </w:tc>
      </w:tr>
      <w:tr>
        <w:trPr/>
        <w:tc>
          <w:tcPr>
            <w:tcW w:w="2323" w:type="dxa"/>
            <w:tcBorders/>
            <w:shd w:fill="CCEEFF" w:val="clear"/>
          </w:tcPr>
          <w:p>
            <w:pPr>
              <w:pStyle w:val="TableContents"/>
              <w:spacing w:before="0" w:after="0"/>
              <w:rPr>
                <w:rFonts w:ascii="Times New Roman" w:hAnsi="Times New Roman"/>
                <w:sz w:val="20"/>
              </w:rPr>
            </w:pPr>
            <w:r>
              <w:rPr>
                <w:rFonts w:ascii="Times New Roman" w:hAnsi="Times New Roman"/>
                <w:sz w:val="20"/>
              </w:rPr>
              <w:t>Rebecca Dabora, Ph.D.</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418,000</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874,750</w:t>
            </w:r>
          </w:p>
        </w:tc>
        <w:tc>
          <w:tcPr>
            <w:tcW w:w="59"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158,840</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11,211</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1,462,801</w:t>
            </w:r>
          </w:p>
        </w:tc>
        <w:tc>
          <w:tcPr>
            <w:tcW w:w="69" w:type="dxa"/>
            <w:tcBorders/>
            <w:shd w:fill="CCEEFF" w:val="clear"/>
            <w:vAlign w:val="bottom"/>
          </w:tcPr>
          <w:p>
            <w:pPr>
              <w:pStyle w:val="TableContents"/>
              <w:spacing w:before="0" w:after="283"/>
              <w:rPr/>
            </w:pPr>
            <w:r>
              <w:rPr/>
              <w:t> </w:t>
            </w:r>
          </w:p>
        </w:tc>
      </w:tr>
      <w:tr>
        <w:trPr/>
        <w:tc>
          <w:tcPr>
            <w:tcW w:w="2323" w:type="dxa"/>
            <w:tcBorders/>
            <w:shd w:fill="CCEEFF" w:val="clear"/>
          </w:tcPr>
          <w:p>
            <w:pPr>
              <w:pStyle w:val="TableContents"/>
              <w:spacing w:before="0" w:after="0"/>
              <w:rPr>
                <w:rFonts w:ascii="Times New Roman" w:hAnsi="Times New Roman"/>
                <w:i/>
                <w:sz w:val="20"/>
              </w:rPr>
            </w:pPr>
            <w:r>
              <w:rPr>
                <w:rFonts w:ascii="Times New Roman" w:hAnsi="Times New Roman"/>
                <w:i/>
                <w:sz w:val="20"/>
              </w:rPr>
              <w:t>Former Chief Technology and Manufacturing Officer</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2021</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12 to our financial statements included in our Annual Report on Form 10-K for the year ended December 31, 2022. These amounts do not reflect the actual economic value that will be realized by the named executive officer upon vesting of the stock options, the exercise of the stock options, or the sale of the common stock underlying such stock options.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See Narrative to Summary Compensation TableNon-Equity Incentive Plan Compensation below for a description of the material terms of the program pursuant to which this compensation was awarded.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employer contributions to 401(k) plan accounts and life insurance premiums and employee cell phone allowances. For Ms. Henderson, this amount also includes payments made in connection with the Henderson Separation Agreement (defined below), including a severance payment of $382,500, as described in the Potential Payments Upon Termination or Change in Control  Ms. Henderson section below.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Hering was appointed as our Chief Executive Officer in July 2022. Previously, Mr. Hering was our Interim Chief Executive Officer from February 2022 through July 2022, and also served as our Chief Operating Officer since June 2021. In connection with his appointment as Chief Executive Officer, Mr. Hering was also appointed a member of our Board, but did not receive any additional compensation in his capacity as a director. The Salary column for 2022 also includes a stipend during Mr. Herings time as Interim Chief Executive Officer in the amount of $32,607.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Gerngross was also a member of our Board prior to his resignation as Chief Executive Officer on February 23, 2022, but did not receive any additional compensation in his capacity as a director. </w:t>
            </w:r>
          </w:p>
        </w:tc>
      </w:tr>
    </w:tbl>
    <w:p>
      <w:pPr>
        <w:pStyle w:val="TextBody"/>
        <w:spacing w:before="360" w:after="0"/>
        <w:jc w:val="left"/>
        <w:rPr>
          <w:rFonts w:ascii="Times New Roman" w:hAnsi="Times New Roman"/>
          <w:b/>
          <w:sz w:val="20"/>
        </w:rPr>
      </w:pPr>
      <w:bookmarkStart w:id="29" w:name="tx419064_27"/>
      <w:bookmarkEnd w:id="29"/>
      <w:r>
        <w:rPr>
          <w:rFonts w:ascii="Times New Roman" w:hAnsi="Times New Roman"/>
          <w:b/>
          <w:sz w:val="20"/>
        </w:rPr>
        <w:t xml:space="preserve">Narrative To 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of our Board has historically determined, or made recommendations to our Board to determine, our executives compensation, including the compensation of our named executive officers. Our Compensation Committee typically reviews and discusses managements proposed compensation with the Chief Executive Officer for all executives other than the Chief Executive Officer.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our Board for approval, the compensation of each executive officer without members of management present. </w:t>
      </w:r>
    </w:p>
    <w:p>
      <w:pPr>
        <w:pStyle w:val="TextBody"/>
        <w:spacing w:before="360" w:after="0"/>
        <w:jc w:val="left"/>
        <w:rPr>
          <w:rFonts w:ascii="Times New Roman" w:hAnsi="Times New Roman"/>
          <w:b/>
          <w:sz w:val="20"/>
        </w:rPr>
      </w:pPr>
      <w:r>
        <w:rPr>
          <w:rFonts w:ascii="Times New Roman" w:hAnsi="Times New Roman"/>
          <w:b/>
          <w:sz w:val="20"/>
        </w:rPr>
        <w:t xml:space="preserve">Annual Base Salary </w:t>
      </w:r>
    </w:p>
    <w:p>
      <w:pPr>
        <w:pStyle w:val="TextBody"/>
        <w:spacing w:before="120" w:after="0"/>
        <w:jc w:val="left"/>
        <w:rPr>
          <w:rFonts w:ascii="Times New Roman" w:hAnsi="Times New Roman"/>
          <w:sz w:val="20"/>
        </w:rPr>
      </w:pPr>
      <w:r>
        <w:rPr>
          <w:rFonts w:ascii="Times New Roman" w:hAnsi="Times New Roman"/>
          <w:sz w:val="20"/>
        </w:rPr>
        <w:t xml:space="preserve">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the annual base salaries for each of our named executive officers for 2022: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42"/>
        <w:gridCol w:w="405"/>
        <w:gridCol w:w="140"/>
        <w:gridCol w:w="896"/>
        <w:gridCol w:w="356"/>
      </w:tblGrid>
      <w:tr>
        <w:trPr/>
        <w:tc>
          <w:tcPr>
            <w:tcW w:w="5142"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514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405" w:type="dxa"/>
            <w:tcBorders/>
            <w:shd w:fill="auto" w:val="clear"/>
            <w:vAlign w:val="bottom"/>
          </w:tcPr>
          <w:p>
            <w:pPr>
              <w:pStyle w:val="TableContents"/>
              <w:spacing w:before="0" w:after="283"/>
              <w:rPr/>
            </w:pPr>
            <w:r>
              <w:rPr/>
              <w:t>  </w:t>
            </w:r>
          </w:p>
        </w:tc>
        <w:tc>
          <w:tcPr>
            <w:tcW w:w="10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 Base</w:t>
              <w:br/>
              <w:t>Salary</w:t>
            </w:r>
          </w:p>
        </w:tc>
        <w:tc>
          <w:tcPr>
            <w:tcW w:w="356" w:type="dxa"/>
            <w:tcBorders/>
            <w:shd w:fill="auto" w:val="clear"/>
            <w:vAlign w:val="bottom"/>
          </w:tcPr>
          <w:p>
            <w:pPr>
              <w:pStyle w:val="TableContents"/>
              <w:spacing w:before="0" w:after="283"/>
              <w:rPr/>
            </w:pPr>
            <w:r>
              <w:rPr/>
              <w:t> </w:t>
            </w:r>
          </w:p>
        </w:tc>
      </w:tr>
      <w:tr>
        <w:trPr/>
        <w:tc>
          <w:tcPr>
            <w:tcW w:w="5142" w:type="dxa"/>
            <w:tcBorders/>
            <w:shd w:fill="CCEEFF" w:val="clear"/>
          </w:tcPr>
          <w:p>
            <w:pPr>
              <w:pStyle w:val="TableContents"/>
              <w:spacing w:before="0" w:after="0"/>
              <w:rPr>
                <w:rFonts w:ascii="Times New Roman" w:hAnsi="Times New Roman"/>
                <w:sz w:val="20"/>
              </w:rPr>
            </w:pPr>
            <w:r>
              <w:rPr>
                <w:rFonts w:ascii="Times New Roman" w:hAnsi="Times New Roman"/>
                <w:sz w:val="20"/>
              </w:rPr>
              <w:t>David Hering, M.B.A</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6" w:type="dxa"/>
            <w:tcBorders/>
            <w:shd w:fill="CCEEFF" w:val="clear"/>
            <w:vAlign w:val="bottom"/>
          </w:tcPr>
          <w:p>
            <w:pPr>
              <w:pStyle w:val="TableContents"/>
              <w:spacing w:before="0" w:after="283"/>
              <w:jc w:val="right"/>
              <w:rPr/>
            </w:pPr>
            <w:r>
              <w:rPr/>
              <w:t>600,000</w:t>
            </w:r>
          </w:p>
        </w:tc>
        <w:tc>
          <w:tcPr>
            <w:tcW w:w="356" w:type="dxa"/>
            <w:tcBorders/>
            <w:shd w:fill="CCEEFF" w:val="clear"/>
            <w:vAlign w:val="bottom"/>
          </w:tcPr>
          <w:p>
            <w:pPr>
              <w:pStyle w:val="TableContents"/>
              <w:spacing w:before="0" w:after="283"/>
              <w:rPr/>
            </w:pPr>
            <w:r>
              <w:rPr/>
              <w:t>(1) </w:t>
            </w:r>
          </w:p>
        </w:tc>
      </w:tr>
      <w:tr>
        <w:trPr/>
        <w:tc>
          <w:tcPr>
            <w:tcW w:w="5142" w:type="dxa"/>
            <w:tcBorders/>
            <w:shd w:fill="auto" w:val="clear"/>
          </w:tcPr>
          <w:p>
            <w:pPr>
              <w:pStyle w:val="TableContents"/>
              <w:spacing w:before="0" w:after="0"/>
              <w:rPr>
                <w:rFonts w:ascii="Times New Roman" w:hAnsi="Times New Roman"/>
                <w:sz w:val="20"/>
              </w:rPr>
            </w:pPr>
            <w:r>
              <w:rPr>
                <w:rFonts w:ascii="Times New Roman" w:hAnsi="Times New Roman"/>
                <w:sz w:val="20"/>
              </w:rPr>
              <w:t>Jill Andersen, J.D.</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96" w:type="dxa"/>
            <w:tcBorders/>
            <w:shd w:fill="auto" w:val="clear"/>
            <w:vAlign w:val="bottom"/>
          </w:tcPr>
          <w:p>
            <w:pPr>
              <w:pStyle w:val="TableContents"/>
              <w:spacing w:before="0" w:after="283"/>
              <w:jc w:val="right"/>
              <w:rPr/>
            </w:pPr>
            <w:r>
              <w:rPr/>
              <w:t>460,000</w:t>
            </w:r>
          </w:p>
        </w:tc>
        <w:tc>
          <w:tcPr>
            <w:tcW w:w="356" w:type="dxa"/>
            <w:tcBorders/>
            <w:shd w:fill="auto" w:val="clear"/>
            <w:vAlign w:val="bottom"/>
          </w:tcPr>
          <w:p>
            <w:pPr>
              <w:pStyle w:val="TableContents"/>
              <w:spacing w:before="0" w:after="283"/>
              <w:rPr/>
            </w:pPr>
            <w:r>
              <w:rPr/>
              <w:t>(2) </w:t>
            </w:r>
          </w:p>
        </w:tc>
      </w:tr>
      <w:tr>
        <w:trPr/>
        <w:tc>
          <w:tcPr>
            <w:tcW w:w="5142" w:type="dxa"/>
            <w:tcBorders/>
            <w:shd w:fill="CCEEFF" w:val="clear"/>
          </w:tcPr>
          <w:p>
            <w:pPr>
              <w:pStyle w:val="TableContents"/>
              <w:spacing w:before="0" w:after="0"/>
              <w:rPr>
                <w:rFonts w:ascii="Times New Roman" w:hAnsi="Times New Roman"/>
                <w:sz w:val="20"/>
              </w:rPr>
            </w:pPr>
            <w:r>
              <w:rPr>
                <w:rFonts w:ascii="Times New Roman" w:hAnsi="Times New Roman"/>
                <w:sz w:val="20"/>
              </w:rPr>
              <w:t>Jane Pritchett Henderson</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6" w:type="dxa"/>
            <w:tcBorders/>
            <w:shd w:fill="CCEEFF" w:val="clear"/>
            <w:vAlign w:val="bottom"/>
          </w:tcPr>
          <w:p>
            <w:pPr>
              <w:pStyle w:val="TableContents"/>
              <w:spacing w:before="0" w:after="283"/>
              <w:jc w:val="right"/>
              <w:rPr/>
            </w:pPr>
            <w:r>
              <w:rPr/>
              <w:t>510,000</w:t>
            </w:r>
          </w:p>
        </w:tc>
        <w:tc>
          <w:tcPr>
            <w:tcW w:w="356" w:type="dxa"/>
            <w:tcBorders/>
            <w:shd w:fill="CCEEFF" w:val="clear"/>
            <w:vAlign w:val="bottom"/>
          </w:tcPr>
          <w:p>
            <w:pPr>
              <w:pStyle w:val="TableContents"/>
              <w:spacing w:before="0" w:after="283"/>
              <w:rPr/>
            </w:pPr>
            <w:r>
              <w:rPr/>
              <w:t>(3) </w:t>
            </w:r>
          </w:p>
        </w:tc>
      </w:tr>
      <w:tr>
        <w:trPr/>
        <w:tc>
          <w:tcPr>
            <w:tcW w:w="5142" w:type="dxa"/>
            <w:tcBorders/>
            <w:shd w:fill="auto" w:val="clear"/>
          </w:tcPr>
          <w:p>
            <w:pPr>
              <w:pStyle w:val="TableContents"/>
              <w:spacing w:before="0" w:after="0"/>
              <w:rPr>
                <w:rFonts w:ascii="Times New Roman" w:hAnsi="Times New Roman"/>
                <w:sz w:val="20"/>
              </w:rPr>
            </w:pPr>
            <w:r>
              <w:rPr>
                <w:rFonts w:ascii="Times New Roman" w:hAnsi="Times New Roman"/>
                <w:sz w:val="20"/>
              </w:rPr>
              <w:t>Tillman U. Gerngross, Ph.D.</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96" w:type="dxa"/>
            <w:tcBorders/>
            <w:shd w:fill="auto" w:val="clear"/>
            <w:vAlign w:val="bottom"/>
          </w:tcPr>
          <w:p>
            <w:pPr>
              <w:pStyle w:val="TableContents"/>
              <w:spacing w:before="0" w:after="283"/>
              <w:jc w:val="right"/>
              <w:rPr/>
            </w:pPr>
            <w:r>
              <w:rPr/>
              <w:t>619,000</w:t>
            </w:r>
          </w:p>
        </w:tc>
        <w:tc>
          <w:tcPr>
            <w:tcW w:w="356" w:type="dxa"/>
            <w:tcBorders/>
            <w:shd w:fill="auto" w:val="clear"/>
            <w:vAlign w:val="bottom"/>
          </w:tcPr>
          <w:p>
            <w:pPr>
              <w:pStyle w:val="TableContents"/>
              <w:spacing w:before="0" w:after="283"/>
              <w:rPr/>
            </w:pPr>
            <w:r>
              <w:rPr/>
              <w:t> </w:t>
            </w:r>
          </w:p>
        </w:tc>
      </w:tr>
      <w:tr>
        <w:trPr/>
        <w:tc>
          <w:tcPr>
            <w:tcW w:w="5142" w:type="dxa"/>
            <w:tcBorders/>
            <w:shd w:fill="CCEEFF" w:val="clear"/>
          </w:tcPr>
          <w:p>
            <w:pPr>
              <w:pStyle w:val="TableContents"/>
              <w:spacing w:before="0" w:after="0"/>
              <w:rPr>
                <w:rFonts w:ascii="Times New Roman" w:hAnsi="Times New Roman"/>
                <w:sz w:val="20"/>
              </w:rPr>
            </w:pPr>
            <w:r>
              <w:rPr>
                <w:rFonts w:ascii="Times New Roman" w:hAnsi="Times New Roman"/>
                <w:sz w:val="20"/>
              </w:rPr>
              <w:t>Rebecca Dabora, Ph.D.</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6" w:type="dxa"/>
            <w:tcBorders/>
            <w:shd w:fill="CCEEFF" w:val="clear"/>
            <w:vAlign w:val="bottom"/>
          </w:tcPr>
          <w:p>
            <w:pPr>
              <w:pStyle w:val="TableContents"/>
              <w:spacing w:before="0" w:after="283"/>
              <w:jc w:val="right"/>
              <w:rPr/>
            </w:pPr>
            <w:r>
              <w:rPr/>
              <w:t>418,000</w:t>
            </w:r>
          </w:p>
        </w:tc>
        <w:tc>
          <w:tcPr>
            <w:tcW w:w="356"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July 5, 2022 upon Mr. Herings appointment as our Chief Executive Officer. Prior to such date, Mr. Herings base salary was $459,000 while serving as our Chief Operating Officer until he was appointed as our Interim Chief Executive Officer on February 23, 2022, at which point his base salary was increased to $510,000. In connection with Mr. Herings appointment as our Chief Executive Officer, his salary was increased to $600,000.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November 1, 2022. Prior to such date, Ms. Andersens base salary was $428,000.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March 18, 2022 upon Ms. Hendersons appointment as our Chief Business Officer. Prior to such date, Ms. Hendersons base salary was $475,000. </w:t>
            </w:r>
          </w:p>
        </w:tc>
      </w:tr>
    </w:tbl>
    <w:p>
      <w:pPr>
        <w:pStyle w:val="TextBody"/>
        <w:spacing w:before="240" w:after="0"/>
        <w:jc w:val="left"/>
        <w:rPr>
          <w:rFonts w:ascii="Times New Roman" w:hAnsi="Times New Roman"/>
          <w:sz w:val="20"/>
        </w:rPr>
      </w:pPr>
      <w:r>
        <w:rPr>
          <w:rFonts w:ascii="Times New Roman" w:hAnsi="Times New Roman"/>
          <w:sz w:val="20"/>
        </w:rPr>
        <w:t xml:space="preserve">In December 2022, the Compensation Committee recommended to our Board, and our Board approved, that there be no changes to the annual base salaries for Mr. Hering, Ms. Andersen and Dr. Dabora for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30" w:name="tx419064_28"/>
      <w:bookmarkEnd w:id="30"/>
      <w:r>
        <w:rPr>
          <w:rFonts w:ascii="Times New Roman" w:hAnsi="Times New Roman"/>
          <w:b/>
          <w:sz w:val="20"/>
        </w:rPr>
        <w:t xml:space="preserve">Non-Equity Incentive Plan Compensation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develops a performance-based bonus program annually. For 2022, the Compensation Committee determined that each named executive officers performance bonus should be based principally on contribution towards the achievement of corporate goals. Under the 2022 annual performance bonus program, each named executive officer was eligible to be considered for an annual performance bonus based on the percentage attainment, as determined by the Compensation Committee, of the 2022 corporate goals that were previously approved by our Board.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or her annual base salary and may earn more or less than the annual target amount based on the Companys achievement of the performance goals and the adjustments described above. </w:t>
      </w:r>
    </w:p>
    <w:p>
      <w:pPr>
        <w:pStyle w:val="TextBody"/>
        <w:spacing w:before="240" w:after="0"/>
        <w:jc w:val="left"/>
        <w:rPr>
          <w:rFonts w:ascii="Times New Roman" w:hAnsi="Times New Roman"/>
          <w:sz w:val="20"/>
        </w:rPr>
      </w:pPr>
      <w:r>
        <w:rPr>
          <w:rFonts w:ascii="Times New Roman" w:hAnsi="Times New Roman"/>
          <w:sz w:val="20"/>
        </w:rPr>
        <w:t xml:space="preserve">For 2022, each named executive officers target bonus percentage was as follows: for Mr. Hering, 60%; for Dr. Gerngross, 50%; and for Ms. Andersen, Ms. Henderson and Dr. Dabora, 40%. </w:t>
      </w:r>
    </w:p>
    <w:p>
      <w:pPr>
        <w:pStyle w:val="TextBody"/>
        <w:spacing w:before="240" w:after="0"/>
        <w:jc w:val="left"/>
        <w:rPr>
          <w:rFonts w:ascii="Times New Roman" w:hAnsi="Times New Roman"/>
          <w:sz w:val="20"/>
        </w:rPr>
      </w:pPr>
      <w:r>
        <w:rPr>
          <w:rFonts w:ascii="Times New Roman" w:hAnsi="Times New Roman"/>
          <w:sz w:val="20"/>
        </w:rPr>
        <w:t xml:space="preserve">In December 2022, the Board, upon recommendation by the Compensation Committee, determined that the percentage attainment of the target bonus for 2022 was 95% for each of Mr. Hering, Ms. Andersen and Dr. Dabora, and approved individual performance achievement payouts for such named executive officers in the amounts reflected in the column of the Summary Compensation Table above entitled Non-Equity Incentive Plan Compensation. Dr. Gerngross did not earn an annual performance bonus for 2022 given his departure in February 2022. Upon Ms. Hendersons departure in November 2022, she received her 2022 target bonus at 100% attainment, which was prorated for her time in service during 2022. See the amount reflected in the column of the Summary Compensation Table above entitled Non-Equity Incentive Plan Compensation for Ms. Hendersons individual performance achievement payout. </w:t>
      </w:r>
    </w:p>
    <w:p>
      <w:pPr>
        <w:pStyle w:val="TextBody"/>
        <w:spacing w:before="360" w:after="0"/>
        <w:jc w:val="left"/>
        <w:rPr>
          <w:rFonts w:ascii="Times New Roman" w:hAnsi="Times New Roman"/>
          <w:b/>
          <w:sz w:val="20"/>
        </w:rPr>
      </w:pPr>
      <w:bookmarkStart w:id="31" w:name="tx419064_29"/>
      <w:bookmarkEnd w:id="31"/>
      <w:r>
        <w:rPr>
          <w:rFonts w:ascii="Times New Roman" w:hAnsi="Times New Roman"/>
          <w:b/>
          <w:sz w:val="20"/>
        </w:rPr>
        <w:t xml:space="preserve">Equity-Based Awards </w:t>
      </w:r>
    </w:p>
    <w:p>
      <w:pPr>
        <w:pStyle w:val="TextBody"/>
        <w:spacing w:before="120" w:after="0"/>
        <w:jc w:val="left"/>
        <w:rPr>
          <w:rFonts w:ascii="Times New Roman" w:hAnsi="Times New Roman"/>
          <w:sz w:val="20"/>
        </w:rPr>
      </w:pPr>
      <w:r>
        <w:rPr>
          <w:rFonts w:ascii="Times New Roman" w:hAnsi="Times New Roman"/>
          <w:sz w:val="20"/>
        </w:rPr>
        <w:t xml:space="preserve">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 </w:t>
      </w:r>
    </w:p>
    <w:p>
      <w:pPr>
        <w:pStyle w:val="TextBody"/>
        <w:spacing w:before="240" w:after="0"/>
        <w:jc w:val="left"/>
        <w:rPr>
          <w:rFonts w:ascii="Times New Roman" w:hAnsi="Times New Roman"/>
          <w:sz w:val="20"/>
        </w:rPr>
      </w:pPr>
      <w:r>
        <w:rPr>
          <w:rFonts w:ascii="Times New Roman" w:hAnsi="Times New Roman"/>
          <w:sz w:val="20"/>
        </w:rPr>
        <w:t xml:space="preserve">We have granted all equity awards pursuant to our 2021 Equity Incentive Plan since its adoption; equity awards granted prior to the adoption of the 2021 Equity Incentive Plan were made pursuant to our 2020 Equity Incentive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32" w:name="tx419064_30"/>
      <w:bookmarkEnd w:id="32"/>
      <w:r>
        <w:rPr>
          <w:rFonts w:ascii="Times New Roman" w:hAnsi="Times New Roman"/>
          <w:b/>
          <w:sz w:val="20"/>
        </w:rPr>
        <w:t xml:space="preserve">Outstanding Equity Awards as of December 31, 2022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certain information about outstanding equity awards granted to our named executive officers that were outstanding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952"/>
        <w:gridCol w:w="196"/>
        <w:gridCol w:w="2166"/>
        <w:gridCol w:w="196"/>
        <w:gridCol w:w="2166"/>
        <w:gridCol w:w="196"/>
        <w:gridCol w:w="1465"/>
        <w:gridCol w:w="196"/>
        <w:gridCol w:w="1672"/>
      </w:tblGrid>
      <w:tr>
        <w:trPr/>
        <w:tc>
          <w:tcPr>
            <w:tcW w:w="195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r>
      <w:tr>
        <w:trPr/>
        <w:tc>
          <w:tcPr>
            <w:tcW w:w="195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4528"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 (1)</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rPr/>
            </w:pPr>
            <w:r>
              <w:rPr/>
              <w:t> </w:t>
            </w:r>
          </w:p>
        </w:tc>
      </w:tr>
      <w:tr>
        <w:trPr/>
        <w:tc>
          <w:tcPr>
            <w:tcW w:w="195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96" w:type="dxa"/>
            <w:tcBorders/>
            <w:shd w:fill="auto" w:val="clear"/>
            <w:vAlign w:val="bottom"/>
          </w:tcPr>
          <w:p>
            <w:pPr>
              <w:pStyle w:val="TableContents"/>
              <w:spacing w:before="0" w:after="283"/>
              <w:rPr/>
            </w:pPr>
            <w:r>
              <w:rPr/>
              <w:t>  </w:t>
            </w:r>
          </w:p>
        </w:tc>
        <w:tc>
          <w:tcPr>
            <w:tcW w:w="2166"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 of Securities</w:t>
              <w:br/>
              <w:t>Underlying</w:t>
              <w:br/>
              <w:t>Unexercised Options</w:t>
              <w:br/>
              <w:t>(#) Exercisable</w:t>
            </w:r>
          </w:p>
        </w:tc>
        <w:tc>
          <w:tcPr>
            <w:tcW w:w="196" w:type="dxa"/>
            <w:tcBorders/>
            <w:shd w:fill="auto" w:val="clear"/>
            <w:vAlign w:val="bottom"/>
          </w:tcPr>
          <w:p>
            <w:pPr>
              <w:pStyle w:val="TableContents"/>
              <w:spacing w:before="0" w:after="283"/>
              <w:rPr/>
            </w:pPr>
            <w:r>
              <w:rPr/>
              <w:t>  </w:t>
            </w:r>
          </w:p>
        </w:tc>
        <w:tc>
          <w:tcPr>
            <w:tcW w:w="2166"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 of Securities</w:t>
              <w:br/>
              <w:t>Underlying</w:t>
              <w:br/>
              <w:t>Unexercised Options</w:t>
              <w:br/>
              <w:t>(#) Unexercisable</w:t>
            </w:r>
          </w:p>
        </w:tc>
        <w:tc>
          <w:tcPr>
            <w:tcW w:w="196" w:type="dxa"/>
            <w:tcBorders/>
            <w:shd w:fill="auto" w:val="clear"/>
            <w:vAlign w:val="bottom"/>
          </w:tcPr>
          <w:p>
            <w:pPr>
              <w:pStyle w:val="TableContents"/>
              <w:spacing w:before="0" w:after="283"/>
              <w:rPr/>
            </w:pPr>
            <w:r>
              <w:rPr/>
              <w:t>  </w:t>
            </w:r>
          </w:p>
        </w:tc>
        <w:tc>
          <w:tcPr>
            <w:tcW w:w="1465" w:type="dxa"/>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 Price</w:t>
              <w:br/>
              <w:t>($)(2)</w:t>
            </w:r>
          </w:p>
        </w:tc>
        <w:tc>
          <w:tcPr>
            <w:tcW w:w="196" w:type="dxa"/>
            <w:tcBorders/>
            <w:shd w:fill="auto" w:val="clear"/>
            <w:vAlign w:val="bottom"/>
          </w:tcPr>
          <w:p>
            <w:pPr>
              <w:pStyle w:val="TableContents"/>
              <w:spacing w:before="0" w:after="283"/>
              <w:rPr/>
            </w:pPr>
            <w:r>
              <w:rPr/>
              <w:t>  </w:t>
            </w:r>
          </w:p>
        </w:tc>
        <w:tc>
          <w:tcPr>
            <w:tcW w:w="1672" w:type="dxa"/>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Expiration Date</w:t>
            </w:r>
          </w:p>
        </w:tc>
      </w:tr>
      <w:tr>
        <w:trPr/>
        <w:tc>
          <w:tcPr>
            <w:tcW w:w="1952" w:type="dxa"/>
            <w:tcBorders/>
            <w:shd w:fill="CCEEFF" w:val="clear"/>
          </w:tcPr>
          <w:p>
            <w:pPr>
              <w:pStyle w:val="TableContents"/>
              <w:spacing w:before="0" w:after="0"/>
              <w:rPr>
                <w:rFonts w:ascii="Times New Roman" w:hAnsi="Times New Roman"/>
                <w:sz w:val="20"/>
              </w:rPr>
            </w:pPr>
            <w:r>
              <w:rPr>
                <w:rFonts w:ascii="Times New Roman" w:hAnsi="Times New Roman"/>
                <w:sz w:val="20"/>
              </w:rPr>
              <w:t>David Hering, M.B.A.</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480,865(5)</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801,445</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12.81</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06/29/2031</w:t>
            </w:r>
          </w:p>
        </w:tc>
      </w:tr>
      <w:tr>
        <w:trPr/>
        <w:tc>
          <w:tcPr>
            <w:tcW w:w="1952" w:type="dxa"/>
            <w:tcBorders/>
            <w:shd w:fill="CCEEFF" w:val="clear"/>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108,854(3)</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366,146</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6.78</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01/29/2032</w:t>
            </w:r>
          </w:p>
        </w:tc>
      </w:tr>
      <w:tr>
        <w:trPr/>
        <w:tc>
          <w:tcPr>
            <w:tcW w:w="1952" w:type="dxa"/>
            <w:tcBorders/>
            <w:shd w:fill="CCEEFF" w:val="clear"/>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208,333(3)</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1,791,667</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3.37</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07/04/2032</w:t>
            </w:r>
          </w:p>
        </w:tc>
      </w:tr>
      <w:tr>
        <w:trPr/>
        <w:tc>
          <w:tcPr>
            <w:tcW w:w="1952" w:type="dxa"/>
            <w:tcBorders/>
            <w:shd w:fill="CCEEFF" w:val="clear"/>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(3)</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700,000</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1.73</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12/13/2032</w:t>
            </w:r>
          </w:p>
        </w:tc>
      </w:tr>
      <w:tr>
        <w:trPr/>
        <w:tc>
          <w:tcPr>
            <w:tcW w:w="1952" w:type="dxa"/>
            <w:tcBorders/>
            <w:shd w:fill="CCEEFF" w:val="clear"/>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(4)</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900,000</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1.73</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12/13/2032</w:t>
            </w:r>
          </w:p>
        </w:tc>
      </w:tr>
      <w:tr>
        <w:trPr/>
        <w:tc>
          <w:tcPr>
            <w:tcW w:w="1952" w:type="dxa"/>
            <w:tcBorders/>
            <w:shd w:fill="auto" w:val="clear"/>
          </w:tcPr>
          <w:p>
            <w:pPr>
              <w:pStyle w:val="TableContents"/>
              <w:spacing w:before="0" w:after="0"/>
              <w:rPr>
                <w:rFonts w:ascii="Times New Roman" w:hAnsi="Times New Roman"/>
                <w:sz w:val="20"/>
              </w:rPr>
            </w:pPr>
            <w:r>
              <w:rPr>
                <w:rFonts w:ascii="Times New Roman" w:hAnsi="Times New Roman"/>
                <w:sz w:val="20"/>
              </w:rPr>
              <w:t>Jill Andersen, J.D.</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139,441(5)</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375,422</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30.65</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10/31/2031</w:t>
            </w:r>
          </w:p>
        </w:tc>
      </w:tr>
      <w:tr>
        <w:trPr/>
        <w:tc>
          <w:tcPr>
            <w:tcW w:w="1952" w:type="dxa"/>
            <w:tcBorders/>
            <w:shd w:fill="auto" w:val="clea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131,770(3)</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443,230</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6.78</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01/29/2032</w:t>
            </w:r>
          </w:p>
        </w:tc>
      </w:tr>
      <w:tr>
        <w:trPr/>
        <w:tc>
          <w:tcPr>
            <w:tcW w:w="1952" w:type="dxa"/>
            <w:tcBorders/>
            <w:shd w:fill="auto" w:val="clea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3,645 (3)</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171,355</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3.57</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11/02/2032</w:t>
            </w:r>
          </w:p>
        </w:tc>
      </w:tr>
      <w:tr>
        <w:trPr/>
        <w:tc>
          <w:tcPr>
            <w:tcW w:w="1952" w:type="dxa"/>
            <w:tcBorders/>
            <w:shd w:fill="auto" w:val="clea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 (4)</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300,000</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1.73</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12/13/2032</w:t>
            </w:r>
          </w:p>
        </w:tc>
      </w:tr>
      <w:tr>
        <w:trPr/>
        <w:tc>
          <w:tcPr>
            <w:tcW w:w="1952" w:type="dxa"/>
            <w:tcBorders/>
            <w:shd w:fill="CCEEFF" w:val="clear"/>
          </w:tcPr>
          <w:p>
            <w:pPr>
              <w:pStyle w:val="TableContents"/>
              <w:spacing w:before="0" w:after="283"/>
              <w:rPr/>
            </w:pPr>
            <w:r>
              <w:rPr/>
              <w:t>Jane Pritchett Henderson(6)</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577,319(5)</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627,521</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4.61</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01/12/2031</w:t>
            </w:r>
          </w:p>
        </w:tc>
      </w:tr>
      <w:tr>
        <w:trPr/>
        <w:tc>
          <w:tcPr>
            <w:tcW w:w="1952" w:type="dxa"/>
            <w:tcBorders/>
            <w:shd w:fill="CCEEFF" w:val="clear"/>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128,225 (5)</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213,710</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10.14</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05/06/2031</w:t>
            </w:r>
          </w:p>
        </w:tc>
      </w:tr>
      <w:tr>
        <w:trPr/>
        <w:tc>
          <w:tcPr>
            <w:tcW w:w="1952" w:type="dxa"/>
            <w:tcBorders/>
            <w:shd w:fill="CCEEFF" w:val="clear"/>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36,458 (3)</w:t>
            </w:r>
          </w:p>
        </w:tc>
        <w:tc>
          <w:tcPr>
            <w:tcW w:w="196" w:type="dxa"/>
            <w:tcBorders/>
            <w:shd w:fill="CCEEFF" w:val="clear"/>
            <w:vAlign w:val="bottom"/>
          </w:tcPr>
          <w:p>
            <w:pPr>
              <w:pStyle w:val="TableContents"/>
              <w:spacing w:before="0" w:after="283"/>
              <w:rPr/>
            </w:pPr>
            <w:r>
              <w:rPr/>
              <w:t>  </w:t>
            </w:r>
          </w:p>
        </w:tc>
        <w:tc>
          <w:tcPr>
            <w:tcW w:w="2166" w:type="dxa"/>
            <w:tcBorders/>
            <w:shd w:fill="CCEEFF" w:val="clear"/>
            <w:vAlign w:val="bottom"/>
          </w:tcPr>
          <w:p>
            <w:pPr>
              <w:pStyle w:val="TableContents"/>
              <w:spacing w:before="0" w:after="283"/>
              <w:jc w:val="center"/>
              <w:rPr/>
            </w:pPr>
            <w:r>
              <w:rPr/>
              <w:t>138,542</w:t>
            </w:r>
          </w:p>
        </w:tc>
        <w:tc>
          <w:tcPr>
            <w:tcW w:w="196" w:type="dxa"/>
            <w:tcBorders/>
            <w:shd w:fill="CCEEFF" w:val="clear"/>
            <w:vAlign w:val="bottom"/>
          </w:tcPr>
          <w:p>
            <w:pPr>
              <w:pStyle w:val="TableContents"/>
              <w:spacing w:before="0" w:after="283"/>
              <w:rPr/>
            </w:pPr>
            <w:r>
              <w:rPr/>
              <w:t>  </w:t>
            </w:r>
          </w:p>
        </w:tc>
        <w:tc>
          <w:tcPr>
            <w:tcW w:w="1465" w:type="dxa"/>
            <w:tcBorders/>
            <w:shd w:fill="CCEEFF" w:val="clear"/>
            <w:vAlign w:val="bottom"/>
          </w:tcPr>
          <w:p>
            <w:pPr>
              <w:pStyle w:val="TableContents"/>
              <w:spacing w:before="0" w:after="283"/>
              <w:jc w:val="center"/>
              <w:rPr/>
            </w:pPr>
            <w:r>
              <w:rPr/>
              <w:t>6.78</w:t>
            </w:r>
          </w:p>
        </w:tc>
        <w:tc>
          <w:tcPr>
            <w:tcW w:w="196"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center"/>
              <w:rPr/>
            </w:pPr>
            <w:r>
              <w:rPr/>
              <w:t>01/29/2032</w:t>
            </w:r>
          </w:p>
        </w:tc>
      </w:tr>
      <w:tr>
        <w:trPr/>
        <w:tc>
          <w:tcPr>
            <w:tcW w:w="1952" w:type="dxa"/>
            <w:tcBorders/>
            <w:shd w:fill="auto" w:val="clear"/>
          </w:tcPr>
          <w:p>
            <w:pPr>
              <w:pStyle w:val="TableContents"/>
              <w:spacing w:before="0" w:after="0"/>
              <w:rPr>
                <w:rFonts w:ascii="Times New Roman" w:hAnsi="Times New Roman"/>
                <w:sz w:val="20"/>
              </w:rPr>
            </w:pPr>
            <w:r>
              <w:rPr>
                <w:rFonts w:ascii="Times New Roman" w:hAnsi="Times New Roman"/>
                <w:sz w:val="20"/>
              </w:rPr>
              <w:t>Rebecca Dabora, Ph.D.</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186,120(5)</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144,760</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0.78</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09/27/2030</w:t>
            </w:r>
          </w:p>
        </w:tc>
      </w:tr>
      <w:tr>
        <w:trPr/>
        <w:tc>
          <w:tcPr>
            <w:tcW w:w="1952" w:type="dxa"/>
            <w:tcBorders/>
            <w:shd w:fill="auto" w:val="clea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225,581 (5)</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344,309</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10.14</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05/06/2031</w:t>
            </w:r>
          </w:p>
        </w:tc>
      </w:tr>
      <w:tr>
        <w:trPr/>
        <w:tc>
          <w:tcPr>
            <w:tcW w:w="1952" w:type="dxa"/>
            <w:tcBorders/>
            <w:shd w:fill="auto" w:val="clea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40,104 (3)</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134,896</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6.78</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01/29/2032</w:t>
            </w:r>
          </w:p>
        </w:tc>
      </w:tr>
      <w:tr>
        <w:trPr/>
        <w:tc>
          <w:tcPr>
            <w:tcW w:w="1952" w:type="dxa"/>
            <w:tcBorders/>
            <w:shd w:fill="auto" w:val="clea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 (4)</w:t>
            </w:r>
          </w:p>
        </w:tc>
        <w:tc>
          <w:tcPr>
            <w:tcW w:w="196" w:type="dxa"/>
            <w:tcBorders/>
            <w:shd w:fill="auto" w:val="clear"/>
            <w:vAlign w:val="bottom"/>
          </w:tcPr>
          <w:p>
            <w:pPr>
              <w:pStyle w:val="TableContents"/>
              <w:spacing w:before="0" w:after="283"/>
              <w:rPr/>
            </w:pPr>
            <w:r>
              <w:rPr/>
              <w:t>  </w:t>
            </w:r>
          </w:p>
        </w:tc>
        <w:tc>
          <w:tcPr>
            <w:tcW w:w="2166" w:type="dxa"/>
            <w:tcBorders/>
            <w:shd w:fill="auto" w:val="clear"/>
            <w:vAlign w:val="bottom"/>
          </w:tcPr>
          <w:p>
            <w:pPr>
              <w:pStyle w:val="TableContents"/>
              <w:spacing w:before="0" w:after="283"/>
              <w:jc w:val="center"/>
              <w:rPr/>
            </w:pPr>
            <w:r>
              <w:rPr/>
              <w:t>100,000</w:t>
            </w:r>
          </w:p>
        </w:tc>
        <w:tc>
          <w:tcPr>
            <w:tcW w:w="196" w:type="dxa"/>
            <w:tcBorders/>
            <w:shd w:fill="auto" w:val="clear"/>
            <w:vAlign w:val="bottom"/>
          </w:tcPr>
          <w:p>
            <w:pPr>
              <w:pStyle w:val="TableContents"/>
              <w:spacing w:before="0" w:after="283"/>
              <w:rPr/>
            </w:pPr>
            <w:r>
              <w:rPr/>
              <w:t>  </w:t>
            </w:r>
          </w:p>
        </w:tc>
        <w:tc>
          <w:tcPr>
            <w:tcW w:w="1465" w:type="dxa"/>
            <w:tcBorders/>
            <w:shd w:fill="auto" w:val="clear"/>
            <w:vAlign w:val="bottom"/>
          </w:tcPr>
          <w:p>
            <w:pPr>
              <w:pStyle w:val="TableContents"/>
              <w:spacing w:before="0" w:after="283"/>
              <w:jc w:val="center"/>
              <w:rPr/>
            </w:pPr>
            <w:r>
              <w:rPr/>
              <w:t>1.73</w:t>
            </w:r>
          </w:p>
        </w:tc>
        <w:tc>
          <w:tcPr>
            <w:tcW w:w="196"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center"/>
              <w:rPr/>
            </w:pPr>
            <w:r>
              <w:rPr/>
              <w:t>12/13/2032</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awards listed in this table were granted under our 2021 Equity Incentive Plan, except for the following awards, which were granted under our 2020 Equity Incentive Plan: the June 2021 award to Mr. Hering; the January 2021 award and the May 2021 award to Ms. Henderson; and the September 2020 award and the May 2021 award to Dr. Dabora.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option awards listed in the table were granted with a per share exercise price equal to or above the estimated fair value of our common stock on the date of grant, as determined in good faith by our Board.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in equal monthly installments over a four-year period measured one month following the date of grant subject to the named executive officers continued service.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option award vests in equal monthly installments over a three-year period measured one month following the date of grant subject to the named executive officers continued service.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One fourth (1/4) of the shares subject to this option award vest on the first anniversary of the date of grant, with the remainder vesting in equal monthly installments over thirty-six months subject to the named executive officers continued service.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Henderson Separation Agreement (defined below), the unvested portions of Ms. Hendersons equity awards remained outstanding as of December 31, 2022. </w:t>
            </w:r>
          </w:p>
        </w:tc>
      </w:tr>
    </w:tbl>
    <w:p>
      <w:pPr>
        <w:pStyle w:val="TextBody"/>
        <w:spacing w:before="480" w:after="0"/>
        <w:jc w:val="left"/>
        <w:rPr>
          <w:rFonts w:ascii="Times New Roman" w:hAnsi="Times New Roman"/>
          <w:b/>
          <w:sz w:val="20"/>
        </w:rPr>
      </w:pPr>
      <w:bookmarkStart w:id="33" w:name="tx419064_31"/>
      <w:bookmarkEnd w:id="33"/>
      <w:r>
        <w:rPr>
          <w:rFonts w:ascii="Times New Roman" w:hAnsi="Times New Roman"/>
          <w:b/>
          <w:sz w:val="20"/>
        </w:rPr>
        <w:t xml:space="preserve">Retirement Benefits and Other Compensation </w:t>
      </w:r>
    </w:p>
    <w:p>
      <w:pPr>
        <w:pStyle w:val="TextBody"/>
        <w:spacing w:before="120" w:after="0"/>
        <w:jc w:val="left"/>
        <w:rPr>
          <w:rFonts w:ascii="Times New Roman" w:hAnsi="Times New Roman"/>
          <w:sz w:val="20"/>
        </w:rPr>
      </w:pPr>
      <w:r>
        <w:rPr>
          <w:rFonts w:ascii="Times New Roman" w:hAnsi="Times New Roman"/>
          <w:sz w:val="20"/>
        </w:rPr>
        <w:t xml:space="preserve">Our named executive officers did not participate in, or otherwise receive any benefits under, any pension, retirement or deferred compensation plan sponsored by us during 2022 other than our 401(k) plan described below. During 2022,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Internal Revenue Code of 1986, as amended,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2022. </w:t>
      </w:r>
    </w:p>
    <w:p>
      <w:pPr>
        <w:pStyle w:val="TextBody"/>
        <w:spacing w:before="360" w:after="0"/>
        <w:jc w:val="left"/>
        <w:rPr>
          <w:rFonts w:ascii="Times New Roman" w:hAnsi="Times New Roman"/>
          <w:b/>
          <w:sz w:val="20"/>
        </w:rPr>
      </w:pPr>
      <w:bookmarkStart w:id="34" w:name="tx419064_32"/>
      <w:bookmarkEnd w:id="34"/>
      <w:r>
        <w:rPr>
          <w:rFonts w:ascii="Times New Roman" w:hAnsi="Times New Roman"/>
          <w:b/>
          <w:sz w:val="20"/>
        </w:rPr>
        <w:t xml:space="preserve">Current Employment Agreements with David Hering, M.B.A., and Jill Andersen, J.D. </w:t>
      </w:r>
    </w:p>
    <w:p>
      <w:pPr>
        <w:pStyle w:val="TextBody"/>
        <w:spacing w:before="120" w:after="0"/>
        <w:jc w:val="left"/>
        <w:rPr>
          <w:rFonts w:ascii="Times New Roman" w:hAnsi="Times New Roman"/>
          <w:sz w:val="20"/>
        </w:rPr>
      </w:pPr>
      <w:r>
        <w:rPr>
          <w:rFonts w:ascii="Times New Roman" w:hAnsi="Times New Roman"/>
          <w:sz w:val="20"/>
        </w:rPr>
        <w:t xml:space="preserve">In connection with the closing of our initial public offering, we entered into an amended and restated employment agreement with Mr. Hering, and we subsequently entered into a new employment agreement with Mr. Hering in connection with his appointment as our Chief Executive Officer in July 2022. In addition, we entered into an employment agreement with Ms. Andersen in connection with her commencement of employment with us. </w:t>
      </w:r>
    </w:p>
    <w:p>
      <w:pPr>
        <w:pStyle w:val="TextBody"/>
        <w:spacing w:before="240" w:after="0"/>
        <w:jc w:val="left"/>
        <w:rPr>
          <w:rFonts w:ascii="Times New Roman" w:hAnsi="Times New Roman"/>
          <w:sz w:val="20"/>
        </w:rPr>
      </w:pPr>
      <w:r>
        <w:rPr>
          <w:rFonts w:ascii="Times New Roman" w:hAnsi="Times New Roman"/>
          <w:sz w:val="20"/>
        </w:rPr>
        <w:t xml:space="preserve">Each employment agreement includes an initial annual base salary and annual target bonus. The annual bonus is determined by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Substantive differences are limited to (i) the definition of Good Reason, which, for Ms. Andersen, is further triggered by a material reduction in the authority, duties or responsibilities of the Chief Executive Officer to whom Ms. Andersen reports, (ii) for Mr. Hering, the opportunity to receive an additional option award if certain Board-approved goals are met for calendar year 2022, subject to the approval of our Board, (iii) the treatment of equity awards upon (A) each executives termination or (B) a change in control of the Company, and (iv) for Mr. Hering, the opportunity to receive outplacement services in the event of his termination for Good Reason or without cause. Severance terms are detailed further below under Potential Payments Upon Termination or Change in Control. Ms. Andersens compensation has been subsequently increased from time to time to the amount described above; Mr. Herings compensation is currently as is stated in his employment agreement, which was entered into in July 2022. We do not maintain any other offer letters or employment agreements with our named executive officers. </w:t>
      </w:r>
    </w:p>
    <w:p>
      <w:pPr>
        <w:pStyle w:val="TextBody"/>
        <w:spacing w:before="360" w:after="0"/>
        <w:jc w:val="left"/>
        <w:rPr>
          <w:rFonts w:ascii="Times New Roman" w:hAnsi="Times New Roman"/>
          <w:b/>
          <w:sz w:val="20"/>
        </w:rPr>
      </w:pPr>
      <w:bookmarkStart w:id="35" w:name="tx419064_32a"/>
      <w:bookmarkEnd w:id="35"/>
      <w:r>
        <w:rPr>
          <w:rFonts w:ascii="Times New Roman" w:hAnsi="Times New Roman"/>
          <w:b/>
          <w:sz w:val="20"/>
        </w:rPr>
        <w:t xml:space="preserve">Prior Employment Agreements with Tillman U. Gerngross, Ph.D., Rebecca Dabora, Ph.D., and Jane Pritchett Henderson </w:t>
      </w:r>
    </w:p>
    <w:p>
      <w:pPr>
        <w:pStyle w:val="TextBody"/>
        <w:spacing w:before="120" w:after="0"/>
        <w:jc w:val="left"/>
        <w:rPr>
          <w:rFonts w:ascii="Times New Roman" w:hAnsi="Times New Roman"/>
          <w:sz w:val="20"/>
        </w:rPr>
      </w:pPr>
      <w:r>
        <w:rPr>
          <w:rFonts w:ascii="Times New Roman" w:hAnsi="Times New Roman"/>
          <w:sz w:val="20"/>
        </w:rPr>
        <w:t xml:space="preserve">Tillman U. Gerngross, Ph.D., served as our Chief Executive Officer until February 23, 2022, Jane Pritchett Henderson served as our Chief Financial and Business Officer until October 12, 2022, and Rebecca Dabora, Ph.D., was serving as our Chief Technology and Manufacturing Officer as of December 31, 2022; however, she subsequently resigned from her position as Chief Technology and Manufacturing Officer effective February 3, 2023. </w:t>
      </w:r>
    </w:p>
    <w:p>
      <w:pPr>
        <w:pStyle w:val="TextBody"/>
        <w:spacing w:before="240" w:after="0"/>
        <w:jc w:val="left"/>
        <w:rPr>
          <w:rFonts w:ascii="Times New Roman" w:hAnsi="Times New Roman"/>
          <w:sz w:val="20"/>
        </w:rPr>
      </w:pPr>
      <w:r>
        <w:rPr>
          <w:rFonts w:ascii="Times New Roman" w:hAnsi="Times New Roman"/>
          <w:sz w:val="20"/>
        </w:rPr>
        <w:t xml:space="preserve">In connection with the closing of our initial public offering, we entered into employment agreements with Drs. Gerngross and Dabora, and an amended and restated employment agreement with Ms. Henderson. Each of the employment agreements included an initial annual base salary and annual target bonus. </w:t>
      </w:r>
    </w:p>
    <w:p>
      <w:pPr>
        <w:pStyle w:val="TextBody"/>
        <w:spacing w:before="240" w:after="0"/>
        <w:jc w:val="left"/>
        <w:rPr>
          <w:rFonts w:ascii="Times New Roman" w:hAnsi="Times New Roman"/>
          <w:sz w:val="20"/>
        </w:rPr>
      </w:pPr>
      <w:r>
        <w:rPr>
          <w:rFonts w:ascii="Times New Roman" w:hAnsi="Times New Roman"/>
          <w:sz w:val="20"/>
        </w:rPr>
        <w:t xml:space="preserve">See Potential Payments Upon Termination or Change in Control below for the actual amounts paid to Drs. Gerngross and Dabora and Ms. Henderson in connection with their departures from the Company. </w:t>
      </w:r>
    </w:p>
    <w:p>
      <w:pPr>
        <w:pStyle w:val="TextBody"/>
        <w:spacing w:before="360" w:after="0"/>
        <w:jc w:val="left"/>
        <w:rPr>
          <w:rFonts w:ascii="Times New Roman" w:hAnsi="Times New Roman"/>
          <w:b/>
          <w:sz w:val="20"/>
        </w:rPr>
      </w:pPr>
      <w:bookmarkStart w:id="36" w:name="tx419064_32b"/>
      <w:bookmarkEnd w:id="36"/>
      <w:r>
        <w:rPr>
          <w:rFonts w:ascii="Times New Roman" w:hAnsi="Times New Roman"/>
          <w:b/>
          <w:sz w:val="20"/>
        </w:rPr>
        <w:t xml:space="preserve">Potential Payments Upon Termination or Change in Control </w:t>
      </w:r>
    </w:p>
    <w:p>
      <w:pPr>
        <w:pStyle w:val="TextBody"/>
        <w:spacing w:before="120" w:after="0"/>
        <w:jc w:val="left"/>
        <w:rPr>
          <w:rFonts w:ascii="Times New Roman" w:hAnsi="Times New Roman"/>
          <w:sz w:val="20"/>
        </w:rPr>
      </w:pPr>
      <w:r>
        <w:rPr>
          <w:rFonts w:ascii="Times New Roman" w:hAnsi="Times New Roman"/>
          <w:sz w:val="20"/>
        </w:rPr>
        <w:t xml:space="preserve">Mr. Hering and Ms. Andersen are, and Drs. Gerngross and Dabora and Ms. Henderson were, entitled to certain severance and change in control benefits pursuant to the employment agreements described above. </w:t>
      </w:r>
    </w:p>
    <w:p>
      <w:pPr>
        <w:pStyle w:val="TextBody"/>
        <w:spacing w:before="240" w:after="0"/>
        <w:jc w:val="left"/>
        <w:rPr>
          <w:rFonts w:ascii="Times New Roman" w:hAnsi="Times New Roman"/>
          <w:sz w:val="20"/>
        </w:rPr>
      </w:pPr>
      <w:r>
        <w:rPr>
          <w:rFonts w:ascii="Times New Roman" w:hAnsi="Times New Roman"/>
          <w:sz w:val="20"/>
        </w:rPr>
        <w:t xml:space="preserve">In the event that the executives employment ends upon death or a disability, they are (or were) entitled to accrued obligations and payment of their target bonus so long as their employment terminates after the completion of the calendar year but prior to the date of payment of the bonus (the Earned Bonus). </w:t>
      </w:r>
    </w:p>
    <w:p>
      <w:pPr>
        <w:pStyle w:val="TextBody"/>
        <w:spacing w:before="360" w:after="0"/>
        <w:jc w:val="left"/>
        <w:rPr>
          <w:rFonts w:ascii="Times New Roman" w:hAnsi="Times New Roman"/>
          <w:i/>
          <w:sz w:val="20"/>
        </w:rPr>
      </w:pPr>
      <w:r>
        <w:rPr>
          <w:rFonts w:ascii="Times New Roman" w:hAnsi="Times New Roman"/>
          <w:i/>
          <w:sz w:val="20"/>
        </w:rPr>
        <w:t xml:space="preserve">Mr. Hering and Ms. Andersen </w:t>
      </w:r>
    </w:p>
    <w:p>
      <w:pPr>
        <w:pStyle w:val="TextBody"/>
        <w:spacing w:before="120" w:after="0"/>
        <w:jc w:val="left"/>
        <w:rPr>
          <w:rFonts w:ascii="Times New Roman" w:hAnsi="Times New Roman"/>
          <w:sz w:val="20"/>
        </w:rPr>
      </w:pPr>
      <w:r>
        <w:rPr>
          <w:rFonts w:ascii="Times New Roman" w:hAnsi="Times New Roman"/>
          <w:sz w:val="20"/>
        </w:rPr>
        <w:t xml:space="preserve">In the event that employment terminates, other than during the period commencing three months prior to or ending 12 months following a change in control (the Change in Control Period) by us without cause or by Mr. Hering or Ms. Andersen for good reason (as defined in our equity plan and the respective employment agreement), and subject to the delivery to us of a separation agreement that includes a general release of claims, Mr. Hering or Ms. Andersen, as the case may be, will (i) receive cash severance equal to, for Mr. Hering, 12 months and, for Ms. Andersen, 9 months, of his or her then-current base salary, as well as the Earned Bonus, if applicable, his or her target bonus for the year of termination, and, for Mr. Hering, 12 months, and, for Ms. Andersen, 9 months, continuation of benefits and (ii) be entitled to delayed forfeiture of unvested time-based equity awards until, for Mr. Hering, 180 days and, for Ms. Andersen, three months, after the date of termination. In addition, Mr. Hering will be entitled to (A) accelerated vesting as of the date of termination with respect to the portion of unvested equity awards that would have become vested during the 12 month period following the date of termination had he remained employed during such period (which, for the avoidance of doubt, includes such accelerated equity awards described in clause (ii) of the preceding sentence for Mr. Hering) and (B) receive outplacement services consistent with the outplacement services provided to senior executives of the Company, which such services shall be provided by an outplacement firm selected by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event that Mr. Herings or Ms. Andersens employment is terminated by us without cause or by Mr. Hering or Ms. Andersen for good reason, in either case, during the Change in Control Period, and subject to the delivery to us of a separation agreement that includes a general release of claims, Mr. Hering and Ms. Andersen will each receive cash severance equal to 12 months of their base salary, as well as the Earned Bonus, if any, their respective target bonus for the year of termination,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In addition, for Mr. Hering, each such equity award that is outstanding and exercisable on such accelerated vesting date shall remain exercisable for 180 days following such date (or, if earlier, until the original expiration date of the equity award). Mr. Hering will also be entitled to the outplacement services described in the paragraph above. </w:t>
      </w:r>
    </w:p>
    <w:p>
      <w:pPr>
        <w:pStyle w:val="TextBody"/>
        <w:spacing w:before="360" w:after="0"/>
        <w:jc w:val="left"/>
        <w:rPr>
          <w:rFonts w:ascii="Times New Roman" w:hAnsi="Times New Roman"/>
          <w:i/>
          <w:sz w:val="20"/>
        </w:rPr>
      </w:pPr>
      <w:r>
        <w:rPr>
          <w:rFonts w:ascii="Times New Roman" w:hAnsi="Times New Roman"/>
          <w:i/>
          <w:sz w:val="20"/>
        </w:rPr>
        <w:t xml:space="preserve">Dr. Gerngross </w:t>
      </w:r>
    </w:p>
    <w:p>
      <w:pPr>
        <w:pStyle w:val="TextBody"/>
        <w:spacing w:before="120" w:after="0"/>
        <w:jc w:val="left"/>
        <w:rPr>
          <w:rFonts w:ascii="Times New Roman" w:hAnsi="Times New Roman"/>
          <w:sz w:val="20"/>
        </w:rPr>
      </w:pPr>
      <w:r>
        <w:rPr>
          <w:rFonts w:ascii="Times New Roman" w:hAnsi="Times New Roman"/>
          <w:sz w:val="20"/>
        </w:rPr>
        <w:t xml:space="preserve">Pursuant to his employment agreement, Dr. Gerngross was entitled to receive cash severance equal to 12 months of his base salary, the Earned Bonus, if applicable, and 12 months continuation of benefits, and would be entitled to delayed forfeiture of unvested time-based equity awards until 90 days after the date of termination (which were the terms applicable to him upon termination by us without cause or by him for good reason). However, no severance payments were made pursuant to Dr. Gerngross employment agreement upon his resignation. </w:t>
      </w:r>
    </w:p>
    <w:p>
      <w:pPr>
        <w:pStyle w:val="TextBody"/>
        <w:spacing w:before="360" w:after="0"/>
        <w:jc w:val="left"/>
        <w:rPr>
          <w:rFonts w:ascii="Times New Roman" w:hAnsi="Times New Roman"/>
          <w:i/>
          <w:sz w:val="20"/>
        </w:rPr>
      </w:pPr>
      <w:r>
        <w:rPr>
          <w:rFonts w:ascii="Times New Roman" w:hAnsi="Times New Roman"/>
          <w:i/>
          <w:sz w:val="20"/>
        </w:rPr>
        <w:t xml:space="preserve">Ms. Henderson </w:t>
      </w:r>
    </w:p>
    <w:p>
      <w:pPr>
        <w:pStyle w:val="TextBody"/>
        <w:spacing w:before="120" w:after="0"/>
        <w:jc w:val="left"/>
        <w:rPr>
          <w:rFonts w:ascii="Times New Roman" w:hAnsi="Times New Roman"/>
          <w:sz w:val="20"/>
        </w:rPr>
      </w:pPr>
      <w:r>
        <w:rPr>
          <w:rFonts w:ascii="Times New Roman" w:hAnsi="Times New Roman"/>
          <w:sz w:val="20"/>
        </w:rPr>
        <w:t xml:space="preserve">We entered into a separation agreement (as amended, the Henderson Separation Agreement) with Ms. Henderson in connection with her departure and, upon Ms. Hendersons agreement to a release of claims and compliance with certain other continuing obligations contained in the Henderson Separation Agreement, we paid Ms. Henderson (i) the amounts owed to her pursuant to her employment agreement, which included (A) cash severance equal to 9 months of her base salary and (B) 9 months continuation of benefits, plus (ii) a lump sum cash payment equal to $186,673.97, representing a pro-rated portion of Ms. Hendersons annual target bonus for 2022 at 100% of target. In addition, Ms. Henderson was entitled to delayed forfeiture of unvested time-based equity awards until May 30, 2023, which is six months after her separation date. </w:t>
      </w:r>
    </w:p>
    <w:p>
      <w:pPr>
        <w:pStyle w:val="TextBody"/>
        <w:spacing w:before="360" w:after="0"/>
        <w:jc w:val="left"/>
        <w:rPr>
          <w:rFonts w:ascii="Times New Roman" w:hAnsi="Times New Roman"/>
          <w:i/>
          <w:sz w:val="20"/>
        </w:rPr>
      </w:pPr>
      <w:r>
        <w:rPr>
          <w:rFonts w:ascii="Times New Roman" w:hAnsi="Times New Roman"/>
          <w:i/>
          <w:sz w:val="20"/>
        </w:rPr>
        <w:t xml:space="preserve">Dr. Dabora </w:t>
      </w:r>
    </w:p>
    <w:p>
      <w:pPr>
        <w:pStyle w:val="TextBody"/>
        <w:spacing w:before="120" w:after="0"/>
        <w:jc w:val="left"/>
        <w:rPr>
          <w:rFonts w:ascii="Times New Roman" w:hAnsi="Times New Roman"/>
          <w:sz w:val="20"/>
        </w:rPr>
      </w:pPr>
      <w:r>
        <w:rPr>
          <w:rFonts w:ascii="Times New Roman" w:hAnsi="Times New Roman"/>
          <w:sz w:val="20"/>
        </w:rPr>
        <w:t xml:space="preserve">We entered into a consulting services agreement with Dr. Dabora, effective as of February 4, 2023 (the Consulting Agreement) in connection with her resignation as our Chief Technology and Manufacturing Officer. Pursuant to the Consulting Agreement, Dr. Dabora provides technical operations and general consulting for the Company, which includes consulting services with respect to chemistry, manufacturing and controls. In exchange for such consulting services, Dr. Dabora is entitled to an hourly fee and certain expense reimbursements related to the services provided to the Company, as set forth fully in the Consulting Agreement. </w:t>
      </w:r>
    </w:p>
    <w:p>
      <w:pPr>
        <w:pStyle w:val="TextBody"/>
        <w:spacing w:before="240" w:after="0"/>
        <w:jc w:val="left"/>
        <w:rPr>
          <w:rFonts w:ascii="Times New Roman" w:hAnsi="Times New Roman"/>
          <w:sz w:val="20"/>
        </w:rPr>
      </w:pPr>
      <w:r>
        <w:rPr>
          <w:rFonts w:ascii="Times New Roman" w:hAnsi="Times New Roman"/>
          <w:sz w:val="20"/>
        </w:rPr>
        <w:t xml:space="preserve">In addition, Dr. Dabora continues to vest in the unvested stock options granted to her under our 2020 Equity Incentive Plan and our 2021 Equity Incentive Plan (the Equity Plans), and all stock options granted to Dr. Dabora under the Equity Plans prior to the date of the Consulting Agreement remain outstanding as if she were still an employee of the Company until the Consulting Agreement is terminated. Further, upon the termination of the Consulting Agreement, all of Dr. Daboras then-vested stock options shall remain outstanding for three months after the date of such termination and all of Dr. Daboras then-unvested stock options will terminate and be forfeited as of the date of such termination. In addition, the unvested portions of all Time-Based Equity Awards (as defined in the Consulting Agreement) remain outstanding until 90 days after the termination of the Consulting Agreement. If the Company has not, prior to such time, entered into a definitive agreement that, if closed, would result in a Change in Control (as defined in the Consulting Agreement), then the unvested portions of such Time-Based Equity Awards shall terminate and be forfeited as of the 90th day following termination of the Consulting Agreement. If the Company enters into such a definitive agreement prior to such time, then the Time-Based Equity Awards shall remain outstanding and, to the extent unvested, become fully vested upon a Change in Control resulting from such definitive agreement. The term of the Consulting Agreement automatically ends on February 3, 2024 unless the Company or Dr. Dabora provides advance notice of termination as set forth in the Consulting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7" w:name="tx419064_33"/>
      <w:bookmarkEnd w:id="37"/>
      <w:r>
        <w:rPr>
          <w:rFonts w:ascii="Times New Roman" w:hAnsi="Times New Roman"/>
          <w:b/>
          <w:sz w:val="20"/>
        </w:rPr>
        <w:t xml:space="preserve">DIRECTOR COMPENSATION </w:t>
      </w:r>
    </w:p>
    <w:p>
      <w:pPr>
        <w:pStyle w:val="TextBody"/>
        <w:spacing w:before="240" w:after="0"/>
        <w:jc w:val="left"/>
        <w:rPr>
          <w:rFonts w:ascii="Times New Roman" w:hAnsi="Times New Roman"/>
          <w:sz w:val="20"/>
        </w:rPr>
      </w:pPr>
      <w:r>
        <w:rPr>
          <w:rFonts w:ascii="Times New Roman" w:hAnsi="Times New Roman"/>
          <w:sz w:val="20"/>
        </w:rPr>
        <w:t xml:space="preserve">The following table shows, for the fiscal year ended December 31, 2022, certain information with respect to the compensation of our non-employee directors who served for all or a portion of the year: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490"/>
        <w:gridCol w:w="309"/>
        <w:gridCol w:w="1304"/>
        <w:gridCol w:w="309"/>
        <w:gridCol w:w="1510"/>
        <w:gridCol w:w="309"/>
        <w:gridCol w:w="60"/>
        <w:gridCol w:w="801"/>
        <w:gridCol w:w="60"/>
        <w:gridCol w:w="309"/>
        <w:gridCol w:w="60"/>
        <w:gridCol w:w="801"/>
        <w:gridCol w:w="66"/>
      </w:tblGrid>
      <w:tr>
        <w:trPr/>
        <w:tc>
          <w:tcPr>
            <w:tcW w:w="349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349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Name(1)</w:t>
            </w:r>
          </w:p>
        </w:tc>
        <w:tc>
          <w:tcPr>
            <w:tcW w:w="309" w:type="dxa"/>
            <w:tcBorders/>
            <w:shd w:fill="auto" w:val="clear"/>
            <w:vAlign w:val="bottom"/>
          </w:tcPr>
          <w:p>
            <w:pPr>
              <w:pStyle w:val="TableContents"/>
              <w:spacing w:before="0" w:after="283"/>
              <w:rPr/>
            </w:pPr>
            <w:r>
              <w:rPr/>
              <w:t>  </w:t>
            </w:r>
          </w:p>
        </w:tc>
        <w:tc>
          <w:tcPr>
            <w:tcW w:w="1304" w:type="dxa"/>
            <w:tcBorders>
              <w:bottom w:val="single" w:sz="8" w:space="0" w:color="000000"/>
            </w:tcBorders>
            <w:shd w:fill="auto" w:val="clear"/>
            <w:tcMar>
              <w:bottom w:w="28" w:type="dxa"/>
            </w:tcMar>
            <w:vAlign w:val="bottom"/>
          </w:tcPr>
          <w:p>
            <w:pPr>
              <w:pStyle w:val="TableContents"/>
              <w:spacing w:before="0" w:after="283"/>
              <w:jc w:val="center"/>
              <w:rPr>
                <w:b/>
              </w:rPr>
            </w:pPr>
            <w:r>
              <w:rPr>
                <w:b/>
              </w:rPr>
              <w:t>Fees Earned</w:t>
              <w:br/>
              <w:t>or Paid in</w:t>
              <w:br/>
              <w:t>Cash</w:t>
              <w:br/>
              <w:t>($)</w:t>
            </w:r>
          </w:p>
        </w:tc>
        <w:tc>
          <w:tcPr>
            <w:tcW w:w="309" w:type="dxa"/>
            <w:tcBorders/>
            <w:shd w:fill="auto" w:val="clear"/>
            <w:vAlign w:val="bottom"/>
          </w:tcPr>
          <w:p>
            <w:pPr>
              <w:pStyle w:val="TableContents"/>
              <w:spacing w:before="0" w:after="283"/>
              <w:rPr/>
            </w:pPr>
            <w:r>
              <w:rPr/>
              <w:t>  </w:t>
            </w:r>
          </w:p>
        </w:tc>
        <w:tc>
          <w:tcPr>
            <w:tcW w:w="1510" w:type="dxa"/>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w:t>
            </w:r>
          </w:p>
        </w:tc>
        <w:tc>
          <w:tcPr>
            <w:tcW w:w="309"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 (2) (3)</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66" w:type="dxa"/>
            <w:tcBorders/>
            <w:shd w:fill="auto" w:val="clear"/>
            <w:vAlign w:val="bottom"/>
          </w:tcPr>
          <w:p>
            <w:pPr>
              <w:pStyle w:val="TableContents"/>
              <w:spacing w:before="0" w:after="283"/>
              <w:rPr/>
            </w:pPr>
            <w:r>
              <w:rPr/>
              <w:t> </w:t>
            </w:r>
          </w:p>
        </w:tc>
      </w:tr>
      <w:tr>
        <w:trPr/>
        <w:tc>
          <w:tcPr>
            <w:tcW w:w="3490" w:type="dxa"/>
            <w:tcBorders/>
            <w:shd w:fill="CCEEFF" w:val="clear"/>
          </w:tcPr>
          <w:p>
            <w:pPr>
              <w:pStyle w:val="TableContents"/>
              <w:spacing w:before="0" w:after="0"/>
              <w:rPr>
                <w:rFonts w:ascii="Times New Roman" w:hAnsi="Times New Roman"/>
                <w:sz w:val="20"/>
              </w:rPr>
            </w:pPr>
            <w:r>
              <w:rPr>
                <w:rFonts w:ascii="Times New Roman" w:hAnsi="Times New Roman"/>
                <w:sz w:val="20"/>
              </w:rPr>
              <w:t>Tamsin Berry(4)</w:t>
            </w:r>
          </w:p>
        </w:tc>
        <w:tc>
          <w:tcPr>
            <w:tcW w:w="309"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center"/>
              <w:rPr/>
            </w:pPr>
            <w:r>
              <w:rPr/>
              <w:t>22,495</w:t>
            </w:r>
          </w:p>
        </w:tc>
        <w:tc>
          <w:tcPr>
            <w:tcW w:w="309"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center"/>
              <w:rPr/>
            </w:pPr>
            <w:r>
              <w:rPr/>
              <w:t></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312,000</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334,495</w:t>
            </w:r>
          </w:p>
        </w:tc>
        <w:tc>
          <w:tcPr>
            <w:tcW w:w="66" w:type="dxa"/>
            <w:tcBorders/>
            <w:shd w:fill="CCEEFF" w:val="clear"/>
            <w:vAlign w:val="bottom"/>
          </w:tcPr>
          <w:p>
            <w:pPr>
              <w:pStyle w:val="TableContents"/>
              <w:spacing w:before="0" w:after="283"/>
              <w:rPr/>
            </w:pPr>
            <w:r>
              <w:rPr/>
              <w:t> </w:t>
            </w:r>
          </w:p>
        </w:tc>
      </w:tr>
      <w:tr>
        <w:trPr/>
        <w:tc>
          <w:tcPr>
            <w:tcW w:w="3490" w:type="dxa"/>
            <w:tcBorders/>
            <w:shd w:fill="auto" w:val="clear"/>
          </w:tcPr>
          <w:p>
            <w:pPr>
              <w:pStyle w:val="TableContents"/>
              <w:spacing w:before="0" w:after="0"/>
              <w:rPr>
                <w:rFonts w:ascii="Times New Roman" w:hAnsi="Times New Roman"/>
                <w:sz w:val="20"/>
              </w:rPr>
            </w:pPr>
            <w:r>
              <w:rPr>
                <w:rFonts w:ascii="Times New Roman" w:hAnsi="Times New Roman"/>
                <w:sz w:val="20"/>
              </w:rPr>
              <w:t>Marc Elia(4)</w:t>
            </w:r>
          </w:p>
        </w:tc>
        <w:tc>
          <w:tcPr>
            <w:tcW w:w="309"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center"/>
              <w:rPr/>
            </w:pPr>
            <w:r>
              <w:rPr/>
              <w:t>40,986</w:t>
            </w:r>
          </w:p>
        </w:tc>
        <w:tc>
          <w:tcPr>
            <w:tcW w:w="309"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center"/>
              <w:rPr/>
            </w:pPr>
            <w:r>
              <w:rPr/>
              <w:t></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312,000</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352,986</w:t>
            </w:r>
          </w:p>
        </w:tc>
        <w:tc>
          <w:tcPr>
            <w:tcW w:w="66" w:type="dxa"/>
            <w:tcBorders/>
            <w:shd w:fill="auto" w:val="clear"/>
            <w:vAlign w:val="bottom"/>
          </w:tcPr>
          <w:p>
            <w:pPr>
              <w:pStyle w:val="TableContents"/>
              <w:spacing w:before="0" w:after="283"/>
              <w:rPr/>
            </w:pPr>
            <w:r>
              <w:rPr/>
              <w:t> </w:t>
            </w:r>
          </w:p>
        </w:tc>
      </w:tr>
      <w:tr>
        <w:trPr/>
        <w:tc>
          <w:tcPr>
            <w:tcW w:w="3490" w:type="dxa"/>
            <w:tcBorders/>
            <w:shd w:fill="CCEEFF" w:val="clear"/>
          </w:tcPr>
          <w:p>
            <w:pPr>
              <w:pStyle w:val="TableContents"/>
              <w:spacing w:before="0" w:after="0"/>
              <w:rPr>
                <w:rFonts w:ascii="Times New Roman" w:hAnsi="Times New Roman"/>
                <w:sz w:val="20"/>
              </w:rPr>
            </w:pPr>
            <w:r>
              <w:rPr>
                <w:rFonts w:ascii="Times New Roman" w:hAnsi="Times New Roman"/>
                <w:sz w:val="20"/>
              </w:rPr>
              <w:t>Tom Heyman</w:t>
            </w:r>
          </w:p>
        </w:tc>
        <w:tc>
          <w:tcPr>
            <w:tcW w:w="309"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center"/>
              <w:rPr/>
            </w:pPr>
            <w:r>
              <w:rPr/>
              <w:t>69,611</w:t>
            </w:r>
          </w:p>
        </w:tc>
        <w:tc>
          <w:tcPr>
            <w:tcW w:w="309"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center"/>
              <w:rPr/>
            </w:pPr>
            <w:r>
              <w:rPr/>
              <w:t></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150,750</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220,361</w:t>
            </w:r>
          </w:p>
        </w:tc>
        <w:tc>
          <w:tcPr>
            <w:tcW w:w="66" w:type="dxa"/>
            <w:tcBorders/>
            <w:shd w:fill="CCEEFF" w:val="clear"/>
            <w:vAlign w:val="bottom"/>
          </w:tcPr>
          <w:p>
            <w:pPr>
              <w:pStyle w:val="TableContents"/>
              <w:spacing w:before="0" w:after="283"/>
              <w:rPr/>
            </w:pPr>
            <w:r>
              <w:rPr/>
              <w:t> </w:t>
            </w:r>
          </w:p>
        </w:tc>
      </w:tr>
      <w:tr>
        <w:trPr/>
        <w:tc>
          <w:tcPr>
            <w:tcW w:w="3490" w:type="dxa"/>
            <w:tcBorders/>
            <w:shd w:fill="auto" w:val="clear"/>
          </w:tcPr>
          <w:p>
            <w:pPr>
              <w:pStyle w:val="TableContents"/>
              <w:spacing w:before="0" w:after="0"/>
              <w:rPr>
                <w:rFonts w:ascii="Times New Roman" w:hAnsi="Times New Roman"/>
                <w:sz w:val="20"/>
              </w:rPr>
            </w:pPr>
            <w:r>
              <w:rPr>
                <w:rFonts w:ascii="Times New Roman" w:hAnsi="Times New Roman"/>
                <w:sz w:val="20"/>
              </w:rPr>
              <w:t>Christine Lindenboom(5)</w:t>
            </w:r>
          </w:p>
        </w:tc>
        <w:tc>
          <w:tcPr>
            <w:tcW w:w="309"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center"/>
              <w:rPr/>
            </w:pPr>
            <w:r>
              <w:rPr/>
              <w:t>8,536</w:t>
            </w:r>
          </w:p>
        </w:tc>
        <w:tc>
          <w:tcPr>
            <w:tcW w:w="309"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center"/>
              <w:rPr/>
            </w:pPr>
            <w:r>
              <w:rPr/>
              <w:t></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348,000</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356,536</w:t>
            </w:r>
          </w:p>
        </w:tc>
        <w:tc>
          <w:tcPr>
            <w:tcW w:w="66" w:type="dxa"/>
            <w:tcBorders/>
            <w:shd w:fill="auto" w:val="clear"/>
            <w:vAlign w:val="bottom"/>
          </w:tcPr>
          <w:p>
            <w:pPr>
              <w:pStyle w:val="TableContents"/>
              <w:spacing w:before="0" w:after="283"/>
              <w:rPr/>
            </w:pPr>
            <w:r>
              <w:rPr/>
              <w:t> </w:t>
            </w:r>
          </w:p>
        </w:tc>
      </w:tr>
      <w:tr>
        <w:trPr/>
        <w:tc>
          <w:tcPr>
            <w:tcW w:w="3490" w:type="dxa"/>
            <w:tcBorders/>
            <w:shd w:fill="CCEEFF" w:val="clear"/>
          </w:tcPr>
          <w:p>
            <w:pPr>
              <w:pStyle w:val="TableContents"/>
              <w:spacing w:before="0" w:after="0"/>
              <w:rPr>
                <w:rFonts w:ascii="Times New Roman" w:hAnsi="Times New Roman"/>
                <w:sz w:val="20"/>
              </w:rPr>
            </w:pPr>
            <w:r>
              <w:rPr>
                <w:rFonts w:ascii="Times New Roman" w:hAnsi="Times New Roman"/>
                <w:sz w:val="20"/>
              </w:rPr>
              <w:t>Ellen Marram, M.B.A.(6)</w:t>
            </w:r>
          </w:p>
        </w:tc>
        <w:tc>
          <w:tcPr>
            <w:tcW w:w="309"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center"/>
              <w:rPr/>
            </w:pPr>
            <w:r>
              <w:rPr/>
              <w:t>20,577</w:t>
            </w:r>
          </w:p>
        </w:tc>
        <w:tc>
          <w:tcPr>
            <w:tcW w:w="309"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center"/>
              <w:rPr/>
            </w:pPr>
            <w:r>
              <w:rPr/>
              <w:t></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20,577</w:t>
            </w:r>
          </w:p>
        </w:tc>
        <w:tc>
          <w:tcPr>
            <w:tcW w:w="66" w:type="dxa"/>
            <w:tcBorders/>
            <w:shd w:fill="CCEEFF" w:val="clear"/>
            <w:vAlign w:val="bottom"/>
          </w:tcPr>
          <w:p>
            <w:pPr>
              <w:pStyle w:val="TableContents"/>
              <w:spacing w:before="0" w:after="283"/>
              <w:rPr/>
            </w:pPr>
            <w:r>
              <w:rPr/>
              <w:t> </w:t>
            </w:r>
          </w:p>
        </w:tc>
      </w:tr>
      <w:tr>
        <w:trPr/>
        <w:tc>
          <w:tcPr>
            <w:tcW w:w="3490" w:type="dxa"/>
            <w:tcBorders/>
            <w:shd w:fill="auto" w:val="clear"/>
          </w:tcPr>
          <w:p>
            <w:pPr>
              <w:pStyle w:val="TableContents"/>
              <w:spacing w:before="0" w:after="0"/>
              <w:rPr>
                <w:rFonts w:ascii="Times New Roman" w:hAnsi="Times New Roman"/>
                <w:sz w:val="20"/>
              </w:rPr>
            </w:pPr>
            <w:r>
              <w:rPr>
                <w:rFonts w:ascii="Times New Roman" w:hAnsi="Times New Roman"/>
                <w:sz w:val="20"/>
              </w:rPr>
              <w:t>Howard Mayer, M.D.(7)</w:t>
            </w:r>
          </w:p>
        </w:tc>
        <w:tc>
          <w:tcPr>
            <w:tcW w:w="309"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center"/>
              <w:rPr/>
            </w:pPr>
            <w:r>
              <w:rPr/>
              <w:t>37,219</w:t>
            </w:r>
          </w:p>
        </w:tc>
        <w:tc>
          <w:tcPr>
            <w:tcW w:w="309"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center"/>
              <w:rPr/>
            </w:pPr>
            <w:r>
              <w:rPr/>
              <w:t></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37,219</w:t>
            </w:r>
          </w:p>
        </w:tc>
        <w:tc>
          <w:tcPr>
            <w:tcW w:w="66" w:type="dxa"/>
            <w:tcBorders/>
            <w:shd w:fill="auto" w:val="clear"/>
            <w:vAlign w:val="bottom"/>
          </w:tcPr>
          <w:p>
            <w:pPr>
              <w:pStyle w:val="TableContents"/>
              <w:spacing w:before="0" w:after="283"/>
              <w:rPr/>
            </w:pPr>
            <w:r>
              <w:rPr/>
              <w:t> </w:t>
            </w:r>
          </w:p>
        </w:tc>
      </w:tr>
      <w:tr>
        <w:trPr/>
        <w:tc>
          <w:tcPr>
            <w:tcW w:w="3490" w:type="dxa"/>
            <w:tcBorders/>
            <w:shd w:fill="CCEEFF" w:val="clear"/>
          </w:tcPr>
          <w:p>
            <w:pPr>
              <w:pStyle w:val="TableContents"/>
              <w:spacing w:before="0" w:after="0"/>
              <w:rPr>
                <w:rFonts w:ascii="Times New Roman" w:hAnsi="Times New Roman"/>
                <w:sz w:val="20"/>
              </w:rPr>
            </w:pPr>
            <w:r>
              <w:rPr>
                <w:rFonts w:ascii="Times New Roman" w:hAnsi="Times New Roman"/>
                <w:sz w:val="20"/>
              </w:rPr>
              <w:t>Terrance McGuire</w:t>
            </w:r>
          </w:p>
        </w:tc>
        <w:tc>
          <w:tcPr>
            <w:tcW w:w="309"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center"/>
              <w:rPr/>
            </w:pPr>
            <w:r>
              <w:rPr/>
              <w:t>50,473</w:t>
            </w:r>
          </w:p>
        </w:tc>
        <w:tc>
          <w:tcPr>
            <w:tcW w:w="309"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center"/>
              <w:rPr/>
            </w:pPr>
            <w:r>
              <w:rPr/>
              <w:t></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150,750</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201,223</w:t>
            </w:r>
          </w:p>
        </w:tc>
        <w:tc>
          <w:tcPr>
            <w:tcW w:w="66" w:type="dxa"/>
            <w:tcBorders/>
            <w:shd w:fill="CCEEFF" w:val="clear"/>
            <w:vAlign w:val="bottom"/>
          </w:tcPr>
          <w:p>
            <w:pPr>
              <w:pStyle w:val="TableContents"/>
              <w:spacing w:before="0" w:after="283"/>
              <w:rPr/>
            </w:pPr>
            <w:r>
              <w:rPr/>
              <w:t> </w:t>
            </w:r>
          </w:p>
        </w:tc>
      </w:tr>
      <w:tr>
        <w:trPr/>
        <w:tc>
          <w:tcPr>
            <w:tcW w:w="3490" w:type="dxa"/>
            <w:tcBorders/>
            <w:shd w:fill="auto" w:val="clear"/>
          </w:tcPr>
          <w:p>
            <w:pPr>
              <w:pStyle w:val="TableContents"/>
              <w:spacing w:before="0" w:after="0"/>
              <w:rPr>
                <w:rFonts w:ascii="Times New Roman" w:hAnsi="Times New Roman"/>
                <w:sz w:val="20"/>
              </w:rPr>
            </w:pPr>
            <w:r>
              <w:rPr>
                <w:rFonts w:ascii="Times New Roman" w:hAnsi="Times New Roman"/>
                <w:sz w:val="20"/>
              </w:rPr>
              <w:t>Clive A. Meanwell, M.D.(4)</w:t>
            </w:r>
          </w:p>
        </w:tc>
        <w:tc>
          <w:tcPr>
            <w:tcW w:w="309"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center"/>
              <w:rPr/>
            </w:pPr>
            <w:r>
              <w:rPr/>
              <w:t>24,781</w:t>
            </w:r>
          </w:p>
        </w:tc>
        <w:tc>
          <w:tcPr>
            <w:tcW w:w="309"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center"/>
              <w:rPr/>
            </w:pPr>
            <w:r>
              <w:rPr/>
              <w:t></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312,000</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336,781</w:t>
            </w:r>
          </w:p>
        </w:tc>
        <w:tc>
          <w:tcPr>
            <w:tcW w:w="66" w:type="dxa"/>
            <w:tcBorders/>
            <w:shd w:fill="auto" w:val="clear"/>
            <w:vAlign w:val="bottom"/>
          </w:tcPr>
          <w:p>
            <w:pPr>
              <w:pStyle w:val="TableContents"/>
              <w:spacing w:before="0" w:after="283"/>
              <w:rPr/>
            </w:pPr>
            <w:r>
              <w:rPr/>
              <w:t> </w:t>
            </w:r>
          </w:p>
        </w:tc>
      </w:tr>
      <w:tr>
        <w:trPr/>
        <w:tc>
          <w:tcPr>
            <w:tcW w:w="3490" w:type="dxa"/>
            <w:tcBorders/>
            <w:shd w:fill="CCEEFF" w:val="clear"/>
          </w:tcPr>
          <w:p>
            <w:pPr>
              <w:pStyle w:val="TableContents"/>
              <w:spacing w:before="0" w:after="0"/>
              <w:rPr>
                <w:rFonts w:ascii="Times New Roman" w:hAnsi="Times New Roman"/>
                <w:sz w:val="20"/>
              </w:rPr>
            </w:pPr>
            <w:r>
              <w:rPr>
                <w:rFonts w:ascii="Times New Roman" w:hAnsi="Times New Roman"/>
                <w:sz w:val="20"/>
              </w:rPr>
              <w:t>Redonda Miller, M.D., M.B.A.(8)</w:t>
            </w:r>
          </w:p>
        </w:tc>
        <w:tc>
          <w:tcPr>
            <w:tcW w:w="309"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center"/>
              <w:rPr/>
            </w:pPr>
            <w:r>
              <w:rPr/>
              <w:t>40,255</w:t>
            </w:r>
          </w:p>
        </w:tc>
        <w:tc>
          <w:tcPr>
            <w:tcW w:w="309"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center"/>
              <w:rPr/>
            </w:pPr>
            <w:r>
              <w:rPr/>
              <w:t></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40,255</w:t>
            </w:r>
          </w:p>
        </w:tc>
        <w:tc>
          <w:tcPr>
            <w:tcW w:w="66" w:type="dxa"/>
            <w:tcBorders/>
            <w:shd w:fill="CCEEFF" w:val="clear"/>
            <w:vAlign w:val="bottom"/>
          </w:tcPr>
          <w:p>
            <w:pPr>
              <w:pStyle w:val="TableContents"/>
              <w:spacing w:before="0" w:after="283"/>
              <w:rPr/>
            </w:pPr>
            <w:r>
              <w:rPr/>
              <w:t> </w:t>
            </w:r>
          </w:p>
        </w:tc>
      </w:tr>
      <w:tr>
        <w:trPr/>
        <w:tc>
          <w:tcPr>
            <w:tcW w:w="3490" w:type="dxa"/>
            <w:tcBorders/>
            <w:shd w:fill="auto" w:val="clear"/>
          </w:tcPr>
          <w:p>
            <w:pPr>
              <w:pStyle w:val="TableContents"/>
              <w:spacing w:before="0" w:after="0"/>
              <w:rPr>
                <w:rFonts w:ascii="Times New Roman" w:hAnsi="Times New Roman"/>
                <w:sz w:val="20"/>
              </w:rPr>
            </w:pPr>
            <w:r>
              <w:rPr>
                <w:rFonts w:ascii="Times New Roman" w:hAnsi="Times New Roman"/>
                <w:sz w:val="20"/>
              </w:rPr>
              <w:t>Ajay Royan(6)(9)</w:t>
            </w:r>
          </w:p>
        </w:tc>
        <w:tc>
          <w:tcPr>
            <w:tcW w:w="309"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center"/>
              <w:rPr/>
            </w:pPr>
            <w:r>
              <w:rPr/>
              <w:t>19,011</w:t>
            </w:r>
          </w:p>
        </w:tc>
        <w:tc>
          <w:tcPr>
            <w:tcW w:w="309"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center"/>
              <w:rPr/>
            </w:pPr>
            <w:r>
              <w:rPr/>
              <w:t></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19,011</w:t>
            </w:r>
          </w:p>
        </w:tc>
        <w:tc>
          <w:tcPr>
            <w:tcW w:w="66" w:type="dxa"/>
            <w:tcBorders/>
            <w:shd w:fill="auto" w:val="clear"/>
            <w:vAlign w:val="bottom"/>
          </w:tcPr>
          <w:p>
            <w:pPr>
              <w:pStyle w:val="TableContents"/>
              <w:spacing w:before="0" w:after="283"/>
              <w:rPr/>
            </w:pPr>
            <w:r>
              <w:rPr/>
              <w:t> </w:t>
            </w:r>
          </w:p>
        </w:tc>
      </w:tr>
      <w:tr>
        <w:trPr/>
        <w:tc>
          <w:tcPr>
            <w:tcW w:w="3490" w:type="dxa"/>
            <w:tcBorders/>
            <w:shd w:fill="CCEEFF" w:val="clear"/>
          </w:tcPr>
          <w:p>
            <w:pPr>
              <w:pStyle w:val="TableContents"/>
              <w:spacing w:before="0" w:after="0"/>
              <w:rPr>
                <w:rFonts w:ascii="Times New Roman" w:hAnsi="Times New Roman"/>
                <w:sz w:val="20"/>
              </w:rPr>
            </w:pPr>
            <w:r>
              <w:rPr>
                <w:rFonts w:ascii="Times New Roman" w:hAnsi="Times New Roman"/>
                <w:sz w:val="20"/>
              </w:rPr>
              <w:t>René Russo, Pharm.D.(6)</w:t>
            </w:r>
          </w:p>
        </w:tc>
        <w:tc>
          <w:tcPr>
            <w:tcW w:w="309"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center"/>
              <w:rPr/>
            </w:pPr>
            <w:r>
              <w:rPr/>
              <w:t>56,422</w:t>
            </w:r>
          </w:p>
        </w:tc>
        <w:tc>
          <w:tcPr>
            <w:tcW w:w="309"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center"/>
              <w:rPr/>
            </w:pPr>
            <w:r>
              <w:rPr/>
              <w:t></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56,422</w:t>
            </w:r>
          </w:p>
        </w:tc>
        <w:tc>
          <w:tcPr>
            <w:tcW w:w="66" w:type="dxa"/>
            <w:tcBorders/>
            <w:shd w:fill="CCEEFF" w:val="clear"/>
            <w:vAlign w:val="bottom"/>
          </w:tcPr>
          <w:p>
            <w:pPr>
              <w:pStyle w:val="TableContents"/>
              <w:spacing w:before="0" w:after="283"/>
              <w:rPr/>
            </w:pPr>
            <w:r>
              <w:rPr/>
              <w:t> </w:t>
            </w:r>
          </w:p>
        </w:tc>
      </w:tr>
      <w:tr>
        <w:trPr/>
        <w:tc>
          <w:tcPr>
            <w:tcW w:w="3490" w:type="dxa"/>
            <w:tcBorders/>
            <w:shd w:fill="auto" w:val="clear"/>
          </w:tcPr>
          <w:p>
            <w:pPr>
              <w:pStyle w:val="TableContents"/>
              <w:spacing w:before="0" w:after="0"/>
              <w:rPr>
                <w:rFonts w:ascii="Times New Roman" w:hAnsi="Times New Roman"/>
                <w:sz w:val="20"/>
              </w:rPr>
            </w:pPr>
            <w:r>
              <w:rPr>
                <w:rFonts w:ascii="Times New Roman" w:hAnsi="Times New Roman"/>
                <w:sz w:val="20"/>
              </w:rPr>
              <w:t>Anand Shah, M.D.(10)</w:t>
            </w:r>
          </w:p>
        </w:tc>
        <w:tc>
          <w:tcPr>
            <w:tcW w:w="309"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center"/>
              <w:rPr/>
            </w:pPr>
            <w:r>
              <w:rPr/>
              <w:t>32,712</w:t>
            </w:r>
          </w:p>
        </w:tc>
        <w:tc>
          <w:tcPr>
            <w:tcW w:w="309" w:type="dxa"/>
            <w:tcBorders/>
            <w:shd w:fill="auto" w:val="clear"/>
            <w:vAlign w:val="bottom"/>
          </w:tcPr>
          <w:p>
            <w:pPr>
              <w:pStyle w:val="TableContents"/>
              <w:spacing w:before="0" w:after="283"/>
              <w:rPr/>
            </w:pPr>
            <w:r>
              <w:rPr/>
              <w:t>  </w:t>
            </w:r>
          </w:p>
        </w:tc>
        <w:tc>
          <w:tcPr>
            <w:tcW w:w="1510" w:type="dxa"/>
            <w:tcBorders/>
            <w:shd w:fill="auto" w:val="clear"/>
            <w:vAlign w:val="bottom"/>
          </w:tcPr>
          <w:p>
            <w:pPr>
              <w:pStyle w:val="TableContents"/>
              <w:spacing w:before="0" w:after="283"/>
              <w:jc w:val="center"/>
              <w:rPr/>
            </w:pPr>
            <w:r>
              <w:rPr/>
              <w:t></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32,712</w:t>
            </w:r>
          </w:p>
        </w:tc>
        <w:tc>
          <w:tcPr>
            <w:tcW w:w="66" w:type="dxa"/>
            <w:tcBorders/>
            <w:shd w:fill="auto" w:val="clear"/>
            <w:vAlign w:val="bottom"/>
          </w:tcPr>
          <w:p>
            <w:pPr>
              <w:pStyle w:val="TableContents"/>
              <w:spacing w:before="0" w:after="283"/>
              <w:rPr/>
            </w:pPr>
            <w:r>
              <w:rPr/>
              <w:t> </w:t>
            </w:r>
          </w:p>
        </w:tc>
      </w:tr>
      <w:tr>
        <w:trPr/>
        <w:tc>
          <w:tcPr>
            <w:tcW w:w="3490" w:type="dxa"/>
            <w:tcBorders/>
            <w:shd w:fill="CCEEFF" w:val="clear"/>
          </w:tcPr>
          <w:p>
            <w:pPr>
              <w:pStyle w:val="TableContents"/>
              <w:spacing w:before="0" w:after="0"/>
              <w:rPr>
                <w:rFonts w:ascii="Times New Roman" w:hAnsi="Times New Roman"/>
                <w:sz w:val="20"/>
              </w:rPr>
            </w:pPr>
            <w:r>
              <w:rPr>
                <w:rFonts w:ascii="Times New Roman" w:hAnsi="Times New Roman"/>
                <w:sz w:val="20"/>
              </w:rPr>
              <w:t>Michael S. Wyzga</w:t>
            </w:r>
          </w:p>
        </w:tc>
        <w:tc>
          <w:tcPr>
            <w:tcW w:w="309"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center"/>
              <w:rPr/>
            </w:pPr>
            <w:r>
              <w:rPr/>
              <w:t>74,341</w:t>
            </w:r>
          </w:p>
        </w:tc>
        <w:tc>
          <w:tcPr>
            <w:tcW w:w="309" w:type="dxa"/>
            <w:tcBorders/>
            <w:shd w:fill="CCEEFF" w:val="clear"/>
            <w:vAlign w:val="bottom"/>
          </w:tcPr>
          <w:p>
            <w:pPr>
              <w:pStyle w:val="TableContents"/>
              <w:spacing w:before="0" w:after="283"/>
              <w:rPr/>
            </w:pPr>
            <w:r>
              <w:rPr/>
              <w:t>  </w:t>
            </w:r>
          </w:p>
        </w:tc>
        <w:tc>
          <w:tcPr>
            <w:tcW w:w="1510" w:type="dxa"/>
            <w:tcBorders/>
            <w:shd w:fill="CCEEFF" w:val="clear"/>
            <w:vAlign w:val="bottom"/>
          </w:tcPr>
          <w:p>
            <w:pPr>
              <w:pStyle w:val="TableContents"/>
              <w:spacing w:before="0" w:after="283"/>
              <w:jc w:val="center"/>
              <w:rPr/>
            </w:pPr>
            <w:r>
              <w:rPr/>
              <w:t></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150,750</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225,091</w:t>
            </w:r>
          </w:p>
        </w:tc>
        <w:tc>
          <w:tcPr>
            <w:tcW w:w="6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Until his departure on February 23, 2022, Dr. Gerngross, our former Chief Executive Officer, was a member of our Board; however, he did not earn compensation during 2022 for his service on our Board. Dr. Gerngrosss compensation is reflected in the Summary Compensation Table above. Further, Mr. Hering, our Chief Executive Officer, did not earn compensation during 2022 for his service on our Board. Mr. Herings compensation is reflected in the Summary Compensation Table above.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reported do not reflect the amounts actually received by our non-employee directors. Instead, these amounts reflect the aggregate grant date fair value of each stock option granted to our non-employee directors during the fiscal year ended December 31, 2022, as computed in accordance with Financial Accounting Standard Board Accounting Standards Codification Topic 718 for stock-based compensation transactions (ASC 718). Assumptions used in the calculation of these amounts are included in note 12 to our audited financial statements included in our Annual Report on Form 10-K for the year ended December 31, 2022.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of December 31, 2022, the following non-employee directors held options to purchase the following number of shares of our common stock. None of our non-employee directors held any stock awards as of December 31, 2022.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70"/>
        <w:gridCol w:w="237"/>
        <w:gridCol w:w="60"/>
        <w:gridCol w:w="810"/>
        <w:gridCol w:w="62"/>
      </w:tblGrid>
      <w:tr>
        <w:trPr/>
        <w:tc>
          <w:tcPr>
            <w:tcW w:w="577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770" w:type="dxa"/>
            <w:tcBorders/>
            <w:shd w:fill="auto" w:val="clear"/>
            <w:vAlign w:val="bottom"/>
          </w:tcPr>
          <w:p>
            <w:pPr>
              <w:pStyle w:val="TableContents"/>
              <w:spacing w:before="0" w:after="283"/>
              <w:rPr>
                <w:b/>
              </w:rPr>
            </w:pPr>
            <w:r>
              <w:rPr>
                <w:b/>
              </w:rPr>
              <w:t>Name</w:t>
            </w:r>
          </w:p>
        </w:tc>
        <w:tc>
          <w:tcPr>
            <w:tcW w:w="237" w:type="dxa"/>
            <w:tcBorders/>
            <w:shd w:fill="auto" w:val="clear"/>
            <w:vAlign w:val="bottom"/>
          </w:tcPr>
          <w:p>
            <w:pPr>
              <w:pStyle w:val="TableContents"/>
              <w:spacing w:before="0" w:after="283"/>
              <w:rPr/>
            </w:pPr>
            <w:r>
              <w:rPr/>
              <w:t>  </w:t>
            </w:r>
          </w:p>
        </w:tc>
        <w:tc>
          <w:tcPr>
            <w:tcW w:w="870" w:type="dxa"/>
            <w:gridSpan w:val="2"/>
            <w:tcBorders/>
            <w:shd w:fill="auto" w:val="clear"/>
            <w:vAlign w:val="bottom"/>
          </w:tcPr>
          <w:p>
            <w:pPr>
              <w:pStyle w:val="TableContents"/>
              <w:spacing w:before="0" w:after="283"/>
              <w:jc w:val="center"/>
              <w:rPr>
                <w:b/>
              </w:rPr>
            </w:pPr>
            <w:r>
              <w:rPr>
                <w:b/>
              </w:rPr>
              <w:t>Options</w:t>
            </w:r>
          </w:p>
        </w:tc>
        <w:tc>
          <w:tcPr>
            <w:tcW w:w="62" w:type="dxa"/>
            <w:tcBorders/>
            <w:shd w:fill="auto" w:val="clear"/>
            <w:vAlign w:val="bottom"/>
          </w:tcPr>
          <w:p>
            <w:pPr>
              <w:pStyle w:val="TableContents"/>
              <w:spacing w:before="0" w:after="283"/>
              <w:rPr/>
            </w:pPr>
            <w:r>
              <w:rPr/>
              <w:t> </w:t>
            </w:r>
          </w:p>
        </w:tc>
      </w:tr>
      <w:tr>
        <w:trPr/>
        <w:tc>
          <w:tcPr>
            <w:tcW w:w="5770" w:type="dxa"/>
            <w:tcBorders/>
            <w:shd w:fill="CCEEFF" w:val="clear"/>
          </w:tcPr>
          <w:p>
            <w:pPr>
              <w:pStyle w:val="TableContents"/>
              <w:spacing w:before="0" w:after="0"/>
              <w:rPr>
                <w:rFonts w:ascii="Times New Roman" w:hAnsi="Times New Roman"/>
                <w:sz w:val="20"/>
              </w:rPr>
            </w:pPr>
            <w:r>
              <w:rPr>
                <w:rFonts w:ascii="Times New Roman" w:hAnsi="Times New Roman"/>
                <w:sz w:val="20"/>
              </w:rPr>
              <w:t>Tamsin Berry</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150,000</w:t>
            </w:r>
          </w:p>
        </w:tc>
        <w:tc>
          <w:tcPr>
            <w:tcW w:w="62" w:type="dxa"/>
            <w:tcBorders/>
            <w:shd w:fill="CCEEFF" w:val="clear"/>
            <w:vAlign w:val="bottom"/>
          </w:tcPr>
          <w:p>
            <w:pPr>
              <w:pStyle w:val="TableContents"/>
              <w:spacing w:before="0" w:after="283"/>
              <w:rPr/>
            </w:pPr>
            <w:r>
              <w:rPr/>
              <w:t> </w:t>
            </w:r>
          </w:p>
        </w:tc>
      </w:tr>
      <w:tr>
        <w:trPr/>
        <w:tc>
          <w:tcPr>
            <w:tcW w:w="5770" w:type="dxa"/>
            <w:tcBorders/>
            <w:shd w:fill="auto" w:val="clear"/>
          </w:tcPr>
          <w:p>
            <w:pPr>
              <w:pStyle w:val="TableContents"/>
              <w:spacing w:before="0" w:after="0"/>
              <w:rPr>
                <w:rFonts w:ascii="Times New Roman" w:hAnsi="Times New Roman"/>
                <w:sz w:val="20"/>
              </w:rPr>
            </w:pPr>
            <w:r>
              <w:rPr>
                <w:rFonts w:ascii="Times New Roman" w:hAnsi="Times New Roman"/>
                <w:sz w:val="20"/>
              </w:rPr>
              <w:t>Marc Elia</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150,000</w:t>
            </w:r>
          </w:p>
        </w:tc>
        <w:tc>
          <w:tcPr>
            <w:tcW w:w="62" w:type="dxa"/>
            <w:tcBorders/>
            <w:shd w:fill="auto" w:val="clear"/>
            <w:vAlign w:val="bottom"/>
          </w:tcPr>
          <w:p>
            <w:pPr>
              <w:pStyle w:val="TableContents"/>
              <w:spacing w:before="0" w:after="283"/>
              <w:rPr/>
            </w:pPr>
            <w:r>
              <w:rPr/>
              <w:t> </w:t>
            </w:r>
          </w:p>
        </w:tc>
      </w:tr>
      <w:tr>
        <w:trPr/>
        <w:tc>
          <w:tcPr>
            <w:tcW w:w="5770" w:type="dxa"/>
            <w:tcBorders/>
            <w:shd w:fill="CCEEFF" w:val="clear"/>
          </w:tcPr>
          <w:p>
            <w:pPr>
              <w:pStyle w:val="TableContents"/>
              <w:spacing w:before="0" w:after="0"/>
              <w:rPr>
                <w:rFonts w:ascii="Times New Roman" w:hAnsi="Times New Roman"/>
                <w:sz w:val="20"/>
              </w:rPr>
            </w:pPr>
            <w:r>
              <w:rPr>
                <w:rFonts w:ascii="Times New Roman" w:hAnsi="Times New Roman"/>
                <w:sz w:val="20"/>
              </w:rPr>
              <w:t>Tom Heyman</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200,380</w:t>
            </w:r>
          </w:p>
        </w:tc>
        <w:tc>
          <w:tcPr>
            <w:tcW w:w="62" w:type="dxa"/>
            <w:tcBorders/>
            <w:shd w:fill="CCEEFF" w:val="clear"/>
            <w:vAlign w:val="bottom"/>
          </w:tcPr>
          <w:p>
            <w:pPr>
              <w:pStyle w:val="TableContents"/>
              <w:spacing w:before="0" w:after="283"/>
              <w:rPr/>
            </w:pPr>
            <w:r>
              <w:rPr/>
              <w:t> </w:t>
            </w:r>
          </w:p>
        </w:tc>
      </w:tr>
      <w:tr>
        <w:trPr/>
        <w:tc>
          <w:tcPr>
            <w:tcW w:w="5770" w:type="dxa"/>
            <w:tcBorders/>
            <w:shd w:fill="auto" w:val="clear"/>
          </w:tcPr>
          <w:p>
            <w:pPr>
              <w:pStyle w:val="TableContents"/>
              <w:spacing w:before="0" w:after="0"/>
              <w:rPr>
                <w:rFonts w:ascii="Times New Roman" w:hAnsi="Times New Roman"/>
                <w:sz w:val="20"/>
              </w:rPr>
            </w:pPr>
            <w:r>
              <w:rPr>
                <w:rFonts w:ascii="Times New Roman" w:hAnsi="Times New Roman"/>
                <w:sz w:val="20"/>
              </w:rPr>
              <w:t>Christine Lindenboom</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150,000</w:t>
            </w:r>
          </w:p>
        </w:tc>
        <w:tc>
          <w:tcPr>
            <w:tcW w:w="62" w:type="dxa"/>
            <w:tcBorders/>
            <w:shd w:fill="auto" w:val="clear"/>
            <w:vAlign w:val="bottom"/>
          </w:tcPr>
          <w:p>
            <w:pPr>
              <w:pStyle w:val="TableContents"/>
              <w:spacing w:before="0" w:after="283"/>
              <w:rPr/>
            </w:pPr>
            <w:r>
              <w:rPr/>
              <w:t> </w:t>
            </w:r>
          </w:p>
        </w:tc>
      </w:tr>
      <w:tr>
        <w:trPr/>
        <w:tc>
          <w:tcPr>
            <w:tcW w:w="5770" w:type="dxa"/>
            <w:tcBorders/>
            <w:shd w:fill="CCEEFF" w:val="clear"/>
          </w:tcPr>
          <w:p>
            <w:pPr>
              <w:pStyle w:val="TableContents"/>
              <w:spacing w:before="0" w:after="0"/>
              <w:rPr>
                <w:rFonts w:ascii="Times New Roman" w:hAnsi="Times New Roman"/>
                <w:sz w:val="20"/>
              </w:rPr>
            </w:pPr>
            <w:r>
              <w:rPr>
                <w:rFonts w:ascii="Times New Roman" w:hAnsi="Times New Roman"/>
                <w:sz w:val="20"/>
              </w:rPr>
              <w:t>Terrance McGuire</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110,593</w:t>
            </w:r>
          </w:p>
        </w:tc>
        <w:tc>
          <w:tcPr>
            <w:tcW w:w="62" w:type="dxa"/>
            <w:tcBorders/>
            <w:shd w:fill="CCEEFF" w:val="clear"/>
            <w:vAlign w:val="bottom"/>
          </w:tcPr>
          <w:p>
            <w:pPr>
              <w:pStyle w:val="TableContents"/>
              <w:spacing w:before="0" w:after="283"/>
              <w:rPr/>
            </w:pPr>
            <w:r>
              <w:rPr/>
              <w:t> </w:t>
            </w:r>
          </w:p>
        </w:tc>
      </w:tr>
      <w:tr>
        <w:trPr/>
        <w:tc>
          <w:tcPr>
            <w:tcW w:w="5770" w:type="dxa"/>
            <w:tcBorders/>
            <w:shd w:fill="auto" w:val="clear"/>
          </w:tcPr>
          <w:p>
            <w:pPr>
              <w:pStyle w:val="TableContents"/>
              <w:spacing w:before="0" w:after="0"/>
              <w:rPr>
                <w:rFonts w:ascii="Times New Roman" w:hAnsi="Times New Roman"/>
                <w:sz w:val="20"/>
              </w:rPr>
            </w:pPr>
            <w:r>
              <w:rPr>
                <w:rFonts w:ascii="Times New Roman" w:hAnsi="Times New Roman"/>
                <w:sz w:val="20"/>
              </w:rPr>
              <w:t>Clive A. Meanwell, M.D</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150,000</w:t>
            </w:r>
          </w:p>
        </w:tc>
        <w:tc>
          <w:tcPr>
            <w:tcW w:w="62" w:type="dxa"/>
            <w:tcBorders/>
            <w:shd w:fill="auto" w:val="clear"/>
            <w:vAlign w:val="bottom"/>
          </w:tcPr>
          <w:p>
            <w:pPr>
              <w:pStyle w:val="TableContents"/>
              <w:spacing w:before="0" w:after="283"/>
              <w:rPr/>
            </w:pPr>
            <w:r>
              <w:rPr/>
              <w:t> </w:t>
            </w:r>
          </w:p>
        </w:tc>
      </w:tr>
      <w:tr>
        <w:trPr/>
        <w:tc>
          <w:tcPr>
            <w:tcW w:w="5770" w:type="dxa"/>
            <w:tcBorders/>
            <w:shd w:fill="CCEEFF" w:val="clear"/>
          </w:tcPr>
          <w:p>
            <w:pPr>
              <w:pStyle w:val="TableContents"/>
              <w:spacing w:before="0" w:after="0"/>
              <w:rPr>
                <w:rFonts w:ascii="Times New Roman" w:hAnsi="Times New Roman"/>
                <w:sz w:val="20"/>
              </w:rPr>
            </w:pPr>
            <w:r>
              <w:rPr>
                <w:rFonts w:ascii="Times New Roman" w:hAnsi="Times New Roman"/>
                <w:sz w:val="20"/>
              </w:rPr>
              <w:t>Michael S. Wyzga</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146,186</w:t>
            </w:r>
          </w:p>
        </w:tc>
        <w:tc>
          <w:tcPr>
            <w:tcW w:w="62"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director was elected to our Board on June 22,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Ms. Lindenboom was elected to our Board on October 20,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directors term expired at the 2022 Annual Meeting.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Mayer resigned from our Board on June 24, 2022.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Miller resigned from our Board on October 20,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(9)</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fees earned by Mr. Royan for his service on our Board during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Dr. Shah resigned from our Board on June 22, 2022. </w:t>
            </w:r>
          </w:p>
        </w:tc>
      </w:tr>
    </w:tbl>
    <w:p>
      <w:pPr>
        <w:pStyle w:val="TextBody"/>
        <w:spacing w:before="360" w:after="0"/>
        <w:jc w:val="left"/>
        <w:rPr>
          <w:rFonts w:ascii="Times New Roman" w:hAnsi="Times New Roman"/>
          <w:b/>
          <w:sz w:val="20"/>
        </w:rPr>
      </w:pPr>
      <w:bookmarkStart w:id="38" w:name="tx419064_34"/>
      <w:bookmarkEnd w:id="38"/>
      <w:r>
        <w:rPr>
          <w:rFonts w:ascii="Times New Roman" w:hAnsi="Times New Roman"/>
          <w:b/>
          <w:sz w:val="20"/>
        </w:rPr>
        <w:t xml:space="preserve">Narrative to Director Compensation Table </w:t>
      </w:r>
    </w:p>
    <w:p>
      <w:pPr>
        <w:pStyle w:val="TextBody"/>
        <w:spacing w:before="120" w:after="0"/>
        <w:jc w:val="left"/>
        <w:rPr>
          <w:rFonts w:ascii="Times New Roman" w:hAnsi="Times New Roman"/>
          <w:sz w:val="20"/>
        </w:rPr>
      </w:pPr>
      <w:r>
        <w:rPr>
          <w:rFonts w:ascii="Times New Roman" w:hAnsi="Times New Roman"/>
          <w:sz w:val="20"/>
        </w:rPr>
        <w:t xml:space="preserve">Our Board adopted a non-employee director compensation policy that became effective in August 2021 in connection with the closing of our initial public offering. In March 2023, our Board approved amendments to the non-employee director compensation policy with respect to the initial and annual option awards granted to our directors, as described below. Pursuant to this compensation policy, each of our directors who is not an employee or consultant of our company is eligible to receive compensation for service on our Board and committees of our Board. </w:t>
      </w:r>
    </w:p>
    <w:p>
      <w:pPr>
        <w:pStyle w:val="TextBody"/>
        <w:spacing w:before="240" w:after="0"/>
        <w:jc w:val="left"/>
        <w:rPr>
          <w:rFonts w:ascii="Times New Roman" w:hAnsi="Times New Roman"/>
          <w:sz w:val="20"/>
        </w:rPr>
      </w:pPr>
      <w:r>
        <w:rPr>
          <w:rFonts w:ascii="Times New Roman" w:hAnsi="Times New Roman"/>
          <w:sz w:val="20"/>
        </w:rPr>
        <w:t xml:space="preserve">Under our non-employee director compensation policy, each eligible director receives an annual cash retainer in the amount of $40,000 for serving on our Board. In addition, the Chairperson of our Board receives an annual cash retainer in the amount of $30,000 (in addition to the annual cash retainer given to all eligible directors). The chairperson of the Audit Committee is entitled to receive an additional annual cash retainer in the amount of $15,000, the chairperson of the Compensation Committee is entitled to receive an additional annual cash retainer in the amount of $10,000 and the chairperson of the Nominating and Corporate Governance Committee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 All such annual retainers are payable in equal quarterly installments, payable in arrears on the last day of each fiscal quarter in which the service occurred. If an eligible director joins our Board or a committee of our Board at a time other than effective as of the first day of a fiscal quarter, the annual retainers described above are pro-rated based on days served in the applicable fiscal quarter, with the pro-rated amount paid on the last day of the first fiscal quarter in which such eligible director provides the service and regular full quarterly payments thereafter. </w:t>
      </w:r>
    </w:p>
    <w:p>
      <w:pPr>
        <w:pStyle w:val="TextBody"/>
        <w:spacing w:before="240" w:after="0"/>
        <w:jc w:val="left"/>
        <w:rPr>
          <w:rFonts w:ascii="Times New Roman" w:hAnsi="Times New Roman"/>
          <w:sz w:val="20"/>
        </w:rPr>
      </w:pPr>
      <w:r>
        <w:rPr>
          <w:rFonts w:ascii="Times New Roman" w:hAnsi="Times New Roman"/>
          <w:sz w:val="20"/>
        </w:rPr>
        <w:t xml:space="preserve">In addition, each new eligible director who joins our Board is entitled to receive a non-statutory stock option to purchase 100,000 shares of our common stock (prior to the March 2023 amendments noted above, the initial award was structured as an option to purchase shares of our common stock with an aggregate Black-Scholes grant date value of $800,000, up to a maximum of 150,000 shares), with one-third of the shares vesting on the first anniversary of the grant date and 1/36th of the shares subject to the initial grant vesting in equal monthly installments thereafter, such that the option is fully vested on the third anniversary of the grant date, subject to continued service as a director through the vesting dates. </w:t>
      </w:r>
    </w:p>
    <w:p>
      <w:pPr>
        <w:pStyle w:val="TextBody"/>
        <w:spacing w:before="240" w:after="0"/>
        <w:jc w:val="left"/>
        <w:rPr>
          <w:rFonts w:ascii="Times New Roman" w:hAnsi="Times New Roman"/>
          <w:sz w:val="20"/>
        </w:rPr>
      </w:pPr>
      <w:r>
        <w:rPr>
          <w:rFonts w:ascii="Times New Roman" w:hAnsi="Times New Roman"/>
          <w:sz w:val="20"/>
        </w:rPr>
        <w:t xml:space="preserve">On the date of each annual meeting of our stockholders, each eligible director who continues to serve as a director of our Company following the meeting is entitled to receive a non-statutory stock option to purchase 50,000 shares of our common stock (prior to the March 2023 amendments noted above, the annual award was structured as an option to purchase shares of our common stock with an aggregate Black-Scholes grant date fair value of $400,000, up to a maximum of 75,000 shares), with the shares vesting on the earlier of the first anniversary of the date of grant or the date of the next annual meeting of our stockholders, subject to continued service as a director though the applicable vesting date. If an eligible director joins our Board upon or after the date of the last preceding annual stockholders meeting, such eligible directors Annual Grant will be pro-rated based on days served since joining our Board. </w:t>
      </w:r>
    </w:p>
    <w:p>
      <w:pPr>
        <w:pStyle w:val="TextBody"/>
        <w:spacing w:before="240" w:after="0"/>
        <w:jc w:val="left"/>
        <w:rPr>
          <w:rFonts w:ascii="Times New Roman" w:hAnsi="Times New Roman"/>
          <w:sz w:val="20"/>
        </w:rPr>
      </w:pPr>
      <w:r>
        <w:rPr>
          <w:rFonts w:ascii="Times New Roman" w:hAnsi="Times New Roman"/>
          <w:sz w:val="20"/>
        </w:rPr>
        <w:t xml:space="preserve">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 </w:t>
      </w:r>
    </w:p>
    <w:p>
      <w:pPr>
        <w:pStyle w:val="TextBody"/>
        <w:spacing w:before="240" w:after="0"/>
        <w:jc w:val="left"/>
        <w:rPr>
          <w:rFonts w:ascii="Times New Roman" w:hAnsi="Times New Roman"/>
          <w:sz w:val="20"/>
        </w:rPr>
      </w:pPr>
      <w:r>
        <w:rPr>
          <w:rFonts w:ascii="Times New Roman" w:hAnsi="Times New Roman"/>
          <w:sz w:val="20"/>
        </w:rPr>
        <w:t xml:space="preserve">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9" w:name="tx419064_35"/>
      <w:bookmarkEnd w:id="39"/>
      <w:r>
        <w:rPr>
          <w:rFonts w:ascii="Times New Roman" w:hAnsi="Times New Roman"/>
          <w:b/>
          <w:sz w:val="20"/>
        </w:rPr>
        <w:t xml:space="preserve">SECURITIES AUTHORIZED FOR ISSUANCE UNDER EQUITY COMPENSATION PLANS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certain information with respect to all of the Companys equity compensation plans in effect as of December 31, 2022.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175"/>
        <w:gridCol w:w="123"/>
        <w:gridCol w:w="136"/>
        <w:gridCol w:w="2494"/>
        <w:gridCol w:w="410"/>
        <w:gridCol w:w="63"/>
        <w:gridCol w:w="453"/>
        <w:gridCol w:w="1622"/>
        <w:gridCol w:w="60"/>
        <w:gridCol w:w="123"/>
        <w:gridCol w:w="122"/>
        <w:gridCol w:w="2253"/>
        <w:gridCol w:w="354"/>
      </w:tblGrid>
      <w:tr>
        <w:trPr/>
        <w:tc>
          <w:tcPr>
            <w:tcW w:w="117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94"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Plan Category</w:t>
            </w:r>
          </w:p>
        </w:tc>
        <w:tc>
          <w:tcPr>
            <w:tcW w:w="123" w:type="dxa"/>
            <w:tcBorders/>
            <w:shd w:fill="auto" w:val="clear"/>
            <w:vAlign w:val="bottom"/>
          </w:tcPr>
          <w:p>
            <w:pPr>
              <w:pStyle w:val="TableContents"/>
              <w:spacing w:before="0" w:after="283"/>
              <w:rPr/>
            </w:pPr>
            <w:r>
              <w:rPr/>
              <w:t>  </w:t>
            </w:r>
          </w:p>
        </w:tc>
        <w:tc>
          <w:tcPr>
            <w:tcW w:w="26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securities to</w:t>
            </w:r>
            <w:r>
              <w:rPr/>
              <w:br/>
            </w:r>
            <w:r>
              <w:rPr>
                <w:b/>
              </w:rPr>
              <w:t>be issued upon exercise of</w:t>
              <w:br/>
              <w:t>outstanding options,</w:t>
            </w:r>
            <w:r>
              <w:rPr/>
              <w:br/>
            </w:r>
            <w:r>
              <w:rPr>
                <w:b/>
              </w:rPr>
              <w:t>warrants and rights</w:t>
              <w:br/>
              <w:t>(a)</w:t>
            </w:r>
          </w:p>
        </w:tc>
        <w:tc>
          <w:tcPr>
            <w:tcW w:w="4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Weighted-average</w:t>
            </w:r>
            <w:r>
              <w:rPr/>
              <w:br/>
            </w:r>
            <w:r>
              <w:rPr>
                <w:b/>
              </w:rPr>
              <w:t>exercise price of</w:t>
              <w:br/>
              <w:t>outstanding options,</w:t>
            </w:r>
            <w:r>
              <w:rPr/>
              <w:br/>
            </w:r>
            <w:r>
              <w:rPr>
                <w:b/>
              </w:rPr>
              <w:t>warrants and rights</w:t>
              <w:br/>
              <w:t>(b)</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23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securities</w:t>
            </w:r>
            <w:r>
              <w:rPr/>
              <w:br/>
            </w:r>
            <w:r>
              <w:rPr>
                <w:b/>
              </w:rPr>
              <w:t>remaining available for</w:t>
            </w:r>
            <w:r>
              <w:rPr/>
              <w:br/>
            </w:r>
            <w:r>
              <w:rPr>
                <w:b/>
              </w:rPr>
              <w:t>issuance under equity</w:t>
            </w:r>
            <w:r>
              <w:rPr/>
              <w:br/>
            </w:r>
            <w:r>
              <w:rPr>
                <w:b/>
              </w:rPr>
              <w:t>compensation plans</w:t>
            </w:r>
            <w:r>
              <w:rPr/>
              <w:br/>
            </w:r>
            <w:r>
              <w:rPr>
                <w:b/>
              </w:rPr>
              <w:t>(excluding securities</w:t>
            </w:r>
            <w:r>
              <w:rPr/>
              <w:br/>
            </w:r>
            <w:r>
              <w:rPr>
                <w:b/>
              </w:rPr>
              <w:t>reflected in column (a))</w:t>
              <w:br/>
              <w:t>(c)</w:t>
            </w:r>
          </w:p>
        </w:tc>
        <w:tc>
          <w:tcPr>
            <w:tcW w:w="354" w:type="dxa"/>
            <w:tcBorders/>
            <w:shd w:fill="auto" w:val="clear"/>
            <w:vAlign w:val="bottom"/>
          </w:tcPr>
          <w:p>
            <w:pPr>
              <w:pStyle w:val="TableContents"/>
              <w:spacing w:before="0" w:after="283"/>
              <w:rPr/>
            </w:pPr>
            <w:r>
              <w:rPr/>
              <w:t> </w:t>
            </w:r>
          </w:p>
        </w:tc>
      </w:tr>
      <w:tr>
        <w:trPr/>
        <w:tc>
          <w:tcPr>
            <w:tcW w:w="1175" w:type="dxa"/>
            <w:tcBorders/>
            <w:shd w:fill="CCEEFF" w:val="clear"/>
          </w:tcPr>
          <w:p>
            <w:pPr>
              <w:pStyle w:val="TableContents"/>
              <w:spacing w:before="0" w:after="0"/>
              <w:rPr>
                <w:rFonts w:ascii="Times New Roman" w:hAnsi="Times New Roman"/>
                <w:sz w:val="20"/>
              </w:rPr>
            </w:pPr>
            <w:r>
              <w:rPr>
                <w:rFonts w:ascii="Times New Roman" w:hAnsi="Times New Roman"/>
                <w:sz w:val="20"/>
              </w:rPr>
              <w:t>Equity compensation plans</w:t>
              <w:br/>
              <w:t>approved by security holders</w:t>
            </w:r>
          </w:p>
        </w:tc>
        <w:tc>
          <w:tcPr>
            <w:tcW w:w="12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94" w:type="dxa"/>
            <w:tcBorders/>
            <w:shd w:fill="CCEEFF" w:val="clear"/>
            <w:vAlign w:val="bottom"/>
          </w:tcPr>
          <w:p>
            <w:pPr>
              <w:pStyle w:val="TableContents"/>
              <w:spacing w:before="0" w:after="283"/>
              <w:jc w:val="right"/>
              <w:rPr/>
            </w:pPr>
            <w:r>
              <w:rPr/>
              <w:t>23,239,391</w:t>
            </w:r>
          </w:p>
        </w:tc>
        <w:tc>
          <w:tcPr>
            <w:tcW w:w="410" w:type="dxa"/>
            <w:tcBorders/>
            <w:shd w:fill="CCEEFF" w:val="clear"/>
            <w:vAlign w:val="bottom"/>
          </w:tcPr>
          <w:p>
            <w:pPr>
              <w:pStyle w:val="TableContents"/>
              <w:spacing w:before="0" w:after="283"/>
              <w:rPr/>
            </w:pPr>
            <w:r>
              <w:rPr/>
              <w:t> </w:t>
            </w:r>
            <w:r>
              <w:rPr/>
              <w:t>(1) </w:t>
            </w:r>
          </w:p>
        </w:tc>
        <w:tc>
          <w:tcPr>
            <w:tcW w:w="6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w:t>
            </w:r>
          </w:p>
        </w:tc>
        <w:tc>
          <w:tcPr>
            <w:tcW w:w="1622" w:type="dxa"/>
            <w:tcBorders/>
            <w:shd w:fill="CCEEFF" w:val="clear"/>
            <w:vAlign w:val="bottom"/>
          </w:tcPr>
          <w:p>
            <w:pPr>
              <w:pStyle w:val="TableContents"/>
              <w:spacing w:before="0" w:after="283"/>
              <w:jc w:val="right"/>
              <w:rPr/>
            </w:pPr>
            <w:r>
              <w:rPr/>
              <w:t>7.01</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253" w:type="dxa"/>
            <w:tcBorders/>
            <w:shd w:fill="CCEEFF" w:val="clear"/>
            <w:vAlign w:val="bottom"/>
          </w:tcPr>
          <w:p>
            <w:pPr>
              <w:pStyle w:val="TableContents"/>
              <w:spacing w:before="0" w:after="283"/>
              <w:jc w:val="right"/>
              <w:rPr/>
            </w:pPr>
            <w:r>
              <w:rPr/>
              <w:t>20,925,263</w:t>
            </w:r>
          </w:p>
        </w:tc>
        <w:tc>
          <w:tcPr>
            <w:tcW w:w="354" w:type="dxa"/>
            <w:tcBorders/>
            <w:shd w:fill="CCEEFF" w:val="clear"/>
            <w:vAlign w:val="bottom"/>
          </w:tcPr>
          <w:p>
            <w:pPr>
              <w:pStyle w:val="TableContents"/>
              <w:spacing w:before="0" w:after="283"/>
              <w:rPr/>
            </w:pPr>
            <w:r>
              <w:rPr/>
              <w:t>(2) </w:t>
            </w:r>
          </w:p>
        </w:tc>
      </w:tr>
      <w:tr>
        <w:trPr/>
        <w:tc>
          <w:tcPr>
            <w:tcW w:w="1175" w:type="dxa"/>
            <w:tcBorders/>
            <w:shd w:fill="auto" w:val="clear"/>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w:t>
            </w:r>
          </w:p>
        </w:tc>
        <w:tc>
          <w:tcPr>
            <w:tcW w:w="12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94" w:type="dxa"/>
            <w:tcBorders/>
            <w:shd w:fill="auto" w:val="clear"/>
            <w:vAlign w:val="bottom"/>
          </w:tcPr>
          <w:p>
            <w:pPr>
              <w:pStyle w:val="TableContents"/>
              <w:spacing w:before="0" w:after="283"/>
              <w:jc w:val="right"/>
              <w:rPr/>
            </w:pPr>
            <w:r>
              <w:rPr/>
              <w:t>  </w:t>
            </w:r>
          </w:p>
        </w:tc>
        <w:tc>
          <w:tcPr>
            <w:tcW w:w="4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6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2253" w:type="dxa"/>
            <w:tcBorders/>
            <w:shd w:fill="auto" w:val="clear"/>
            <w:vAlign w:val="bottom"/>
          </w:tcPr>
          <w:p>
            <w:pPr>
              <w:pStyle w:val="TableContents"/>
              <w:spacing w:before="0" w:after="283"/>
              <w:jc w:val="right"/>
              <w:rPr/>
            </w:pPr>
            <w:r>
              <w:rPr/>
              <w:t>  </w:t>
            </w:r>
          </w:p>
        </w:tc>
        <w:tc>
          <w:tcPr>
            <w:tcW w:w="354" w:type="dxa"/>
            <w:tcBorders/>
            <w:shd w:fill="auto"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pBdr>
                <w:top w:val="single" w:sz="2" w:space="1" w:color="000000"/>
              </w:pBdr>
              <w:spacing w:before="0" w:after="0"/>
              <w:rPr/>
            </w:pPr>
            <w:r>
              <w:rPr/>
              <w:t> </w:t>
            </w:r>
          </w:p>
        </w:tc>
        <w:tc>
          <w:tcPr>
            <w:tcW w:w="2494" w:type="dxa"/>
            <w:tcBorders/>
            <w:shd w:fill="auto" w:val="clear"/>
            <w:vAlign w:val="bottom"/>
          </w:tcPr>
          <w:p>
            <w:pPr>
              <w:pStyle w:val="TableContents"/>
              <w:pBdr>
                <w:top w:val="single" w:sz="2" w:space="1" w:color="000000"/>
              </w:pBdr>
              <w:spacing w:before="0" w:after="0"/>
              <w:rPr/>
            </w:pPr>
            <w:r>
              <w:rPr/>
              <w:t> </w:t>
            </w:r>
          </w:p>
        </w:tc>
        <w:tc>
          <w:tcPr>
            <w:tcW w:w="410" w:type="dxa"/>
            <w:tcBorders/>
            <w:shd w:fill="auto" w:val="clear"/>
            <w:vAlign w:val="center"/>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pBdr>
                <w:top w:val="single" w:sz="2" w:space="1" w:color="000000"/>
              </w:pBdr>
              <w:spacing w:before="0" w:after="0"/>
              <w:rPr/>
            </w:pPr>
            <w:r>
              <w:rPr/>
              <w:t> </w:t>
            </w:r>
          </w:p>
        </w:tc>
        <w:tc>
          <w:tcPr>
            <w:tcW w:w="16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pBdr>
                <w:top w:val="single" w:sz="2" w:space="1" w:color="000000"/>
              </w:pBdr>
              <w:spacing w:before="0" w:after="0"/>
              <w:rPr/>
            </w:pPr>
            <w:r>
              <w:rPr/>
              <w:t> </w:t>
            </w:r>
          </w:p>
        </w:tc>
        <w:tc>
          <w:tcPr>
            <w:tcW w:w="2253" w:type="dxa"/>
            <w:tcBorders/>
            <w:shd w:fill="auto" w:val="clear"/>
            <w:vAlign w:val="bottom"/>
          </w:tcPr>
          <w:p>
            <w:pPr>
              <w:pStyle w:val="TableContents"/>
              <w:pBdr>
                <w:top w:val="single" w:sz="2" w:space="1" w:color="000000"/>
              </w:pBdr>
              <w:spacing w:before="0" w:after="0"/>
              <w:rPr/>
            </w:pPr>
            <w:r>
              <w:rPr/>
              <w:t> </w:t>
            </w:r>
          </w:p>
        </w:tc>
        <w:tc>
          <w:tcPr>
            <w:tcW w:w="354" w:type="dxa"/>
            <w:tcBorders/>
            <w:shd w:fill="auto" w:val="clear"/>
            <w:vAlign w:val="center"/>
          </w:tcPr>
          <w:p>
            <w:pPr>
              <w:pStyle w:val="TableContents"/>
              <w:spacing w:before="0" w:after="283"/>
              <w:rPr/>
            </w:pPr>
            <w:r>
              <w:rPr/>
              <w:t> </w:t>
            </w:r>
          </w:p>
        </w:tc>
      </w:tr>
      <w:tr>
        <w:trPr/>
        <w:tc>
          <w:tcPr>
            <w:tcW w:w="117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123"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94" w:type="dxa"/>
            <w:tcBorders/>
            <w:shd w:fill="CCEEFF" w:val="clear"/>
            <w:vAlign w:val="bottom"/>
          </w:tcPr>
          <w:p>
            <w:pPr>
              <w:pStyle w:val="TableContents"/>
              <w:spacing w:before="0" w:after="283"/>
              <w:jc w:val="right"/>
              <w:rPr/>
            </w:pPr>
            <w:r>
              <w:rPr/>
              <w:t>23,239,391</w:t>
            </w:r>
          </w:p>
        </w:tc>
        <w:tc>
          <w:tcPr>
            <w:tcW w:w="4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w:t>
            </w:r>
          </w:p>
        </w:tc>
        <w:tc>
          <w:tcPr>
            <w:tcW w:w="1622" w:type="dxa"/>
            <w:tcBorders/>
            <w:shd w:fill="CCEEFF" w:val="clear"/>
            <w:vAlign w:val="bottom"/>
          </w:tcPr>
          <w:p>
            <w:pPr>
              <w:pStyle w:val="TableContents"/>
              <w:spacing w:before="0" w:after="283"/>
              <w:jc w:val="right"/>
              <w:rPr/>
            </w:pPr>
            <w:r>
              <w:rPr/>
              <w:t> </w:t>
            </w:r>
            <w:r>
              <w:rPr/>
              <w:t>7.01</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2253" w:type="dxa"/>
            <w:tcBorders/>
            <w:shd w:fill="CCEEFF" w:val="clear"/>
            <w:vAlign w:val="bottom"/>
          </w:tcPr>
          <w:p>
            <w:pPr>
              <w:pStyle w:val="TableContents"/>
              <w:spacing w:before="0" w:after="283"/>
              <w:jc w:val="right"/>
              <w:rPr/>
            </w:pPr>
            <w:r>
              <w:rPr/>
              <w:t>20,925,263</w:t>
            </w:r>
          </w:p>
        </w:tc>
        <w:tc>
          <w:tcPr>
            <w:tcW w:w="354"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shares underlying options granted pursuant to our 2020 Equity Incentive Plan and 2021 Equity Incentive Plan.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19,696,011 shares of common stock reserved for future issuance under our 2021 Equity Incentive Plan and 1,229,252 shares of common stock reserved for future issuance under our 2021 Employee Stock Purchase Plan. The number of shares of our common stock reserved for issuance under our 2021 Equity Incentive Plan automatically increases on the first day of each fiscal year continuing through January 1, 2031, in an amount equal to 5.0% of the total number of shares of our common stock outstanding on December 31 of the preceding calendar year or a lesser number of shares determined by our Board. The number of shares reserved under the 2021 Employee Stock Purchase Plan automatically increases on the first day of each fiscal year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2022, our Board determined that no increase was necessary to the shares of common stock available for issuance under the 2021 Equity Incentive Plan or 2021 Employee Stock Purchase Plan on January 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0" w:name="tx419064_36"/>
      <w:bookmarkEnd w:id="40"/>
      <w:r>
        <w:rPr>
          <w:rFonts w:ascii="Times New Roman" w:hAnsi="Times New Roman"/>
          <w:b/>
          <w:sz w:val="20"/>
        </w:rPr>
        <w:t xml:space="preserve">TRANSACTIONS WITH RELATED PERSONS AND INDEMNIFICATION </w:t>
      </w:r>
    </w:p>
    <w:p>
      <w:pPr>
        <w:pStyle w:val="TextBody"/>
        <w:spacing w:before="240" w:after="0"/>
        <w:jc w:val="left"/>
        <w:rPr>
          <w:rFonts w:ascii="Times New Roman" w:hAnsi="Times New Roman"/>
          <w:b/>
          <w:sz w:val="20"/>
        </w:rPr>
      </w:pPr>
      <w:bookmarkStart w:id="41" w:name="tx419064_37"/>
      <w:bookmarkEnd w:id="41"/>
      <w:r>
        <w:rPr>
          <w:rFonts w:ascii="Times New Roman" w:hAnsi="Times New Roman"/>
          <w:b/>
          <w:sz w:val="20"/>
        </w:rPr>
        <w:t xml:space="preserve">Related Person Transactions Policy and Procedures </w:t>
      </w:r>
    </w:p>
    <w:p>
      <w:pPr>
        <w:pStyle w:val="TextBody"/>
        <w:spacing w:before="120" w:after="0"/>
        <w:jc w:val="left"/>
        <w:rPr>
          <w:rFonts w:ascii="Times New Roman" w:hAnsi="Times New Roman"/>
          <w:sz w:val="20"/>
        </w:rPr>
      </w:pPr>
      <w:r>
        <w:rPr>
          <w:rFonts w:ascii="Times New Roman" w:hAnsi="Times New Roman"/>
          <w:sz w:val="20"/>
        </w:rPr>
        <w:t xml:space="preserve">Our Board has a written Related Person Transaction Policy that sets forth our procedures for the identification, review, consideration and approval or ratification of related person transactions, which policy became effective in connection with our initial public offering in 2021. A related person is any executive officer, director, nominee to become a director, or beneficial owner of more than 5% of any class of our voting securities, including any immediate family members and any entity owned or controlled by such persons. </w:t>
      </w:r>
    </w:p>
    <w:p>
      <w:pPr>
        <w:pStyle w:val="TextBody"/>
        <w:spacing w:before="240" w:after="0"/>
        <w:jc w:val="left"/>
        <w:rPr>
          <w:rFonts w:ascii="Times New Roman" w:hAnsi="Times New Roman"/>
          <w:sz w:val="20"/>
        </w:rPr>
      </w:pPr>
      <w:r>
        <w:rPr>
          <w:rFonts w:ascii="Times New Roman" w:hAnsi="Times New Roman"/>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w:t>
      </w:r>
    </w:p>
    <w:p>
      <w:pPr>
        <w:pStyle w:val="TextBody"/>
        <w:spacing w:before="240" w:after="0"/>
        <w:jc w:val="left"/>
        <w:rPr>
          <w:rFonts w:ascii="Times New Roman" w:hAnsi="Times New Roman"/>
          <w:sz w:val="20"/>
        </w:rPr>
      </w:pPr>
      <w:r>
        <w:rPr>
          <w:rFonts w:ascii="Times New Roman" w:hAnsi="Times New Roman"/>
          <w:sz w:val="20"/>
        </w:rPr>
        <w:t xml:space="preserve">In considering related person transactions, our Audit Committee, or other independent body of our Board, will take into account the relevant available facts and circumstances,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risks, costs and benefits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on a directors independence in the event that the related person is a director, immediate family member of a director or an entity with which a director is affiliated;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terms of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availability of other sources for comparable services or products;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terms available to or from, as the case may be, unrelated third parties or to or from employees generally. </w:t>
            </w:r>
          </w:p>
        </w:tc>
      </w:tr>
    </w:tbl>
    <w:p>
      <w:pPr>
        <w:pStyle w:val="TextBody"/>
        <w:spacing w:before="240" w:after="0"/>
        <w:jc w:val="left"/>
        <w:rPr>
          <w:rFonts w:ascii="Times New Roman" w:hAnsi="Times New Roman"/>
          <w:sz w:val="20"/>
        </w:rPr>
      </w:pPr>
      <w:r>
        <w:rPr>
          <w:rFonts w:ascii="Times New Roman" w:hAnsi="Times New Roman"/>
          <w:sz w:val="20"/>
        </w:rPr>
        <w:t xml:space="preserve">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 </w:t>
      </w:r>
    </w:p>
    <w:p>
      <w:pPr>
        <w:pStyle w:val="TextBody"/>
        <w:spacing w:before="360" w:after="0"/>
        <w:jc w:val="left"/>
        <w:rPr>
          <w:rFonts w:ascii="Times New Roman" w:hAnsi="Times New Roman"/>
          <w:b/>
          <w:sz w:val="20"/>
        </w:rPr>
      </w:pPr>
      <w:bookmarkStart w:id="42" w:name="tx419064_38"/>
      <w:bookmarkEnd w:id="42"/>
      <w:r>
        <w:rPr>
          <w:rFonts w:ascii="Times New Roman" w:hAnsi="Times New Roman"/>
          <w:b/>
          <w:sz w:val="20"/>
        </w:rPr>
        <w:t xml:space="preserve">Certain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The following includes a summary of transactions since January 1, 2021 to which we have been a party, in which the amount involved in the transaction exceeded the lesser of $120,000 or one percent of the average of our total assets at year-end for the last two completed fiscal years, and in which any of our directors, executive officers or, to our knowledge, beneficial owners of more than 5% of our voting securities or an affiliate or immediate family member thereof,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 </w:t>
      </w:r>
    </w:p>
    <w:p>
      <w:pPr>
        <w:pStyle w:val="TextBody"/>
        <w:spacing w:before="360" w:after="0"/>
        <w:jc w:val="left"/>
        <w:rPr>
          <w:rFonts w:ascii="Times New Roman" w:hAnsi="Times New Roman"/>
          <w:b/>
          <w:sz w:val="20"/>
        </w:rPr>
      </w:pPr>
      <w:bookmarkStart w:id="43" w:name="tx419064_39"/>
      <w:bookmarkEnd w:id="43"/>
      <w:r>
        <w:rPr>
          <w:rFonts w:ascii="Times New Roman" w:hAnsi="Times New Roman"/>
          <w:b/>
          <w:sz w:val="20"/>
        </w:rPr>
        <w:t xml:space="preserve">Agreements with PHP </w:t>
      </w:r>
    </w:p>
    <w:p>
      <w:pPr>
        <w:pStyle w:val="TextBody"/>
        <w:spacing w:before="120" w:after="0"/>
        <w:jc w:val="left"/>
        <w:rPr>
          <w:rFonts w:ascii="Times New Roman" w:hAnsi="Times New Roman"/>
          <w:sz w:val="20"/>
        </w:rPr>
      </w:pPr>
      <w:r>
        <w:rPr>
          <w:rFonts w:ascii="Times New Roman" w:hAnsi="Times New Roman"/>
          <w:sz w:val="20"/>
        </w:rPr>
        <w:t xml:space="preserve">Clive Meanwell, M.D. and Tamsin Berry, current members on our Board, are Managing Partner and Partner of PHP,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Master Services Agreement </w:t>
      </w:r>
    </w:p>
    <w:p>
      <w:pPr>
        <w:pStyle w:val="TextBody"/>
        <w:spacing w:before="120" w:after="0"/>
        <w:jc w:val="left"/>
        <w:rPr>
          <w:rFonts w:ascii="Times New Roman" w:hAnsi="Times New Roman"/>
          <w:sz w:val="20"/>
        </w:rPr>
      </w:pPr>
      <w:r>
        <w:rPr>
          <w:rFonts w:ascii="Times New Roman" w:hAnsi="Times New Roman"/>
          <w:sz w:val="20"/>
        </w:rPr>
        <w:t xml:space="preserve">On November 15, 2022 (the PHP Effective Date), we entered into a Master Services Agreement with PHP, pursuant to which PHP agreed to provide services and create deliverables for us as agreed between us and PHP and set forth in one or more work orders under such agreement (the PHP MSA). The terms of the PHP MSA commenced on the PHP Effective Date and will continue for a period of one year, unless terminated earlier in accordance with its terms. On the PHP Effective Date, we and PHP entered into the first work order under the PHP MSA (the PHP Work Order), pursuant to which PHP agreed to advise and counsel us regarding clinical development and regulatory matters with respect to our product candidates. </w:t>
      </w:r>
    </w:p>
    <w:p>
      <w:pPr>
        <w:pStyle w:val="TextBody"/>
        <w:spacing w:before="240" w:after="0"/>
        <w:jc w:val="left"/>
        <w:rPr>
          <w:rFonts w:ascii="Times New Roman" w:hAnsi="Times New Roman"/>
          <w:sz w:val="20"/>
        </w:rPr>
      </w:pPr>
      <w:r>
        <w:rPr>
          <w:rFonts w:ascii="Times New Roman" w:hAnsi="Times New Roman"/>
          <w:sz w:val="20"/>
        </w:rPr>
        <w:t xml:space="preserve">As compensation for the services and deliverables under the PHP Work Order, we agreed to pay PHP a cash fee of $0.5 million per month during the term of the PHP Work Order (which has an initial term of six months, and may be extended by written agreement of us and PHP) for an aggregate fee of $3.0 million (the Aggregate Fee). In the event that (i) we terminate the PHP Work Order for any reason other than material breach by PHP or (ii) PHP terminates the PHP Work Order due to material breach by us, in each case, pursuant to the terms of the PHP MSA, then we would be required to pay PHP the balance of the Aggregate Fee as of the date the PHP Work Order is terminated. The cash fee is subject to change if the parties extend the term of the PHP Work Order in accordance with the terms thereof. </w:t>
      </w:r>
    </w:p>
    <w:p>
      <w:pPr>
        <w:pStyle w:val="TextBody"/>
        <w:spacing w:before="240" w:after="0"/>
        <w:jc w:val="left"/>
        <w:rPr>
          <w:rFonts w:ascii="Times New Roman" w:hAnsi="Times New Roman"/>
          <w:sz w:val="20"/>
        </w:rPr>
      </w:pPr>
      <w:r>
        <w:rPr>
          <w:rFonts w:ascii="Times New Roman" w:hAnsi="Times New Roman"/>
          <w:sz w:val="20"/>
        </w:rPr>
        <w:t xml:space="preserve">From the PHP Effective Date through December 31, 2022, we did not make any payments to PHP. As of December 31, 2022, $0.8 million was due to PHP by us. </w:t>
      </w:r>
    </w:p>
    <w:p>
      <w:pPr>
        <w:pStyle w:val="TextBody"/>
        <w:spacing w:before="360" w:after="0"/>
        <w:jc w:val="left"/>
        <w:rPr>
          <w:rFonts w:ascii="Times New Roman" w:hAnsi="Times New Roman"/>
          <w:b/>
          <w:i/>
          <w:sz w:val="20"/>
        </w:rPr>
      </w:pPr>
      <w:r>
        <w:rPr>
          <w:rFonts w:ascii="Times New Roman" w:hAnsi="Times New Roman"/>
          <w:b/>
          <w:i/>
          <w:sz w:val="20"/>
        </w:rPr>
        <w:t xml:space="preserve">Common Stock Warrant </w:t>
      </w:r>
    </w:p>
    <w:p>
      <w:pPr>
        <w:pStyle w:val="TextBody"/>
        <w:spacing w:before="120" w:after="0"/>
        <w:jc w:val="left"/>
        <w:rPr>
          <w:rFonts w:ascii="Times New Roman" w:hAnsi="Times New Roman"/>
          <w:sz w:val="20"/>
        </w:rPr>
      </w:pPr>
      <w:r>
        <w:rPr>
          <w:rFonts w:ascii="Times New Roman" w:hAnsi="Times New Roman"/>
          <w:sz w:val="20"/>
        </w:rPr>
        <w:t xml:space="preserve">In addition to the cash compensation described above, on the PHP Effective Date, we issued a warrant to purchase shares of our common stock to PHP (the PHP Warrant). The exercise price of the PHP Warrant is $3.48 per share of common stock, which is equal to the Nasdaq official closing price (as defined in the PHP Warrant) of a share of common stock on the trading day immediately prior to the PHP Effective Date. The PHP Warrant is exercisable for up to an aggregate of 6,824,712 shares of common stock, and vests in three separate tranches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3,591,954 shares of common stock underlying the PHP Warrant vests if our market capitalization (as defined in the PHP Warrant) equals or exceeds $758,517,511 by November 15, 2028;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1,795,977 shares of common stock underlying the PHP Warrant vests if our market capitalization equals or exceeds $1,137,776,266 by November 15, 2029;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1,436,781 shares of common stock underlying the PHP Warrant vests if our market capitalization equals or exceeds $1,517,035,022 by November 15, 2030. </w:t>
            </w:r>
          </w:p>
        </w:tc>
      </w:tr>
    </w:tbl>
    <w:p>
      <w:pPr>
        <w:pStyle w:val="TextBody"/>
        <w:spacing w:before="240" w:after="0"/>
        <w:jc w:val="left"/>
        <w:rPr>
          <w:rFonts w:ascii="Times New Roman" w:hAnsi="Times New Roman"/>
          <w:sz w:val="20"/>
        </w:rPr>
      </w:pPr>
      <w:r>
        <w:rPr>
          <w:rFonts w:ascii="Times New Roman" w:hAnsi="Times New Roman"/>
          <w:sz w:val="20"/>
        </w:rPr>
        <w:t xml:space="preserve">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We have also granted PHP certain piggyback registration rights requiring us to register any shares of Common Stock underlying the PHP Warrant for resale with the SEC, subject to our existing obligations under the amended and restated investors rights agreement (described below).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PHP may not exercise any portion of the PHP Warrant to the extent that, after giving effect to such issuance, PHP would beneficially own in excess of 4.99% of the number of shares of our common stock outstanding immediately after giving effect to the issuance of shares of common stock issuable upon exercise of the PHP Warrant (the Beneficial Ownership Limitation). PHP has the right to increase or decrease the Beneficial Ownership Limitation, provided that it in no event exceeds 19.99% of the number of shares of our common stock outstanding immediately after giving effect to the issuance of shares of common stock issuable upon exercise of the PHP Warrant, upon not less than 61 days prior notice to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Upon a consummation of a change of control of the Company (as defined in the PHP Warrant)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 </w:t>
      </w:r>
    </w:p>
    <w:p>
      <w:pPr>
        <w:pStyle w:val="TextBody"/>
        <w:spacing w:before="360" w:after="0"/>
        <w:jc w:val="left"/>
        <w:rPr>
          <w:rFonts w:ascii="Times New Roman" w:hAnsi="Times New Roman"/>
          <w:b/>
          <w:sz w:val="20"/>
        </w:rPr>
      </w:pPr>
      <w:bookmarkStart w:id="44" w:name="tx419064_39a"/>
      <w:bookmarkEnd w:id="44"/>
      <w:r>
        <w:rPr>
          <w:rFonts w:ascii="Times New Roman" w:hAnsi="Times New Roman"/>
          <w:b/>
          <w:sz w:val="20"/>
        </w:rPr>
        <w:t xml:space="preserve">Mithril Expense Reimbursement </w:t>
      </w:r>
    </w:p>
    <w:p>
      <w:pPr>
        <w:pStyle w:val="TextBody"/>
        <w:spacing w:before="120" w:after="0"/>
        <w:jc w:val="left"/>
        <w:rPr>
          <w:rFonts w:ascii="Times New Roman" w:hAnsi="Times New Roman"/>
          <w:sz w:val="20"/>
        </w:rPr>
      </w:pPr>
      <w:r>
        <w:rPr>
          <w:rFonts w:ascii="Times New Roman" w:hAnsi="Times New Roman"/>
          <w:sz w:val="20"/>
        </w:rPr>
        <w:t xml:space="preserve">In October 2022, upon request by Mithril II LP, we paid $1.4 million to Mithril II LLP as reimbursement for certain fees and out-of-pocket expenses incurred by Mithril in connection with the solicitation of proxies for our 2022 Annual Meeting of Stockholders, which was held on June 22, 2022, and resulted in, among other things, the election of director nominees proposed by Mithril and other stockholders. Ajay Royan, a former member of our Board, is the Managing General Partner and Founder of Mithril Capital Management LLC (MCM). MCM is a management company that manages Mithril II LP and is appointed by Mithril II GP LP, the general partner of Mithril II LP. Mithril II LP holds more than 5% of our common stock. </w:t>
      </w:r>
    </w:p>
    <w:p>
      <w:pPr>
        <w:pStyle w:val="TextBody"/>
        <w:spacing w:before="360" w:after="0"/>
        <w:jc w:val="left"/>
        <w:rPr>
          <w:rFonts w:ascii="Times New Roman" w:hAnsi="Times New Roman"/>
          <w:b/>
          <w:sz w:val="20"/>
        </w:rPr>
      </w:pPr>
      <w:bookmarkStart w:id="45" w:name="tx419064_39b"/>
      <w:bookmarkEnd w:id="45"/>
      <w:r>
        <w:rPr>
          <w:rFonts w:ascii="Times New Roman" w:hAnsi="Times New Roman"/>
          <w:b/>
          <w:sz w:val="20"/>
        </w:rPr>
        <w:t xml:space="preserve">Private Placements of Our Securities  Series C Preferred Stock Financing </w:t>
      </w:r>
    </w:p>
    <w:p>
      <w:pPr>
        <w:pStyle w:val="TextBody"/>
        <w:spacing w:before="120" w:after="0"/>
        <w:jc w:val="left"/>
        <w:rPr>
          <w:rFonts w:ascii="Times New Roman" w:hAnsi="Times New Roman"/>
          <w:sz w:val="20"/>
        </w:rPr>
      </w:pPr>
      <w:r>
        <w:rPr>
          <w:rFonts w:ascii="Times New Roman" w:hAnsi="Times New Roman"/>
          <w:sz w:val="20"/>
        </w:rPr>
        <w:t xml:space="preserve">In April 2021, we entered into a preferred stock purchase agreement with certain investors, including beneficial owners of greater than 5% of our capital stock and affiliates of members of our Board, pursuant to which we issued and sold to such investors an aggregate of 4,296,550 shares of our Series C preferred stock at a purchase price of $78.08578 per share for aggregate gross proceeds of $335.5 million. </w:t>
      </w:r>
    </w:p>
    <w:p>
      <w:pPr>
        <w:pStyle w:val="TextBody"/>
        <w:spacing w:before="240" w:after="0"/>
        <w:jc w:val="left"/>
        <w:rPr>
          <w:rFonts w:ascii="Times New Roman" w:hAnsi="Times New Roman"/>
          <w:sz w:val="20"/>
        </w:rPr>
      </w:pPr>
      <w:r>
        <w:rPr>
          <w:rFonts w:ascii="Times New Roman" w:hAnsi="Times New Roman"/>
          <w:sz w:val="20"/>
        </w:rPr>
        <w:t xml:space="preserve">The table below sets forth the aggregate number of shares of Series C preferred stock issued to our related parties in this financing: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019"/>
        <w:gridCol w:w="184"/>
        <w:gridCol w:w="70"/>
        <w:gridCol w:w="953"/>
        <w:gridCol w:w="60"/>
        <w:gridCol w:w="184"/>
        <w:gridCol w:w="60"/>
        <w:gridCol w:w="1161"/>
        <w:gridCol w:w="64"/>
      </w:tblGrid>
      <w:tr>
        <w:trPr/>
        <w:tc>
          <w:tcPr>
            <w:tcW w:w="501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019"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84" w:type="dxa"/>
            <w:tcBorders/>
            <w:shd w:fill="auto" w:val="clear"/>
            <w:vAlign w:val="bottom"/>
          </w:tcPr>
          <w:p>
            <w:pPr>
              <w:pStyle w:val="TableContents"/>
              <w:spacing w:before="0" w:after="283"/>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Series C</w:t>
              <w:br/>
              <w:t>Preferred</w:t>
              <w:br/>
              <w:t>Stock</w:t>
              <w:br/>
              <w:t>(#)</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Purchase</w:t>
              <w:br/>
              <w:t>Price</w:t>
              <w:br/>
              <w:t>($)</w:t>
            </w:r>
          </w:p>
        </w:tc>
        <w:tc>
          <w:tcPr>
            <w:tcW w:w="64" w:type="dxa"/>
            <w:tcBorders/>
            <w:shd w:fill="auto" w:val="clear"/>
            <w:vAlign w:val="bottom"/>
          </w:tcPr>
          <w:p>
            <w:pPr>
              <w:pStyle w:val="TableContents"/>
              <w:spacing w:before="0" w:after="283"/>
              <w:rPr/>
            </w:pPr>
            <w:r>
              <w:rPr/>
              <w:t> </w:t>
            </w:r>
          </w:p>
        </w:tc>
      </w:tr>
      <w:tr>
        <w:trPr/>
        <w:tc>
          <w:tcPr>
            <w:tcW w:w="5019" w:type="dxa"/>
            <w:tcBorders/>
            <w:shd w:fill="CCEEFF" w:val="clear"/>
          </w:tcPr>
          <w:p>
            <w:pPr>
              <w:pStyle w:val="TableContents"/>
              <w:spacing w:before="0" w:after="0"/>
              <w:rPr>
                <w:rFonts w:ascii="Times New Roman" w:hAnsi="Times New Roman"/>
                <w:sz w:val="20"/>
              </w:rPr>
            </w:pPr>
            <w:r>
              <w:rPr>
                <w:rFonts w:ascii="Times New Roman" w:hAnsi="Times New Roman"/>
                <w:sz w:val="20"/>
              </w:rPr>
              <w:t>Adimab, LLC (1)</w:t>
            </w:r>
          </w:p>
        </w:tc>
        <w:tc>
          <w:tcPr>
            <w:tcW w:w="184"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128,064</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9,999,977</w:t>
            </w:r>
          </w:p>
        </w:tc>
        <w:tc>
          <w:tcPr>
            <w:tcW w:w="64" w:type="dxa"/>
            <w:tcBorders/>
            <w:shd w:fill="CCEEFF" w:val="clear"/>
            <w:vAlign w:val="bottom"/>
          </w:tcPr>
          <w:p>
            <w:pPr>
              <w:pStyle w:val="TableContents"/>
              <w:spacing w:before="0" w:after="283"/>
              <w:rPr/>
            </w:pPr>
            <w:r>
              <w:rPr/>
              <w:t> </w:t>
            </w:r>
          </w:p>
        </w:tc>
      </w:tr>
      <w:tr>
        <w:trPr/>
        <w:tc>
          <w:tcPr>
            <w:tcW w:w="5019" w:type="dxa"/>
            <w:tcBorders/>
            <w:shd w:fill="auto" w:val="clear"/>
          </w:tcPr>
          <w:p>
            <w:pPr>
              <w:pStyle w:val="TableContents"/>
              <w:spacing w:before="0" w:after="0"/>
              <w:rPr>
                <w:rFonts w:ascii="Times New Roman" w:hAnsi="Times New Roman"/>
                <w:sz w:val="20"/>
              </w:rPr>
            </w:pPr>
            <w:r>
              <w:rPr>
                <w:rFonts w:ascii="Times New Roman" w:hAnsi="Times New Roman"/>
                <w:sz w:val="20"/>
              </w:rPr>
              <w:t>Mithril II LP (2)</w:t>
            </w:r>
          </w:p>
        </w:tc>
        <w:tc>
          <w:tcPr>
            <w:tcW w:w="18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422,612</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32,999,988</w:t>
            </w:r>
          </w:p>
        </w:tc>
        <w:tc>
          <w:tcPr>
            <w:tcW w:w="64" w:type="dxa"/>
            <w:tcBorders/>
            <w:shd w:fill="auto" w:val="clear"/>
            <w:vAlign w:val="bottom"/>
          </w:tcPr>
          <w:p>
            <w:pPr>
              <w:pStyle w:val="TableContents"/>
              <w:spacing w:before="0" w:after="283"/>
              <w:rPr/>
            </w:pPr>
            <w:r>
              <w:rPr/>
              <w:t> </w:t>
            </w:r>
          </w:p>
        </w:tc>
      </w:tr>
      <w:tr>
        <w:trPr/>
        <w:tc>
          <w:tcPr>
            <w:tcW w:w="5019" w:type="dxa"/>
            <w:tcBorders/>
            <w:shd w:fill="CCEEFF" w:val="clear"/>
          </w:tcPr>
          <w:p>
            <w:pPr>
              <w:pStyle w:val="TableContents"/>
              <w:spacing w:before="0" w:after="0"/>
              <w:rPr>
                <w:rFonts w:ascii="Times New Roman" w:hAnsi="Times New Roman"/>
                <w:sz w:val="20"/>
              </w:rPr>
            </w:pPr>
            <w:r>
              <w:rPr>
                <w:rFonts w:ascii="Times New Roman" w:hAnsi="Times New Roman"/>
                <w:sz w:val="20"/>
              </w:rPr>
              <w:t>OrbiMed Private Investments VII, LP</w:t>
            </w:r>
          </w:p>
        </w:tc>
        <w:tc>
          <w:tcPr>
            <w:tcW w:w="184"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96,048</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7,499,983</w:t>
            </w:r>
          </w:p>
        </w:tc>
        <w:tc>
          <w:tcPr>
            <w:tcW w:w="64" w:type="dxa"/>
            <w:tcBorders/>
            <w:shd w:fill="CCEEFF" w:val="clear"/>
            <w:vAlign w:val="bottom"/>
          </w:tcPr>
          <w:p>
            <w:pPr>
              <w:pStyle w:val="TableContents"/>
              <w:spacing w:before="0" w:after="283"/>
              <w:rPr/>
            </w:pPr>
            <w:r>
              <w:rPr/>
              <w:t> </w:t>
            </w:r>
          </w:p>
        </w:tc>
      </w:tr>
      <w:tr>
        <w:trPr/>
        <w:tc>
          <w:tcPr>
            <w:tcW w:w="5019"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RA Capital Management</w:t>
            </w:r>
          </w:p>
        </w:tc>
        <w:tc>
          <w:tcPr>
            <w:tcW w:w="18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960,482</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74,999,986</w:t>
            </w:r>
          </w:p>
        </w:tc>
        <w:tc>
          <w:tcPr>
            <w:tcW w:w="64" w:type="dxa"/>
            <w:tcBorders/>
            <w:shd w:fill="auto" w:val="clear"/>
            <w:vAlign w:val="bottom"/>
          </w:tcPr>
          <w:p>
            <w:pPr>
              <w:pStyle w:val="TableContents"/>
              <w:spacing w:before="0" w:after="283"/>
              <w:rPr/>
            </w:pPr>
            <w:r>
              <w:rPr/>
              <w:t> </w:t>
            </w:r>
          </w:p>
        </w:tc>
      </w:tr>
      <w:tr>
        <w:trPr/>
        <w:tc>
          <w:tcPr>
            <w:tcW w:w="5019"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Polaris Partners (3)</w:t>
            </w:r>
          </w:p>
        </w:tc>
        <w:tc>
          <w:tcPr>
            <w:tcW w:w="184"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224,112</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17,499,960</w:t>
            </w:r>
          </w:p>
        </w:tc>
        <w:tc>
          <w:tcPr>
            <w:tcW w:w="64" w:type="dxa"/>
            <w:tcBorders/>
            <w:shd w:fill="CCEEFF" w:val="clear"/>
            <w:vAlign w:val="bottom"/>
          </w:tcPr>
          <w:p>
            <w:pPr>
              <w:pStyle w:val="TableContents"/>
              <w:spacing w:before="0" w:after="283"/>
              <w:rPr/>
            </w:pPr>
            <w:r>
              <w:rPr/>
              <w:t> </w:t>
            </w:r>
          </w:p>
        </w:tc>
      </w:tr>
      <w:tr>
        <w:trPr/>
        <w:tc>
          <w:tcPr>
            <w:tcW w:w="5019"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GV</w:t>
            </w:r>
          </w:p>
        </w:tc>
        <w:tc>
          <w:tcPr>
            <w:tcW w:w="18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pPr>
            <w:r>
              <w:rPr/>
              <w:t>96,048</w:t>
            </w:r>
          </w:p>
        </w:tc>
        <w:tc>
          <w:tcPr>
            <w:tcW w:w="6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7,499,983</w:t>
            </w:r>
          </w:p>
        </w:tc>
        <w:tc>
          <w:tcPr>
            <w:tcW w:w="64" w:type="dxa"/>
            <w:tcBorders/>
            <w:shd w:fill="auto" w:val="clear"/>
            <w:vAlign w:val="bottom"/>
          </w:tcPr>
          <w:p>
            <w:pPr>
              <w:pStyle w:val="TableContents"/>
              <w:spacing w:before="0" w:after="283"/>
              <w:rPr/>
            </w:pPr>
            <w:r>
              <w:rPr/>
              <w:t> </w:t>
            </w:r>
          </w:p>
        </w:tc>
      </w:tr>
      <w:tr>
        <w:trPr/>
        <w:tc>
          <w:tcPr>
            <w:tcW w:w="5019" w:type="dxa"/>
            <w:tcBorders/>
            <w:shd w:fill="CCEEFF" w:val="clear"/>
          </w:tcPr>
          <w:p>
            <w:pPr>
              <w:pStyle w:val="TableContents"/>
              <w:spacing w:before="0" w:after="0"/>
              <w:rPr>
                <w:rFonts w:ascii="Times New Roman" w:hAnsi="Times New Roman"/>
                <w:sz w:val="20"/>
              </w:rPr>
            </w:pPr>
            <w:r>
              <w:rPr>
                <w:rFonts w:ascii="Times New Roman" w:hAnsi="Times New Roman"/>
                <w:sz w:val="20"/>
              </w:rPr>
              <w:t>Entities affiliated with FMR, LLC</w:t>
            </w:r>
          </w:p>
        </w:tc>
        <w:tc>
          <w:tcPr>
            <w:tcW w:w="184"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pPr>
            <w:r>
              <w:rPr/>
              <w:t>640,321</w:t>
            </w:r>
          </w:p>
        </w:tc>
        <w:tc>
          <w:tcPr>
            <w:tcW w:w="6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49,999,965</w:t>
            </w:r>
          </w:p>
        </w:tc>
        <w:tc>
          <w:tcPr>
            <w:tcW w:w="64"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Tillman U. Gerngross, Ph.D., a former member of our Board and our former Chief Executive Officer, is a former officer and current member of the Board of Directors of Adimab, (b) Philip Chase, a former member of our Board, is a current officer and member of the Board of Adimab, (c) Laura Walker, Ph.D., our former Chief Scientific Officer, is a former employee of Adimab, (d) Terrance McGuire, a member of our Board, is a current member of the Board of Adimab, and (e) Ajay Royan, a former member of our Board, is a current member of the Board of Adimab. Adimab holds more than 5% of our common stock.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Ajay Royan, a former member of our Board, is the Managing General Partner and Founder of MCM. MCM is a management company that manages Mithril II LP and is appointed by Mithril II GP LP, the general partner of Mithril II LP. Mithril II LP holds more than 5% of our common stock.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Terrance McGuire, a member of our Board, is a Founding Partner of Polaris Partners. Entities affiliated with Polaris Partners collectively hold more than 5% of our common stock. </w:t>
            </w:r>
          </w:p>
        </w:tc>
      </w:tr>
    </w:tbl>
    <w:p>
      <w:pPr>
        <w:pStyle w:val="TextBody"/>
        <w:spacing w:before="240" w:after="0"/>
        <w:jc w:val="left"/>
        <w:rPr>
          <w:rFonts w:ascii="Times New Roman" w:hAnsi="Times New Roman"/>
          <w:sz w:val="20"/>
        </w:rPr>
      </w:pPr>
      <w:r>
        <w:rPr>
          <w:rFonts w:ascii="Times New Roman" w:hAnsi="Times New Roman"/>
          <w:sz w:val="20"/>
        </w:rPr>
        <w:t xml:space="preserve">Each share of Series C preferred stock issued in this offering automatically converted into five shares of our common stock upon the closing of our initial public offering in August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46" w:name="tx419064_40"/>
      <w:bookmarkEnd w:id="46"/>
      <w:r>
        <w:rPr>
          <w:rFonts w:ascii="Times New Roman" w:hAnsi="Times New Roman"/>
          <w:b/>
          <w:sz w:val="20"/>
        </w:rPr>
        <w:t xml:space="preserve">Agreements with Adimab </w:t>
      </w:r>
    </w:p>
    <w:p>
      <w:pPr>
        <w:pStyle w:val="TextBody"/>
        <w:spacing w:before="120" w:after="0"/>
        <w:jc w:val="left"/>
        <w:rPr>
          <w:rFonts w:ascii="Times New Roman" w:hAnsi="Times New Roman"/>
          <w:sz w:val="20"/>
        </w:rPr>
      </w:pPr>
      <w:r>
        <w:rPr>
          <w:rFonts w:ascii="Times New Roman" w:hAnsi="Times New Roman"/>
          <w:sz w:val="20"/>
        </w:rPr>
        <w:t xml:space="preserve">Certain of our current and former directors and officers are affiliated with Adimab, the beneficial owner of 24.4% of our common stock as of March 27, 2023. Tillman U. Gerngross, Ph.D., our co-founder, former member of our Board and our former Chief Executive Officer, is co-founder and Executive Chairman of the board of directors of Adimab and former Chief Executive Officer of Adimab. Laura Walker, Ph.D., our co-founder and former Chief Scientific Officer, was the Senior Director of Antibody Sciences at Adimab. Terrance McGuire, who is deemed to be a beneficial owner of 7.9% of our common stock as of March 27, 2023 is a member of our Board and the board of directors of Adimab. </w:t>
      </w:r>
    </w:p>
    <w:p>
      <w:pPr>
        <w:pStyle w:val="TextBody"/>
        <w:spacing w:before="360" w:after="0"/>
        <w:jc w:val="left"/>
        <w:rPr>
          <w:rFonts w:ascii="Times New Roman" w:hAnsi="Times New Roman"/>
          <w:b/>
          <w:i/>
          <w:sz w:val="20"/>
        </w:rPr>
      </w:pPr>
      <w:r>
        <w:rPr>
          <w:rFonts w:ascii="Times New Roman" w:hAnsi="Times New Roman"/>
          <w:b/>
          <w:i/>
          <w:sz w:val="20"/>
        </w:rPr>
        <w:t xml:space="preserve">Assignment and License Agreement </w:t>
      </w:r>
    </w:p>
    <w:p>
      <w:pPr>
        <w:pStyle w:val="TextBody"/>
        <w:spacing w:before="120" w:after="0"/>
        <w:jc w:val="left"/>
        <w:rPr>
          <w:rFonts w:ascii="Times New Roman" w:hAnsi="Times New Roman"/>
          <w:sz w:val="20"/>
        </w:rPr>
      </w:pPr>
      <w:r>
        <w:rPr>
          <w:rFonts w:ascii="Times New Roman" w:hAnsi="Times New Roman"/>
          <w:sz w:val="20"/>
        </w:rPr>
        <w:t xml:space="preserve">In July 2020, we entered into an assignment and license agreement (the Adimab Assignment Agreement) with Adimab pursuant to which Adimab assigned to us its rights to all coronavirus antibodies controlled by it and their derivatives, patents claiming such antibodies, know-how related to such antibodies, and biological and chemical materials specifically related to such antibodies, and also granted us a non-exclusive, sublicensable, worldwide, royalty-bearing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w:t>
      </w:r>
    </w:p>
    <w:p>
      <w:pPr>
        <w:pStyle w:val="TextBody"/>
        <w:spacing w:before="240" w:after="0"/>
        <w:jc w:val="left"/>
        <w:rPr>
          <w:rFonts w:ascii="Times New Roman" w:hAnsi="Times New Roman"/>
          <w:sz w:val="20"/>
        </w:rPr>
      </w:pPr>
      <w:r>
        <w:rPr>
          <w:rFonts w:ascii="Times New Roman" w:hAnsi="Times New Roman"/>
          <w:sz w:val="20"/>
        </w:rPr>
        <w:t xml:space="preserve">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(the Products). We are also obligated to pay Adimab royalties of a mid-single-digit percentage based on annual aggregate worldwide net sales of any Products, subject to reductions for third-party licenses, biosimilar competition, compulsory licensing and a royalty floor. </w:t>
      </w:r>
    </w:p>
    <w:p>
      <w:pPr>
        <w:pStyle w:val="TextBody"/>
        <w:spacing w:before="240" w:after="0"/>
        <w:jc w:val="left"/>
        <w:rPr>
          <w:rFonts w:ascii="Times New Roman" w:hAnsi="Times New Roman"/>
          <w:sz w:val="20"/>
        </w:rPr>
      </w:pPr>
      <w:r>
        <w:rPr>
          <w:rFonts w:ascii="Times New Roman" w:hAnsi="Times New Roman"/>
          <w:sz w:val="20"/>
        </w:rPr>
        <w:t xml:space="preserve">In February 2021, we achieved the first specified milestone under the agreement upon dosing of the first patient in a Phase 1 global clinical trial evaluating adintrevimab, which obligated us to make a $1.0 million payment to Adimab. We made the payment in March 2021. In April 2021, we achieved the second specified milestone under the agreement upon dosing of the first patient in a Phase 2 global clinical trial evaluating adintrevimab for the prevention of COVID-19, which obligated us to make a $2.5 million payment to Adimab. We made the payment in June 2021. In August 2021, we achieved the third specified milestone under the agreement upon dosing of the first patient in a Phase 3 global clinical trial evaluating adintrevimab for the prevention of COVID-19, which obligated us to make a $4.0 million payment to Adimab. We made the payment in September 2021. </w:t>
      </w:r>
    </w:p>
    <w:p>
      <w:pPr>
        <w:pStyle w:val="TextBody"/>
        <w:spacing w:before="240" w:after="0"/>
        <w:jc w:val="left"/>
        <w:rPr>
          <w:rFonts w:ascii="Times New Roman" w:hAnsi="Times New Roman"/>
          <w:sz w:val="20"/>
        </w:rPr>
      </w:pPr>
      <w:r>
        <w:rPr>
          <w:rFonts w:ascii="Times New Roman" w:hAnsi="Times New Roman"/>
          <w:sz w:val="20"/>
        </w:rPr>
        <w:t xml:space="preserve">From January 1, 2021 through December 31, 2022, we paid Adimab $9.8 million in connection with the Adimab Assignment Agreement. As of December 31, 2022, less than $0.1 million was due to Adimab by us. </w:t>
      </w:r>
    </w:p>
    <w:p>
      <w:pPr>
        <w:pStyle w:val="TextBody"/>
        <w:spacing w:before="360" w:after="0"/>
        <w:jc w:val="left"/>
        <w:rPr>
          <w:rFonts w:ascii="Times New Roman" w:hAnsi="Times New Roman"/>
          <w:b/>
          <w:i/>
          <w:sz w:val="20"/>
        </w:rPr>
      </w:pPr>
      <w:r>
        <w:rPr>
          <w:rFonts w:ascii="Times New Roman" w:hAnsi="Times New Roman"/>
          <w:b/>
          <w:i/>
          <w:sz w:val="20"/>
        </w:rPr>
        <w:t xml:space="preserve">Collaboration Agreement </w:t>
      </w:r>
    </w:p>
    <w:p>
      <w:pPr>
        <w:pStyle w:val="TextBody"/>
        <w:spacing w:before="120" w:after="0"/>
        <w:jc w:val="left"/>
        <w:rPr>
          <w:rFonts w:ascii="Times New Roman" w:hAnsi="Times New Roman"/>
          <w:sz w:val="20"/>
        </w:rPr>
      </w:pPr>
      <w:r>
        <w:rPr>
          <w:rFonts w:ascii="Times New Roman" w:hAnsi="Times New Roman"/>
          <w:sz w:val="20"/>
        </w:rPr>
        <w:t xml:space="preserve">In May 2021, we entered into a collaboration agreement with Adimab (the Adimab Collaboration Agreement) for the discovery and optimization of proprietary antibodies as potential therapeutic product candidates. We are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 </w:t>
      </w:r>
    </w:p>
    <w:p>
      <w:pPr>
        <w:pStyle w:val="TextBody"/>
        <w:spacing w:before="240" w:after="0"/>
        <w:jc w:val="left"/>
        <w:rPr>
          <w:rFonts w:ascii="Times New Roman" w:hAnsi="Times New Roman"/>
          <w:sz w:val="20"/>
        </w:rPr>
      </w:pPr>
      <w:r>
        <w:rPr>
          <w:rFonts w:ascii="Times New Roman" w:hAnsi="Times New Roman"/>
          <w:sz w:val="20"/>
        </w:rPr>
        <w:t xml:space="preserve">For each agreed upon research program that is commenced under the Adimab Collaboration Agreement,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w:t>
      </w:r>
    </w:p>
    <w:p>
      <w:pPr>
        <w:pStyle w:val="TextBody"/>
        <w:spacing w:before="240" w:after="0"/>
        <w:jc w:val="left"/>
        <w:rPr>
          <w:rFonts w:ascii="Times New Roman" w:hAnsi="Times New Roman"/>
          <w:sz w:val="20"/>
        </w:rPr>
      </w:pPr>
      <w:r>
        <w:rPr>
          <w:rFonts w:ascii="Times New Roman" w:hAnsi="Times New Roman"/>
          <w:sz w:val="20"/>
        </w:rPr>
        <w:t xml:space="preserve">We are obligated to pay Adimab up to $18.0 million upon the achievement of specified development and regulatory milestones for each product under the agreement that achieves such milestones. We are also obligated to pay Adimab royalties of a mid-single-digit percentage based on annual aggregate worldwide net sales of products, subject to reductions for third-party licenses. </w:t>
      </w:r>
    </w:p>
    <w:p>
      <w:pPr>
        <w:pStyle w:val="TextBody"/>
        <w:spacing w:before="240" w:after="0"/>
        <w:jc w:val="left"/>
        <w:rPr>
          <w:rFonts w:ascii="Times New Roman" w:hAnsi="Times New Roman"/>
          <w:sz w:val="20"/>
        </w:rPr>
      </w:pPr>
      <w:r>
        <w:rPr>
          <w:rFonts w:ascii="Times New Roman" w:hAnsi="Times New Roman"/>
          <w:sz w:val="20"/>
        </w:rPr>
        <w:t xml:space="preserve">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From May 21, 2021 (the date we entered into the Adimab Collaboration Agreement) through December 31, 2022, we paid Adimab $10.6 million in connection with the Adimab Collaboration Agreement. As of December 31, 2022, $0.3 million was due to Adimab by us. </w:t>
      </w:r>
    </w:p>
    <w:p>
      <w:pPr>
        <w:pStyle w:val="TextBody"/>
        <w:spacing w:before="360" w:after="0"/>
        <w:jc w:val="left"/>
        <w:rPr>
          <w:rFonts w:ascii="Times New Roman" w:hAnsi="Times New Roman"/>
          <w:b/>
          <w:i/>
          <w:sz w:val="20"/>
        </w:rPr>
      </w:pPr>
      <w:r>
        <w:rPr>
          <w:rFonts w:ascii="Times New Roman" w:hAnsi="Times New Roman"/>
          <w:b/>
          <w:i/>
          <w:sz w:val="20"/>
        </w:rPr>
        <w:t xml:space="preserve">Adimab Platform Transfer Agreement </w:t>
      </w:r>
    </w:p>
    <w:p>
      <w:pPr>
        <w:pStyle w:val="TextBody"/>
        <w:spacing w:before="120" w:after="0"/>
        <w:jc w:val="left"/>
        <w:rPr>
          <w:rFonts w:ascii="Times New Roman" w:hAnsi="Times New Roman"/>
          <w:sz w:val="20"/>
        </w:rPr>
      </w:pPr>
      <w:r>
        <w:rPr>
          <w:rFonts w:ascii="Times New Roman" w:hAnsi="Times New Roman"/>
          <w:sz w:val="20"/>
        </w:rPr>
        <w:t xml:space="preserve">On September 10, 2022,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will be transferred to us in accordance with the terms of the Adimab Platform Transfer Agreement. In September 2022, we paid $3.0 million to Adimab in connection with the upfront consideration payable for the rights assigned pursuant to the Adimab Platform Transfer Agreement. </w:t>
      </w:r>
    </w:p>
    <w:p>
      <w:pPr>
        <w:pStyle w:val="TextBody"/>
        <w:spacing w:before="240" w:after="0"/>
        <w:jc w:val="left"/>
        <w:rPr>
          <w:rFonts w:ascii="Times New Roman" w:hAnsi="Times New Roman"/>
          <w:sz w:val="20"/>
        </w:rPr>
      </w:pPr>
      <w:r>
        <w:rPr>
          <w:rFonts w:ascii="Times New Roman" w:hAnsi="Times New Roman"/>
          <w:sz w:val="20"/>
        </w:rPr>
        <w:t xml:space="preserve">We are obligated to pay Adimab an annual fee of single digit millions on each of the first four anniversaries of the effective date of the Adimab Platform Transfer Agreement, which will allow us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we have the option to receive additional material improvements to the platform technology from Adimab, subject to a commercially reasonable fee to be negotiated by the parties. </w:t>
      </w:r>
    </w:p>
    <w:p>
      <w:pPr>
        <w:pStyle w:val="TextBody"/>
        <w:spacing w:before="240" w:after="0"/>
        <w:jc w:val="left"/>
        <w:rPr>
          <w:rFonts w:ascii="Times New Roman" w:hAnsi="Times New Roman"/>
          <w:sz w:val="20"/>
        </w:rPr>
      </w:pPr>
      <w:r>
        <w:rPr>
          <w:rFonts w:ascii="Times New Roman" w:hAnsi="Times New Roman"/>
          <w:sz w:val="20"/>
        </w:rPr>
        <w:t xml:space="preserve">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w:t>
      </w:r>
    </w:p>
    <w:p>
      <w:pPr>
        <w:pStyle w:val="TextBody"/>
        <w:spacing w:before="240" w:after="0"/>
        <w:jc w:val="left"/>
        <w:rPr>
          <w:rFonts w:ascii="Times New Roman" w:hAnsi="Times New Roman"/>
          <w:sz w:val="20"/>
        </w:rPr>
      </w:pPr>
      <w:r>
        <w:rPr>
          <w:rFonts w:ascii="Times New Roman" w:hAnsi="Times New Roman"/>
          <w:sz w:val="20"/>
        </w:rPr>
        <w:t xml:space="preserve">In addition, we are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2022, we had not paid any royalties to Adimab under the Adimab Platform Transfer Agreement. </w:t>
      </w:r>
    </w:p>
    <w:p>
      <w:pPr>
        <w:pStyle w:val="TextBody"/>
        <w:spacing w:before="240" w:after="0"/>
        <w:jc w:val="left"/>
        <w:rPr>
          <w:rFonts w:ascii="Times New Roman" w:hAnsi="Times New Roman"/>
          <w:sz w:val="20"/>
        </w:rPr>
      </w:pPr>
      <w:r>
        <w:rPr>
          <w:rFonts w:ascii="Times New Roman" w:hAnsi="Times New Roman"/>
          <w:sz w:val="20"/>
        </w:rPr>
        <w:t xml:space="preserve">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 </w:t>
      </w:r>
    </w:p>
    <w:p>
      <w:pPr>
        <w:pStyle w:val="TextBody"/>
        <w:spacing w:before="240" w:after="0"/>
        <w:jc w:val="left"/>
        <w:rPr>
          <w:rFonts w:ascii="Times New Roman" w:hAnsi="Times New Roman"/>
          <w:sz w:val="20"/>
        </w:rPr>
      </w:pPr>
      <w:r>
        <w:rPr>
          <w:rFonts w:ascii="Times New Roman" w:hAnsi="Times New Roman"/>
          <w:sz w:val="20"/>
        </w:rPr>
        <w:t xml:space="preserve">From September 10, 2022 (the date we entered into the Adimab Platform Transfer Agreement) through December 31, 2022, we paid Adimab $3.0 million in connection with the Adimab Platform Transfer Agreement. As of December 31, 2022, no amounts were due to Adimab by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47" w:name="tx419064_41"/>
      <w:bookmarkEnd w:id="47"/>
      <w:r>
        <w:rPr>
          <w:rFonts w:ascii="Times New Roman" w:hAnsi="Times New Roman"/>
          <w:b/>
          <w:sz w:val="20"/>
        </w:rPr>
        <w:t xml:space="preserve">Investors Rights, Voting and Right of First Refusal Agreements </w:t>
      </w:r>
    </w:p>
    <w:p>
      <w:pPr>
        <w:pStyle w:val="TextBody"/>
        <w:spacing w:before="120" w:after="0"/>
        <w:jc w:val="left"/>
        <w:rPr>
          <w:rFonts w:ascii="Times New Roman" w:hAnsi="Times New Roman"/>
          <w:sz w:val="20"/>
        </w:rPr>
      </w:pPr>
      <w:r>
        <w:rPr>
          <w:rFonts w:ascii="Times New Roman" w:hAnsi="Times New Roman"/>
          <w:sz w:val="20"/>
        </w:rPr>
        <w:t xml:space="preserve">In connection with the sale of our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terminated upon the closing of our initial public offering, except for the registration rights granted under our amended and restated investors rights agreement, which terminate with respect to each holder upon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this agreement provide those holders with demand, piggyback and Form S-3 registration rights with respect to the shares of common stock currently held by them. See Private Placements of Our SecuritiesSeries C Preferred Stock Financing above for information regarding the names of the related persons involved and the basis on which such persons are related persons. </w:t>
      </w:r>
    </w:p>
    <w:p>
      <w:pPr>
        <w:pStyle w:val="TextBody"/>
        <w:spacing w:before="360" w:after="0"/>
        <w:jc w:val="left"/>
        <w:rPr>
          <w:rFonts w:ascii="Times New Roman" w:hAnsi="Times New Roman"/>
          <w:b/>
          <w:sz w:val="20"/>
        </w:rPr>
      </w:pPr>
      <w:bookmarkStart w:id="48" w:name="tx419064_42"/>
      <w:bookmarkEnd w:id="48"/>
      <w:r>
        <w:rPr>
          <w:rFonts w:ascii="Times New Roman" w:hAnsi="Times New Roman"/>
          <w:b/>
          <w:sz w:val="20"/>
        </w:rPr>
        <w:t xml:space="preserve">Indemnification </w:t>
      </w:r>
    </w:p>
    <w:p>
      <w:pPr>
        <w:pStyle w:val="TextBody"/>
        <w:spacing w:before="120" w:after="0"/>
        <w:jc w:val="left"/>
        <w:rPr>
          <w:rFonts w:ascii="Times New Roman" w:hAnsi="Times New Roman"/>
          <w:sz w:val="20"/>
        </w:rPr>
      </w:pPr>
      <w:r>
        <w:rPr>
          <w:rFonts w:ascii="Times New Roman" w:hAnsi="Times New Roman"/>
          <w:sz w:val="20"/>
        </w:rPr>
        <w:t xml:space="preserve">The Company provides indemnification for its directors, executive officers and key employees so that they will be free from undue concern about personal liability in connection with their service to the Company. Under the Companys Bylaws, the Company is required to indemnify its directors, and is permitted to indemnify its executive officers, employees and other agents, to the extent not prohibited under Delaware or other applicable law. The Company has also entered into indemnity agreements with certain officers and directors, including each of our Boards nominees for director. These agreements provide, among other things, that the Company will indemnify the officer or director, under the circumstances and to the extent provided for in the agreement, for expenses,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w:t>
      </w:r>
    </w:p>
    <w:p>
      <w:pPr>
        <w:pStyle w:val="TextBody"/>
        <w:spacing w:before="360" w:after="0"/>
        <w:jc w:val="center"/>
        <w:rPr>
          <w:rFonts w:ascii="Times New Roman" w:hAnsi="Times New Roman"/>
          <w:b/>
          <w:sz w:val="20"/>
        </w:rPr>
      </w:pPr>
      <w:bookmarkStart w:id="49" w:name="tx419064_43"/>
      <w:bookmarkEnd w:id="49"/>
      <w:r>
        <w:rPr>
          <w:rFonts w:ascii="Times New Roman" w:hAnsi="Times New Roman"/>
          <w:b/>
          <w:sz w:val="20"/>
        </w:rPr>
        <w:t xml:space="preserve">DEADLINE FOR SUBMISSION OF STOCKHOLDER PROPOSALS FOR 2024 ANNUAL MEETING </w:t>
      </w:r>
    </w:p>
    <w:p>
      <w:pPr>
        <w:pStyle w:val="TextBody"/>
        <w:spacing w:before="240" w:after="0"/>
        <w:jc w:val="left"/>
        <w:rPr>
          <w:rFonts w:ascii="Times New Roman" w:hAnsi="Times New Roman"/>
          <w:sz w:val="20"/>
        </w:rPr>
      </w:pPr>
      <w:r>
        <w:rPr>
          <w:rFonts w:ascii="Times New Roman" w:hAnsi="Times New Roman"/>
          <w:sz w:val="20"/>
        </w:rPr>
        <w:t xml:space="preserve">If you wish to propose a matter for consideration at the 2024 Annual Meeting, then the proposal must be received at our registered office at Invivyd, Inc., 1601 Trapelo Road, Suite 178, Waltham, Massachusetts 02451, Attn: Corporate Secretary and in compliance with the requirements set forth below. </w:t>
      </w:r>
    </w:p>
    <w:p>
      <w:pPr>
        <w:pStyle w:val="TextBody"/>
        <w:spacing w:before="240" w:after="0"/>
        <w:jc w:val="left"/>
        <w:rPr>
          <w:rFonts w:ascii="Times New Roman" w:hAnsi="Times New Roman"/>
          <w:sz w:val="20"/>
        </w:rPr>
      </w:pPr>
      <w:r>
        <w:rPr>
          <w:rFonts w:ascii="Times New Roman" w:hAnsi="Times New Roman"/>
          <w:sz w:val="20"/>
        </w:rPr>
        <w:t xml:space="preserve">In order for a stockholder proposal to be eligible under Rule 14a-8 of the Exchange Act for presentation at the 2024 Annual Meeting, such stockholder must submit the proposal, along with proof of ownership of our common stock, no later than [*], 2024, the date that is one hundred twenty (120) days prior to the first anniversary of the date this Proxy Statement was first released to stockholders. This date will change if the date of 2024 Annual Meeting is changed by more than thirty (30) days from May 23, 2024. </w:t>
      </w:r>
    </w:p>
    <w:p>
      <w:pPr>
        <w:pStyle w:val="TextBody"/>
        <w:spacing w:before="240" w:after="0"/>
        <w:jc w:val="left"/>
        <w:rPr>
          <w:rFonts w:ascii="Times New Roman" w:hAnsi="Times New Roman"/>
          <w:sz w:val="20"/>
        </w:rPr>
      </w:pPr>
      <w:r>
        <w:rPr>
          <w:rFonts w:ascii="Times New Roman" w:hAnsi="Times New Roman"/>
          <w:sz w:val="20"/>
        </w:rPr>
        <w:t xml:space="preserve">In addition, our Bylaws establish an advance notice procedure for nominations for election to our Board and other matters that stockholders wish to present for action at an annual meeting other than those to be included in our proxy statement. In general, notice must be received not later than the close of business on the ninetieth (90th) day nor earlier than the close of business on the one hundred twentieth (120th) day prior to the first anniversary of the 2023 Annual Meeting. Therefore, to be presented at the 2024 Annual Meeting, we must receive such a proposal no earlier than the close of business on January 24, 2024 and no later than the close of business on February 23, 2024. However, if the date of the 2024 Annual Meeting is advanced more than thirty (30) days prior to or delayed by more than thirty (30) days after the anniversary of the 2023 Annual Meeting, notice by the stockholder to be timely must be so received not earlier than the close of business on the one hundred twentieth (120th) day prior to the 2024 Annual Meeting and not later than the close of business on the later of the ninetieth (90th) day prior to the 2024 Annual Meeting or the tenth (10th) day following the day on which public announcement of the date of the 2024 Annual Meeting is first made. Stockholders are advised to review our Bylaws which also specify requirements as to the form and content of a stockholders notice.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to satisfying the foregoing advanced notice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March 25, 2024, the date that is sixty (60) days prior to the first anniversary of the 2023 Annual Meeting. This date will change if the date of 2024 Annual Meeting is thirty (30) calendar days earlier or later than May 23, 2024. </w:t>
      </w:r>
    </w:p>
    <w:p>
      <w:pPr>
        <w:pStyle w:val="TextBody"/>
        <w:spacing w:before="480" w:after="0"/>
        <w:jc w:val="center"/>
        <w:rPr>
          <w:rFonts w:ascii="Times New Roman" w:hAnsi="Times New Roman"/>
          <w:b/>
          <w:sz w:val="20"/>
        </w:rPr>
      </w:pPr>
      <w:bookmarkStart w:id="50" w:name="tx419064_44"/>
      <w:bookmarkEnd w:id="50"/>
      <w:r>
        <w:rPr>
          <w:rFonts w:ascii="Times New Roman" w:hAnsi="Times New Roman"/>
          <w:b/>
          <w:sz w:val="20"/>
        </w:rPr>
        <w:t xml:space="preserve">DELIVERY OF DOCUMENTS TO STOCKHOLDERS SHARING AN ADDRESS </w:t>
      </w:r>
    </w:p>
    <w:p>
      <w:pPr>
        <w:pStyle w:val="TextBody"/>
        <w:spacing w:before="240" w:after="0"/>
        <w:jc w:val="left"/>
        <w:rPr>
          <w:rFonts w:ascii="Times New Roman" w:hAnsi="Times New Roman"/>
          <w:sz w:val="20"/>
        </w:rPr>
      </w:pPr>
      <w:r>
        <w:rPr>
          <w:rFonts w:ascii="Times New Roman" w:hAnsi="Times New Roman"/>
          <w:sz w:val="20"/>
        </w:rPr>
        <w:t xml:space="preserve">We have adopted a procedure, approved by the SEC, called householding. Under this procedure, stockholders of record who have the same address and last name will receive only one copy of the Notice and, if applicable, a printed version of this Proxy Statement and our Annual Report, unless we are notified that one or more of these stockholders wishes to continue receiving individual copies. This procedure will reduce our printing costs and postage fees. </w:t>
      </w:r>
    </w:p>
    <w:p>
      <w:pPr>
        <w:pStyle w:val="TextBody"/>
        <w:spacing w:before="240" w:after="0"/>
        <w:jc w:val="left"/>
        <w:rPr>
          <w:rFonts w:ascii="Times New Roman" w:hAnsi="Times New Roman"/>
          <w:sz w:val="20"/>
        </w:rPr>
      </w:pPr>
      <w:r>
        <w:rPr>
          <w:rFonts w:ascii="Times New Roman" w:hAnsi="Times New Roman"/>
          <w:sz w:val="20"/>
        </w:rPr>
        <w:t xml:space="preserve">If you are eligible for householding, but you and other stockholders of record with whom you share an address currently receive multiple copies of the Notice, or if you hold our stock in more than one account, and in either case you wish to receive only a single copy of the Notice for your household, please contact our Corporate Secretary at Invivyd, Inc., 1601 Trapelo Road, Suite 178, Waltham, Massachusetts 02451, or via telephone at (781)-819-0080. If you participate in householding and wish to receive a separate copy of the Notice, or if you do not wish to continue to participate in householding and prefer to receive separate copies of the Notice in the future, please contact our Corporate Secretary as indicated above. </w:t>
      </w:r>
    </w:p>
    <w:p>
      <w:pPr>
        <w:pStyle w:val="TextBody"/>
        <w:spacing w:before="240" w:after="0"/>
        <w:jc w:val="left"/>
        <w:rPr>
          <w:rFonts w:ascii="Times New Roman" w:hAnsi="Times New Roman"/>
          <w:sz w:val="20"/>
        </w:rPr>
      </w:pPr>
      <w:r>
        <w:rPr>
          <w:rFonts w:ascii="Times New Roman" w:hAnsi="Times New Roman"/>
          <w:sz w:val="20"/>
        </w:rPr>
        <w:t xml:space="preserve">If your shares are held in street name through a broker, bank or other nominee, please contact your broker, bank or nominee directly if you have questions, require additional copies of our materials or wish to receive a single copy of such materials in the future for all beneficial owners of shares of our common stock sharing an address. </w:t>
      </w:r>
    </w:p>
    <w:p>
      <w:pPr>
        <w:pStyle w:val="TextBody"/>
        <w:spacing w:before="360" w:after="0"/>
        <w:jc w:val="left"/>
        <w:rPr>
          <w:rFonts w:ascii="Times New Roman" w:hAnsi="Times New Roman"/>
          <w:b/>
          <w:sz w:val="20"/>
        </w:rPr>
      </w:pPr>
      <w:r>
        <w:rPr>
          <w:rFonts w:ascii="Times New Roman" w:hAnsi="Times New Roman"/>
          <w:b/>
          <w:sz w:val="20"/>
        </w:rPr>
        <w:t xml:space="preserve">Your vote is important. Even if you plan to attend the Annual Meeting, we urge you to submit your proxy or voting instructions as soon as possible.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vAlign w:val="bottom"/>
          </w:tcPr>
          <w:p>
            <w:pPr>
              <w:pStyle w:val="TableContents"/>
              <w:spacing w:before="0" w:after="283"/>
              <w:rPr/>
            </w:pPr>
            <w:r>
              <w:rPr/>
              <w:t>[*]</w:t>
            </w:r>
          </w:p>
        </w:tc>
      </w:tr>
      <w:tr>
        <w:trPr/>
        <w:tc>
          <w:tcPr>
            <w:tcW w:w="4082" w:type="dxa"/>
            <w:tcBorders/>
            <w:shd w:fill="auto" w:val="clear"/>
            <w:vAlign w:val="bottom"/>
          </w:tcPr>
          <w:p>
            <w:pPr>
              <w:pStyle w:val="TableContents"/>
              <w:spacing w:before="0" w:after="283"/>
              <w:rPr/>
            </w:pPr>
            <w:r>
              <w:rPr/>
              <w:t>Jill Andersen</w:t>
            </w:r>
          </w:p>
        </w:tc>
      </w:tr>
      <w:tr>
        <w:trPr/>
        <w:tc>
          <w:tcPr>
            <w:tcW w:w="4082" w:type="dxa"/>
            <w:tcBorders/>
            <w:shd w:fill="auto" w:val="clear"/>
            <w:vAlign w:val="bottom"/>
          </w:tcPr>
          <w:p>
            <w:pPr>
              <w:pStyle w:val="TableContents"/>
              <w:spacing w:before="0" w:after="283"/>
              <w:rPr>
                <w:i/>
              </w:rPr>
            </w:pPr>
            <w:r>
              <w:rPr>
                <w:i/>
              </w:rPr>
              <w:t>Chief Legal Officer and Corporate Secretary</w:t>
            </w:r>
          </w:p>
        </w:tc>
      </w:tr>
    </w:tbl>
    <w:p>
      <w:pPr>
        <w:pStyle w:val="TextBody"/>
        <w:spacing w:before="240" w:after="0"/>
        <w:jc w:val="left"/>
        <w:rPr>
          <w:rFonts w:ascii="Times New Roman" w:hAnsi="Times New Roman"/>
          <w:sz w:val="20"/>
        </w:rPr>
      </w:pPr>
      <w:r>
        <w:rPr>
          <w:rFonts w:ascii="Times New Roman" w:hAnsi="Times New Roman"/>
          <w:sz w:val="20"/>
        </w:rPr>
        <w:t xml:space="preserve">Waltham, Massachusetts </w:t>
      </w:r>
    </w:p>
    <w:p>
      <w:pPr>
        <w:pStyle w:val="TextBody"/>
        <w:spacing w:before="0" w:after="0"/>
        <w:jc w:val="left"/>
        <w:rPr>
          <w:rFonts w:ascii="Times New Roman" w:hAnsi="Times New Roman"/>
          <w:sz w:val="20"/>
        </w:rPr>
      </w:pPr>
      <w:r>
        <w:rPr>
          <w:rFonts w:ascii="Times New Roman" w:hAnsi="Times New Roman"/>
          <w:sz w:val="20"/>
        </w:rPr>
        <w:t xml:space="preserve">April [*], 2023 </w:t>
      </w:r>
    </w:p>
    <w:p>
      <w:pPr>
        <w:pStyle w:val="TextBody"/>
        <w:spacing w:before="240" w:after="0"/>
        <w:jc w:val="center"/>
        <w:rPr>
          <w:rFonts w:ascii="Times New Roman" w:hAnsi="Times New Roman"/>
          <w:b/>
          <w:sz w:val="20"/>
        </w:rPr>
      </w:pPr>
      <w:r>
        <w:rPr>
          <w:rFonts w:ascii="Times New Roman" w:hAnsi="Times New Roman"/>
          <w:b/>
          <w:sz w:val="20"/>
        </w:rPr>
        <w:t xml:space="preserve">A copy of the Companys Annual Report to the SEC on Form 10-K for the fiscal year ended December 31, 2022 is available without charge upon written request to: Corporate Secretary, Invivyd, Inc., 1601 Trapelo Road, Suite 178, Waltham, Massachusetts 02451. </w:t>
      </w:r>
    </w:p>
    <w:p>
      <w:pPr>
        <w:pStyle w:val="TextBody"/>
        <w:spacing w:before="240" w:after="0"/>
        <w:jc w:val="center"/>
        <w:rPr>
          <w:rFonts w:ascii="Times New Roman" w:hAnsi="Times New Roman"/>
          <w:i/>
          <w:sz w:val="20"/>
        </w:rPr>
      </w:pPr>
      <w:r>
        <w:rPr>
          <w:rFonts w:ascii="Times New Roman" w:hAnsi="Times New Roman"/>
          <w:i/>
          <w:sz w:val="20"/>
        </w:rPr>
        <w:t xml:space="preserve">If you have any questions or need assistance in voting your shares, please contact our proxy solicitor. </w:t>
      </w:r>
    </w:p>
    <w:p>
      <w:pPr>
        <w:pStyle w:val="TextBody"/>
        <w:spacing w:before="240" w:after="0"/>
        <w:jc w:val="center"/>
        <w:rPr>
          <w:rFonts w:ascii="Times New Roman" w:hAnsi="Times New Roman"/>
          <w:sz w:val="20"/>
        </w:rPr>
      </w:pPr>
      <w:r>
        <w:rPr>
          <w:rFonts w:ascii="Times New Roman" w:hAnsi="Times New Roman"/>
          <w:sz w:val="20"/>
        </w:rPr>
        <w:t xml:space="preserve">Georgeson LLC </w:t>
      </w:r>
    </w:p>
    <w:p>
      <w:pPr>
        <w:pStyle w:val="TextBody"/>
        <w:spacing w:before="0" w:after="0"/>
        <w:jc w:val="center"/>
        <w:rPr>
          <w:rFonts w:ascii="Times New Roman" w:hAnsi="Times New Roman"/>
          <w:sz w:val="20"/>
        </w:rPr>
      </w:pPr>
      <w:r>
        <w:rPr>
          <w:rFonts w:ascii="Times New Roman" w:hAnsi="Times New Roman"/>
          <w:sz w:val="20"/>
        </w:rPr>
        <w:t xml:space="preserve">1290 Avenue of the Americas, 9th Floor </w:t>
      </w:r>
    </w:p>
    <w:p>
      <w:pPr>
        <w:pStyle w:val="TextBody"/>
        <w:spacing w:before="0" w:after="0"/>
        <w:jc w:val="center"/>
        <w:rPr>
          <w:rFonts w:ascii="Times New Roman" w:hAnsi="Times New Roman"/>
          <w:sz w:val="20"/>
        </w:rPr>
      </w:pPr>
      <w:r>
        <w:rPr>
          <w:rFonts w:ascii="Times New Roman" w:hAnsi="Times New Roman"/>
          <w:sz w:val="20"/>
        </w:rPr>
        <w:t xml:space="preserve">New York, NY 10104 </w:t>
      </w:r>
    </w:p>
    <w:p>
      <w:pPr>
        <w:pStyle w:val="TextBody"/>
        <w:spacing w:before="0" w:after="0"/>
        <w:jc w:val="center"/>
        <w:rPr>
          <w:rFonts w:ascii="Times New Roman" w:hAnsi="Times New Roman"/>
          <w:sz w:val="20"/>
        </w:rPr>
      </w:pPr>
      <w:r>
        <w:rPr>
          <w:rFonts w:ascii="Times New Roman" w:hAnsi="Times New Roman"/>
          <w:sz w:val="20"/>
        </w:rPr>
        <w:t xml:space="preserve">Phone: 1-877-278-4774 (toll-free within the United States) or </w:t>
      </w:r>
    </w:p>
    <w:p>
      <w:pPr>
        <w:pStyle w:val="TextBody"/>
        <w:spacing w:before="0" w:after="0"/>
        <w:jc w:val="center"/>
        <w:rPr>
          <w:rFonts w:ascii="Times New Roman" w:hAnsi="Times New Roman"/>
          <w:sz w:val="20"/>
        </w:rPr>
      </w:pPr>
      <w:r>
        <w:rPr>
          <w:rFonts w:ascii="Times New Roman" w:hAnsi="Times New Roman"/>
          <w:sz w:val="20"/>
        </w:rPr>
        <w:t xml:space="preserve">1-781-575-2137 (outside of the United States)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1" w:name="tx419064_45"/>
      <w:bookmarkEnd w:id="51"/>
      <w:r>
        <w:rPr>
          <w:rFonts w:ascii="Times New Roman" w:hAnsi="Times New Roman"/>
          <w:b/>
          <w:sz w:val="20"/>
        </w:rPr>
        <w:t xml:space="preserve">APPENDIX A </w:t>
      </w:r>
    </w:p>
    <w:p>
      <w:pPr>
        <w:pStyle w:val="TextBody"/>
        <w:spacing w:before="120" w:after="0"/>
        <w:jc w:val="center"/>
        <w:rPr>
          <w:rFonts w:ascii="Times New Roman" w:hAnsi="Times New Roman"/>
          <w:sz w:val="20"/>
        </w:rPr>
      </w:pPr>
      <w:r>
        <w:rPr>
          <w:rFonts w:ascii="Times New Roman" w:hAnsi="Times New Roman"/>
          <w:sz w:val="20"/>
        </w:rPr>
        <w:t xml:space="preserve">Declassification Amendment </w:t>
      </w:r>
    </w:p>
    <w:p>
      <w:pPr>
        <w:pStyle w:val="TextBody"/>
        <w:spacing w:before="240" w:after="0"/>
        <w:jc w:val="left"/>
        <w:rPr>
          <w:rFonts w:ascii="Times New Roman" w:hAnsi="Times New Roman"/>
          <w:sz w:val="20"/>
        </w:rPr>
      </w:pPr>
      <w:r>
        <w:rPr>
          <w:rFonts w:ascii="Times New Roman" w:hAnsi="Times New Roman"/>
          <w:sz w:val="20"/>
        </w:rPr>
        <w:t xml:space="preserve">Proposed additions to the Certificate of Incorporation are in bold and underlined text and proposed deletions are in strikethrough text.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240" w:after="0"/>
        <w:jc w:val="left"/>
        <w:rPr>
          <w:rFonts w:ascii="Times New Roman" w:hAnsi="Times New Roman"/>
          <w:sz w:val="20"/>
        </w:rPr>
      </w:pPr>
      <w:r>
        <w:rPr>
          <w:rFonts w:ascii="Times New Roman" w:hAnsi="Times New Roman"/>
          <w:sz w:val="20"/>
        </w:rPr>
        <w:t xml:space="preserve">B. BOARD OF DIRECTORS. </w:t>
      </w:r>
    </w:p>
    <w:p>
      <w:pPr>
        <w:pStyle w:val="TextBody"/>
        <w:spacing w:before="240" w:after="0"/>
        <w:jc w:val="left"/>
        <w:rPr>
          <w:rFonts w:ascii="Times New Roman" w:hAnsi="Times New Roman"/>
          <w:sz w:val="20"/>
        </w:rPr>
      </w:pPr>
      <w:r>
        <w:rPr>
          <w:rFonts w:ascii="Times New Roman" w:hAnsi="Times New Roman"/>
          <w:sz w:val="20"/>
        </w:rPr>
        <w:t xml:space="preserve">2. Term. </w:t>
      </w:r>
      <w:r>
        <w:rPr>
          <w:rFonts w:ascii="Times New Roman" w:hAnsi="Times New Roman"/>
          <w:strike/>
          <w:sz w:val="20"/>
        </w:rPr>
        <w:t>Subject to the rights of the holders of any series of Preferred Stock to elect additional directors under specified circumstances, following the closing of the initial public offering pursuant to an effective registration statement under the Securities Act of 1933, as amended (the </w:t>
      </w:r>
      <w:r>
        <w:rPr>
          <w:rFonts w:ascii="Times New Roman" w:hAnsi="Times New Roman"/>
          <w:i/>
          <w:strike/>
          <w:sz w:val="20"/>
        </w:rPr>
        <w:t>Securities Act</w:t>
      </w:r>
      <w:r>
        <w:rPr>
          <w:rFonts w:ascii="Times New Roman" w:hAnsi="Times New Roman"/>
          <w:strike/>
          <w:sz w:val="20"/>
        </w:rPr>
        <w:t>), covering the offer and sale of securities to the public (the </w:t>
      </w:r>
      <w:r>
        <w:rPr>
          <w:rFonts w:ascii="Times New Roman" w:hAnsi="Times New Roman"/>
          <w:i/>
          <w:strike/>
          <w:sz w:val="20"/>
        </w:rPr>
        <w:t>Initial Public Offering</w:t>
      </w:r>
      <w:r>
        <w:rPr>
          <w:rFonts w:ascii="Times New Roman" w:hAnsi="Times New Roman"/>
          <w:strike/>
          <w:sz w:val="20"/>
        </w:rPr>
        <w:t>),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r>
        <w:rPr>
          <w:rFonts w:ascii="Times New Roman" w:hAnsi="Times New Roman"/>
          <w:sz w:val="20"/>
        </w:rPr>
        <w:t xml:space="preserve">. </w:t>
      </w:r>
      <w:r>
        <w:rPr>
          <w:rFonts w:ascii="Times New Roman" w:hAnsi="Times New Roman"/>
          <w:strike/>
          <w:sz w:val="20"/>
        </w:rPr>
        <w:t>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r>
        <w:rPr>
          <w:rFonts w:ascii="Times New Roman" w:hAnsi="Times New Roman"/>
          <w:sz w:val="20"/>
        </w:rPr>
        <w:t xml:space="preserve"> </w:t>
      </w:r>
      <w:r>
        <w:rPr>
          <w:rFonts w:ascii="Times New Roman" w:hAnsi="Times New Roman"/>
          <w:b/>
          <w:sz w:val="20"/>
          <w:u w:val="single"/>
        </w:rPr>
        <w:t>Commencing with the filing and effectiveness of this Certificate of Amendment to the Certificate of Incorporation, the Board shall be immediately declassified and all directors shall be elected at each annual meeting of stockholders for terms expiring at the next succeeding annual meeting of stockholders and until his or her successor is duly elected and qualified or until his or her earlier death, resignation or removal. The term of each director serving as of and immediately prior to the filing and effectiveness of this Certificate of Amendment to the Certificate of Incorporation shall expire at the 2024 annual meeting of stockholders, notwithstanding that such director may have been elected for a term extending beyond the 2024 annual meeting of stockholders</w:t>
      </w:r>
      <w:r>
        <w:rPr>
          <w:rFonts w:ascii="Times New Roman" w:hAnsi="Times New Roman"/>
          <w:sz w:val="20"/>
          <w:u w:val="single"/>
        </w:rPr>
        <w: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3. Removal.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trike/>
          <w:sz w:val="20"/>
        </w:rPr>
        <w:t xml:space="preserve">Subject to the rights of any series of Preferred Stock to elect additional directors under specified circumstances, following the closing of the Initial Public Offering, neither the Board nor any individual director may be removed without cause. </w:t>
      </w:r>
      <w:r>
        <w:rPr>
          <w:rFonts w:ascii="Times New Roman" w:hAnsi="Times New Roman"/>
          <w:b/>
          <w:sz w:val="20"/>
          <w:u w:val="single"/>
        </w:rPr>
        <w:t>[Reserved]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Subject to any limitation imposed by law </w:t>
      </w:r>
      <w:r>
        <w:rPr>
          <w:rFonts w:ascii="Times New Roman" w:hAnsi="Times New Roman"/>
          <w:b/>
          <w:sz w:val="20"/>
          <w:u w:val="single"/>
        </w:rPr>
        <w:t>and immediately upon the filing and effectiveness of this Certificate of Amendment to the Certificate of Incorporation</w:t>
      </w:r>
      <w:r>
        <w:rPr>
          <w:rFonts w:ascii="Times New Roman" w:hAnsi="Times New Roman"/>
          <w:sz w:val="20"/>
        </w:rPr>
        <w:t xml:space="preserve">, any individual director or directors may be removed with </w:t>
      </w:r>
      <w:r>
        <w:rPr>
          <w:rFonts w:ascii="Times New Roman" w:hAnsi="Times New Roman"/>
          <w:b/>
          <w:sz w:val="20"/>
          <w:u w:val="single"/>
        </w:rPr>
        <w:t>or without</w:t>
      </w:r>
      <w:r>
        <w:rPr>
          <w:rFonts w:ascii="Times New Roman" w:hAnsi="Times New Roman"/>
          <w:sz w:val="20"/>
        </w:rPr>
        <w:t xml:space="preserve"> cause by the affirmative vote of the holders of at least </w:t>
      </w:r>
      <w:r>
        <w:rPr>
          <w:rFonts w:ascii="Times New Roman" w:hAnsi="Times New Roman"/>
          <w:strike/>
          <w:sz w:val="20"/>
        </w:rPr>
        <w:t>sixty-six and two-thirds percent (66 2/3%)</w:t>
      </w:r>
      <w:r>
        <w:rPr>
          <w:rFonts w:ascii="Times New Roman" w:hAnsi="Times New Roman"/>
          <w:sz w:val="20"/>
          <w:u w:val="single"/>
        </w:rPr>
        <w:t> </w:t>
      </w:r>
      <w:r>
        <w:rPr>
          <w:rFonts w:ascii="Times New Roman" w:hAnsi="Times New Roman"/>
          <w:b/>
          <w:sz w:val="20"/>
          <w:u w:val="single"/>
        </w:rPr>
        <w:t>a majority</w:t>
      </w:r>
      <w:r>
        <w:rPr>
          <w:rFonts w:ascii="Times New Roman" w:hAnsi="Times New Roman"/>
          <w:sz w:val="20"/>
        </w:rPr>
        <w:t xml:space="preserve"> of the voting power of all then-outstanding shares of capital stock of the Company entitled to vote generally at an election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STATE OF DELAWARE </w:t>
      </w:r>
    </w:p>
    <w:p>
      <w:pPr>
        <w:pStyle w:val="TextBody"/>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spacing w:before="0" w:after="0"/>
        <w:jc w:val="center"/>
        <w:rPr>
          <w:rFonts w:ascii="Times New Roman" w:hAnsi="Times New Roman"/>
          <w:b/>
          <w:sz w:val="20"/>
        </w:rPr>
      </w:pPr>
      <w:r>
        <w:rPr>
          <w:rFonts w:ascii="Times New Roman" w:hAnsi="Times New Roman"/>
          <w:b/>
          <w:sz w:val="20"/>
        </w:rPr>
        <w:t xml:space="preserve">TO THE </w:t>
      </w:r>
    </w:p>
    <w:p>
      <w:pPr>
        <w:pStyle w:val="TextBody"/>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jc w:val="center"/>
        <w:rPr>
          <w:rFonts w:ascii="Times New Roman" w:hAnsi="Times New Roman"/>
          <w:b/>
          <w:sz w:val="20"/>
        </w:rPr>
      </w:pPr>
      <w:r>
        <w:rPr>
          <w:rFonts w:ascii="Times New Roman" w:hAnsi="Times New Roman"/>
          <w:b/>
          <w:sz w:val="20"/>
        </w:rPr>
        <w:t xml:space="preserve">INVIVYD, INC. </w:t>
      </w:r>
    </w:p>
    <w:p>
      <w:pPr>
        <w:pStyle w:val="TextBody"/>
        <w:spacing w:before="240" w:after="0"/>
        <w:jc w:val="left"/>
        <w:rPr>
          <w:rFonts w:ascii="Times New Roman" w:hAnsi="Times New Roman"/>
          <w:sz w:val="20"/>
        </w:rPr>
      </w:pPr>
      <w:r>
        <w:rPr>
          <w:rFonts w:ascii="Times New Roman" w:hAnsi="Times New Roman"/>
          <w:sz w:val="20"/>
        </w:rPr>
        <w:t>Invivyd, Inc., a corporation organized and existing under the laws of the State of Delaware (the </w:t>
      </w:r>
      <w:r>
        <w:rPr>
          <w:rFonts w:ascii="Times New Roman" w:hAnsi="Times New Roman"/>
          <w:sz w:val="20"/>
          <w:u w:val="single"/>
        </w:rPr>
        <w:t>Corporation</w:t>
      </w:r>
      <w:r>
        <w:rPr>
          <w:rFonts w:ascii="Times New Roman" w:hAnsi="Times New Roman"/>
          <w:sz w:val="20"/>
        </w:rPr>
        <w:t xml:space="preserve">), hereby certifies as follows: </w:t>
      </w:r>
    </w:p>
    <w:p>
      <w:pPr>
        <w:pStyle w:val="TextBody"/>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Article V, Section B, Subsections 2 and 3 of the Amended and Restated Certificate of Incorporation of the Corporation (as amended, the </w:t>
      </w:r>
      <w:r>
        <w:rPr>
          <w:rFonts w:ascii="Times New Roman" w:hAnsi="Times New Roman"/>
          <w:sz w:val="20"/>
          <w:u w:val="single"/>
        </w:rPr>
        <w:t>Certificate of Incorporation</w:t>
      </w:r>
      <w:r>
        <w:rPr>
          <w:rFonts w:ascii="Times New Roman" w:hAnsi="Times New Roman"/>
          <w:sz w:val="20"/>
        </w:rPr>
        <w:t xml:space="preserve">) are amended and restated to read as follows: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BOARD OF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Commencing with the filing and effectiveness of this Certificate of Amendment to the Certificate of Incorporation, the Board shall be immediately declassified and all directors shall be elected at each annual meeting of stockholders for terms expiring at the next succeeding annual meeting of stockholders and until his or her successor is duly elected and qualified or until his or her earlier death, resignation or removal. The term of each director serving as of and immediately prior to the filing and effectiveness of this Certificate of Amendment to the Certificate of Incorporation shall expire at the 2024 annual meeting of stockholders, notwithstanding that such director may have been elected for a term extending beyond the 2024 annual meeting of stockholders. </w:t>
      </w:r>
    </w:p>
    <w:p>
      <w:pPr>
        <w:pStyle w:val="TextBody"/>
        <w:spacing w:before="120" w:after="0"/>
        <w:jc w:val="left"/>
        <w:rPr>
          <w:rFonts w:ascii="Times New Roman" w:hAnsi="Times New Roman"/>
          <w:b/>
          <w:sz w:val="20"/>
        </w:rPr>
      </w:pPr>
      <w:r>
        <w:rPr>
          <w:rFonts w:ascii="Times New Roman" w:hAnsi="Times New Roman"/>
          <w:b/>
          <w:sz w:val="20"/>
        </w:rPr>
        <w:t xml:space="preserve">3. Removal. </w:t>
      </w:r>
    </w:p>
    <w:p>
      <w:pPr>
        <w:pStyle w:val="TextBody"/>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[Reserved] </w:t>
      </w:r>
    </w:p>
    <w:p>
      <w:pPr>
        <w:pStyle w:val="TextBody"/>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Subject to any limitation imposed by law and immediately upon the filing and effectiveness of this Certificate of Amendment to the Certificate of Incorporation, any individual director or directors may be removed with or without cause by the affirmative vote of the holders of at least a majority of the voting power of all then-outstanding shares of capital stock of the Company entitled to vote generally at an election of directors. </w:t>
      </w:r>
    </w:p>
    <w:p>
      <w:pPr>
        <w:pStyle w:val="TextBody"/>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This Certificate of Amendment to the Certificate of Incorporation has been duly adopted in accordance with the provisions of Section 242 of the Delaware General Corporation Law. </w:t>
      </w:r>
    </w:p>
    <w:p>
      <w:pPr>
        <w:pStyle w:val="TextBody"/>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That except as amended hereby, the provisions of the Certificate of Incorporation shall remain in full force and effect. </w:t>
      </w:r>
    </w:p>
    <w:p>
      <w:pPr>
        <w:pStyle w:val="TextBody"/>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This Certificate of Amendment to the Certificate of Incorporation shall be effective upon filing with the Secretary of State of the State of Delaware. </w:t>
      </w:r>
    </w:p>
    <w:p>
      <w:pPr>
        <w:pStyle w:val="TextBody"/>
        <w:spacing w:before="240" w:after="0"/>
        <w:jc w:val="center"/>
        <w:rPr>
          <w:rFonts w:ascii="Times New Roman" w:hAnsi="Times New Roman"/>
          <w:sz w:val="20"/>
        </w:rPr>
      </w:pPr>
      <w:r>
        <w:rPr>
          <w:rFonts w:ascii="Times New Roman" w:hAnsi="Times New Roman"/>
          <w:sz w:val="20"/>
        </w:rPr>
        <w:t xml:space="preserve">*        *        *         *        * </w:t>
      </w:r>
    </w:p>
    <w:p>
      <w:pPr>
        <w:pStyle w:val="TextBody"/>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has caused this Certificate of Amendment to the Amended and Restated Certificate of Incorporation, as amended, to be signed by a duly authorized officer of the Corporation this __ day of ______,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056"/>
        <w:gridCol w:w="100"/>
        <w:gridCol w:w="2926"/>
      </w:tblGrid>
      <w:tr>
        <w:trPr/>
        <w:tc>
          <w:tcPr>
            <w:tcW w:w="105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92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INVIVYD, INC.</w:t>
            </w:r>
          </w:p>
        </w:tc>
      </w:tr>
      <w:tr>
        <w:trPr>
          <w:trHeight w:val="240" w:hRule="atLeast"/>
        </w:trPr>
        <w:tc>
          <w:tcPr>
            <w:tcW w:w="1056" w:type="dxa"/>
            <w:tcBorders/>
            <w:shd w:fill="auto" w:val="clear"/>
            <w:vAlign w:val="center"/>
          </w:tcPr>
          <w:p>
            <w:pPr>
              <w:pStyle w:val="TableContents"/>
              <w:spacing w:before="0" w:after="283"/>
              <w:rPr>
                <w:sz w:val="4"/>
                <w:szCs w:val="4"/>
              </w:rPr>
            </w:pPr>
            <w:r>
              <w:rPr>
                <w:sz w:val="4"/>
                <w:szCs w:val="4"/>
              </w:rPr>
            </w:r>
          </w:p>
        </w:tc>
        <w:tc>
          <w:tcPr>
            <w:tcW w:w="3026" w:type="dxa"/>
            <w:gridSpan w:val="2"/>
            <w:tcBorders/>
            <w:shd w:fill="auto" w:val="clear"/>
            <w:vAlign w:val="center"/>
          </w:tcPr>
          <w:p>
            <w:pPr>
              <w:pStyle w:val="TableContents"/>
              <w:spacing w:before="0" w:after="283"/>
              <w:rPr>
                <w:sz w:val="4"/>
                <w:szCs w:val="4"/>
              </w:rPr>
            </w:pPr>
            <w:r>
              <w:rPr>
                <w:sz w:val="4"/>
                <w:szCs w:val="4"/>
              </w:rPr>
            </w:r>
          </w:p>
        </w:tc>
      </w:tr>
      <w:tr>
        <w:trPr/>
        <w:tc>
          <w:tcPr>
            <w:tcW w:w="1056" w:type="dxa"/>
            <w:tcBorders/>
            <w:shd w:fill="auto" w:val="clear"/>
          </w:tcPr>
          <w:p>
            <w:pPr>
              <w:pStyle w:val="TableContents"/>
              <w:spacing w:before="0" w:after="283"/>
              <w:rPr/>
            </w:pPr>
            <w:r>
              <w:rPr/>
              <w:t>By:</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2926" w:type="dxa"/>
            <w:tcBorders>
              <w:bottom w:val="single" w:sz="2" w:space="0" w:color="000000"/>
            </w:tcBorders>
            <w:shd w:fill="auto" w:val="clear"/>
            <w:tcMar>
              <w:bottom w:w="28" w:type="dxa"/>
            </w:tcMar>
          </w:tcPr>
          <w:p>
            <w:pPr>
              <w:pStyle w:val="TableContents"/>
              <w:spacing w:before="0" w:after="283"/>
              <w:rPr/>
            </w:pPr>
            <w:r>
              <w:rPr/>
              <w:t> </w:t>
            </w:r>
          </w:p>
        </w:tc>
      </w:tr>
      <w:tr>
        <w:trPr/>
        <w:tc>
          <w:tcPr>
            <w:tcW w:w="1056" w:type="dxa"/>
            <w:tcBorders/>
            <w:shd w:fill="auto" w:val="clear"/>
          </w:tcPr>
          <w:p>
            <w:pPr>
              <w:pStyle w:val="TableContents"/>
              <w:spacing w:before="0" w:after="283"/>
              <w:rPr/>
            </w:pPr>
            <w:r>
              <w:rPr/>
              <w:t>Name:</w:t>
            </w:r>
          </w:p>
        </w:tc>
        <w:tc>
          <w:tcPr>
            <w:tcW w:w="100" w:type="dxa"/>
            <w:tcBorders/>
            <w:shd w:fill="auto" w:val="clear"/>
            <w:vAlign w:val="bottom"/>
          </w:tcPr>
          <w:p>
            <w:pPr>
              <w:pStyle w:val="TableContents"/>
              <w:spacing w:before="0" w:after="283"/>
              <w:rPr/>
            </w:pPr>
            <w:r>
              <w:rPr/>
              <w:t> </w:t>
            </w:r>
          </w:p>
        </w:tc>
        <w:tc>
          <w:tcPr>
            <w:tcW w:w="2926" w:type="dxa"/>
            <w:tcBorders/>
            <w:shd w:fill="auto" w:val="clear"/>
          </w:tcPr>
          <w:p>
            <w:pPr>
              <w:pStyle w:val="TableContents"/>
              <w:spacing w:before="0" w:after="283"/>
              <w:rPr>
                <w:sz w:val="4"/>
                <w:szCs w:val="4"/>
              </w:rPr>
            </w:pPr>
            <w:r>
              <w:rPr>
                <w:sz w:val="4"/>
                <w:szCs w:val="4"/>
              </w:rPr>
            </w:r>
          </w:p>
        </w:tc>
      </w:tr>
      <w:tr>
        <w:trPr/>
        <w:tc>
          <w:tcPr>
            <w:tcW w:w="1056" w:type="dxa"/>
            <w:tcBorders/>
            <w:shd w:fill="auto" w:val="clear"/>
          </w:tcPr>
          <w:p>
            <w:pPr>
              <w:pStyle w:val="TableContents"/>
              <w:spacing w:before="0" w:after="283"/>
              <w:rPr/>
            </w:pPr>
            <w:r>
              <w:rPr/>
              <w:t>Title:</w:t>
            </w:r>
          </w:p>
        </w:tc>
        <w:tc>
          <w:tcPr>
            <w:tcW w:w="100" w:type="dxa"/>
            <w:tcBorders/>
            <w:shd w:fill="auto" w:val="clear"/>
            <w:vAlign w:val="bottom"/>
          </w:tcPr>
          <w:p>
            <w:pPr>
              <w:pStyle w:val="TableContents"/>
              <w:spacing w:before="0" w:after="283"/>
              <w:rPr/>
            </w:pPr>
            <w:r>
              <w:rPr/>
              <w:t> </w:t>
            </w:r>
          </w:p>
        </w:tc>
        <w:tc>
          <w:tcPr>
            <w:tcW w:w="2926"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700" w:type="pct"/>
        <w:jc w:val="center"/>
        <w:tblInd w:w="0" w:type="dxa"/>
        <w:tblCellMar>
          <w:top w:w="0" w:type="dxa"/>
          <w:left w:w="0" w:type="dxa"/>
          <w:bottom w:w="0" w:type="dxa"/>
          <w:right w:w="0" w:type="dxa"/>
        </w:tblCellMar>
      </w:tblPr>
      <w:tblGrid>
        <w:gridCol w:w="4326"/>
        <w:gridCol w:w="120"/>
        <w:gridCol w:w="5146"/>
      </w:tblGrid>
      <w:tr>
        <w:trPr/>
        <w:tc>
          <w:tcPr>
            <w:tcW w:w="43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146" w:type="dxa"/>
            <w:tcBorders/>
            <w:shd w:fill="auto" w:val="clear"/>
            <w:vAlign w:val="center"/>
          </w:tcPr>
          <w:p>
            <w:pPr>
              <w:pStyle w:val="TableContents"/>
              <w:spacing w:before="0" w:after="283"/>
              <w:rPr>
                <w:sz w:val="4"/>
                <w:szCs w:val="4"/>
              </w:rPr>
            </w:pPr>
            <w:r>
              <w:rPr>
                <w:sz w:val="4"/>
                <w:szCs w:val="4"/>
              </w:rPr>
            </w:r>
          </w:p>
        </w:tc>
      </w:tr>
      <w:tr>
        <w:trPr/>
        <w:tc>
          <w:tcPr>
            <w:tcW w:w="4326"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146" w:type="dxa"/>
            <w:tcBorders/>
            <w:shd w:fill="auto" w:val="clear"/>
          </w:tcPr>
          <w:p>
            <w:pPr>
              <w:pStyle w:val="TableContents"/>
              <w:spacing w:before="0" w:after="0"/>
              <w:jc w:val="both"/>
              <w:rPr/>
            </w:pPr>
            <w:r>
              <w:rPr/>
              <w:t xml:space="preserve">     </w:t>
            </w:r>
            <w:r>
              <w:rPr/>
              <w:drawing>
                <wp:inline distT="0" distB="0" distL="0" distR="0">
                  <wp:extent cx="2428875" cy="628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428875" cy="628650"/>
                          </a:xfrm>
                          <a:prstGeom prst="rect">
                            <a:avLst/>
                          </a:prstGeom>
                        </pic:spPr>
                      </pic:pic>
                    </a:graphicData>
                  </a:graphic>
                </wp:inline>
              </w:drawing>
            </w:r>
            <w:r>
              <w:rPr/>
              <w:t xml:space="preserve"> </w:t>
            </w:r>
          </w:p>
        </w:tc>
      </w:tr>
      <w:tr>
        <w:trPr>
          <w:trHeight w:val="120" w:hRule="atLeast"/>
        </w:trPr>
        <w:tc>
          <w:tcPr>
            <w:tcW w:w="4326" w:type="dxa"/>
            <w:tcBorders/>
            <w:shd w:fill="auto" w:val="clear"/>
            <w:vAlign w:val="center"/>
          </w:tcPr>
          <w:p>
            <w:pPr>
              <w:pStyle w:val="TableContents"/>
              <w:spacing w:before="0" w:after="283"/>
              <w:rPr>
                <w:sz w:val="4"/>
                <w:szCs w:val="4"/>
              </w:rPr>
            </w:pPr>
            <w:r>
              <w:rPr>
                <w:sz w:val="4"/>
                <w:szCs w:val="4"/>
              </w:rPr>
            </w:r>
          </w:p>
        </w:tc>
        <w:tc>
          <w:tcPr>
            <w:tcW w:w="5266" w:type="dxa"/>
            <w:gridSpan w:val="2"/>
            <w:tcBorders/>
            <w:shd w:fill="auto" w:val="clear"/>
            <w:vAlign w:val="center"/>
          </w:tcPr>
          <w:p>
            <w:pPr>
              <w:pStyle w:val="TableContents"/>
              <w:spacing w:before="0" w:after="283"/>
              <w:rPr>
                <w:sz w:val="4"/>
                <w:szCs w:val="4"/>
              </w:rPr>
            </w:pPr>
            <w:r>
              <w:rPr>
                <w:sz w:val="4"/>
                <w:szCs w:val="4"/>
              </w:rPr>
            </w:r>
          </w:p>
        </w:tc>
      </w:tr>
      <w:tr>
        <w:trPr/>
        <w:tc>
          <w:tcPr>
            <w:tcW w:w="4326" w:type="dxa"/>
            <w:tcBorders/>
            <w:shd w:fill="auto" w:val="clear"/>
          </w:tcPr>
          <w:p>
            <w:pPr>
              <w:pStyle w:val="TableContents"/>
              <w:spacing w:before="0" w:after="0"/>
              <w:jc w:val="both"/>
              <w:rPr>
                <w:rFonts w:ascii="ARIAL" w:hAnsi="ARIAL"/>
                <w:i/>
                <w:sz w:val="12"/>
              </w:rPr>
            </w:pPr>
            <w:r>
              <w:rPr>
                <w:rFonts w:ascii="ARIAL" w:hAnsi="ARIAL"/>
                <w:i/>
                <w:sz w:val="12"/>
              </w:rPr>
              <w:t>INVIVYD, INC.</w:t>
            </w:r>
          </w:p>
          <w:p>
            <w:pPr>
              <w:pStyle w:val="TableContents"/>
              <w:spacing w:before="0" w:after="0"/>
              <w:jc w:val="both"/>
              <w:rPr>
                <w:rFonts w:ascii="ARIAL" w:hAnsi="ARIAL"/>
                <w:i/>
                <w:sz w:val="12"/>
              </w:rPr>
            </w:pPr>
            <w:r>
              <w:rPr>
                <w:rFonts w:ascii="ARIAL" w:hAnsi="ARIAL"/>
                <w:i/>
                <w:sz w:val="12"/>
              </w:rPr>
              <w:t>1601 TRAPELO ROAD, SUITE 178</w:t>
            </w:r>
          </w:p>
          <w:p>
            <w:pPr>
              <w:pStyle w:val="TableContents"/>
              <w:spacing w:before="0" w:after="20"/>
              <w:jc w:val="both"/>
              <w:rPr>
                <w:rFonts w:ascii="ARIAL" w:hAnsi="ARIAL"/>
                <w:i/>
                <w:sz w:val="12"/>
              </w:rPr>
            </w:pPr>
            <w:r>
              <w:rPr>
                <w:rFonts w:ascii="ARIAL" w:hAnsi="ARIAL"/>
                <w:i/>
                <w:sz w:val="12"/>
              </w:rPr>
              <w:t>WALTHAM, MA 02451</w:t>
            </w:r>
          </w:p>
        </w:tc>
        <w:tc>
          <w:tcPr>
            <w:tcW w:w="120" w:type="dxa"/>
            <w:tcBorders/>
            <w:shd w:fill="auto" w:val="clear"/>
            <w:vAlign w:val="bottom"/>
          </w:tcPr>
          <w:p>
            <w:pPr>
              <w:pStyle w:val="TableContents"/>
              <w:spacing w:before="0" w:after="283"/>
              <w:rPr/>
            </w:pPr>
            <w:r>
              <w:rPr/>
              <w:t>  </w:t>
            </w:r>
          </w:p>
        </w:tc>
        <w:tc>
          <w:tcPr>
            <w:tcW w:w="5146" w:type="dxa"/>
            <w:tcBorders/>
            <w:shd w:fill="auto" w:val="clear"/>
          </w:tcPr>
          <w:p>
            <w:pPr>
              <w:pStyle w:val="TableContents"/>
              <w:spacing w:before="0" w:after="0"/>
              <w:jc w:val="both"/>
              <w:rPr>
                <w:rFonts w:ascii="ARIAL" w:hAnsi="ARIAL"/>
                <w:b/>
                <w:sz w:val="12"/>
              </w:rPr>
            </w:pPr>
            <w:r>
              <w:rPr>
                <w:rFonts w:ascii="ARIAL" w:hAnsi="ARIAL"/>
                <w:b/>
                <w:sz w:val="12"/>
              </w:rPr>
              <w:t>VOTE BY INTERNET</w:t>
            </w:r>
          </w:p>
          <w:p>
            <w:pPr>
              <w:pStyle w:val="TableContents"/>
              <w:spacing w:before="0" w:after="0"/>
              <w:jc w:val="both"/>
              <w:rPr>
                <w:rFonts w:ascii="ARIAL" w:hAnsi="ARIAL"/>
                <w:sz w:val="12"/>
              </w:rPr>
            </w:pPr>
            <w:r>
              <w:rPr>
                <w:rFonts w:ascii="ARIAL" w:hAnsi="ARIAL"/>
                <w:i/>
                <w:sz w:val="12"/>
              </w:rPr>
              <w:t xml:space="preserve">Before The Meeting </w:t>
            </w:r>
            <w:r>
              <w:rPr>
                <w:rFonts w:ascii="ARIAL" w:hAnsi="ARIAL"/>
                <w:sz w:val="12"/>
              </w:rPr>
              <w:t xml:space="preserve">- Go to </w:t>
            </w:r>
            <w:r>
              <w:rPr>
                <w:rFonts w:ascii="ARIAL" w:hAnsi="ARIAL"/>
                <w:b/>
                <w:sz w:val="12"/>
                <w:u w:val="single"/>
              </w:rPr>
              <w:t>www.proxyvote.com</w:t>
            </w:r>
            <w:r>
              <w:rPr>
                <w:rFonts w:ascii="ARIAL" w:hAnsi="ARIAL"/>
                <w:b/>
                <w:sz w:val="12"/>
              </w:rPr>
              <w:t xml:space="preserve"> or scan the QR Barcode above </w:t>
            </w:r>
          </w:p>
          <w:p>
            <w:pPr>
              <w:pStyle w:val="TableContents"/>
              <w:spacing w:before="0" w:after="0"/>
              <w:jc w:val="left"/>
              <w:rPr/>
            </w:pPr>
            <w:r>
              <w:rPr/>
              <w:t> </w:t>
            </w:r>
          </w:p>
          <w:p>
            <w:pPr>
              <w:pStyle w:val="TableContents"/>
              <w:spacing w:before="80" w:after="0"/>
              <w:jc w:val="both"/>
              <w:rPr>
                <w:rFonts w:ascii="ARIAL" w:hAnsi="ARIAL"/>
                <w:sz w:val="12"/>
              </w:rPr>
            </w:pPr>
            <w:r>
              <w:rPr>
                <w:rFonts w:ascii="ARIAL" w:hAnsi="ARIAL"/>
                <w:sz w:val="12"/>
              </w:rPr>
              <w:t>Use the Internet to transmit your voting instructions and for electronic delivery of information up until 11:59 p.m. Eastern Time on May 22, 2023. Have your proxy card in hand when you access the web site and follow the instructions to obtain your records and to create an electronic voting instruction form.</w:t>
            </w:r>
          </w:p>
          <w:p>
            <w:pPr>
              <w:pStyle w:val="TableContents"/>
              <w:spacing w:before="0" w:after="0"/>
              <w:jc w:val="left"/>
              <w:rPr/>
            </w:pPr>
            <w:r>
              <w:rPr/>
              <w:t> </w:t>
            </w:r>
          </w:p>
          <w:p>
            <w:pPr>
              <w:pStyle w:val="TableContents"/>
              <w:spacing w:before="80" w:after="0"/>
              <w:jc w:val="both"/>
              <w:rPr>
                <w:rFonts w:ascii="ARIAL" w:hAnsi="ARIAL"/>
                <w:sz w:val="12"/>
              </w:rPr>
            </w:pPr>
            <w:r>
              <w:rPr>
                <w:rFonts w:ascii="ARIAL" w:hAnsi="ARIAL"/>
                <w:i/>
                <w:sz w:val="12"/>
              </w:rPr>
              <w:t xml:space="preserve">During The Meeting </w:t>
            </w:r>
            <w:r>
              <w:rPr>
                <w:rFonts w:ascii="ARIAL" w:hAnsi="ARIAL"/>
                <w:sz w:val="12"/>
              </w:rPr>
              <w:t xml:space="preserve">- Go to </w:t>
            </w:r>
            <w:r>
              <w:rPr>
                <w:rFonts w:ascii="ARIAL" w:hAnsi="ARIAL"/>
                <w:b/>
                <w:sz w:val="12"/>
                <w:u w:val="single"/>
              </w:rPr>
              <w:t xml:space="preserve">www.virtualshareholdermeeting.com/IVVD2023 </w:t>
            </w:r>
          </w:p>
          <w:p>
            <w:pPr>
              <w:pStyle w:val="TableContents"/>
              <w:spacing w:before="0" w:after="0"/>
              <w:jc w:val="left"/>
              <w:rPr/>
            </w:pPr>
            <w:r>
              <w:rPr/>
              <w:t> </w:t>
            </w:r>
          </w:p>
          <w:p>
            <w:pPr>
              <w:pStyle w:val="TableContents"/>
              <w:spacing w:before="80" w:after="0"/>
              <w:jc w:val="both"/>
              <w:rPr>
                <w:rFonts w:ascii="ARIAL" w:hAnsi="ARIAL"/>
                <w:sz w:val="12"/>
              </w:rPr>
            </w:pPr>
            <w:r>
              <w:rPr>
                <w:rFonts w:ascii="ARIAL" w:hAnsi="ARIAL"/>
                <w:sz w:val="12"/>
              </w:rPr>
              <w:t>You may attend the meeting via the Internet and vote during the meeting. Have the information</w:t>
            </w:r>
          </w:p>
          <w:p>
            <w:pPr>
              <w:pStyle w:val="TableContents"/>
              <w:spacing w:before="0" w:after="0"/>
              <w:jc w:val="both"/>
              <w:rPr>
                <w:rFonts w:ascii="ARIAL" w:hAnsi="ARIAL"/>
                <w:sz w:val="12"/>
              </w:rPr>
            </w:pPr>
            <w:r>
              <w:rPr>
                <w:rFonts w:ascii="ARIAL" w:hAnsi="ARIAL"/>
                <w:sz w:val="12"/>
              </w:rPr>
              <w:t>that is printed in the box marked by the arrow available and follow the instructions.</w:t>
            </w:r>
          </w:p>
          <w:p>
            <w:pPr>
              <w:pStyle w:val="TableContents"/>
              <w:spacing w:before="0" w:after="0"/>
              <w:jc w:val="left"/>
              <w:rPr/>
            </w:pPr>
            <w:r>
              <w:rPr/>
              <w:t> </w:t>
            </w:r>
          </w:p>
          <w:p>
            <w:pPr>
              <w:pStyle w:val="TableContents"/>
              <w:spacing w:before="80" w:after="0"/>
              <w:jc w:val="both"/>
              <w:rPr>
                <w:rFonts w:ascii="ARIAL" w:hAnsi="ARIAL"/>
                <w:b/>
                <w:sz w:val="12"/>
              </w:rPr>
            </w:pPr>
            <w:r>
              <w:rPr>
                <w:rFonts w:ascii="ARIAL" w:hAnsi="ARIAL"/>
                <w:b/>
                <w:sz w:val="12"/>
              </w:rPr>
              <w:t>VOTE BY PHONE - 1-800-690-6903</w:t>
            </w:r>
          </w:p>
          <w:p>
            <w:pPr>
              <w:pStyle w:val="TableContents"/>
              <w:spacing w:before="0" w:after="0"/>
              <w:jc w:val="both"/>
              <w:rPr>
                <w:rFonts w:ascii="ARIAL" w:hAnsi="ARIAL"/>
                <w:sz w:val="12"/>
              </w:rPr>
            </w:pPr>
            <w:r>
              <w:rPr>
                <w:rFonts w:ascii="ARIAL" w:hAnsi="ARIAL"/>
                <w:sz w:val="12"/>
              </w:rPr>
              <w:t>Use any touch-tone telephone to transmit your voting instructions up until 11:59 p.m. Eastern Time on May 22, 2023. Have your proxy card in hand when you call and then follow the instructions.</w:t>
            </w:r>
          </w:p>
          <w:p>
            <w:pPr>
              <w:pStyle w:val="TableContents"/>
              <w:spacing w:before="0" w:after="0"/>
              <w:jc w:val="left"/>
              <w:rPr/>
            </w:pPr>
            <w:r>
              <w:rPr/>
              <w:t> </w:t>
            </w:r>
          </w:p>
          <w:p>
            <w:pPr>
              <w:pStyle w:val="TableContents"/>
              <w:spacing w:before="80" w:after="0"/>
              <w:jc w:val="both"/>
              <w:rPr>
                <w:rFonts w:ascii="ARIAL" w:hAnsi="ARIAL"/>
                <w:b/>
                <w:sz w:val="12"/>
              </w:rPr>
            </w:pPr>
            <w:r>
              <w:rPr>
                <w:rFonts w:ascii="ARIAL" w:hAnsi="ARIAL"/>
                <w:b/>
                <w:sz w:val="12"/>
              </w:rPr>
              <w:t>VOTE BY MAIL</w:t>
            </w:r>
          </w:p>
          <w:p>
            <w:pPr>
              <w:pStyle w:val="TableContents"/>
              <w:spacing w:before="0" w:after="0"/>
              <w:jc w:val="both"/>
              <w:rPr>
                <w:rFonts w:ascii="ARIAL" w:hAnsi="ARIAL"/>
                <w:sz w:val="12"/>
              </w:rPr>
            </w:pPr>
            <w:r>
              <w:rPr>
                <w:rFonts w:ascii="ARIAL" w:hAnsi="ARIAL"/>
                <w:sz w:val="12"/>
              </w:rPr>
              <w:t>Mark, sign and date your proxy card and return it in the postage-paid envelope we have provided or return it to Vote Processing, c/o Broadridge, 51 Mercedes Way,</w:t>
            </w:r>
          </w:p>
          <w:p>
            <w:pPr>
              <w:pStyle w:val="TableContents"/>
              <w:spacing w:before="0" w:after="20"/>
              <w:jc w:val="both"/>
              <w:rPr>
                <w:rFonts w:ascii="ARIAL" w:hAnsi="ARIAL"/>
                <w:sz w:val="12"/>
              </w:rPr>
            </w:pPr>
            <w:r>
              <w:rPr>
                <w:rFonts w:ascii="ARIAL" w:hAnsi="ARIAL"/>
                <w:sz w:val="12"/>
              </w:rPr>
              <w:t>Edgewood, NY 11717.</w:t>
            </w:r>
          </w:p>
        </w:tc>
      </w:tr>
    </w:tbl>
    <w:p>
      <w:pPr>
        <w:pStyle w:val="TextBody"/>
        <w:spacing w:before="2400" w:after="0"/>
        <w:jc w:val="left"/>
        <w:rPr>
          <w:rFonts w:ascii="ARIAL" w:hAnsi="ARIAL"/>
          <w:sz w:val="14"/>
        </w:rPr>
      </w:pPr>
      <w:r>
        <w:rPr>
          <w:rFonts w:ascii="ARIAL" w:hAnsi="ARIAL"/>
          <w:sz w:val="14"/>
        </w:rPr>
        <w:t xml:space="preserve">TO VOTE, MARK BLOCKS BELOW IN BLUE OR BLACK INK AS FOLLOWS: </w:t>
      </w:r>
    </w:p>
    <w:p>
      <w:pPr>
        <w:pStyle w:val="TextBody"/>
        <w:spacing w:before="40" w:after="0"/>
        <w:jc w:val="right"/>
        <w:rPr>
          <w:rFonts w:ascii="ARIAL" w:hAnsi="ARIAL"/>
          <w:sz w:val="14"/>
        </w:rPr>
      </w:pPr>
      <w:r>
        <w:rPr>
          <w:rFonts w:ascii="ARIAL" w:hAnsi="ARIAL"/>
          <w:sz w:val="14"/>
        </w:rPr>
        <w:t xml:space="preserve">V07259-P87524                         KEEP THIS PORTION FOR YOUR RECORDS </w:t>
      </w:r>
    </w:p>
    <w:p>
      <w:pPr>
        <w:pStyle w:val="TextBody"/>
        <w:spacing w:before="0" w:after="0"/>
        <w:jc w:val="both"/>
        <w:rPr>
          <w:rFonts w:ascii="ARIAL" w:hAnsi="ARIAL"/>
          <w:sz w:val="12"/>
        </w:rPr>
      </w:pPr>
      <w:r>
        <w:rPr>
          <w:rFonts w:ascii="ARIAL" w:hAnsi="ARIAL"/>
          <w:sz w:val="12"/>
        </w:rPr>
        <w:t xml:space="preserve">                                                                                     </w:t>
      </w:r>
    </w:p>
    <w:p>
      <w:pPr>
        <w:pStyle w:val="TextBody"/>
        <w:spacing w:before="0" w:after="0"/>
        <w:jc w:val="right"/>
        <w:rPr>
          <w:rFonts w:ascii="ARIAL" w:hAnsi="ARIAL"/>
          <w:sz w:val="14"/>
        </w:rPr>
      </w:pPr>
      <w:r>
        <w:rPr>
          <w:rFonts w:ascii="ARIAL" w:hAnsi="ARIAL"/>
          <w:sz w:val="14"/>
        </w:rPr>
        <w:t xml:space="preserve">DETACH AND RETURN THIS PORTION ONLY </w:t>
      </w:r>
    </w:p>
    <w:p>
      <w:pPr>
        <w:pStyle w:val="TextBody"/>
        <w:spacing w:before="0" w:after="0"/>
        <w:jc w:val="center"/>
        <w:rPr>
          <w:rFonts w:ascii="ARIAL" w:hAnsi="ARIAL"/>
          <w:b/>
          <w:sz w:val="16"/>
        </w:rPr>
      </w:pPr>
      <w:r>
        <w:rPr>
          <w:rFonts w:ascii="ARIAL" w:hAnsi="ARIAL"/>
          <w:b/>
          <w:sz w:val="16"/>
        </w:rPr>
        <w:t xml:space="preserve">THIS PROXY CARD IS VALID ONLY WHEN SIGNED AND DATED. </w:t>
      </w:r>
    </w:p>
    <w:p>
      <w:pPr>
        <w:pStyle w:val="TextBody"/>
        <w:spacing w:before="0" w:after="0"/>
        <w:jc w:val="left"/>
        <w:rPr/>
      </w:pPr>
      <w:r>
        <w:rPr/>
        <w:t> </w:t>
      </w:r>
    </w:p>
    <w:tbl>
      <w:tblPr>
        <w:tblW w:w="4800" w:type="pct"/>
        <w:jc w:val="center"/>
        <w:tblInd w:w="0" w:type="dxa"/>
        <w:tblCellMar>
          <w:top w:w="0" w:type="dxa"/>
          <w:left w:w="0" w:type="dxa"/>
          <w:bottom w:w="0" w:type="dxa"/>
          <w:right w:w="0" w:type="dxa"/>
        </w:tblCellMar>
      </w:tblPr>
      <w:tblGrid>
        <w:gridCol w:w="148"/>
        <w:gridCol w:w="97"/>
        <w:gridCol w:w="604"/>
        <w:gridCol w:w="67"/>
        <w:gridCol w:w="970"/>
        <w:gridCol w:w="67"/>
        <w:gridCol w:w="240"/>
        <w:gridCol w:w="67"/>
        <w:gridCol w:w="398"/>
        <w:gridCol w:w="67"/>
        <w:gridCol w:w="827"/>
        <w:gridCol w:w="125"/>
        <w:gridCol w:w="830"/>
        <w:gridCol w:w="67"/>
        <w:gridCol w:w="42"/>
        <w:gridCol w:w="67"/>
        <w:gridCol w:w="2265"/>
        <w:gridCol w:w="67"/>
        <w:gridCol w:w="344"/>
        <w:gridCol w:w="125"/>
        <w:gridCol w:w="398"/>
        <w:gridCol w:w="125"/>
        <w:gridCol w:w="817"/>
        <w:gridCol w:w="125"/>
        <w:gridCol w:w="847"/>
      </w:tblGrid>
      <w:tr>
        <w:trPr/>
        <w:tc>
          <w:tcPr>
            <w:tcW w:w="14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r>
      <w:tr>
        <w:trPr/>
        <w:tc>
          <w:tcPr>
            <w:tcW w:w="849" w:type="dxa"/>
            <w:gridSpan w:val="3"/>
            <w:tcBorders/>
            <w:shd w:fill="auto" w:val="clear"/>
          </w:tcPr>
          <w:p>
            <w:pPr>
              <w:pStyle w:val="TableContents"/>
              <w:spacing w:before="0" w:after="0"/>
              <w:jc w:val="both"/>
              <w:rPr>
                <w:rFonts w:ascii="ARIAL" w:hAnsi="ARIAL"/>
                <w:b/>
                <w:sz w:val="14"/>
              </w:rPr>
            </w:pPr>
            <w:r>
              <w:rPr>
                <w:rFonts w:ascii="ARIAL" w:hAnsi="ARIAL"/>
                <w:b/>
                <w:sz w:val="14"/>
              </w:rPr>
              <w:t>INVIVYD, INC.</w:t>
            </w:r>
          </w:p>
        </w:tc>
        <w:tc>
          <w:tcPr>
            <w:tcW w:w="67" w:type="dxa"/>
            <w:tcBorders/>
            <w:shd w:fill="auto" w:val="clear"/>
            <w:vAlign w:val="bottom"/>
          </w:tcPr>
          <w:p>
            <w:pPr>
              <w:pStyle w:val="TableContents"/>
              <w:spacing w:before="0" w:after="283"/>
              <w:rPr/>
            </w:pPr>
            <w:r>
              <w:rPr/>
              <w:t> </w:t>
            </w:r>
          </w:p>
        </w:tc>
        <w:tc>
          <w:tcPr>
            <w:tcW w:w="97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rHeight w:val="195" w:hRule="atLeast"/>
        </w:trPr>
        <w:tc>
          <w:tcPr>
            <w:tcW w:w="1886" w:type="dxa"/>
            <w:gridSpan w:val="5"/>
            <w:tcBorders/>
            <w:shd w:fill="auto" w:val="clear"/>
            <w:vAlign w:val="center"/>
          </w:tcPr>
          <w:p>
            <w:pPr>
              <w:pStyle w:val="TableContents"/>
              <w:spacing w:before="0" w:after="283"/>
              <w:rPr>
                <w:sz w:val="4"/>
                <w:szCs w:val="4"/>
              </w:rPr>
            </w:pPr>
            <w:r>
              <w:rPr>
                <w:sz w:val="4"/>
                <w:szCs w:val="4"/>
              </w:rPr>
            </w:r>
          </w:p>
        </w:tc>
        <w:tc>
          <w:tcPr>
            <w:tcW w:w="307"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94"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9" w:type="dxa"/>
            <w:gridSpan w:val="2"/>
            <w:tcBorders/>
            <w:shd w:fill="auto" w:val="clear"/>
            <w:vAlign w:val="center"/>
          </w:tcPr>
          <w:p>
            <w:pPr>
              <w:pStyle w:val="TableContents"/>
              <w:spacing w:before="0" w:after="283"/>
              <w:rPr>
                <w:sz w:val="4"/>
                <w:szCs w:val="4"/>
              </w:rPr>
            </w:pPr>
            <w:r>
              <w:rPr>
                <w:sz w:val="4"/>
                <w:szCs w:val="4"/>
              </w:rPr>
            </w:r>
          </w:p>
        </w:tc>
        <w:tc>
          <w:tcPr>
            <w:tcW w:w="2332" w:type="dxa"/>
            <w:gridSpan w:val="2"/>
            <w:tcBorders/>
            <w:shd w:fill="auto" w:val="clear"/>
            <w:vAlign w:val="center"/>
          </w:tcPr>
          <w:p>
            <w:pPr>
              <w:pStyle w:val="TableContents"/>
              <w:spacing w:before="0" w:after="283"/>
              <w:rPr>
                <w:sz w:val="4"/>
                <w:szCs w:val="4"/>
              </w:rPr>
            </w:pPr>
            <w:r>
              <w:rPr>
                <w:sz w:val="4"/>
                <w:szCs w:val="4"/>
              </w:rPr>
            </w:r>
          </w:p>
        </w:tc>
        <w:tc>
          <w:tcPr>
            <w:tcW w:w="411" w:type="dxa"/>
            <w:gridSpan w:val="2"/>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top w:val="single" w:sz="12" w:space="0" w:color="000000"/>
              <w:right w:val="single" w:sz="12" w:space="0" w:color="000000"/>
            </w:tcBorders>
            <w:shd w:fill="auto" w:val="clear"/>
            <w:tcMar>
              <w:top w:w="28" w:type="dxa"/>
              <w:right w:w="28" w:type="dxa"/>
            </w:tcMar>
            <w:vAlign w:val="center"/>
          </w:tcPr>
          <w:p>
            <w:pPr>
              <w:pStyle w:val="TableContents"/>
              <w:spacing w:before="0" w:after="283"/>
              <w:rPr/>
            </w:pPr>
            <w:r>
              <w:rPr/>
              <w:t> </w:t>
            </w:r>
          </w:p>
        </w:tc>
      </w:tr>
      <w:tr>
        <w:trPr/>
        <w:tc>
          <w:tcPr>
            <w:tcW w:w="1886" w:type="dxa"/>
            <w:gridSpan w:val="5"/>
            <w:tcBorders/>
            <w:shd w:fill="auto" w:val="clear"/>
          </w:tcPr>
          <w:p>
            <w:pPr>
              <w:pStyle w:val="TableContents"/>
              <w:spacing w:before="0" w:after="0"/>
              <w:jc w:val="both"/>
              <w:rPr>
                <w:rFonts w:ascii="ARIAL" w:hAnsi="ARIAL"/>
                <w:b/>
                <w:sz w:val="14"/>
              </w:rPr>
            </w:pPr>
            <w:r>
              <w:rPr>
                <w:rFonts w:ascii="ARIAL" w:hAnsi="ARIAL"/>
                <w:b/>
                <w:sz w:val="14"/>
              </w:rPr>
              <w:t>The Board of Directors recommends you vote </w:t>
            </w:r>
            <w:r>
              <w:rPr>
                <w:rFonts w:ascii="ARIAL" w:hAnsi="ARIAL"/>
                <w:b/>
                <w:sz w:val="14"/>
                <w:u w:val="single"/>
              </w:rPr>
              <w:t>FOR</w:t>
            </w:r>
            <w:r>
              <w:rPr>
                <w:rFonts w:ascii="ARIAL" w:hAnsi="ARIAL"/>
                <w:b/>
                <w:sz w:val="14"/>
              </w:rPr>
              <w:t> the following proposal:</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right w:val="single" w:sz="12" w:space="0" w:color="000000"/>
            </w:tcBorders>
            <w:shd w:fill="auto" w:val="clear"/>
            <w:tcMar>
              <w:right w:w="40" w:type="dxa"/>
            </w:tcMar>
          </w:tcPr>
          <w:p>
            <w:pPr>
              <w:pStyle w:val="TableContents"/>
              <w:spacing w:before="0" w:after="283"/>
              <w:rPr/>
            </w:pPr>
            <w:r>
              <w:rPr/>
              <w:t> </w:t>
            </w:r>
          </w:p>
        </w:tc>
      </w:tr>
      <w:tr>
        <w:trPr/>
        <w:tc>
          <w:tcPr>
            <w:tcW w:w="1886" w:type="dxa"/>
            <w:gridSpan w:val="5"/>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jc w:val="center"/>
              <w:rPr>
                <w:b/>
              </w:rPr>
            </w:pPr>
            <w:r>
              <w:rPr>
                <w:b/>
              </w:rPr>
              <w:t>For</w:t>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jc w:val="center"/>
              <w:rPr>
                <w:b/>
              </w:rPr>
            </w:pPr>
            <w:r>
              <w:rPr>
                <w:b/>
              </w:rPr>
              <w:t xml:space="preserve">Against </w:t>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b/>
              </w:rPr>
            </w:pPr>
            <w:r>
              <w:rPr>
                <w:b/>
              </w:rPr>
              <w:t>Abstain</w:t>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c>
          <w:tcPr>
            <w:tcW w:w="148" w:type="dxa"/>
            <w:tcBorders/>
            <w:shd w:fill="auto" w:val="clear"/>
          </w:tcPr>
          <w:p>
            <w:pPr>
              <w:pStyle w:val="TableContents"/>
              <w:spacing w:before="0" w:after="0"/>
              <w:jc w:val="both"/>
              <w:rPr>
                <w:rFonts w:ascii="ARIAL" w:hAnsi="ARIAL"/>
                <w:sz w:val="14"/>
              </w:rPr>
            </w:pPr>
            <w:r>
              <w:rPr>
                <w:rFonts w:ascii="ARIAL" w:hAnsi="ARIAL"/>
                <w:sz w:val="14"/>
              </w:rPr>
              <w:t>1.</w:t>
            </w:r>
          </w:p>
        </w:tc>
        <w:tc>
          <w:tcPr>
            <w:tcW w:w="97" w:type="dxa"/>
            <w:tcBorders/>
            <w:shd w:fill="auto" w:val="clear"/>
            <w:vAlign w:val="bottom"/>
          </w:tcPr>
          <w:p>
            <w:pPr>
              <w:pStyle w:val="TableContents"/>
              <w:spacing w:before="0" w:after="283"/>
              <w:rPr/>
            </w:pPr>
            <w:r>
              <w:rPr/>
              <w:t> </w:t>
            </w:r>
          </w:p>
        </w:tc>
        <w:tc>
          <w:tcPr>
            <w:tcW w:w="1641" w:type="dxa"/>
            <w:gridSpan w:val="3"/>
            <w:tcBorders/>
            <w:shd w:fill="auto" w:val="clear"/>
          </w:tcPr>
          <w:p>
            <w:pPr>
              <w:pStyle w:val="TableContents"/>
              <w:spacing w:before="0" w:after="0"/>
              <w:jc w:val="both"/>
              <w:rPr>
                <w:rFonts w:ascii="ARIAL" w:hAnsi="ARIAL"/>
                <w:sz w:val="14"/>
              </w:rPr>
            </w:pPr>
            <w:r>
              <w:rPr>
                <w:rFonts w:ascii="ARIAL" w:hAnsi="ARIAL"/>
                <w:sz w:val="14"/>
              </w:rPr>
              <w:t>To approve an amendment to the Amended and Restated Certificate of Incorporation of Invivyd, Inc. (the Company) to (i) declassify the Companys Board of Directors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(the Declassification Amendment).</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jc w:val="center"/>
              <w:rPr/>
            </w:pPr>
            <w:r>
              <w:rPr/>
              <w:t>    </w:t>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jc w:val="center"/>
              <w:rPr/>
            </w:pPr>
            <w:r>
              <w:rPr/>
              <w:t>☐</w:t>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jc w:val="center"/>
              <w:rPr/>
            </w:pPr>
            <w:r>
              <w:rPr/>
              <w:t>☐</w:t>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w:t>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rHeight w:val="120" w:hRule="atLeast"/>
        </w:trPr>
        <w:tc>
          <w:tcPr>
            <w:tcW w:w="1886" w:type="dxa"/>
            <w:gridSpan w:val="5"/>
            <w:tcBorders/>
            <w:shd w:fill="auto" w:val="clear"/>
            <w:vAlign w:val="center"/>
          </w:tcPr>
          <w:p>
            <w:pPr>
              <w:pStyle w:val="TableContents"/>
              <w:spacing w:before="0" w:after="283"/>
              <w:rPr>
                <w:sz w:val="4"/>
                <w:szCs w:val="4"/>
              </w:rPr>
            </w:pPr>
            <w:r>
              <w:rPr>
                <w:sz w:val="4"/>
                <w:szCs w:val="4"/>
              </w:rPr>
            </w:r>
          </w:p>
        </w:tc>
        <w:tc>
          <w:tcPr>
            <w:tcW w:w="307"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94"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9" w:type="dxa"/>
            <w:gridSpan w:val="2"/>
            <w:tcBorders/>
            <w:shd w:fill="auto" w:val="clear"/>
            <w:vAlign w:val="center"/>
          </w:tcPr>
          <w:p>
            <w:pPr>
              <w:pStyle w:val="TableContents"/>
              <w:spacing w:before="0" w:after="283"/>
              <w:rPr>
                <w:sz w:val="4"/>
                <w:szCs w:val="4"/>
              </w:rPr>
            </w:pPr>
            <w:r>
              <w:rPr>
                <w:sz w:val="4"/>
                <w:szCs w:val="4"/>
              </w:rPr>
            </w:r>
          </w:p>
        </w:tc>
        <w:tc>
          <w:tcPr>
            <w:tcW w:w="2743" w:type="dxa"/>
            <w:gridSpan w:val="4"/>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1886" w:type="dxa"/>
            <w:gridSpan w:val="5"/>
            <w:tcBorders/>
            <w:shd w:fill="auto" w:val="clear"/>
          </w:tcPr>
          <w:p>
            <w:pPr>
              <w:pStyle w:val="TableContents"/>
              <w:spacing w:before="0" w:after="0"/>
              <w:jc w:val="both"/>
              <w:rPr>
                <w:rFonts w:ascii="ARIAL" w:hAnsi="ARIAL"/>
                <w:b/>
                <w:sz w:val="14"/>
              </w:rPr>
            </w:pPr>
            <w:r>
              <w:rPr>
                <w:rFonts w:ascii="ARIAL" w:hAnsi="ARIAL"/>
                <w:b/>
                <w:sz w:val="14"/>
              </w:rPr>
              <w:t>The Board of Directors recommends that you vote </w:t>
            </w:r>
            <w:r>
              <w:rPr>
                <w:rFonts w:ascii="ARIAL" w:hAnsi="ARIAL"/>
                <w:b/>
                <w:sz w:val="14"/>
                <w:u w:val="single"/>
              </w:rPr>
              <w:t>FOR ALL</w:t>
            </w:r>
            <w:r>
              <w:rPr>
                <w:rFonts w:ascii="ARIAL" w:hAnsi="ARIAL"/>
                <w:b/>
                <w:sz w:val="14"/>
              </w:rPr>
              <w:t> the following nominees for the following proposal:</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jc w:val="center"/>
              <w:rPr>
                <w:b/>
              </w:rPr>
            </w:pPr>
            <w:r>
              <w:rPr>
                <w:b/>
              </w:rPr>
              <w:t>For All</w:t>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0"/>
              <w:jc w:val="center"/>
              <w:rPr>
                <w:rFonts w:ascii="ARIAL" w:hAnsi="ARIAL"/>
                <w:b/>
                <w:sz w:val="14"/>
              </w:rPr>
            </w:pPr>
            <w:r>
              <w:rPr>
                <w:rFonts w:ascii="ARIAL" w:hAnsi="ARIAL"/>
                <w:b/>
                <w:sz w:val="14"/>
              </w:rPr>
              <w:t>Withhold</w:t>
            </w:r>
          </w:p>
          <w:p>
            <w:pPr>
              <w:pStyle w:val="TableContents"/>
              <w:spacing w:before="0" w:after="20"/>
              <w:jc w:val="center"/>
              <w:rPr>
                <w:rFonts w:ascii="ARIAL" w:hAnsi="ARIAL"/>
                <w:b/>
                <w:sz w:val="14"/>
              </w:rPr>
            </w:pPr>
            <w:r>
              <w:rPr>
                <w:rFonts w:ascii="ARIAL" w:hAnsi="ARIAL"/>
                <w:b/>
                <w:sz w:val="14"/>
              </w:rPr>
              <w:t>All</w:t>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0"/>
              <w:jc w:val="center"/>
              <w:rPr>
                <w:rFonts w:ascii="ARIAL" w:hAnsi="ARIAL"/>
                <w:b/>
                <w:sz w:val="14"/>
              </w:rPr>
            </w:pPr>
            <w:r>
              <w:rPr>
                <w:rFonts w:ascii="ARIAL" w:hAnsi="ARIAL"/>
                <w:b/>
                <w:sz w:val="14"/>
              </w:rPr>
              <w:t>For All</w:t>
            </w:r>
          </w:p>
          <w:p>
            <w:pPr>
              <w:pStyle w:val="TableContents"/>
              <w:spacing w:before="0" w:after="20"/>
              <w:jc w:val="center"/>
              <w:rPr>
                <w:rFonts w:ascii="ARIAL" w:hAnsi="ARIAL"/>
                <w:b/>
                <w:sz w:val="14"/>
              </w:rPr>
            </w:pPr>
            <w:r>
              <w:rPr>
                <w:rFonts w:ascii="ARIAL" w:hAnsi="ARIAL"/>
                <w:b/>
                <w:sz w:val="14"/>
              </w:rPr>
              <w:t>Except</w:t>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676" w:type="dxa"/>
            <w:gridSpan w:val="3"/>
            <w:tcBorders/>
            <w:shd w:fill="auto" w:val="clear"/>
          </w:tcPr>
          <w:p>
            <w:pPr>
              <w:pStyle w:val="TableContents"/>
              <w:spacing w:before="0" w:after="0"/>
              <w:jc w:val="both"/>
              <w:rPr>
                <w:rFonts w:ascii="ARIAL" w:hAnsi="ARIAL"/>
                <w:sz w:val="14"/>
              </w:rPr>
            </w:pPr>
            <w:r>
              <w:rPr>
                <w:rFonts w:ascii="ARIAL" w:hAnsi="ARIAL"/>
                <w:sz w:val="14"/>
              </w:rPr>
              <w:t>To withhold authority to vote for any individual nominee(s), mark For All Except and write the number(s) of the nominee(s) on the line below.</w:t>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rHeight w:val="120" w:hRule="atLeast"/>
        </w:trPr>
        <w:tc>
          <w:tcPr>
            <w:tcW w:w="148" w:type="dxa"/>
            <w:tcBorders/>
            <w:shd w:fill="auto" w:val="clear"/>
            <w:vAlign w:val="center"/>
          </w:tcPr>
          <w:p>
            <w:pPr>
              <w:pStyle w:val="TableContents"/>
              <w:spacing w:before="0" w:after="283"/>
              <w:rPr>
                <w:sz w:val="4"/>
                <w:szCs w:val="4"/>
              </w:rPr>
            </w:pPr>
            <w:r>
              <w:rPr>
                <w:sz w:val="4"/>
                <w:szCs w:val="4"/>
              </w:rPr>
            </w:r>
          </w:p>
        </w:tc>
        <w:tc>
          <w:tcPr>
            <w:tcW w:w="1738" w:type="dxa"/>
            <w:gridSpan w:val="4"/>
            <w:tcBorders/>
            <w:shd w:fill="auto" w:val="clear"/>
            <w:vAlign w:val="center"/>
          </w:tcPr>
          <w:p>
            <w:pPr>
              <w:pStyle w:val="TableContents"/>
              <w:spacing w:before="0" w:after="283"/>
              <w:rPr>
                <w:sz w:val="4"/>
                <w:szCs w:val="4"/>
              </w:rPr>
            </w:pPr>
            <w:r>
              <w:rPr>
                <w:sz w:val="4"/>
                <w:szCs w:val="4"/>
              </w:rPr>
            </w:r>
          </w:p>
        </w:tc>
        <w:tc>
          <w:tcPr>
            <w:tcW w:w="307"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94"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9" w:type="dxa"/>
            <w:gridSpan w:val="2"/>
            <w:tcBorders/>
            <w:shd w:fill="auto" w:val="clear"/>
            <w:vAlign w:val="center"/>
          </w:tcPr>
          <w:p>
            <w:pPr>
              <w:pStyle w:val="TableContents"/>
              <w:spacing w:before="0" w:after="283"/>
              <w:rPr>
                <w:sz w:val="4"/>
                <w:szCs w:val="4"/>
              </w:rPr>
            </w:pPr>
            <w:r>
              <w:rPr>
                <w:sz w:val="4"/>
                <w:szCs w:val="4"/>
              </w:rPr>
            </w:r>
          </w:p>
        </w:tc>
        <w:tc>
          <w:tcPr>
            <w:tcW w:w="2743" w:type="dxa"/>
            <w:gridSpan w:val="4"/>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148" w:type="dxa"/>
            <w:tcBorders/>
            <w:shd w:fill="auto" w:val="clear"/>
          </w:tcPr>
          <w:p>
            <w:pPr>
              <w:pStyle w:val="TableContents"/>
              <w:spacing w:before="0" w:after="0"/>
              <w:jc w:val="both"/>
              <w:rPr>
                <w:rFonts w:ascii="ARIAL" w:hAnsi="ARIAL"/>
                <w:sz w:val="14"/>
              </w:rPr>
            </w:pPr>
            <w:r>
              <w:rPr>
                <w:rFonts w:ascii="ARIAL" w:hAnsi="ARIAL"/>
                <w:sz w:val="14"/>
              </w:rPr>
              <w:t>2.</w:t>
            </w:r>
          </w:p>
        </w:tc>
        <w:tc>
          <w:tcPr>
            <w:tcW w:w="97" w:type="dxa"/>
            <w:tcBorders/>
            <w:shd w:fill="auto" w:val="clear"/>
            <w:vAlign w:val="bottom"/>
          </w:tcPr>
          <w:p>
            <w:pPr>
              <w:pStyle w:val="TableContents"/>
              <w:spacing w:before="0" w:after="283"/>
              <w:rPr/>
            </w:pPr>
            <w:r>
              <w:rPr/>
              <w:t> </w:t>
            </w:r>
          </w:p>
        </w:tc>
        <w:tc>
          <w:tcPr>
            <w:tcW w:w="1641" w:type="dxa"/>
            <w:gridSpan w:val="3"/>
            <w:tcBorders/>
            <w:shd w:fill="auto" w:val="clear"/>
          </w:tcPr>
          <w:p>
            <w:pPr>
              <w:pStyle w:val="TableContents"/>
              <w:spacing w:before="0" w:after="0"/>
              <w:jc w:val="both"/>
              <w:rPr>
                <w:rFonts w:ascii="ARIAL" w:hAnsi="ARIAL"/>
                <w:sz w:val="14"/>
              </w:rPr>
            </w:pPr>
            <w:r>
              <w:rPr>
                <w:rFonts w:ascii="ARIAL" w:hAnsi="ARIAL"/>
                <w:sz w:val="14"/>
              </w:rPr>
              <w:t>To elect the two nominees for director named in the Proxy Statement for a three-year term expiring at the 2026 Annual Meeting of Stockholders (provided, that if the Declassification Amendment is approved and implemented, the terms of such directors will expire at the 2024 Annual Meeting of Stockholders).</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jc w:val="center"/>
              <w:rPr/>
            </w:pPr>
            <w:r>
              <w:rPr/>
              <w:t>☐</w:t>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jc w:val="center"/>
              <w:rPr/>
            </w:pPr>
            <w:r>
              <w:rPr/>
              <w:t>☐</w:t>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jc w:val="center"/>
              <w:rPr/>
            </w:pPr>
            <w:r>
              <w:rPr/>
              <w:t>☐</w:t>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676" w:type="dxa"/>
            <w:gridSpan w:val="3"/>
            <w:tcBorders/>
            <w:shd w:fill="auto" w:val="clear"/>
          </w:tcPr>
          <w:p>
            <w:pPr>
              <w:pStyle w:val="TableContents"/>
              <w:spacing w:before="0" w:after="0"/>
              <w:jc w:val="both"/>
              <w:rPr>
                <w:u w:val="single"/>
              </w:rPr>
            </w:pPr>
            <w:r>
              <w:rPr>
                <w:u w:val="single"/>
              </w:rPr>
              <w:t>                                                                                                  </w:t>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rHeight w:val="195" w:hRule="atLeast"/>
        </w:trPr>
        <w:tc>
          <w:tcPr>
            <w:tcW w:w="148" w:type="dxa"/>
            <w:tcBorders/>
            <w:shd w:fill="auto" w:val="clear"/>
            <w:vAlign w:val="center"/>
          </w:tcPr>
          <w:p>
            <w:pPr>
              <w:pStyle w:val="TableContents"/>
              <w:spacing w:before="0" w:after="283"/>
              <w:rPr>
                <w:sz w:val="4"/>
                <w:szCs w:val="4"/>
              </w:rPr>
            </w:pPr>
            <w:r>
              <w:rPr>
                <w:sz w:val="4"/>
                <w:szCs w:val="4"/>
              </w:rPr>
            </w:r>
          </w:p>
        </w:tc>
        <w:tc>
          <w:tcPr>
            <w:tcW w:w="1738" w:type="dxa"/>
            <w:gridSpan w:val="4"/>
            <w:tcBorders/>
            <w:shd w:fill="auto" w:val="clear"/>
            <w:vAlign w:val="center"/>
          </w:tcPr>
          <w:p>
            <w:pPr>
              <w:pStyle w:val="TableContents"/>
              <w:spacing w:before="0" w:after="283"/>
              <w:rPr>
                <w:sz w:val="4"/>
                <w:szCs w:val="4"/>
              </w:rPr>
            </w:pPr>
            <w:r>
              <w:rPr>
                <w:sz w:val="4"/>
                <w:szCs w:val="4"/>
              </w:rPr>
            </w:r>
          </w:p>
        </w:tc>
        <w:tc>
          <w:tcPr>
            <w:tcW w:w="307"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94"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9" w:type="dxa"/>
            <w:gridSpan w:val="2"/>
            <w:tcBorders/>
            <w:shd w:fill="auto" w:val="clear"/>
            <w:vAlign w:val="center"/>
          </w:tcPr>
          <w:p>
            <w:pPr>
              <w:pStyle w:val="TableContents"/>
              <w:spacing w:before="0" w:after="283"/>
              <w:rPr>
                <w:sz w:val="4"/>
                <w:szCs w:val="4"/>
              </w:rPr>
            </w:pPr>
            <w:r>
              <w:rPr>
                <w:sz w:val="4"/>
                <w:szCs w:val="4"/>
              </w:rPr>
            </w:r>
          </w:p>
        </w:tc>
        <w:tc>
          <w:tcPr>
            <w:tcW w:w="2332" w:type="dxa"/>
            <w:gridSpan w:val="2"/>
            <w:tcBorders/>
            <w:shd w:fill="auto" w:val="clear"/>
            <w:vAlign w:val="center"/>
          </w:tcPr>
          <w:p>
            <w:pPr>
              <w:pStyle w:val="TableContents"/>
              <w:spacing w:before="0" w:after="283"/>
              <w:rPr>
                <w:sz w:val="4"/>
                <w:szCs w:val="4"/>
              </w:rPr>
            </w:pPr>
            <w:r>
              <w:rPr>
                <w:sz w:val="4"/>
                <w:szCs w:val="4"/>
              </w:rPr>
            </w:r>
          </w:p>
        </w:tc>
        <w:tc>
          <w:tcPr>
            <w:tcW w:w="411" w:type="dxa"/>
            <w:gridSpan w:val="2"/>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148"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641" w:type="dxa"/>
            <w:gridSpan w:val="3"/>
            <w:tcBorders/>
            <w:shd w:fill="auto" w:val="clear"/>
          </w:tcPr>
          <w:p>
            <w:pPr>
              <w:pStyle w:val="TableContents"/>
              <w:spacing w:before="0" w:after="0"/>
              <w:jc w:val="both"/>
              <w:rPr>
                <w:rFonts w:ascii="ARIAL" w:hAnsi="ARIAL"/>
                <w:b/>
                <w:sz w:val="14"/>
              </w:rPr>
            </w:pPr>
            <w:r>
              <w:rPr>
                <w:rFonts w:ascii="ARIAL" w:hAnsi="ARIAL"/>
                <w:b/>
                <w:sz w:val="14"/>
              </w:rPr>
              <w:t>Nominees:</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rHeight w:val="30" w:hRule="atLeast"/>
        </w:trPr>
        <w:tc>
          <w:tcPr>
            <w:tcW w:w="148" w:type="dxa"/>
            <w:tcBorders/>
            <w:shd w:fill="auto" w:val="clear"/>
            <w:vAlign w:val="center"/>
          </w:tcPr>
          <w:p>
            <w:pPr>
              <w:pStyle w:val="TableContents"/>
              <w:spacing w:before="0" w:after="283"/>
              <w:rPr>
                <w:sz w:val="4"/>
                <w:szCs w:val="4"/>
              </w:rPr>
            </w:pPr>
            <w:r>
              <w:rPr>
                <w:sz w:val="4"/>
                <w:szCs w:val="4"/>
              </w:rPr>
            </w:r>
          </w:p>
        </w:tc>
        <w:tc>
          <w:tcPr>
            <w:tcW w:w="1738" w:type="dxa"/>
            <w:gridSpan w:val="4"/>
            <w:tcBorders/>
            <w:shd w:fill="auto" w:val="clear"/>
            <w:vAlign w:val="center"/>
          </w:tcPr>
          <w:p>
            <w:pPr>
              <w:pStyle w:val="TableContents"/>
              <w:spacing w:before="0" w:after="283"/>
              <w:rPr>
                <w:sz w:val="4"/>
                <w:szCs w:val="4"/>
              </w:rPr>
            </w:pPr>
            <w:r>
              <w:rPr>
                <w:sz w:val="4"/>
                <w:szCs w:val="4"/>
              </w:rPr>
            </w:r>
          </w:p>
        </w:tc>
        <w:tc>
          <w:tcPr>
            <w:tcW w:w="307" w:type="dxa"/>
            <w:gridSpan w:val="2"/>
            <w:tcBorders/>
            <w:shd w:fill="auto" w:val="clear"/>
            <w:vAlign w:val="center"/>
          </w:tcPr>
          <w:p>
            <w:pPr>
              <w:pStyle w:val="TableContents"/>
              <w:spacing w:before="0" w:after="283"/>
              <w:rPr>
                <w:sz w:val="4"/>
                <w:szCs w:val="4"/>
              </w:rPr>
            </w:pPr>
            <w:r>
              <w:rPr>
                <w:sz w:val="4"/>
                <w:szCs w:val="4"/>
              </w:rPr>
            </w:r>
          </w:p>
        </w:tc>
        <w:tc>
          <w:tcPr>
            <w:tcW w:w="465" w:type="dxa"/>
            <w:gridSpan w:val="2"/>
            <w:tcBorders/>
            <w:shd w:fill="auto" w:val="clear"/>
            <w:vAlign w:val="center"/>
          </w:tcPr>
          <w:p>
            <w:pPr>
              <w:pStyle w:val="TableContents"/>
              <w:spacing w:before="0" w:after="283"/>
              <w:rPr>
                <w:sz w:val="4"/>
                <w:szCs w:val="4"/>
              </w:rPr>
            </w:pPr>
            <w:r>
              <w:rPr>
                <w:sz w:val="4"/>
                <w:szCs w:val="4"/>
              </w:rPr>
            </w:r>
          </w:p>
        </w:tc>
        <w:tc>
          <w:tcPr>
            <w:tcW w:w="894" w:type="dxa"/>
            <w:gridSpan w:val="2"/>
            <w:tcBorders/>
            <w:shd w:fill="auto" w:val="clear"/>
            <w:vAlign w:val="center"/>
          </w:tcPr>
          <w:p>
            <w:pPr>
              <w:pStyle w:val="TableContents"/>
              <w:spacing w:before="0" w:after="283"/>
              <w:rPr>
                <w:sz w:val="4"/>
                <w:szCs w:val="4"/>
              </w:rPr>
            </w:pPr>
            <w:r>
              <w:rPr>
                <w:sz w:val="4"/>
                <w:szCs w:val="4"/>
              </w:rPr>
            </w:r>
          </w:p>
        </w:tc>
        <w:tc>
          <w:tcPr>
            <w:tcW w:w="955" w:type="dxa"/>
            <w:gridSpan w:val="2"/>
            <w:tcBorders/>
            <w:shd w:fill="auto" w:val="clear"/>
            <w:vAlign w:val="center"/>
          </w:tcPr>
          <w:p>
            <w:pPr>
              <w:pStyle w:val="TableContents"/>
              <w:spacing w:before="0" w:after="283"/>
              <w:rPr>
                <w:sz w:val="4"/>
                <w:szCs w:val="4"/>
              </w:rPr>
            </w:pPr>
            <w:r>
              <w:rPr>
                <w:sz w:val="4"/>
                <w:szCs w:val="4"/>
              </w:rPr>
            </w:r>
          </w:p>
        </w:tc>
        <w:tc>
          <w:tcPr>
            <w:tcW w:w="109" w:type="dxa"/>
            <w:gridSpan w:val="2"/>
            <w:tcBorders/>
            <w:shd w:fill="auto" w:val="clear"/>
            <w:vAlign w:val="center"/>
          </w:tcPr>
          <w:p>
            <w:pPr>
              <w:pStyle w:val="TableContents"/>
              <w:spacing w:before="0" w:after="283"/>
              <w:rPr>
                <w:sz w:val="4"/>
                <w:szCs w:val="4"/>
              </w:rPr>
            </w:pPr>
            <w:r>
              <w:rPr>
                <w:sz w:val="4"/>
                <w:szCs w:val="4"/>
              </w:rPr>
            </w:r>
          </w:p>
        </w:tc>
        <w:tc>
          <w:tcPr>
            <w:tcW w:w="2332" w:type="dxa"/>
            <w:gridSpan w:val="2"/>
            <w:tcBorders/>
            <w:shd w:fill="auto" w:val="clear"/>
            <w:vAlign w:val="center"/>
          </w:tcPr>
          <w:p>
            <w:pPr>
              <w:pStyle w:val="TableContents"/>
              <w:spacing w:before="0" w:after="283"/>
              <w:rPr>
                <w:sz w:val="4"/>
                <w:szCs w:val="4"/>
              </w:rPr>
            </w:pPr>
            <w:r>
              <w:rPr>
                <w:sz w:val="4"/>
                <w:szCs w:val="4"/>
              </w:rPr>
            </w:r>
          </w:p>
        </w:tc>
        <w:tc>
          <w:tcPr>
            <w:tcW w:w="411" w:type="dxa"/>
            <w:gridSpan w:val="2"/>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148"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641" w:type="dxa"/>
            <w:gridSpan w:val="3"/>
            <w:tcBorders/>
            <w:shd w:fill="auto" w:val="clear"/>
          </w:tcPr>
          <w:p>
            <w:pPr>
              <w:pStyle w:val="TableContents"/>
              <w:spacing w:before="0" w:after="0"/>
              <w:jc w:val="both"/>
              <w:rPr>
                <w:rFonts w:ascii="ARIAL" w:hAnsi="ARIAL"/>
                <w:sz w:val="14"/>
              </w:rPr>
            </w:pPr>
            <w:r>
              <w:rPr>
                <w:rFonts w:ascii="ARIAL" w:hAnsi="ARIAL"/>
                <w:sz w:val="14"/>
              </w:rPr>
              <w:t>01) Christine Lindenboom</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c>
          <w:tcPr>
            <w:tcW w:w="148"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641" w:type="dxa"/>
            <w:gridSpan w:val="3"/>
            <w:tcBorders/>
            <w:shd w:fill="auto" w:val="clear"/>
          </w:tcPr>
          <w:p>
            <w:pPr>
              <w:pStyle w:val="TableContents"/>
              <w:spacing w:before="0" w:after="0"/>
              <w:jc w:val="both"/>
              <w:rPr>
                <w:rFonts w:ascii="ARIAL" w:hAnsi="ARIAL"/>
                <w:sz w:val="14"/>
              </w:rPr>
            </w:pPr>
            <w:r>
              <w:rPr>
                <w:rFonts w:ascii="ARIAL" w:hAnsi="ARIAL"/>
                <w:sz w:val="14"/>
              </w:rPr>
              <w:t>02) Terrance McGuire</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rHeight w:val="195" w:hRule="atLeast"/>
        </w:trPr>
        <w:tc>
          <w:tcPr>
            <w:tcW w:w="6948" w:type="dxa"/>
            <w:gridSpan w:val="17"/>
            <w:tcBorders/>
            <w:shd w:fill="auto" w:val="clear"/>
            <w:vAlign w:val="center"/>
          </w:tcPr>
          <w:p>
            <w:pPr>
              <w:pStyle w:val="TableContents"/>
              <w:spacing w:before="0" w:after="283"/>
              <w:rPr>
                <w:sz w:val="4"/>
                <w:szCs w:val="4"/>
              </w:rPr>
            </w:pPr>
            <w:r>
              <w:rPr>
                <w:sz w:val="4"/>
                <w:szCs w:val="4"/>
              </w:rPr>
            </w:r>
          </w:p>
        </w:tc>
        <w:tc>
          <w:tcPr>
            <w:tcW w:w="411" w:type="dxa"/>
            <w:gridSpan w:val="2"/>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6948" w:type="dxa"/>
            <w:gridSpan w:val="17"/>
            <w:tcBorders/>
            <w:shd w:fill="auto" w:val="clear"/>
          </w:tcPr>
          <w:p>
            <w:pPr>
              <w:pStyle w:val="TableContents"/>
              <w:spacing w:before="0" w:after="0"/>
              <w:jc w:val="both"/>
              <w:rPr>
                <w:rFonts w:ascii="ARIAL" w:hAnsi="ARIAL"/>
                <w:b/>
                <w:sz w:val="14"/>
              </w:rPr>
            </w:pPr>
            <w:r>
              <w:rPr>
                <w:rFonts w:ascii="ARIAL" w:hAnsi="ARIAL"/>
                <w:b/>
                <w:sz w:val="14"/>
              </w:rPr>
              <w:t>The Board of Directors recommends you vote </w:t>
            </w:r>
            <w:r>
              <w:rPr>
                <w:rFonts w:ascii="ARIAL" w:hAnsi="ARIAL"/>
                <w:b/>
                <w:sz w:val="14"/>
                <w:u w:val="single"/>
              </w:rPr>
              <w:t>FOR</w:t>
            </w:r>
            <w:r>
              <w:rPr>
                <w:rFonts w:ascii="ARIAL" w:hAnsi="ARIAL"/>
                <w:b/>
                <w:sz w:val="14"/>
              </w:rPr>
              <w:t> the following proposal:</w:t>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jc w:val="center"/>
              <w:rPr>
                <w:b/>
              </w:rPr>
            </w:pPr>
            <w:r>
              <w:rPr>
                <w:b/>
              </w:rPr>
              <w:t>For</w:t>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jc w:val="center"/>
              <w:rPr>
                <w:b/>
              </w:rPr>
            </w:pPr>
            <w:r>
              <w:rPr>
                <w:b/>
              </w:rPr>
              <w:t>Against</w:t>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jc w:val="center"/>
              <w:rPr>
                <w:b/>
              </w:rPr>
            </w:pPr>
            <w:r>
              <w:rPr>
                <w:b/>
              </w:rPr>
              <w:t>Abstain</w:t>
            </w:r>
          </w:p>
        </w:tc>
      </w:tr>
      <w:tr>
        <w:trPr>
          <w:trHeight w:val="195" w:hRule="atLeast"/>
        </w:trPr>
        <w:tc>
          <w:tcPr>
            <w:tcW w:w="148" w:type="dxa"/>
            <w:tcBorders/>
            <w:shd w:fill="auto" w:val="clear"/>
            <w:vAlign w:val="center"/>
          </w:tcPr>
          <w:p>
            <w:pPr>
              <w:pStyle w:val="TableContents"/>
              <w:spacing w:before="0" w:after="283"/>
              <w:rPr>
                <w:sz w:val="4"/>
                <w:szCs w:val="4"/>
              </w:rPr>
            </w:pPr>
            <w:r>
              <w:rPr>
                <w:sz w:val="4"/>
                <w:szCs w:val="4"/>
              </w:rPr>
            </w:r>
          </w:p>
        </w:tc>
        <w:tc>
          <w:tcPr>
            <w:tcW w:w="7211" w:type="dxa"/>
            <w:gridSpan w:val="18"/>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148" w:type="dxa"/>
            <w:tcBorders/>
            <w:shd w:fill="auto" w:val="clear"/>
          </w:tcPr>
          <w:p>
            <w:pPr>
              <w:pStyle w:val="TableContents"/>
              <w:spacing w:before="0" w:after="0"/>
              <w:jc w:val="both"/>
              <w:rPr>
                <w:rFonts w:ascii="ARIAL" w:hAnsi="ARIAL"/>
                <w:sz w:val="14"/>
              </w:rPr>
            </w:pPr>
            <w:r>
              <w:rPr>
                <w:rFonts w:ascii="ARIAL" w:hAnsi="ARIAL"/>
                <w:sz w:val="14"/>
              </w:rPr>
              <w:t>3.</w:t>
            </w:r>
          </w:p>
        </w:tc>
        <w:tc>
          <w:tcPr>
            <w:tcW w:w="97" w:type="dxa"/>
            <w:tcBorders/>
            <w:shd w:fill="auto" w:val="clear"/>
            <w:vAlign w:val="bottom"/>
          </w:tcPr>
          <w:p>
            <w:pPr>
              <w:pStyle w:val="TableContents"/>
              <w:spacing w:before="0" w:after="283"/>
              <w:rPr/>
            </w:pPr>
            <w:r>
              <w:rPr/>
              <w:t> </w:t>
            </w:r>
          </w:p>
        </w:tc>
        <w:tc>
          <w:tcPr>
            <w:tcW w:w="7114" w:type="dxa"/>
            <w:gridSpan w:val="17"/>
            <w:tcBorders/>
            <w:shd w:fill="auto" w:val="clear"/>
          </w:tcPr>
          <w:p>
            <w:pPr>
              <w:pStyle w:val="TableContents"/>
              <w:spacing w:before="0" w:after="0"/>
              <w:jc w:val="both"/>
              <w:rPr>
                <w:rFonts w:ascii="ARIAL" w:hAnsi="ARIAL"/>
                <w:sz w:val="14"/>
              </w:rPr>
            </w:pPr>
            <w:r>
              <w:rPr>
                <w:rFonts w:ascii="ARIAL" w:hAnsi="ARIAL"/>
                <w:sz w:val="14"/>
              </w:rPr>
              <w:t>To ratify the appointment of PricewaterhouseCoopers LLP as the Companys independent registered public accounting firm for the fiscal year ending December 31, 2023.</w:t>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jc w:val="center"/>
              <w:rPr/>
            </w:pPr>
            <w:r>
              <w:rPr/>
              <w:t>☐</w:t>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jc w:val="center"/>
              <w:rPr/>
            </w:pPr>
            <w:r>
              <w:rPr/>
              <w:t>☐</w:t>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jc w:val="center"/>
              <w:rPr/>
            </w:pPr>
            <w:r>
              <w:rPr/>
              <w:t>☐</w:t>
            </w:r>
          </w:p>
        </w:tc>
      </w:tr>
      <w:tr>
        <w:trPr>
          <w:trHeight w:val="75" w:hRule="atLeast"/>
        </w:trPr>
        <w:tc>
          <w:tcPr>
            <w:tcW w:w="7359" w:type="dxa"/>
            <w:gridSpan w:val="19"/>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7359" w:type="dxa"/>
            <w:gridSpan w:val="19"/>
            <w:tcBorders/>
            <w:shd w:fill="auto" w:val="clear"/>
          </w:tcPr>
          <w:p>
            <w:pPr>
              <w:pStyle w:val="TableContents"/>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 or postponement thereof.</w:t>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rHeight w:val="120" w:hRule="atLeast"/>
        </w:trPr>
        <w:tc>
          <w:tcPr>
            <w:tcW w:w="7359" w:type="dxa"/>
            <w:gridSpan w:val="19"/>
            <w:tcBorders/>
            <w:shd w:fill="auto" w:val="clear"/>
            <w:vAlign w:val="center"/>
          </w:tcPr>
          <w:p>
            <w:pPr>
              <w:pStyle w:val="TableContents"/>
              <w:spacing w:before="0" w:after="283"/>
              <w:rPr>
                <w:sz w:val="4"/>
                <w:szCs w:val="4"/>
              </w:rPr>
            </w:pPr>
            <w:r>
              <w:rPr>
                <w:sz w:val="4"/>
                <w:szCs w:val="4"/>
              </w:rPr>
            </w:r>
          </w:p>
        </w:tc>
        <w:tc>
          <w:tcPr>
            <w:tcW w:w="523"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auto" w:val="clear"/>
            <w:vAlign w:val="center"/>
          </w:tcPr>
          <w:p>
            <w:pPr>
              <w:pStyle w:val="TableContents"/>
              <w:spacing w:before="0" w:after="283"/>
              <w:rPr>
                <w:sz w:val="4"/>
                <w:szCs w:val="4"/>
              </w:rPr>
            </w:pPr>
            <w:r>
              <w:rPr>
                <w:sz w:val="4"/>
                <w:szCs w:val="4"/>
              </w:rPr>
            </w:r>
          </w:p>
        </w:tc>
        <w:tc>
          <w:tcPr>
            <w:tcW w:w="972" w:type="dxa"/>
            <w:gridSpan w:val="2"/>
            <w:tcBorders/>
            <w:shd w:fill="auto" w:val="clear"/>
            <w:vAlign w:val="center"/>
          </w:tcPr>
          <w:p>
            <w:pPr>
              <w:pStyle w:val="TableContents"/>
              <w:spacing w:before="0" w:after="283"/>
              <w:rPr>
                <w:sz w:val="4"/>
                <w:szCs w:val="4"/>
              </w:rPr>
            </w:pPr>
            <w:r>
              <w:rPr>
                <w:sz w:val="4"/>
                <w:szCs w:val="4"/>
              </w:rPr>
            </w:r>
          </w:p>
        </w:tc>
      </w:tr>
      <w:tr>
        <w:trPr/>
        <w:tc>
          <w:tcPr>
            <w:tcW w:w="7359" w:type="dxa"/>
            <w:gridSpan w:val="19"/>
            <w:tcBorders/>
            <w:shd w:fill="auto" w:val="clear"/>
          </w:tcPr>
          <w:p>
            <w:pPr>
              <w:pStyle w:val="TableContents"/>
              <w:spacing w:before="0" w:after="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c>
          <w:tcPr>
            <w:tcW w:w="148" w:type="dxa"/>
            <w:tcBorders/>
            <w:shd w:fill="auto" w:val="clea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604"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97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c>
          <w:tcPr>
            <w:tcW w:w="148" w:type="dxa"/>
            <w:tcBorders>
              <w:top w:val="single" w:sz="2" w:space="0" w:color="000000"/>
              <w:left w:val="single" w:sz="2" w:space="0" w:color="000000"/>
              <w:bottom w:val="single" w:sz="12" w:space="0" w:color="000000"/>
            </w:tcBorders>
            <w:shd w:fill="auto" w:val="clear"/>
            <w:tcMar>
              <w:top w:w="28" w:type="dxa"/>
              <w:left w:w="160" w:type="dxa"/>
              <w:bottom w:w="28" w:type="dxa"/>
            </w:tcMar>
          </w:tcPr>
          <w:p>
            <w:pPr>
              <w:pStyle w:val="TableContents"/>
              <w:spacing w:before="0" w:after="283"/>
              <w:rPr/>
            </w:pPr>
            <w:r>
              <w:rPr/>
              <w:t> </w:t>
            </w:r>
          </w:p>
        </w:tc>
        <w:tc>
          <w:tcPr>
            <w:tcW w:w="97"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283"/>
              <w:rPr/>
            </w:pPr>
            <w:r>
              <w:rPr/>
              <w:t> </w:t>
            </w:r>
          </w:p>
        </w:tc>
        <w:tc>
          <w:tcPr>
            <w:tcW w:w="604"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0"/>
              <w:jc w:val="both"/>
              <w:rPr/>
            </w:pPr>
            <w:r>
              <w:rPr/>
              <w:t>    </w:t>
            </w:r>
          </w:p>
        </w:tc>
        <w:tc>
          <w:tcPr>
            <w:tcW w:w="67"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283"/>
              <w:rPr/>
            </w:pPr>
            <w:r>
              <w:rPr/>
              <w:t> </w:t>
            </w:r>
          </w:p>
        </w:tc>
        <w:tc>
          <w:tcPr>
            <w:tcW w:w="970"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0"/>
              <w:jc w:val="both"/>
              <w:rPr/>
            </w:pPr>
            <w:r>
              <w:rPr/>
              <w:t>                </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2265"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0"/>
              <w:jc w:val="both"/>
              <w:rPr/>
            </w:pPr>
            <w:r>
              <w:rPr/>
              <w:t>                                                     </w:t>
            </w:r>
          </w:p>
        </w:tc>
        <w:tc>
          <w:tcPr>
            <w:tcW w:w="67"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344"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r>
        <w:trPr/>
        <w:tc>
          <w:tcPr>
            <w:tcW w:w="849" w:type="dxa"/>
            <w:gridSpan w:val="3"/>
            <w:tcBorders/>
            <w:shd w:fill="auto" w:val="clear"/>
          </w:tcPr>
          <w:p>
            <w:pPr>
              <w:pStyle w:val="TableContents"/>
              <w:spacing w:before="0" w:after="0"/>
              <w:jc w:val="both"/>
              <w:rPr>
                <w:rFonts w:ascii="ARIAL" w:hAnsi="ARIAL"/>
                <w:sz w:val="14"/>
              </w:rPr>
            </w:pPr>
            <w:r>
              <w:rPr>
                <w:rFonts w:ascii="ARIAL" w:hAnsi="ARIAL"/>
                <w:sz w:val="14"/>
              </w:rPr>
              <w:t>Signature [PLEASE SIGN WITHIN BOX]</w:t>
            </w:r>
          </w:p>
        </w:tc>
        <w:tc>
          <w:tcPr>
            <w:tcW w:w="67" w:type="dxa"/>
            <w:tcBorders/>
            <w:shd w:fill="auto" w:val="clear"/>
            <w:vAlign w:val="bottom"/>
          </w:tcPr>
          <w:p>
            <w:pPr>
              <w:pStyle w:val="TableContents"/>
              <w:spacing w:before="0" w:after="283"/>
              <w:rPr/>
            </w:pPr>
            <w:r>
              <w:rPr/>
              <w:t> </w:t>
            </w:r>
          </w:p>
        </w:tc>
        <w:tc>
          <w:tcPr>
            <w:tcW w:w="970" w:type="dxa"/>
            <w:tcBorders/>
            <w:shd w:fill="auto" w:val="clear"/>
          </w:tcPr>
          <w:p>
            <w:pPr>
              <w:pStyle w:val="TableContents"/>
              <w:spacing w:before="0" w:after="0"/>
              <w:jc w:val="both"/>
              <w:rPr>
                <w:rFonts w:ascii="ARIAL" w:hAnsi="ARIAL"/>
                <w:sz w:val="14"/>
              </w:rPr>
            </w:pPr>
            <w:r>
              <w:rPr>
                <w:rFonts w:ascii="ARIAL" w:hAnsi="ARIAL"/>
                <w:sz w:val="14"/>
              </w:rPr>
              <w:t>Date</w:t>
            </w:r>
          </w:p>
        </w:tc>
        <w:tc>
          <w:tcPr>
            <w:tcW w:w="67"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82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30"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2"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2265" w:type="dxa"/>
            <w:tcBorders/>
            <w:shd w:fill="auto" w:val="clear"/>
          </w:tcPr>
          <w:p>
            <w:pPr>
              <w:pStyle w:val="TableContents"/>
              <w:spacing w:before="0" w:after="0"/>
              <w:jc w:val="both"/>
              <w:rPr>
                <w:rFonts w:ascii="ARIAL" w:hAnsi="ARIAL"/>
                <w:sz w:val="14"/>
              </w:rPr>
            </w:pPr>
            <w:r>
              <w:rPr>
                <w:rFonts w:ascii="ARIAL" w:hAnsi="ARIAL"/>
                <w:sz w:val="14"/>
              </w:rPr>
              <w:t>Signature (Joint Owners)</w:t>
            </w:r>
          </w:p>
        </w:tc>
        <w:tc>
          <w:tcPr>
            <w:tcW w:w="67"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0"/>
              <w:jc w:val="both"/>
              <w:rPr>
                <w:rFonts w:ascii="ARIAL" w:hAnsi="ARIAL"/>
                <w:sz w:val="14"/>
              </w:rPr>
            </w:pPr>
            <w:r>
              <w:rPr>
                <w:rFonts w:ascii="ARIAL" w:hAnsi="ARIAL"/>
                <w:sz w:val="14"/>
              </w:rPr>
              <w:t>Date</w:t>
            </w:r>
          </w:p>
        </w:tc>
        <w:tc>
          <w:tcPr>
            <w:tcW w:w="125" w:type="dxa"/>
            <w:tcBorders/>
            <w:shd w:fill="auto" w:val="clear"/>
            <w:vAlign w:val="bottom"/>
          </w:tcPr>
          <w:p>
            <w:pPr>
              <w:pStyle w:val="TableContents"/>
              <w:spacing w:before="0" w:after="283"/>
              <w:rPr/>
            </w:pPr>
            <w:r>
              <w:rPr/>
              <w:t>  </w:t>
            </w:r>
          </w:p>
        </w:tc>
        <w:tc>
          <w:tcPr>
            <w:tcW w:w="398"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47"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24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spacing w:before="0" w:after="0"/>
        <w:jc w:val="center"/>
        <w:rPr>
          <w:rFonts w:ascii="ARIAL" w:hAnsi="ARIAL"/>
          <w:sz w:val="20"/>
        </w:rPr>
      </w:pPr>
      <w:r>
        <w:rPr>
          <w:rFonts w:ascii="ARIAL" w:hAnsi="ARIAL"/>
          <w:sz w:val="20"/>
        </w:rPr>
        <w:t xml:space="preserve">The Notice and Proxy Statement and Annual Report on Form 10-K are available at www.proxyvote.com. </w:t>
      </w:r>
    </w:p>
    <w:p>
      <w:pPr>
        <w:pStyle w:val="TextBody"/>
        <w:spacing w:before="2400" w:after="0"/>
        <w:jc w:val="both"/>
        <w:rPr>
          <w:rFonts w:ascii="ARIAL" w:hAnsi="ARIAL"/>
          <w:sz w:val="20"/>
        </w:rPr>
      </w:pPr>
      <w:r>
        <w:rPr>
          <w:rFonts w:ascii="ARIAL" w:hAnsi="ARIAL"/>
          <w:sz w:val="20"/>
        </w:rPr>
        <w:t xml:space="preserve">                                                  </w:t>
      </w:r>
    </w:p>
    <w:p>
      <w:pPr>
        <w:pStyle w:val="TextBody"/>
        <w:spacing w:before="0" w:after="0"/>
        <w:jc w:val="right"/>
        <w:rPr>
          <w:rFonts w:ascii="ARIAL" w:hAnsi="ARIAL"/>
          <w:sz w:val="14"/>
        </w:rPr>
      </w:pPr>
      <w:r>
        <w:rPr>
          <w:rFonts w:ascii="ARIAL" w:hAnsi="ARIAL"/>
          <w:sz w:val="14"/>
        </w:rPr>
        <w:t xml:space="preserve">V07260-P87524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bdr w:val="single" w:sz="16" w:space="2" w:color="000000"/>
        </w:rPr>
      </w:pPr>
      <w:r>
        <w:rPr>
          <w:bdr w:val="single" w:sz="16" w:space="2" w:color="000000"/>
        </w:rPr>
        <w:t> </w:t>
      </w:r>
    </w:p>
    <w:p>
      <w:pPr>
        <w:pStyle w:val="TextBody"/>
        <w:pBdr/>
        <w:spacing w:before="0" w:after="0"/>
        <w:jc w:val="center"/>
        <w:rPr>
          <w:rFonts w:ascii="ARIAL" w:hAnsi="ARIAL"/>
          <w:b/>
          <w:sz w:val="24"/>
          <w:bdr w:val="single" w:sz="16" w:space="2" w:color="000000"/>
        </w:rPr>
      </w:pPr>
      <w:r>
        <w:rPr>
          <w:rFonts w:ascii="ARIAL" w:hAnsi="ARIAL"/>
          <w:b/>
          <w:sz w:val="24"/>
          <w:bdr w:val="single" w:sz="16" w:space="2" w:color="000000"/>
        </w:rPr>
        <w:t xml:space="preserve">INVIVYD, INC. </w:t>
      </w:r>
    </w:p>
    <w:p>
      <w:pPr>
        <w:pStyle w:val="TextBody"/>
        <w:spacing w:before="0" w:after="0"/>
        <w:jc w:val="center"/>
        <w:rPr>
          <w:rFonts w:ascii="ARIAL" w:hAnsi="ARIAL"/>
          <w:b/>
          <w:sz w:val="24"/>
          <w:bdr w:val="single" w:sz="16" w:space="2" w:color="000000"/>
        </w:rPr>
      </w:pPr>
      <w:r>
        <w:rPr>
          <w:rFonts w:ascii="ARIAL" w:hAnsi="ARIAL"/>
          <w:b/>
          <w:sz w:val="24"/>
          <w:bdr w:val="single" w:sz="16" w:space="2" w:color="000000"/>
        </w:rPr>
        <w:t xml:space="preserve">Annual Meeting of Stockholders </w:t>
      </w:r>
    </w:p>
    <w:p>
      <w:pPr>
        <w:pStyle w:val="TextBody"/>
        <w:spacing w:before="0" w:after="0"/>
        <w:jc w:val="center"/>
        <w:rPr>
          <w:rFonts w:ascii="ARIAL" w:hAnsi="ARIAL"/>
          <w:b/>
          <w:sz w:val="24"/>
          <w:bdr w:val="single" w:sz="16" w:space="2" w:color="000000"/>
        </w:rPr>
      </w:pPr>
      <w:r>
        <w:rPr>
          <w:rFonts w:ascii="ARIAL" w:hAnsi="ARIAL"/>
          <w:b/>
          <w:sz w:val="24"/>
          <w:bdr w:val="single" w:sz="16" w:space="2" w:color="000000"/>
        </w:rPr>
        <w:t xml:space="preserve">May 23, 2023 8:30 a.m. Eastern Time </w:t>
      </w:r>
    </w:p>
    <w:p>
      <w:pPr>
        <w:pStyle w:val="TextBody"/>
        <w:spacing w:before="0" w:after="0"/>
        <w:jc w:val="center"/>
        <w:rPr>
          <w:rFonts w:ascii="ARIAL" w:hAnsi="ARIAL"/>
          <w:b/>
          <w:sz w:val="24"/>
          <w:bdr w:val="single" w:sz="16" w:space="2" w:color="000000"/>
        </w:rPr>
      </w:pPr>
      <w:r>
        <w:rPr>
          <w:rFonts w:ascii="ARIAL" w:hAnsi="ARIAL"/>
          <w:b/>
          <w:sz w:val="24"/>
          <w:bdr w:val="single" w:sz="16" w:space="2" w:color="000000"/>
        </w:rPr>
        <w:t xml:space="preserve">This proxy is solicited on behalf of the Board of Directors </w:t>
      </w:r>
    </w:p>
    <w:p>
      <w:pPr>
        <w:pStyle w:val="TextBody"/>
        <w:spacing w:before="480" w:after="0"/>
        <w:jc w:val="both"/>
        <w:rPr>
          <w:rFonts w:ascii="ARIAL" w:hAnsi="ARIAL"/>
          <w:sz w:val="20"/>
          <w:bdr w:val="single" w:sz="16" w:space="2" w:color="000000"/>
        </w:rPr>
      </w:pPr>
      <w:r>
        <w:rPr>
          <w:rFonts w:ascii="ARIAL" w:hAnsi="ARIAL"/>
          <w:sz w:val="20"/>
          <w:bdr w:val="single" w:sz="16" w:space="2" w:color="000000"/>
        </w:rPr>
        <w:t xml:space="preserve">The undersigned stockholder(s) hereby appoint(s) David Hering and Jill Andersen, or either of them, as proxies, each with the full power to appoint his or her substitute, and hereby authorize(s) them to represent and to vote, as designated on the reverse side of this ballot, all of the shares of common stock of INVIVYD, INC. that the stockholder(s) is/are entitled to vote at the Annual Meeting of Stockholders to be held on May 23, 2023 at 8:30 a.m., Eastern Time, virtually at www.virtualshareholdermeeting.com/IVVD2023, and at any adjournment or postponement thereof. </w:t>
      </w:r>
    </w:p>
    <w:p>
      <w:pPr>
        <w:pStyle w:val="TextBody"/>
        <w:spacing w:before="240" w:after="0"/>
        <w:jc w:val="left"/>
        <w:rPr>
          <w:rFonts w:ascii="ARIAL" w:hAnsi="ARIAL"/>
          <w:b/>
          <w:sz w:val="20"/>
          <w:bdr w:val="single" w:sz="16" w:space="2" w:color="000000"/>
        </w:rPr>
      </w:pPr>
      <w:r>
        <w:rPr>
          <w:rFonts w:ascii="ARIAL" w:hAnsi="ARIAL"/>
          <w:b/>
          <w:sz w:val="20"/>
          <w:bdr w:val="single" w:sz="16" w:space="2" w:color="000000"/>
        </w:rPr>
        <w:t xml:space="preserve">This proxy, when properly executed, will be voted in the manner directed herein. If no such direction is made, this proxy will be voted FOR on Proposal Nos. 1 and 3 and FOR ALL on Proposal No. 2. </w:t>
      </w:r>
    </w:p>
    <w:p>
      <w:pPr>
        <w:pStyle w:val="TextBody"/>
        <w:pBdr/>
        <w:spacing w:before="2400" w:after="0"/>
        <w:jc w:val="center"/>
        <w:rPr>
          <w:rFonts w:ascii="ARIAL" w:hAnsi="ARIAL"/>
          <w:b/>
          <w:sz w:val="20"/>
          <w:bdr w:val="single" w:sz="16" w:space="2" w:color="000000"/>
        </w:rPr>
      </w:pPr>
      <w:r>
        <w:rPr>
          <w:rFonts w:ascii="ARIAL" w:hAnsi="ARIAL"/>
          <w:b/>
          <w:sz w:val="20"/>
          <w:bdr w:val="single" w:sz="16" w:space="2" w:color="000000"/>
        </w:rPr>
        <w:t xml:space="preserve">Continued and to be signed on reverse side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31524</Words>
  <CharactersWithSpaces>195653</CharactersWithSpaces>
  <Paragraphs>2788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