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22"/>
          <w:szCs w:val="22"/>
          <w:color w:val="auto"/>
        </w:rPr>
        <w:t>SECURITIES AND EXCHANGE COMMISSION</w:t>
      </w:r>
    </w:p>
    <w:p>
      <w:pPr>
        <w:spacing w:after="0" w:line="14"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SCHEDULE 13D/A</w:t>
      </w:r>
    </w:p>
    <w:p>
      <w:pPr>
        <w:spacing w:after="0" w:line="2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(Amendment No. 3)*</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Adagio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(Name of Issuer)</w:t>
      </w:r>
    </w:p>
    <w:p>
      <w:pPr>
        <w:spacing w:after="0" w:line="2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Common Stock, $0.0001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00534A102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(CUSIP Number)</w:t>
      </w:r>
    </w:p>
    <w:p>
      <w:pPr>
        <w:spacing w:after="0" w:line="227" w:lineRule="exact"/>
        <w:rPr>
          <w:sz w:val="24"/>
          <w:szCs w:val="24"/>
          <w:color w:val="auto"/>
        </w:rPr>
      </w:pPr>
    </w:p>
    <w:p>
      <w:pPr>
        <w:ind w:left="4440"/>
        <w:spacing w:after="0"/>
        <w:rPr>
          <w:sz w:val="20"/>
          <w:szCs w:val="20"/>
          <w:color w:val="auto"/>
        </w:rPr>
      </w:pPr>
      <w:r>
        <w:rPr>
          <w:rFonts w:ascii="Times New Roman" w:cs="Times New Roman" w:eastAsia="Times New Roman" w:hAnsi="Times New Roman"/>
          <w:sz w:val="20"/>
          <w:szCs w:val="20"/>
          <w:color w:val="auto"/>
        </w:rPr>
        <w:t>M28 Capital Management LP</w:t>
      </w:r>
    </w:p>
    <w:p>
      <w:pPr>
        <w:ind w:left="4540"/>
        <w:spacing w:after="0" w:line="198" w:lineRule="auto"/>
        <w:rPr>
          <w:sz w:val="20"/>
          <w:szCs w:val="20"/>
          <w:color w:val="auto"/>
        </w:rPr>
      </w:pPr>
      <w:r>
        <w:rPr>
          <w:rFonts w:ascii="Times New Roman" w:cs="Times New Roman" w:eastAsia="Times New Roman" w:hAnsi="Times New Roman"/>
          <w:sz w:val="20"/>
          <w:szCs w:val="20"/>
          <w:color w:val="auto"/>
        </w:rPr>
        <w:t>700 Canal Street, 2</w:t>
      </w:r>
      <w:r>
        <w:rPr>
          <w:rFonts w:ascii="Times New Roman" w:cs="Times New Roman" w:eastAsia="Times New Roman" w:hAnsi="Times New Roman"/>
          <w:sz w:val="32"/>
          <w:szCs w:val="32"/>
          <w:color w:val="auto"/>
          <w:vertAlign w:val="superscript"/>
        </w:rPr>
        <w:t>nd</w:t>
      </w:r>
      <w:r>
        <w:rPr>
          <w:rFonts w:ascii="Times New Roman" w:cs="Times New Roman" w:eastAsia="Times New Roman" w:hAnsi="Times New Roman"/>
          <w:sz w:val="20"/>
          <w:szCs w:val="20"/>
          <w:color w:val="auto"/>
        </w:rPr>
        <w:t xml:space="preserve"> Floor</w:t>
      </w:r>
    </w:p>
    <w:p>
      <w:pPr>
        <w:spacing w:after="0" w:line="1"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20"/>
          <w:szCs w:val="20"/>
          <w:color w:val="auto"/>
        </w:rPr>
        <w:t>Stamford, CT 06902</w:t>
      </w:r>
    </w:p>
    <w:p>
      <w:pPr>
        <w:spacing w:after="0" w:line="221"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20"/>
          <w:szCs w:val="20"/>
          <w:color w:val="auto"/>
        </w:rPr>
        <w:t>Eleazer Klein, Esq.</w:t>
      </w:r>
    </w:p>
    <w:p>
      <w:pPr>
        <w:spacing w:after="0" w:line="21"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0"/>
          <w:szCs w:val="20"/>
          <w:color w:val="auto"/>
        </w:rPr>
        <w:t>Adriana Schwartz, Esq.</w:t>
      </w:r>
    </w:p>
    <w:p>
      <w:pPr>
        <w:ind w:left="4600"/>
        <w:spacing w:after="0"/>
        <w:rPr>
          <w:sz w:val="20"/>
          <w:szCs w:val="20"/>
          <w:color w:val="auto"/>
        </w:rPr>
      </w:pPr>
      <w:r>
        <w:rPr>
          <w:rFonts w:ascii="Times New Roman" w:cs="Times New Roman" w:eastAsia="Times New Roman" w:hAnsi="Times New Roman"/>
          <w:sz w:val="20"/>
          <w:szCs w:val="20"/>
          <w:color w:val="auto"/>
        </w:rPr>
        <w:t>Schulte Roth &amp; Zabel LLP</w:t>
      </w:r>
    </w:p>
    <w:p>
      <w:pPr>
        <w:ind w:left="4960"/>
        <w:spacing w:after="0"/>
        <w:rPr>
          <w:sz w:val="20"/>
          <w:szCs w:val="20"/>
          <w:color w:val="auto"/>
        </w:rPr>
      </w:pPr>
      <w:r>
        <w:rPr>
          <w:rFonts w:ascii="Times New Roman" w:cs="Times New Roman" w:eastAsia="Times New Roman" w:hAnsi="Times New Roman"/>
          <w:sz w:val="20"/>
          <w:szCs w:val="20"/>
          <w:color w:val="auto"/>
        </w:rPr>
        <w:t>919 Third Avenue</w:t>
      </w:r>
    </w:p>
    <w:p>
      <w:pPr>
        <w:ind w:left="4800"/>
        <w:spacing w:after="0"/>
        <w:rPr>
          <w:sz w:val="20"/>
          <w:szCs w:val="20"/>
          <w:color w:val="auto"/>
        </w:rPr>
      </w:pPr>
      <w:r>
        <w:rPr>
          <w:rFonts w:ascii="Times New Roman" w:cs="Times New Roman" w:eastAsia="Times New Roman" w:hAnsi="Times New Roman"/>
          <w:sz w:val="20"/>
          <w:szCs w:val="20"/>
          <w:color w:val="auto"/>
        </w:rPr>
        <w:t>New York, NY 10022</w:t>
      </w:r>
    </w:p>
    <w:p>
      <w:pPr>
        <w:ind w:left="5000"/>
        <w:spacing w:after="0"/>
        <w:rPr>
          <w:sz w:val="20"/>
          <w:szCs w:val="20"/>
          <w:color w:val="auto"/>
        </w:rPr>
      </w:pPr>
      <w:r>
        <w:rPr>
          <w:rFonts w:ascii="Times New Roman" w:cs="Times New Roman" w:eastAsia="Times New Roman" w:hAnsi="Times New Roman"/>
          <w:sz w:val="20"/>
          <w:szCs w:val="20"/>
          <w:color w:val="auto"/>
        </w:rPr>
        <w:t>(212) 756-2000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0</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20"/>
          <w:szCs w:val="20"/>
          <w:color w:val="auto"/>
        </w:rPr>
        <w:t>(Name, Address and Telephone Number of Person</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Authorized to Receive Notices and Communications)</w:t>
      </w:r>
    </w:p>
    <w:p>
      <w:pPr>
        <w:spacing w:after="0" w:line="22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August 17,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right="120"/>
        <w:spacing w:after="0" w:line="261" w:lineRule="exact"/>
        <w:rPr>
          <w:sz w:val="20"/>
          <w:szCs w:val="20"/>
          <w:color w:val="auto"/>
        </w:rPr>
      </w:pPr>
      <w:r>
        <w:rPr>
          <w:rFonts w:ascii="Times New Roman" w:cs="Times New Roman" w:eastAsia="Times New Roman" w:hAnsi="Times New Roman"/>
          <w:sz w:val="20"/>
          <w:szCs w:val="20"/>
          <w:color w:val="auto"/>
        </w:rPr>
        <w:t xml:space="preserve">If the filing person has previously filed a statement on Schedule 13G to report the acquisition that is the subject of this Schedule 13D, and is filing this schedule because of Rule 13d-1(e), Rule 13d-1(f) or Rule 13d-1(g), check the following box. </w:t>
      </w:r>
      <w:r>
        <w:rPr>
          <w:rFonts w:ascii="MS PGothic" w:cs="MS PGothic" w:eastAsia="MS PGothic" w:hAnsi="MS PGothic"/>
          <w:sz w:val="20"/>
          <w:szCs w:val="20"/>
          <w:color w:val="auto"/>
        </w:rPr>
        <w:t>☐</w:t>
      </w:r>
    </w:p>
    <w:p>
      <w:pPr>
        <w:spacing w:after="0" w:line="18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(Page 1 of 5 Pages)</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ind w:right="340" w:firstLine="8"/>
        <w:spacing w:after="0" w:line="246" w:lineRule="auto"/>
        <w:tabs>
          <w:tab w:leader="none" w:pos="148"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95" w:lineRule="exact"/>
        <w:rPr>
          <w:sz w:val="24"/>
          <w:szCs w:val="24"/>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ectPr>
          <w:pgSz w:w="11900" w:h="16838" w:orient="portrait"/>
          <w:cols w:equalWidth="0" w:num="1">
            <w:col w:w="11220"/>
          </w:cols>
          <w:pgMar w:left="320" w:top="463" w:right="35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238"/>
        </w:trPr>
        <w:tc>
          <w:tcPr>
            <w:tcW w:w="1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9"/>
              </w:rPr>
              <w:t>CUSIP No. 00534A102</w:t>
            </w:r>
          </w:p>
        </w:tc>
        <w:tc>
          <w:tcPr>
            <w:tcW w:w="1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20" w:type="dxa"/>
            <w:vAlign w:val="bottom"/>
          </w:tcPr>
          <w:p>
            <w:pPr>
              <w:ind w:left="1940"/>
              <w:spacing w:after="0"/>
              <w:rPr>
                <w:sz w:val="20"/>
                <w:szCs w:val="20"/>
                <w:color w:val="auto"/>
              </w:rPr>
            </w:pPr>
            <w:r>
              <w:rPr>
                <w:rFonts w:ascii="Times New Roman" w:cs="Times New Roman" w:eastAsia="Times New Roman" w:hAnsi="Times New Roman"/>
                <w:sz w:val="18"/>
                <w:szCs w:val="18"/>
                <w:b w:val="1"/>
                <w:bCs w:val="1"/>
                <w:color w:val="auto"/>
              </w:rPr>
              <w:t>SCHEDULE 13D/A</w:t>
            </w:r>
          </w:p>
        </w:tc>
        <w:tc>
          <w:tcPr>
            <w:tcW w:w="170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w w:val="96"/>
              </w:rPr>
              <w:t>Page 2 of 4 Pages</w:t>
            </w:r>
          </w:p>
        </w:tc>
        <w:tc>
          <w:tcPr>
            <w:tcW w:w="0" w:type="dxa"/>
            <w:vAlign w:val="bottom"/>
          </w:tcPr>
          <w:p>
            <w:pPr>
              <w:spacing w:after="0"/>
              <w:rPr>
                <w:sz w:val="1"/>
                <w:szCs w:val="1"/>
                <w:color w:val="auto"/>
              </w:rPr>
            </w:pPr>
          </w:p>
        </w:tc>
      </w:tr>
      <w:tr>
        <w:trPr>
          <w:trHeight w:val="351"/>
        </w:trPr>
        <w:tc>
          <w:tcPr>
            <w:tcW w:w="1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gridSpan w:val="3"/>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1</w:t>
            </w:r>
          </w:p>
        </w:tc>
        <w:tc>
          <w:tcPr>
            <w:tcW w:w="100" w:type="dxa"/>
            <w:vAlign w:val="bottom"/>
          </w:tcPr>
          <w:p>
            <w:pPr>
              <w:spacing w:after="0"/>
              <w:rPr>
                <w:sz w:val="22"/>
                <w:szCs w:val="22"/>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NAME OF REPORTING PERSON</w:t>
            </w: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7780" w:type="dxa"/>
            <w:vAlign w:val="bottom"/>
            <w:gridSpan w:val="3"/>
          </w:tcPr>
          <w:p>
            <w:pPr>
              <w:ind w:left="320"/>
              <w:spacing w:after="0"/>
              <w:rPr>
                <w:sz w:val="20"/>
                <w:szCs w:val="20"/>
                <w:color w:val="auto"/>
              </w:rPr>
            </w:pPr>
            <w:r>
              <w:rPr>
                <w:rFonts w:ascii="Times New Roman" w:cs="Times New Roman" w:eastAsia="Times New Roman" w:hAnsi="Times New Roman"/>
                <w:sz w:val="20"/>
                <w:szCs w:val="20"/>
                <w:color w:val="auto"/>
              </w:rPr>
              <w:t>M28 Capital Management LP</w:t>
            </w: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780" w:type="dxa"/>
            <w:vAlign w:val="bottom"/>
            <w:tcBorders>
              <w:bottom w:val="single" w:sz="8" w:color="auto"/>
            </w:tcBorders>
            <w:gridSpan w:val="3"/>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2</w:t>
            </w:r>
          </w:p>
        </w:tc>
        <w:tc>
          <w:tcPr>
            <w:tcW w:w="100" w:type="dxa"/>
            <w:vAlign w:val="bottom"/>
          </w:tcPr>
          <w:p>
            <w:pPr>
              <w:spacing w:after="0"/>
              <w:rPr>
                <w:sz w:val="22"/>
                <w:szCs w:val="22"/>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1700" w:type="dxa"/>
            <w:vAlign w:val="bottom"/>
            <w:tcBorders>
              <w:right w:val="single" w:sz="8" w:color="auto"/>
            </w:tcBorders>
          </w:tcPr>
          <w:p>
            <w:pPr>
              <w:ind w:left="680"/>
              <w:spacing w:after="0" w:line="253" w:lineRule="exact"/>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304"/>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ind w:left="680"/>
              <w:spacing w:after="0" w:line="253" w:lineRule="exact"/>
              <w:rPr>
                <w:sz w:val="20"/>
                <w:szCs w:val="20"/>
                <w:color w:val="auto"/>
              </w:rPr>
            </w:pPr>
            <w:r>
              <w:rPr>
                <w:rFonts w:ascii="Times New Roman" w:cs="Times New Roman" w:eastAsia="Times New Roman" w:hAnsi="Times New Roman"/>
                <w:sz w:val="22"/>
                <w:szCs w:val="22"/>
                <w:color w:val="auto"/>
              </w:rPr>
              <w:t xml:space="preserve">(b)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316"/>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3</w:t>
            </w:r>
          </w:p>
        </w:tc>
        <w:tc>
          <w:tcPr>
            <w:tcW w:w="100" w:type="dxa"/>
            <w:vAlign w:val="bottom"/>
          </w:tcPr>
          <w:p>
            <w:pPr>
              <w:spacing w:after="0"/>
              <w:rPr>
                <w:sz w:val="24"/>
                <w:szCs w:val="24"/>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SEC USE ONLY</w:t>
            </w:r>
          </w:p>
        </w:tc>
        <w:tc>
          <w:tcPr>
            <w:tcW w:w="17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660" w:type="dxa"/>
            <w:vAlign w:val="bottom"/>
            <w:tcBorders>
              <w:left w:val="single" w:sz="8" w:color="auto"/>
              <w:bottom w:val="single" w:sz="8" w:color="auto"/>
              <w:right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780" w:type="dxa"/>
            <w:vAlign w:val="bottom"/>
            <w:tcBorders>
              <w:bottom w:val="single" w:sz="8" w:color="auto"/>
            </w:tcBorders>
            <w:gridSpan w:val="3"/>
          </w:tcPr>
          <w:p>
            <w:pPr>
              <w:spacing w:after="0"/>
              <w:rPr>
                <w:sz w:val="16"/>
                <w:szCs w:val="16"/>
                <w:color w:val="auto"/>
              </w:rPr>
            </w:pPr>
          </w:p>
        </w:tc>
        <w:tc>
          <w:tcPr>
            <w:tcW w:w="170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4</w:t>
            </w:r>
          </w:p>
        </w:tc>
        <w:tc>
          <w:tcPr>
            <w:tcW w:w="100" w:type="dxa"/>
            <w:vAlign w:val="bottom"/>
          </w:tcPr>
          <w:p>
            <w:pPr>
              <w:spacing w:after="0"/>
              <w:rPr>
                <w:sz w:val="22"/>
                <w:szCs w:val="22"/>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SOURCE OF FUNDS</w:t>
            </w: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AF</w:t>
            </w:r>
          </w:p>
        </w:tc>
        <w:tc>
          <w:tcPr>
            <w:tcW w:w="6620" w:type="dxa"/>
            <w:vAlign w:val="bottom"/>
          </w:tcPr>
          <w:p>
            <w:pPr>
              <w:spacing w:after="0"/>
              <w:rPr>
                <w:sz w:val="22"/>
                <w:szCs w:val="22"/>
                <w:color w:val="auto"/>
              </w:rPr>
            </w:pP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480" w:type="dxa"/>
            <w:vAlign w:val="bottom"/>
            <w:tcBorders>
              <w:bottom w:val="single" w:sz="8" w:color="auto"/>
              <w:right w:val="single" w:sz="8" w:color="auto"/>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5</w:t>
            </w:r>
          </w:p>
        </w:tc>
        <w:tc>
          <w:tcPr>
            <w:tcW w:w="100" w:type="dxa"/>
            <w:vAlign w:val="bottom"/>
          </w:tcPr>
          <w:p>
            <w:pPr>
              <w:spacing w:after="0"/>
              <w:rPr>
                <w:sz w:val="22"/>
                <w:szCs w:val="22"/>
                <w:color w:val="auto"/>
              </w:rPr>
            </w:pPr>
          </w:p>
        </w:tc>
        <w:tc>
          <w:tcPr>
            <w:tcW w:w="9480" w:type="dxa"/>
            <w:vAlign w:val="bottom"/>
            <w:tcBorders>
              <w:right w:val="single" w:sz="8" w:color="auto"/>
            </w:tcBorders>
            <w:gridSpan w:val="4"/>
          </w:tcPr>
          <w:p>
            <w:pPr>
              <w:spacing w:after="0" w:line="242" w:lineRule="exact"/>
              <w:rPr>
                <w:sz w:val="20"/>
                <w:szCs w:val="20"/>
                <w:color w:val="auto"/>
              </w:rPr>
            </w:pPr>
            <w:r>
              <w:rPr>
                <w:rFonts w:ascii="Times New Roman" w:cs="Times New Roman" w:eastAsia="Times New Roman" w:hAnsi="Times New Roman"/>
                <w:sz w:val="20"/>
                <w:szCs w:val="20"/>
                <w:color w:val="auto"/>
              </w:rPr>
              <w:t xml:space="preserve">CHECK BOX IF DISCLOSURE OF LEGAL PROCEEDING IS REQUIRED PURSUANT TO ITEMS  </w:t>
            </w:r>
            <w:r>
              <w:rPr>
                <w:rFonts w:ascii="MS PGothic" w:cs="MS PGothic" w:eastAsia="MS PGothic" w:hAnsi="MS PGothic"/>
                <w:sz w:val="21"/>
                <w:szCs w:val="21"/>
                <w:color w:val="auto"/>
              </w:rPr>
              <w:t>☐</w:t>
            </w: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2(d) or 2(e)</w:t>
            </w:r>
          </w:p>
        </w:tc>
        <w:tc>
          <w:tcPr>
            <w:tcW w:w="6620" w:type="dxa"/>
            <w:vAlign w:val="bottom"/>
          </w:tcPr>
          <w:p>
            <w:pPr>
              <w:spacing w:after="0"/>
              <w:rPr>
                <w:sz w:val="22"/>
                <w:szCs w:val="22"/>
                <w:color w:val="auto"/>
              </w:rPr>
            </w:pP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780" w:type="dxa"/>
            <w:vAlign w:val="bottom"/>
            <w:tcBorders>
              <w:bottom w:val="single" w:sz="8" w:color="auto"/>
            </w:tcBorders>
            <w:gridSpan w:val="3"/>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6</w:t>
            </w:r>
          </w:p>
        </w:tc>
        <w:tc>
          <w:tcPr>
            <w:tcW w:w="100" w:type="dxa"/>
            <w:vAlign w:val="bottom"/>
          </w:tcPr>
          <w:p>
            <w:pPr>
              <w:spacing w:after="0"/>
              <w:rPr>
                <w:sz w:val="22"/>
                <w:szCs w:val="22"/>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Delaware</w:t>
            </w:r>
          </w:p>
        </w:tc>
        <w:tc>
          <w:tcPr>
            <w:tcW w:w="6620" w:type="dxa"/>
            <w:vAlign w:val="bottom"/>
          </w:tcPr>
          <w:p>
            <w:pPr>
              <w:spacing w:after="0"/>
              <w:rPr>
                <w:sz w:val="22"/>
                <w:szCs w:val="22"/>
                <w:color w:val="auto"/>
              </w:rPr>
            </w:pP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620" w:type="dxa"/>
            <w:vAlign w:val="bottom"/>
            <w:tcBorders>
              <w:bottom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right w:val="single" w:sz="8" w:color="auto"/>
            </w:tcBorders>
          </w:tcPr>
          <w:p>
            <w:pPr>
              <w:jc w:val="center"/>
              <w:ind w:right="39"/>
              <w:spacing w:after="0"/>
              <w:rPr>
                <w:sz w:val="20"/>
                <w:szCs w:val="20"/>
                <w:color w:val="auto"/>
              </w:rPr>
            </w:pPr>
            <w:r>
              <w:rPr>
                <w:rFonts w:ascii="Times New Roman" w:cs="Times New Roman" w:eastAsia="Times New Roman" w:hAnsi="Times New Roman"/>
                <w:sz w:val="22"/>
                <w:szCs w:val="22"/>
                <w:b w:val="1"/>
                <w:bCs w:val="1"/>
                <w:color w:val="auto"/>
                <w:w w:val="90"/>
              </w:rPr>
              <w:t>7</w:t>
            </w:r>
          </w:p>
        </w:tc>
        <w:tc>
          <w:tcPr>
            <w:tcW w:w="40" w:type="dxa"/>
            <w:vAlign w:val="bottom"/>
          </w:tcPr>
          <w:p>
            <w:pPr>
              <w:spacing w:after="0"/>
              <w:rPr>
                <w:sz w:val="22"/>
                <w:szCs w:val="22"/>
                <w:color w:val="auto"/>
              </w:rPr>
            </w:pPr>
          </w:p>
        </w:tc>
        <w:tc>
          <w:tcPr>
            <w:tcW w:w="66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SOLE VOTING POWER</w:t>
            </w: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NUMBER OF</w:t>
            </w:r>
          </w:p>
        </w:tc>
        <w:tc>
          <w:tcPr>
            <w:tcW w:w="100" w:type="dxa"/>
            <w:vAlign w:val="bottom"/>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6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-0-</w:t>
            </w: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right w:val="single" w:sz="8" w:color="auto"/>
            </w:tcBorders>
            <w:vMerge w:val="continue"/>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620" w:type="dxa"/>
            <w:vAlign w:val="bottom"/>
            <w:tcBorders>
              <w:bottom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660" w:type="dxa"/>
            <w:vAlign w:val="bottom"/>
            <w:tcBorders>
              <w:left w:val="single" w:sz="8" w:color="auto"/>
              <w:right w:val="single" w:sz="8" w:color="auto"/>
            </w:tcBorders>
            <w:vMerge w:val="continue"/>
          </w:tcPr>
          <w:p>
            <w:pPr>
              <w:spacing w:after="0"/>
              <w:rPr>
                <w:sz w:val="4"/>
                <w:szCs w:val="4"/>
                <w:color w:val="auto"/>
              </w:rPr>
            </w:pPr>
          </w:p>
        </w:tc>
        <w:tc>
          <w:tcPr>
            <w:tcW w:w="100" w:type="dxa"/>
            <w:vAlign w:val="bottom"/>
          </w:tcPr>
          <w:p>
            <w:pPr>
              <w:spacing w:after="0"/>
              <w:rPr>
                <w:sz w:val="4"/>
                <w:szCs w:val="4"/>
                <w:color w:val="auto"/>
              </w:rPr>
            </w:pPr>
          </w:p>
        </w:tc>
        <w:tc>
          <w:tcPr>
            <w:tcW w:w="1120" w:type="dxa"/>
            <w:vAlign w:val="bottom"/>
            <w:tcBorders>
              <w:right w:val="single" w:sz="8" w:color="auto"/>
            </w:tcBorders>
            <w:vMerge w:val="restart"/>
          </w:tcPr>
          <w:p>
            <w:pPr>
              <w:jc w:val="center"/>
              <w:ind w:right="39"/>
              <w:spacing w:after="0"/>
              <w:rPr>
                <w:sz w:val="20"/>
                <w:szCs w:val="20"/>
                <w:color w:val="auto"/>
              </w:rPr>
            </w:pPr>
            <w:r>
              <w:rPr>
                <w:rFonts w:ascii="Times New Roman" w:cs="Times New Roman" w:eastAsia="Times New Roman" w:hAnsi="Times New Roman"/>
                <w:sz w:val="22"/>
                <w:szCs w:val="22"/>
                <w:b w:val="1"/>
                <w:bCs w:val="1"/>
                <w:color w:val="auto"/>
                <w:w w:val="90"/>
              </w:rPr>
              <w:t>8</w:t>
            </w:r>
          </w:p>
        </w:tc>
        <w:tc>
          <w:tcPr>
            <w:tcW w:w="40" w:type="dxa"/>
            <w:vAlign w:val="bottom"/>
          </w:tcPr>
          <w:p>
            <w:pPr>
              <w:spacing w:after="0"/>
              <w:rPr>
                <w:sz w:val="4"/>
                <w:szCs w:val="4"/>
                <w:color w:val="auto"/>
              </w:rPr>
            </w:pPr>
          </w:p>
        </w:tc>
        <w:tc>
          <w:tcPr>
            <w:tcW w:w="66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SHARED VOTING POWER</w:t>
            </w:r>
          </w:p>
        </w:tc>
        <w:tc>
          <w:tcPr>
            <w:tcW w:w="170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SHARES</w:t>
            </w:r>
          </w:p>
        </w:tc>
        <w:tc>
          <w:tcPr>
            <w:tcW w:w="100" w:type="dxa"/>
            <w:vAlign w:val="bottom"/>
          </w:tcPr>
          <w:p>
            <w:pPr>
              <w:spacing w:after="0"/>
              <w:rPr>
                <w:sz w:val="17"/>
                <w:szCs w:val="17"/>
                <w:color w:val="auto"/>
              </w:rPr>
            </w:pPr>
          </w:p>
        </w:tc>
        <w:tc>
          <w:tcPr>
            <w:tcW w:w="1120" w:type="dxa"/>
            <w:vAlign w:val="bottom"/>
            <w:tcBorders>
              <w:right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6620" w:type="dxa"/>
            <w:vAlign w:val="bottom"/>
            <w:vMerge w:val="continue"/>
          </w:tcPr>
          <w:p>
            <w:pPr>
              <w:spacing w:after="0"/>
              <w:rPr>
                <w:sz w:val="17"/>
                <w:szCs w:val="17"/>
                <w:color w:val="auto"/>
              </w:rPr>
            </w:pPr>
          </w:p>
        </w:tc>
        <w:tc>
          <w:tcPr>
            <w:tcW w:w="17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BENEFICIALLY</w:t>
            </w:r>
          </w:p>
        </w:tc>
        <w:tc>
          <w:tcPr>
            <w:tcW w:w="100" w:type="dxa"/>
            <w:vAlign w:val="bottom"/>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6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9,248,250</w:t>
            </w: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OWNED BY</w:t>
            </w:r>
          </w:p>
        </w:tc>
        <w:tc>
          <w:tcPr>
            <w:tcW w:w="1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620" w:type="dxa"/>
            <w:vAlign w:val="bottom"/>
            <w:tcBorders>
              <w:bottom w:val="single" w:sz="8" w:color="auto"/>
            </w:tcBorders>
          </w:tcPr>
          <w:p>
            <w:pPr>
              <w:spacing w:after="0"/>
              <w:rPr>
                <w:sz w:val="9"/>
                <w:szCs w:val="9"/>
                <w:color w:val="auto"/>
              </w:rPr>
            </w:pPr>
          </w:p>
        </w:tc>
        <w:tc>
          <w:tcPr>
            <w:tcW w:w="170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60" w:type="dxa"/>
            <w:vAlign w:val="bottom"/>
            <w:tcBorders>
              <w:left w:val="single" w:sz="8" w:color="auto"/>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1120" w:type="dxa"/>
            <w:vAlign w:val="bottom"/>
            <w:tcBorders>
              <w:right w:val="single" w:sz="8" w:color="auto"/>
            </w:tcBorders>
            <w:vMerge w:val="restart"/>
          </w:tcPr>
          <w:p>
            <w:pPr>
              <w:jc w:val="center"/>
              <w:ind w:right="39"/>
              <w:spacing w:after="0"/>
              <w:rPr>
                <w:sz w:val="20"/>
                <w:szCs w:val="20"/>
                <w:color w:val="auto"/>
              </w:rPr>
            </w:pPr>
            <w:r>
              <w:rPr>
                <w:rFonts w:ascii="Times New Roman" w:cs="Times New Roman" w:eastAsia="Times New Roman" w:hAnsi="Times New Roman"/>
                <w:sz w:val="22"/>
                <w:szCs w:val="22"/>
                <w:b w:val="1"/>
                <w:bCs w:val="1"/>
                <w:color w:val="auto"/>
                <w:w w:val="90"/>
              </w:rPr>
              <w:t>9</w:t>
            </w:r>
          </w:p>
        </w:tc>
        <w:tc>
          <w:tcPr>
            <w:tcW w:w="40" w:type="dxa"/>
            <w:vAlign w:val="bottom"/>
          </w:tcPr>
          <w:p>
            <w:pPr>
              <w:spacing w:after="0"/>
              <w:rPr>
                <w:sz w:val="9"/>
                <w:szCs w:val="9"/>
                <w:color w:val="auto"/>
              </w:rPr>
            </w:pPr>
          </w:p>
        </w:tc>
        <w:tc>
          <w:tcPr>
            <w:tcW w:w="66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SOLE DISPOSITIVE POWER</w:t>
            </w:r>
          </w:p>
        </w:tc>
        <w:tc>
          <w:tcPr>
            <w:tcW w:w="170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0"/>
        </w:trPr>
        <w:tc>
          <w:tcPr>
            <w:tcW w:w="1660" w:type="dxa"/>
            <w:vAlign w:val="bottom"/>
            <w:tcBorders>
              <w:left w:val="single" w:sz="8" w:color="auto"/>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9"/>
                <w:szCs w:val="19"/>
                <w:color w:val="auto"/>
              </w:rPr>
              <w:t>EACH</w:t>
            </w:r>
          </w:p>
        </w:tc>
        <w:tc>
          <w:tcPr>
            <w:tcW w:w="100" w:type="dxa"/>
            <w:vAlign w:val="bottom"/>
          </w:tcPr>
          <w:p>
            <w:pPr>
              <w:spacing w:after="0"/>
              <w:rPr>
                <w:sz w:val="14"/>
                <w:szCs w:val="14"/>
                <w:color w:val="auto"/>
              </w:rPr>
            </w:pPr>
          </w:p>
        </w:tc>
        <w:tc>
          <w:tcPr>
            <w:tcW w:w="11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6620" w:type="dxa"/>
            <w:vAlign w:val="bottom"/>
            <w:vMerge w:val="continue"/>
          </w:tcPr>
          <w:p>
            <w:pPr>
              <w:spacing w:after="0"/>
              <w:rPr>
                <w:sz w:val="14"/>
                <w:szCs w:val="14"/>
                <w:color w:val="auto"/>
              </w:rPr>
            </w:pPr>
          </w:p>
        </w:tc>
        <w:tc>
          <w:tcPr>
            <w:tcW w:w="17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REPORTING</w:t>
            </w:r>
          </w:p>
        </w:tc>
        <w:tc>
          <w:tcPr>
            <w:tcW w:w="100" w:type="dxa"/>
            <w:vAlign w:val="bottom"/>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6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-0-</w:t>
            </w: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1"/>
        </w:trPr>
        <w:tc>
          <w:tcPr>
            <w:tcW w:w="1660" w:type="dxa"/>
            <w:vAlign w:val="bottom"/>
            <w:tcBorders>
              <w:left w:val="single" w:sz="8" w:color="auto"/>
              <w:right w:val="single" w:sz="8" w:color="auto"/>
            </w:tcBorders>
            <w:vMerge w:val="continue"/>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70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PERSON WITH</w:t>
            </w:r>
          </w:p>
        </w:tc>
        <w:tc>
          <w:tcPr>
            <w:tcW w:w="1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620" w:type="dxa"/>
            <w:vAlign w:val="bottom"/>
            <w:tcBorders>
              <w:bottom w:val="single" w:sz="8" w:color="auto"/>
            </w:tcBorders>
          </w:tcPr>
          <w:p>
            <w:pPr>
              <w:spacing w:after="0"/>
              <w:rPr>
                <w:sz w:val="4"/>
                <w:szCs w:val="4"/>
                <w:color w:val="auto"/>
              </w:rPr>
            </w:pPr>
          </w:p>
        </w:tc>
        <w:tc>
          <w:tcPr>
            <w:tcW w:w="17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660" w:type="dxa"/>
            <w:vAlign w:val="bottom"/>
            <w:tcBorders>
              <w:left w:val="single" w:sz="8" w:color="auto"/>
              <w:right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Borders>
              <w:right w:val="single" w:sz="8" w:color="auto"/>
            </w:tcBorders>
            <w:vMerge w:val="restart"/>
          </w:tcPr>
          <w:p>
            <w:pPr>
              <w:jc w:val="center"/>
              <w:ind w:right="39"/>
              <w:spacing w:after="0"/>
              <w:rPr>
                <w:sz w:val="20"/>
                <w:szCs w:val="20"/>
                <w:color w:val="auto"/>
              </w:rPr>
            </w:pPr>
            <w:r>
              <w:rPr>
                <w:rFonts w:ascii="Times New Roman" w:cs="Times New Roman" w:eastAsia="Times New Roman" w:hAnsi="Times New Roman"/>
                <w:sz w:val="22"/>
                <w:szCs w:val="22"/>
                <w:b w:val="1"/>
                <w:bCs w:val="1"/>
                <w:color w:val="auto"/>
                <w:w w:val="99"/>
              </w:rPr>
              <w:t>10</w:t>
            </w:r>
          </w:p>
        </w:tc>
        <w:tc>
          <w:tcPr>
            <w:tcW w:w="40" w:type="dxa"/>
            <w:vAlign w:val="bottom"/>
          </w:tcPr>
          <w:p>
            <w:pPr>
              <w:spacing w:after="0"/>
              <w:rPr>
                <w:sz w:val="16"/>
                <w:szCs w:val="16"/>
                <w:color w:val="auto"/>
              </w:rPr>
            </w:pPr>
          </w:p>
        </w:tc>
        <w:tc>
          <w:tcPr>
            <w:tcW w:w="662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SHARED DISPOSITIVE POWER</w:t>
            </w:r>
          </w:p>
        </w:tc>
        <w:tc>
          <w:tcPr>
            <w:tcW w:w="17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60" w:type="dxa"/>
            <w:vAlign w:val="bottom"/>
            <w:tcBorders>
              <w:left w:val="single" w:sz="8" w:color="auto"/>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12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6620" w:type="dxa"/>
            <w:vAlign w:val="bottom"/>
            <w:vMerge w:val="continue"/>
          </w:tcPr>
          <w:p>
            <w:pPr>
              <w:spacing w:after="0"/>
              <w:rPr>
                <w:sz w:val="5"/>
                <w:szCs w:val="5"/>
                <w:color w:val="auto"/>
              </w:rPr>
            </w:pPr>
          </w:p>
        </w:tc>
        <w:tc>
          <w:tcPr>
            <w:tcW w:w="170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662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9,248,250</w:t>
            </w: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6660" w:type="dxa"/>
            <w:vAlign w:val="bottom"/>
            <w:tcBorders>
              <w:bottom w:val="single" w:sz="8" w:color="auto"/>
            </w:tcBorders>
            <w:gridSpan w:val="2"/>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11</w:t>
            </w:r>
          </w:p>
        </w:tc>
        <w:tc>
          <w:tcPr>
            <w:tcW w:w="100" w:type="dxa"/>
            <w:vAlign w:val="bottom"/>
          </w:tcPr>
          <w:p>
            <w:pPr>
              <w:spacing w:after="0"/>
              <w:rPr>
                <w:sz w:val="22"/>
                <w:szCs w:val="22"/>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9,248,250</w:t>
            </w:r>
          </w:p>
        </w:tc>
        <w:tc>
          <w:tcPr>
            <w:tcW w:w="6620" w:type="dxa"/>
            <w:vAlign w:val="bottom"/>
          </w:tcPr>
          <w:p>
            <w:pPr>
              <w:spacing w:after="0"/>
              <w:rPr>
                <w:sz w:val="22"/>
                <w:szCs w:val="22"/>
                <w:color w:val="auto"/>
              </w:rPr>
            </w:pP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660" w:type="dxa"/>
            <w:vAlign w:val="bottom"/>
            <w:tcBorders>
              <w:bottom w:val="single" w:sz="8" w:color="auto"/>
            </w:tcBorders>
            <w:gridSpan w:val="2"/>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12</w:t>
            </w:r>
          </w:p>
        </w:tc>
        <w:tc>
          <w:tcPr>
            <w:tcW w:w="100" w:type="dxa"/>
            <w:vAlign w:val="bottom"/>
          </w:tcPr>
          <w:p>
            <w:pPr>
              <w:spacing w:after="0"/>
              <w:rPr>
                <w:sz w:val="24"/>
                <w:szCs w:val="24"/>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CHECK IF THE AGGREGATE AMOUNT IN ROW (11) EXCLUDES CERTAIN SHARES</w:t>
            </w:r>
          </w:p>
        </w:tc>
        <w:tc>
          <w:tcPr>
            <w:tcW w:w="1700" w:type="dxa"/>
            <w:vAlign w:val="bottom"/>
            <w:tcBorders>
              <w:right w:val="single" w:sz="8" w:color="auto"/>
            </w:tcBorders>
          </w:tcPr>
          <w:p>
            <w:pPr>
              <w:ind w:left="8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74"/>
        </w:trPr>
        <w:tc>
          <w:tcPr>
            <w:tcW w:w="1660" w:type="dxa"/>
            <w:vAlign w:val="bottom"/>
            <w:tcBorders>
              <w:left w:val="single" w:sz="8" w:color="auto"/>
              <w:bottom w:val="single" w:sz="8" w:color="auto"/>
              <w:right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6660" w:type="dxa"/>
            <w:vAlign w:val="bottom"/>
            <w:tcBorders>
              <w:bottom w:val="single" w:sz="8" w:color="auto"/>
            </w:tcBorders>
            <w:gridSpan w:val="2"/>
          </w:tcPr>
          <w:p>
            <w:pPr>
              <w:spacing w:after="0"/>
              <w:rPr>
                <w:sz w:val="6"/>
                <w:szCs w:val="6"/>
                <w:color w:val="auto"/>
              </w:rPr>
            </w:pPr>
          </w:p>
        </w:tc>
        <w:tc>
          <w:tcPr>
            <w:tcW w:w="17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13</w:t>
            </w:r>
          </w:p>
        </w:tc>
        <w:tc>
          <w:tcPr>
            <w:tcW w:w="100" w:type="dxa"/>
            <w:vAlign w:val="bottom"/>
          </w:tcPr>
          <w:p>
            <w:pPr>
              <w:spacing w:after="0"/>
              <w:rPr>
                <w:sz w:val="22"/>
                <w:szCs w:val="22"/>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PERCENT OF CLASS REPRESENTED BY AMOUNT IN ROW (11)</w:t>
            </w: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20"/>
                <w:szCs w:val="20"/>
                <w:color w:val="auto"/>
              </w:rPr>
              <w:t>8.50%</w:t>
            </w:r>
          </w:p>
        </w:tc>
        <w:tc>
          <w:tcPr>
            <w:tcW w:w="4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660" w:type="dxa"/>
            <w:vAlign w:val="bottom"/>
            <w:tcBorders>
              <w:bottom w:val="single" w:sz="8" w:color="auto"/>
            </w:tcBorders>
            <w:gridSpan w:val="2"/>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14</w:t>
            </w:r>
          </w:p>
        </w:tc>
        <w:tc>
          <w:tcPr>
            <w:tcW w:w="100" w:type="dxa"/>
            <w:vAlign w:val="bottom"/>
          </w:tcPr>
          <w:p>
            <w:pPr>
              <w:spacing w:after="0"/>
              <w:rPr>
                <w:sz w:val="22"/>
                <w:szCs w:val="22"/>
                <w:color w:val="auto"/>
              </w:rPr>
            </w:pPr>
          </w:p>
        </w:tc>
        <w:tc>
          <w:tcPr>
            <w:tcW w:w="778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TYPE OF REPORTING PERSON</w:t>
            </w: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IA</w:t>
            </w:r>
          </w:p>
        </w:tc>
        <w:tc>
          <w:tcPr>
            <w:tcW w:w="6620" w:type="dxa"/>
            <w:vAlign w:val="bottom"/>
          </w:tcPr>
          <w:p>
            <w:pPr>
              <w:spacing w:after="0"/>
              <w:rPr>
                <w:sz w:val="22"/>
                <w:szCs w:val="22"/>
                <w:color w:val="auto"/>
              </w:rPr>
            </w:pPr>
          </w:p>
        </w:tc>
        <w:tc>
          <w:tcPr>
            <w:tcW w:w="17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620" w:type="dxa"/>
            <w:vAlign w:val="bottom"/>
            <w:tcBorders>
              <w:bottom w:val="single" w:sz="8" w:color="auto"/>
            </w:tcBorders>
          </w:tcPr>
          <w:p>
            <w:pPr>
              <w:spacing w:after="0"/>
              <w:rPr>
                <w:sz w:val="8"/>
                <w:szCs w:val="8"/>
                <w:color w:val="auto"/>
              </w:rPr>
            </w:pPr>
          </w:p>
        </w:tc>
        <w:tc>
          <w:tcPr>
            <w:tcW w:w="170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2" w:name="page3"/>
    <w:bookmarkEnd w:id="2"/>
    <w:p>
      <w:pPr>
        <w:spacing w:after="0"/>
        <w:tabs>
          <w:tab w:leader="none" w:pos="484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00534A102</w:t>
      </w:r>
      <w:r>
        <w:rPr>
          <w:sz w:val="20"/>
          <w:szCs w:val="20"/>
          <w:color w:val="auto"/>
        </w:rPr>
        <w:tab/>
      </w:r>
      <w:r>
        <w:rPr>
          <w:rFonts w:ascii="Times New Roman" w:cs="Times New Roman" w:eastAsia="Times New Roman" w:hAnsi="Times New Roman"/>
          <w:sz w:val="18"/>
          <w:szCs w:val="18"/>
          <w:b w:val="1"/>
          <w:bCs w:val="1"/>
          <w:color w:val="auto"/>
        </w:rPr>
        <w:t>SCHEDULE 13D/A</w:t>
      </w:r>
      <w:r>
        <w:rPr>
          <w:sz w:val="20"/>
          <w:szCs w:val="20"/>
          <w:color w:val="auto"/>
        </w:rPr>
        <w:tab/>
      </w:r>
      <w:r>
        <w:rPr>
          <w:rFonts w:ascii="Times New Roman" w:cs="Times New Roman" w:eastAsia="Times New Roman" w:hAnsi="Times New Roman"/>
          <w:sz w:val="17"/>
          <w:szCs w:val="17"/>
          <w:b w:val="1"/>
          <w:bCs w:val="1"/>
          <w:color w:val="auto"/>
        </w:rPr>
        <w:t>Page 3 of 4 Pages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74"/>
        </w:trPr>
        <w:tc>
          <w:tcPr>
            <w:tcW w:w="16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1</w:t>
            </w:r>
          </w:p>
        </w:tc>
        <w:tc>
          <w:tcPr>
            <w:tcW w:w="8460" w:type="dxa"/>
            <w:vAlign w:val="bottom"/>
            <w:tcBorders>
              <w:top w:val="single" w:sz="8" w:color="auto"/>
            </w:tcBorders>
            <w:gridSpan w:val="3"/>
          </w:tcPr>
          <w:p>
            <w:pPr>
              <w:ind w:left="100"/>
              <w:spacing w:after="0"/>
              <w:rPr>
                <w:sz w:val="20"/>
                <w:szCs w:val="20"/>
                <w:color w:val="auto"/>
              </w:rPr>
            </w:pPr>
            <w:r>
              <w:rPr>
                <w:rFonts w:ascii="Times New Roman" w:cs="Times New Roman" w:eastAsia="Times New Roman" w:hAnsi="Times New Roman"/>
                <w:sz w:val="20"/>
                <w:szCs w:val="20"/>
                <w:color w:val="auto"/>
              </w:rPr>
              <w:t>NAME OF REPORTING PERSON</w:t>
            </w:r>
          </w:p>
        </w:tc>
        <w:tc>
          <w:tcPr>
            <w:tcW w:w="1120" w:type="dxa"/>
            <w:vAlign w:val="bottom"/>
            <w:tcBorders>
              <w:top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Marc Elia</w:t>
            </w:r>
          </w:p>
        </w:tc>
        <w:tc>
          <w:tcPr>
            <w:tcW w:w="7200" w:type="dxa"/>
            <w:vAlign w:val="bottom"/>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8460" w:type="dxa"/>
            <w:vAlign w:val="bottom"/>
            <w:tcBorders>
              <w:bottom w:val="single" w:sz="8" w:color="auto"/>
            </w:tcBorders>
            <w:gridSpan w:val="3"/>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2</w:t>
            </w:r>
          </w:p>
        </w:tc>
        <w:tc>
          <w:tcPr>
            <w:tcW w:w="84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CHECK THE APPROPRIATE BOX IF A MEMBER OF A GROUP</w:t>
            </w:r>
          </w:p>
        </w:tc>
        <w:tc>
          <w:tcPr>
            <w:tcW w:w="1120" w:type="dxa"/>
            <w:vAlign w:val="bottom"/>
            <w:tcBorders>
              <w:right w:val="single" w:sz="8" w:color="auto"/>
            </w:tcBorders>
          </w:tcPr>
          <w:p>
            <w:pPr>
              <w:ind w:left="100"/>
              <w:spacing w:after="0" w:line="253" w:lineRule="exact"/>
              <w:rPr>
                <w:sz w:val="20"/>
                <w:szCs w:val="20"/>
                <w:color w:val="auto"/>
              </w:rPr>
            </w:pPr>
            <w:r>
              <w:rPr>
                <w:rFonts w:ascii="Times New Roman" w:cs="Times New Roman" w:eastAsia="Times New Roman" w:hAnsi="Times New Roman"/>
                <w:sz w:val="22"/>
                <w:szCs w:val="22"/>
                <w:color w:val="auto"/>
              </w:rPr>
              <w:t xml:space="preserve">(a)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304"/>
        </w:trPr>
        <w:tc>
          <w:tcPr>
            <w:tcW w:w="1660" w:type="dxa"/>
            <w:vAlign w:val="bottom"/>
            <w:tcBorders>
              <w:left w:val="single" w:sz="8" w:color="auto"/>
              <w:bottom w:val="single" w:sz="8" w:color="auto"/>
              <w:right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ind w:left="100"/>
              <w:spacing w:after="0" w:line="253" w:lineRule="exact"/>
              <w:rPr>
                <w:sz w:val="20"/>
                <w:szCs w:val="20"/>
                <w:color w:val="auto"/>
              </w:rPr>
            </w:pPr>
            <w:r>
              <w:rPr>
                <w:rFonts w:ascii="Times New Roman" w:cs="Times New Roman" w:eastAsia="Times New Roman" w:hAnsi="Times New Roman"/>
                <w:sz w:val="22"/>
                <w:szCs w:val="22"/>
                <w:color w:val="auto"/>
              </w:rPr>
              <w:t xml:space="preserve">(b) </w:t>
            </w: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316"/>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3</w:t>
            </w:r>
          </w:p>
        </w:tc>
        <w:tc>
          <w:tcPr>
            <w:tcW w:w="84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SEC USE ONLY</w:t>
            </w:r>
          </w:p>
        </w:tc>
        <w:tc>
          <w:tcPr>
            <w:tcW w:w="11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1660" w:type="dxa"/>
            <w:vAlign w:val="bottom"/>
            <w:tcBorders>
              <w:left w:val="single" w:sz="8" w:color="auto"/>
              <w:bottom w:val="single" w:sz="8" w:color="auto"/>
              <w:right w:val="single" w:sz="8" w:color="auto"/>
            </w:tcBorders>
          </w:tcPr>
          <w:p>
            <w:pPr>
              <w:spacing w:after="0"/>
              <w:rPr>
                <w:sz w:val="16"/>
                <w:szCs w:val="16"/>
                <w:color w:val="auto"/>
              </w:rPr>
            </w:pPr>
          </w:p>
        </w:tc>
        <w:tc>
          <w:tcPr>
            <w:tcW w:w="8460" w:type="dxa"/>
            <w:vAlign w:val="bottom"/>
            <w:tcBorders>
              <w:bottom w:val="single" w:sz="8" w:color="auto"/>
            </w:tcBorders>
            <w:gridSpan w:val="3"/>
          </w:tcPr>
          <w:p>
            <w:pPr>
              <w:spacing w:after="0"/>
              <w:rPr>
                <w:sz w:val="16"/>
                <w:szCs w:val="16"/>
                <w:color w:val="auto"/>
              </w:rPr>
            </w:pPr>
          </w:p>
        </w:tc>
        <w:tc>
          <w:tcPr>
            <w:tcW w:w="112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4</w:t>
            </w:r>
          </w:p>
        </w:tc>
        <w:tc>
          <w:tcPr>
            <w:tcW w:w="84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SOURCE OF FUNDS</w:t>
            </w:r>
          </w:p>
        </w:tc>
        <w:tc>
          <w:tcPr>
            <w:tcW w:w="1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AF</w:t>
            </w:r>
          </w:p>
        </w:tc>
        <w:tc>
          <w:tcPr>
            <w:tcW w:w="7200" w:type="dxa"/>
            <w:vAlign w:val="bottom"/>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8460" w:type="dxa"/>
            <w:vAlign w:val="bottom"/>
            <w:tcBorders>
              <w:bottom w:val="single" w:sz="8" w:color="auto"/>
            </w:tcBorders>
            <w:gridSpan w:val="3"/>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5</w:t>
            </w:r>
          </w:p>
        </w:tc>
        <w:tc>
          <w:tcPr>
            <w:tcW w:w="84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w w:val="99"/>
              </w:rPr>
              <w:t>CHECK BOX IF DISCLOSURE OF LEGAL PROCEEDING IS REQUIRED PURSUANT TO ITEMS</w:t>
            </w:r>
          </w:p>
        </w:tc>
        <w:tc>
          <w:tcPr>
            <w:tcW w:w="1120" w:type="dxa"/>
            <w:vAlign w:val="bottom"/>
            <w:tcBorders>
              <w:right w:val="single" w:sz="8" w:color="auto"/>
            </w:tcBorders>
          </w:tcPr>
          <w:p>
            <w:pPr>
              <w:ind w:left="10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2(d) or 2(e)</w:t>
            </w:r>
          </w:p>
        </w:tc>
        <w:tc>
          <w:tcPr>
            <w:tcW w:w="7200" w:type="dxa"/>
            <w:vAlign w:val="bottom"/>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8460" w:type="dxa"/>
            <w:vAlign w:val="bottom"/>
            <w:tcBorders>
              <w:bottom w:val="single" w:sz="8" w:color="auto"/>
            </w:tcBorders>
            <w:gridSpan w:val="3"/>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6</w:t>
            </w:r>
          </w:p>
        </w:tc>
        <w:tc>
          <w:tcPr>
            <w:tcW w:w="84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CITIZENSHIP OR PLACE OF ORGANIZATION</w:t>
            </w:r>
          </w:p>
        </w:tc>
        <w:tc>
          <w:tcPr>
            <w:tcW w:w="1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8460" w:type="dxa"/>
            <w:vAlign w:val="bottom"/>
            <w:gridSpan w:val="3"/>
          </w:tcPr>
          <w:p>
            <w:pPr>
              <w:ind w:left="420"/>
              <w:spacing w:after="0"/>
              <w:rPr>
                <w:sz w:val="20"/>
                <w:szCs w:val="20"/>
                <w:color w:val="auto"/>
              </w:rPr>
            </w:pPr>
            <w:r>
              <w:rPr>
                <w:rFonts w:ascii="Times New Roman" w:cs="Times New Roman" w:eastAsia="Times New Roman" w:hAnsi="Times New Roman"/>
                <w:sz w:val="20"/>
                <w:szCs w:val="20"/>
                <w:color w:val="auto"/>
              </w:rPr>
              <w:t>United States</w:t>
            </w:r>
          </w:p>
        </w:tc>
        <w:tc>
          <w:tcPr>
            <w:tcW w:w="1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2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7</w:t>
            </w:r>
          </w:p>
        </w:tc>
        <w:tc>
          <w:tcPr>
            <w:tcW w:w="40" w:type="dxa"/>
            <w:vAlign w:val="bottom"/>
          </w:tcPr>
          <w:p>
            <w:pPr>
              <w:spacing w:after="0"/>
              <w:rPr>
                <w:sz w:val="22"/>
                <w:szCs w:val="22"/>
                <w:color w:val="auto"/>
              </w:rPr>
            </w:pPr>
          </w:p>
        </w:tc>
        <w:tc>
          <w:tcPr>
            <w:tcW w:w="720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SOLE VOTING POWER</w:t>
            </w:r>
          </w:p>
        </w:tc>
        <w:tc>
          <w:tcPr>
            <w:tcW w:w="1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NUMBER OF</w:t>
            </w:r>
          </w:p>
        </w:tc>
        <w:tc>
          <w:tcPr>
            <w:tcW w:w="12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72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-0-</w:t>
            </w:r>
          </w:p>
        </w:tc>
        <w:tc>
          <w:tcPr>
            <w:tcW w:w="1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right w:val="single" w:sz="8" w:color="auto"/>
            </w:tcBorders>
            <w:vMerge w:val="continue"/>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2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1660" w:type="dxa"/>
            <w:vAlign w:val="bottom"/>
            <w:tcBorders>
              <w:left w:val="single" w:sz="8" w:color="auto"/>
              <w:right w:val="single" w:sz="8" w:color="auto"/>
            </w:tcBorders>
            <w:vMerge w:val="continue"/>
          </w:tcPr>
          <w:p>
            <w:pPr>
              <w:spacing w:after="0"/>
              <w:rPr>
                <w:sz w:val="4"/>
                <w:szCs w:val="4"/>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8</w:t>
            </w:r>
          </w:p>
        </w:tc>
        <w:tc>
          <w:tcPr>
            <w:tcW w:w="40" w:type="dxa"/>
            <w:vAlign w:val="bottom"/>
          </w:tcPr>
          <w:p>
            <w:pPr>
              <w:spacing w:after="0"/>
              <w:rPr>
                <w:sz w:val="4"/>
                <w:szCs w:val="4"/>
                <w:color w:val="auto"/>
              </w:rPr>
            </w:pPr>
          </w:p>
        </w:tc>
        <w:tc>
          <w:tcPr>
            <w:tcW w:w="72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SHARED VOTING POWER</w:t>
            </w:r>
          </w:p>
        </w:tc>
        <w:tc>
          <w:tcPr>
            <w:tcW w:w="11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03"/>
        </w:trPr>
        <w:tc>
          <w:tcPr>
            <w:tcW w:w="1660" w:type="dxa"/>
            <w:vAlign w:val="bottom"/>
            <w:tcBorders>
              <w:left w:val="single" w:sz="8" w:color="auto"/>
              <w:right w:val="single" w:sz="8" w:color="auto"/>
            </w:tcBorders>
          </w:tcPr>
          <w:p>
            <w:pPr>
              <w:jc w:val="center"/>
              <w:spacing w:after="0" w:line="203" w:lineRule="exact"/>
              <w:rPr>
                <w:sz w:val="20"/>
                <w:szCs w:val="20"/>
                <w:color w:val="auto"/>
              </w:rPr>
            </w:pPr>
            <w:r>
              <w:rPr>
                <w:rFonts w:ascii="Times New Roman" w:cs="Times New Roman" w:eastAsia="Times New Roman" w:hAnsi="Times New Roman"/>
                <w:sz w:val="20"/>
                <w:szCs w:val="20"/>
                <w:color w:val="auto"/>
                <w:w w:val="99"/>
              </w:rPr>
              <w:t>SHARES</w:t>
            </w:r>
          </w:p>
        </w:tc>
        <w:tc>
          <w:tcPr>
            <w:tcW w:w="1220" w:type="dxa"/>
            <w:vAlign w:val="bottom"/>
            <w:tcBorders>
              <w:right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7200" w:type="dxa"/>
            <w:vAlign w:val="bottom"/>
            <w:vMerge w:val="continue"/>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BENEFICIALLY</w:t>
            </w:r>
          </w:p>
        </w:tc>
        <w:tc>
          <w:tcPr>
            <w:tcW w:w="12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72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9,248,250</w:t>
            </w:r>
          </w:p>
        </w:tc>
        <w:tc>
          <w:tcPr>
            <w:tcW w:w="1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4"/>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8"/>
              </w:rPr>
              <w:t>OWNED BY</w:t>
            </w:r>
          </w:p>
        </w:tc>
        <w:tc>
          <w:tcPr>
            <w:tcW w:w="122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7200" w:type="dxa"/>
            <w:vAlign w:val="bottom"/>
            <w:tcBorders>
              <w:bottom w:val="single" w:sz="8" w:color="auto"/>
            </w:tcBorders>
          </w:tcPr>
          <w:p>
            <w:pPr>
              <w:spacing w:after="0"/>
              <w:rPr>
                <w:sz w:val="9"/>
                <w:szCs w:val="9"/>
                <w:color w:val="auto"/>
              </w:rPr>
            </w:pPr>
          </w:p>
        </w:tc>
        <w:tc>
          <w:tcPr>
            <w:tcW w:w="112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660" w:type="dxa"/>
            <w:vAlign w:val="bottom"/>
            <w:tcBorders>
              <w:left w:val="single" w:sz="8" w:color="auto"/>
              <w:right w:val="single" w:sz="8" w:color="auto"/>
            </w:tcBorders>
            <w:vMerge w:val="continue"/>
          </w:tcPr>
          <w:p>
            <w:pPr>
              <w:spacing w:after="0"/>
              <w:rPr>
                <w:sz w:val="9"/>
                <w:szCs w:val="9"/>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0"/>
              </w:rPr>
              <w:t>9</w:t>
            </w:r>
          </w:p>
        </w:tc>
        <w:tc>
          <w:tcPr>
            <w:tcW w:w="40" w:type="dxa"/>
            <w:vAlign w:val="bottom"/>
          </w:tcPr>
          <w:p>
            <w:pPr>
              <w:spacing w:after="0"/>
              <w:rPr>
                <w:sz w:val="9"/>
                <w:szCs w:val="9"/>
                <w:color w:val="auto"/>
              </w:rPr>
            </w:pPr>
          </w:p>
        </w:tc>
        <w:tc>
          <w:tcPr>
            <w:tcW w:w="72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SOLE DISPOSITIVE POWER</w:t>
            </w:r>
          </w:p>
        </w:tc>
        <w:tc>
          <w:tcPr>
            <w:tcW w:w="11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1660" w:type="dxa"/>
            <w:vAlign w:val="bottom"/>
            <w:tcBorders>
              <w:left w:val="single" w:sz="8" w:color="auto"/>
              <w:right w:val="single" w:sz="8" w:color="auto"/>
            </w:tcBorders>
          </w:tcPr>
          <w:p>
            <w:pPr>
              <w:jc w:val="center"/>
              <w:spacing w:after="0" w:line="171" w:lineRule="exact"/>
              <w:rPr>
                <w:sz w:val="20"/>
                <w:szCs w:val="20"/>
                <w:color w:val="auto"/>
              </w:rPr>
            </w:pPr>
            <w:r>
              <w:rPr>
                <w:rFonts w:ascii="Times New Roman" w:cs="Times New Roman" w:eastAsia="Times New Roman" w:hAnsi="Times New Roman"/>
                <w:sz w:val="19"/>
                <w:szCs w:val="19"/>
                <w:color w:val="auto"/>
              </w:rPr>
              <w:t>EACH</w:t>
            </w:r>
          </w:p>
        </w:tc>
        <w:tc>
          <w:tcPr>
            <w:tcW w:w="1220" w:type="dxa"/>
            <w:vAlign w:val="bottom"/>
            <w:tcBorders>
              <w:right w:val="single" w:sz="8" w:color="auto"/>
            </w:tcBorders>
            <w:vMerge w:val="continue"/>
          </w:tcPr>
          <w:p>
            <w:pPr>
              <w:spacing w:after="0"/>
              <w:rPr>
                <w:sz w:val="14"/>
                <w:szCs w:val="14"/>
                <w:color w:val="auto"/>
              </w:rPr>
            </w:pPr>
          </w:p>
        </w:tc>
        <w:tc>
          <w:tcPr>
            <w:tcW w:w="40" w:type="dxa"/>
            <w:vAlign w:val="bottom"/>
          </w:tcPr>
          <w:p>
            <w:pPr>
              <w:spacing w:after="0"/>
              <w:rPr>
                <w:sz w:val="14"/>
                <w:szCs w:val="14"/>
                <w:color w:val="auto"/>
              </w:rPr>
            </w:pPr>
          </w:p>
        </w:tc>
        <w:tc>
          <w:tcPr>
            <w:tcW w:w="7200" w:type="dxa"/>
            <w:vAlign w:val="bottom"/>
            <w:vMerge w:val="continue"/>
          </w:tcPr>
          <w:p>
            <w:pPr>
              <w:spacing w:after="0"/>
              <w:rPr>
                <w:sz w:val="14"/>
                <w:szCs w:val="14"/>
                <w:color w:val="auto"/>
              </w:rPr>
            </w:pPr>
          </w:p>
        </w:tc>
        <w:tc>
          <w:tcPr>
            <w:tcW w:w="11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7"/>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w w:val="97"/>
              </w:rPr>
              <w:t>REPORTING</w:t>
            </w:r>
          </w:p>
        </w:tc>
        <w:tc>
          <w:tcPr>
            <w:tcW w:w="12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72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-0-</w:t>
            </w:r>
          </w:p>
        </w:tc>
        <w:tc>
          <w:tcPr>
            <w:tcW w:w="1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31"/>
        </w:trPr>
        <w:tc>
          <w:tcPr>
            <w:tcW w:w="1660" w:type="dxa"/>
            <w:vAlign w:val="bottom"/>
            <w:tcBorders>
              <w:left w:val="single" w:sz="8" w:color="auto"/>
              <w:right w:val="single" w:sz="8" w:color="auto"/>
            </w:tcBorders>
            <w:vMerge w:val="continue"/>
          </w:tcPr>
          <w:p>
            <w:pPr>
              <w:spacing w:after="0"/>
              <w:rPr>
                <w:sz w:val="2"/>
                <w:szCs w:val="2"/>
                <w:color w:val="auto"/>
              </w:rPr>
            </w:pPr>
          </w:p>
        </w:tc>
        <w:tc>
          <w:tcPr>
            <w:tcW w:w="1220" w:type="dxa"/>
            <w:vAlign w:val="bottom"/>
            <w:tcBorders>
              <w:right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7200" w:type="dxa"/>
            <w:vAlign w:val="bottom"/>
          </w:tcPr>
          <w:p>
            <w:pPr>
              <w:spacing w:after="0"/>
              <w:rPr>
                <w:sz w:val="2"/>
                <w:szCs w:val="2"/>
                <w:color w:val="auto"/>
              </w:rPr>
            </w:pPr>
          </w:p>
        </w:tc>
        <w:tc>
          <w:tcPr>
            <w:tcW w:w="112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50"/>
        </w:trPr>
        <w:tc>
          <w:tcPr>
            <w:tcW w:w="16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PERSON WITH</w:t>
            </w:r>
          </w:p>
        </w:tc>
        <w:tc>
          <w:tcPr>
            <w:tcW w:w="1220" w:type="dxa"/>
            <w:vAlign w:val="bottom"/>
            <w:tcBorders>
              <w:bottom w:val="single" w:sz="8" w:color="auto"/>
              <w:right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7200" w:type="dxa"/>
            <w:vAlign w:val="bottom"/>
            <w:tcBorders>
              <w:bottom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660" w:type="dxa"/>
            <w:vAlign w:val="bottom"/>
            <w:tcBorders>
              <w:left w:val="single" w:sz="8" w:color="auto"/>
              <w:right w:val="single" w:sz="8" w:color="auto"/>
            </w:tcBorders>
            <w:vMerge w:val="continue"/>
          </w:tcPr>
          <w:p>
            <w:pPr>
              <w:spacing w:after="0"/>
              <w:rPr>
                <w:sz w:val="16"/>
                <w:szCs w:val="16"/>
                <w:color w:val="auto"/>
              </w:rPr>
            </w:pP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10</w:t>
            </w:r>
          </w:p>
        </w:tc>
        <w:tc>
          <w:tcPr>
            <w:tcW w:w="40" w:type="dxa"/>
            <w:vAlign w:val="bottom"/>
          </w:tcPr>
          <w:p>
            <w:pPr>
              <w:spacing w:after="0"/>
              <w:rPr>
                <w:sz w:val="16"/>
                <w:szCs w:val="16"/>
                <w:color w:val="auto"/>
              </w:rPr>
            </w:pPr>
          </w:p>
        </w:tc>
        <w:tc>
          <w:tcPr>
            <w:tcW w:w="7200" w:type="dxa"/>
            <w:vAlign w:val="bottom"/>
            <w:vMerge w:val="restart"/>
          </w:tcPr>
          <w:p>
            <w:pPr>
              <w:ind w:left="60"/>
              <w:spacing w:after="0"/>
              <w:rPr>
                <w:sz w:val="20"/>
                <w:szCs w:val="20"/>
                <w:color w:val="auto"/>
              </w:rPr>
            </w:pPr>
            <w:r>
              <w:rPr>
                <w:rFonts w:ascii="Times New Roman" w:cs="Times New Roman" w:eastAsia="Times New Roman" w:hAnsi="Times New Roman"/>
                <w:sz w:val="20"/>
                <w:szCs w:val="20"/>
                <w:color w:val="auto"/>
              </w:rPr>
              <w:t>SHARED DISPOSITIVE POWER</w:t>
            </w:r>
          </w:p>
        </w:tc>
        <w:tc>
          <w:tcPr>
            <w:tcW w:w="11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1660" w:type="dxa"/>
            <w:vAlign w:val="bottom"/>
            <w:tcBorders>
              <w:left w:val="single" w:sz="8" w:color="auto"/>
              <w:right w:val="single" w:sz="8" w:color="auto"/>
            </w:tcBorders>
          </w:tcPr>
          <w:p>
            <w:pPr>
              <w:spacing w:after="0"/>
              <w:rPr>
                <w:sz w:val="5"/>
                <w:szCs w:val="5"/>
                <w:color w:val="auto"/>
              </w:rPr>
            </w:pPr>
          </w:p>
        </w:tc>
        <w:tc>
          <w:tcPr>
            <w:tcW w:w="1220" w:type="dxa"/>
            <w:vAlign w:val="bottom"/>
            <w:tcBorders>
              <w:right w:val="single" w:sz="8" w:color="auto"/>
            </w:tcBorders>
            <w:vMerge w:val="continue"/>
          </w:tcPr>
          <w:p>
            <w:pPr>
              <w:spacing w:after="0"/>
              <w:rPr>
                <w:sz w:val="5"/>
                <w:szCs w:val="5"/>
                <w:color w:val="auto"/>
              </w:rPr>
            </w:pPr>
          </w:p>
        </w:tc>
        <w:tc>
          <w:tcPr>
            <w:tcW w:w="40" w:type="dxa"/>
            <w:vAlign w:val="bottom"/>
          </w:tcPr>
          <w:p>
            <w:pPr>
              <w:spacing w:after="0"/>
              <w:rPr>
                <w:sz w:val="5"/>
                <w:szCs w:val="5"/>
                <w:color w:val="auto"/>
              </w:rPr>
            </w:pPr>
          </w:p>
        </w:tc>
        <w:tc>
          <w:tcPr>
            <w:tcW w:w="7200" w:type="dxa"/>
            <w:vAlign w:val="bottom"/>
            <w:vMerge w:val="continue"/>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Borders>
              <w:right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7200" w:type="dxa"/>
            <w:vAlign w:val="bottom"/>
          </w:tcPr>
          <w:p>
            <w:pPr>
              <w:ind w:left="380"/>
              <w:spacing w:after="0"/>
              <w:rPr>
                <w:sz w:val="20"/>
                <w:szCs w:val="20"/>
                <w:color w:val="auto"/>
              </w:rPr>
            </w:pPr>
            <w:r>
              <w:rPr>
                <w:rFonts w:ascii="Times New Roman" w:cs="Times New Roman" w:eastAsia="Times New Roman" w:hAnsi="Times New Roman"/>
                <w:sz w:val="20"/>
                <w:szCs w:val="20"/>
                <w:color w:val="auto"/>
              </w:rPr>
              <w:t>9,248,250</w:t>
            </w:r>
          </w:p>
        </w:tc>
        <w:tc>
          <w:tcPr>
            <w:tcW w:w="1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right w:val="single" w:sz="8" w:color="auto"/>
            </w:tcBorders>
          </w:tcPr>
          <w:p>
            <w:pPr>
              <w:spacing w:after="0"/>
              <w:rPr>
                <w:sz w:val="8"/>
                <w:szCs w:val="8"/>
                <w:color w:val="auto"/>
              </w:rPr>
            </w:pPr>
          </w:p>
        </w:tc>
        <w:tc>
          <w:tcPr>
            <w:tcW w:w="7240" w:type="dxa"/>
            <w:vAlign w:val="bottom"/>
            <w:tcBorders>
              <w:bottom w:val="single" w:sz="8" w:color="auto"/>
            </w:tcBorders>
            <w:gridSpan w:val="2"/>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11</w:t>
            </w:r>
          </w:p>
        </w:tc>
        <w:tc>
          <w:tcPr>
            <w:tcW w:w="84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AGGREGATE AMOUNT BENEFICIALLY OWNED BY EACH REPORTING PERSON</w:t>
            </w:r>
          </w:p>
        </w:tc>
        <w:tc>
          <w:tcPr>
            <w:tcW w:w="1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9,248,250</w:t>
            </w:r>
          </w:p>
        </w:tc>
        <w:tc>
          <w:tcPr>
            <w:tcW w:w="7200" w:type="dxa"/>
            <w:vAlign w:val="bottom"/>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40" w:type="dxa"/>
            <w:vAlign w:val="bottom"/>
            <w:tcBorders>
              <w:bottom w:val="single" w:sz="8" w:color="auto"/>
            </w:tcBorders>
            <w:gridSpan w:val="2"/>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12</w:t>
            </w:r>
          </w:p>
        </w:tc>
        <w:tc>
          <w:tcPr>
            <w:tcW w:w="84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CHECK IF THE AGGREGATE AMOUNT IN ROW (11) EXCLUDES CERTAIN SHARES</w:t>
            </w:r>
          </w:p>
        </w:tc>
        <w:tc>
          <w:tcPr>
            <w:tcW w:w="1120" w:type="dxa"/>
            <w:vAlign w:val="bottom"/>
            <w:tcBorders>
              <w:right w:val="single" w:sz="8" w:color="auto"/>
            </w:tcBorders>
          </w:tcPr>
          <w:p>
            <w:pPr>
              <w:ind w:left="220"/>
              <w:spacing w:after="0" w:line="221" w:lineRule="exact"/>
              <w:rPr>
                <w:sz w:val="20"/>
                <w:szCs w:val="20"/>
                <w:color w:val="auto"/>
              </w:rPr>
            </w:pPr>
            <w:r>
              <w:rPr>
                <w:rFonts w:ascii="MS PGothic" w:cs="MS PGothic" w:eastAsia="MS PGothic" w:hAnsi="MS PGothic"/>
                <w:sz w:val="22"/>
                <w:szCs w:val="22"/>
                <w:color w:val="auto"/>
              </w:rPr>
              <w:t>☐</w:t>
            </w:r>
          </w:p>
        </w:tc>
        <w:tc>
          <w:tcPr>
            <w:tcW w:w="0" w:type="dxa"/>
            <w:vAlign w:val="bottom"/>
          </w:tcPr>
          <w:p>
            <w:pPr>
              <w:spacing w:after="0"/>
              <w:rPr>
                <w:sz w:val="1"/>
                <w:szCs w:val="1"/>
                <w:color w:val="auto"/>
              </w:rPr>
            </w:pPr>
          </w:p>
        </w:tc>
      </w:tr>
      <w:tr>
        <w:trPr>
          <w:trHeight w:val="74"/>
        </w:trPr>
        <w:tc>
          <w:tcPr>
            <w:tcW w:w="1660" w:type="dxa"/>
            <w:vAlign w:val="bottom"/>
            <w:tcBorders>
              <w:left w:val="single" w:sz="8" w:color="auto"/>
              <w:bottom w:val="single" w:sz="8" w:color="auto"/>
              <w:right w:val="single" w:sz="8" w:color="auto"/>
            </w:tcBorders>
          </w:tcPr>
          <w:p>
            <w:pPr>
              <w:spacing w:after="0"/>
              <w:rPr>
                <w:sz w:val="6"/>
                <w:szCs w:val="6"/>
                <w:color w:val="auto"/>
              </w:rPr>
            </w:pPr>
          </w:p>
        </w:tc>
        <w:tc>
          <w:tcPr>
            <w:tcW w:w="1220" w:type="dxa"/>
            <w:vAlign w:val="bottom"/>
            <w:tcBorders>
              <w:bottom w:val="single" w:sz="8" w:color="auto"/>
            </w:tcBorders>
          </w:tcPr>
          <w:p>
            <w:pPr>
              <w:spacing w:after="0"/>
              <w:rPr>
                <w:sz w:val="6"/>
                <w:szCs w:val="6"/>
                <w:color w:val="auto"/>
              </w:rPr>
            </w:pPr>
          </w:p>
        </w:tc>
        <w:tc>
          <w:tcPr>
            <w:tcW w:w="7240" w:type="dxa"/>
            <w:vAlign w:val="bottom"/>
            <w:tcBorders>
              <w:bottom w:val="single" w:sz="8" w:color="auto"/>
            </w:tcBorders>
            <w:gridSpan w:val="2"/>
          </w:tcPr>
          <w:p>
            <w:pPr>
              <w:spacing w:after="0"/>
              <w:rPr>
                <w:sz w:val="6"/>
                <w:szCs w:val="6"/>
                <w:color w:val="auto"/>
              </w:rPr>
            </w:pPr>
          </w:p>
        </w:tc>
        <w:tc>
          <w:tcPr>
            <w:tcW w:w="112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13</w:t>
            </w:r>
          </w:p>
        </w:tc>
        <w:tc>
          <w:tcPr>
            <w:tcW w:w="84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PERCENT OF CLASS REPRESENTED BY AMOUNT IN ROW (11)</w:t>
            </w:r>
          </w:p>
        </w:tc>
        <w:tc>
          <w:tcPr>
            <w:tcW w:w="1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2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8.50%</w:t>
            </w:r>
          </w:p>
        </w:tc>
        <w:tc>
          <w:tcPr>
            <w:tcW w:w="40" w:type="dxa"/>
            <w:vAlign w:val="bottom"/>
          </w:tcPr>
          <w:p>
            <w:pPr>
              <w:spacing w:after="0"/>
              <w:rPr>
                <w:sz w:val="22"/>
                <w:szCs w:val="22"/>
                <w:color w:val="auto"/>
              </w:rPr>
            </w:pPr>
          </w:p>
        </w:tc>
        <w:tc>
          <w:tcPr>
            <w:tcW w:w="7200" w:type="dxa"/>
            <w:vAlign w:val="bottom"/>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7240" w:type="dxa"/>
            <w:vAlign w:val="bottom"/>
            <w:tcBorders>
              <w:bottom w:val="single" w:sz="8" w:color="auto"/>
            </w:tcBorders>
            <w:gridSpan w:val="2"/>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4"/>
        </w:trPr>
        <w:tc>
          <w:tcPr>
            <w:tcW w:w="16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14</w:t>
            </w:r>
          </w:p>
        </w:tc>
        <w:tc>
          <w:tcPr>
            <w:tcW w:w="846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TYPE OF REPORTING PERSON</w:t>
            </w:r>
          </w:p>
        </w:tc>
        <w:tc>
          <w:tcPr>
            <w:tcW w:w="1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8"/>
        </w:trPr>
        <w:tc>
          <w:tcPr>
            <w:tcW w:w="1660" w:type="dxa"/>
            <w:vAlign w:val="bottom"/>
            <w:tcBorders>
              <w:left w:val="single" w:sz="8" w:color="auto"/>
              <w:right w:val="single" w:sz="8" w:color="auto"/>
            </w:tcBorders>
          </w:tcPr>
          <w:p>
            <w:pPr>
              <w:spacing w:after="0"/>
              <w:rPr>
                <w:sz w:val="22"/>
                <w:szCs w:val="22"/>
                <w:color w:val="auto"/>
              </w:rPr>
            </w:pPr>
          </w:p>
        </w:tc>
        <w:tc>
          <w:tcPr>
            <w:tcW w:w="1260" w:type="dxa"/>
            <w:vAlign w:val="bottom"/>
            <w:gridSpan w:val="2"/>
          </w:tcPr>
          <w:p>
            <w:pPr>
              <w:ind w:left="420"/>
              <w:spacing w:after="0"/>
              <w:rPr>
                <w:sz w:val="20"/>
                <w:szCs w:val="20"/>
                <w:color w:val="auto"/>
              </w:rPr>
            </w:pPr>
            <w:r>
              <w:rPr>
                <w:rFonts w:ascii="Times New Roman" w:cs="Times New Roman" w:eastAsia="Times New Roman" w:hAnsi="Times New Roman"/>
                <w:sz w:val="20"/>
                <w:szCs w:val="20"/>
                <w:color w:val="auto"/>
              </w:rPr>
              <w:t>IN</w:t>
            </w:r>
          </w:p>
        </w:tc>
        <w:tc>
          <w:tcPr>
            <w:tcW w:w="7200" w:type="dxa"/>
            <w:vAlign w:val="bottom"/>
          </w:tcPr>
          <w:p>
            <w:pPr>
              <w:spacing w:after="0"/>
              <w:rPr>
                <w:sz w:val="22"/>
                <w:szCs w:val="22"/>
                <w:color w:val="auto"/>
              </w:rPr>
            </w:pPr>
          </w:p>
        </w:tc>
        <w:tc>
          <w:tcPr>
            <w:tcW w:w="11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02"/>
        </w:trPr>
        <w:tc>
          <w:tcPr>
            <w:tcW w:w="1660" w:type="dxa"/>
            <w:vAlign w:val="bottom"/>
            <w:tcBorders>
              <w:left w:val="single" w:sz="8" w:color="auto"/>
              <w:bottom w:val="single" w:sz="8" w:color="auto"/>
              <w:right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7200" w:type="dxa"/>
            <w:vAlign w:val="bottom"/>
            <w:tcBorders>
              <w:bottom w:val="single" w:sz="8" w:color="auto"/>
            </w:tcBorders>
          </w:tcPr>
          <w:p>
            <w:pPr>
              <w:spacing w:after="0"/>
              <w:rPr>
                <w:sz w:val="8"/>
                <w:szCs w:val="8"/>
                <w:color w:val="auto"/>
              </w:rPr>
            </w:pPr>
          </w:p>
        </w:tc>
        <w:tc>
          <w:tcPr>
            <w:tcW w:w="11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225" w:right="339" w:bottom="1440" w:gutter="0" w:footer="0" w:header="0"/>
        </w:sectPr>
      </w:pPr>
    </w:p>
    <w:bookmarkStart w:id="3" w:name="page4"/>
    <w:bookmarkEnd w:id="3"/>
    <w:p>
      <w:pPr>
        <w:spacing w:after="0"/>
        <w:tabs>
          <w:tab w:leader="none" w:pos="484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00534A102</w:t>
      </w:r>
      <w:r>
        <w:rPr>
          <w:sz w:val="20"/>
          <w:szCs w:val="20"/>
          <w:color w:val="auto"/>
        </w:rPr>
        <w:tab/>
      </w:r>
      <w:r>
        <w:rPr>
          <w:rFonts w:ascii="Times New Roman" w:cs="Times New Roman" w:eastAsia="Times New Roman" w:hAnsi="Times New Roman"/>
          <w:sz w:val="18"/>
          <w:szCs w:val="18"/>
          <w:b w:val="1"/>
          <w:bCs w:val="1"/>
          <w:color w:val="auto"/>
        </w:rPr>
        <w:t>SCHEDULE 13D/A</w:t>
      </w:r>
      <w:r>
        <w:rPr>
          <w:sz w:val="20"/>
          <w:szCs w:val="20"/>
          <w:color w:val="auto"/>
        </w:rPr>
        <w:tab/>
      </w:r>
      <w:r>
        <w:rPr>
          <w:rFonts w:ascii="Times New Roman" w:cs="Times New Roman" w:eastAsia="Times New Roman" w:hAnsi="Times New Roman"/>
          <w:sz w:val="17"/>
          <w:szCs w:val="17"/>
          <w:b w:val="1"/>
          <w:bCs w:val="1"/>
          <w:color w:val="auto"/>
        </w:rPr>
        <w:t>Page 4 of 4 Pages</w:t>
      </w:r>
    </w:p>
    <w:p>
      <w:pPr>
        <w:sectPr>
          <w:pgSz w:w="11900" w:h="16838" w:orient="portrait"/>
          <w:cols w:equalWidth="0" w:num="1">
            <w:col w:w="11240"/>
          </w:cols>
          <w:pgMar w:left="320" w:top="2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both"/>
        <w:ind w:left="100" w:right="100"/>
        <w:spacing w:after="0" w:line="235" w:lineRule="auto"/>
        <w:rPr>
          <w:sz w:val="20"/>
          <w:szCs w:val="20"/>
          <w:color w:val="auto"/>
        </w:rPr>
      </w:pPr>
      <w:r>
        <w:rPr>
          <w:rFonts w:ascii="Times New Roman" w:cs="Times New Roman" w:eastAsia="Times New Roman" w:hAnsi="Times New Roman"/>
          <w:sz w:val="22"/>
          <w:szCs w:val="22"/>
          <w:color w:val="auto"/>
        </w:rPr>
        <w:t>The following constitutes Amendment No. 3 (this “</w:t>
      </w:r>
      <w:r>
        <w:rPr>
          <w:rFonts w:ascii="Times New Roman" w:cs="Times New Roman" w:eastAsia="Times New Roman" w:hAnsi="Times New Roman"/>
          <w:sz w:val="22"/>
          <w:szCs w:val="22"/>
          <w:u w:val="single" w:color="auto"/>
          <w:color w:val="auto"/>
        </w:rPr>
        <w:t>Amendment No. 3</w:t>
      </w:r>
      <w:r>
        <w:rPr>
          <w:rFonts w:ascii="Times New Roman" w:cs="Times New Roman" w:eastAsia="Times New Roman" w:hAnsi="Times New Roman"/>
          <w:sz w:val="22"/>
          <w:szCs w:val="22"/>
          <w:color w:val="auto"/>
        </w:rPr>
        <w:t>”) to the Schedule 13D filed by the undersigned on April 1, 2022 with respect the shares of Common Stock of the Issuer (the “</w:t>
      </w:r>
      <w:r>
        <w:rPr>
          <w:rFonts w:ascii="Times New Roman" w:cs="Times New Roman" w:eastAsia="Times New Roman" w:hAnsi="Times New Roman"/>
          <w:sz w:val="22"/>
          <w:szCs w:val="22"/>
          <w:u w:val="single" w:color="auto"/>
          <w:color w:val="auto"/>
        </w:rPr>
        <w:t>Original Schedule 13D</w:t>
      </w:r>
      <w:r>
        <w:rPr>
          <w:rFonts w:ascii="Times New Roman" w:cs="Times New Roman" w:eastAsia="Times New Roman" w:hAnsi="Times New Roman"/>
          <w:sz w:val="22"/>
          <w:szCs w:val="22"/>
          <w:color w:val="auto"/>
        </w:rPr>
        <w:t>”), as amended by Amendment No. 1 to the Original Schedule 13D, filed with the Securities and Exchange Commission (the “</w:t>
      </w:r>
      <w:r>
        <w:rPr>
          <w:rFonts w:ascii="Times New Roman" w:cs="Times New Roman" w:eastAsia="Times New Roman" w:hAnsi="Times New Roman"/>
          <w:sz w:val="22"/>
          <w:szCs w:val="22"/>
          <w:u w:val="single" w:color="auto"/>
          <w:color w:val="auto"/>
        </w:rPr>
        <w:t>SEC</w:t>
      </w:r>
      <w:r>
        <w:rPr>
          <w:rFonts w:ascii="Times New Roman" w:cs="Times New Roman" w:eastAsia="Times New Roman" w:hAnsi="Times New Roman"/>
          <w:sz w:val="22"/>
          <w:szCs w:val="22"/>
          <w:color w:val="auto"/>
        </w:rPr>
        <w:t>”) on April 26, 2022 (“</w:t>
      </w:r>
      <w:r>
        <w:rPr>
          <w:rFonts w:ascii="Times New Roman" w:cs="Times New Roman" w:eastAsia="Times New Roman" w:hAnsi="Times New Roman"/>
          <w:sz w:val="22"/>
          <w:szCs w:val="22"/>
          <w:u w:val="single" w:color="auto"/>
          <w:color w:val="auto"/>
        </w:rPr>
        <w:t>Amendment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No. 1</w:t>
      </w:r>
      <w:r>
        <w:rPr>
          <w:rFonts w:ascii="Times New Roman" w:cs="Times New Roman" w:eastAsia="Times New Roman" w:hAnsi="Times New Roman"/>
          <w:sz w:val="22"/>
          <w:szCs w:val="22"/>
          <w:color w:val="auto"/>
        </w:rPr>
        <w:t>”) and Amendment No. 2 to the Original Schedule 13D, filed with the SEC on June 24, 2022 (“</w:t>
      </w:r>
      <w:r>
        <w:rPr>
          <w:rFonts w:ascii="Times New Roman" w:cs="Times New Roman" w:eastAsia="Times New Roman" w:hAnsi="Times New Roman"/>
          <w:sz w:val="22"/>
          <w:szCs w:val="22"/>
          <w:u w:val="single" w:color="auto"/>
          <w:color w:val="auto"/>
        </w:rPr>
        <w:t>Amendment No. 2</w:t>
      </w:r>
      <w:r>
        <w:rPr>
          <w:rFonts w:ascii="Times New Roman" w:cs="Times New Roman" w:eastAsia="Times New Roman" w:hAnsi="Times New Roman"/>
          <w:sz w:val="22"/>
          <w:szCs w:val="22"/>
          <w:color w:val="auto"/>
        </w:rPr>
        <w:t>,” and together with the Original Schedule 13D, Amendment No.1 and this Amendment No. 3, the “</w:t>
      </w:r>
      <w:r>
        <w:rPr>
          <w:rFonts w:ascii="Times New Roman" w:cs="Times New Roman" w:eastAsia="Times New Roman" w:hAnsi="Times New Roman"/>
          <w:sz w:val="22"/>
          <w:szCs w:val="22"/>
          <w:u w:val="single" w:color="auto"/>
          <w:color w:val="auto"/>
        </w:rPr>
        <w:t>Schedule 13D</w:t>
      </w:r>
      <w:r>
        <w:rPr>
          <w:rFonts w:ascii="Times New Roman" w:cs="Times New Roman" w:eastAsia="Times New Roman" w:hAnsi="Times New Roman"/>
          <w:sz w:val="22"/>
          <w:szCs w:val="22"/>
          <w:color w:val="auto"/>
        </w:rPr>
        <w:t>”). This Amendment No. 3 amends the Schedule 13D as specifically set forth herein. Capitalized terms used herein and not otherwise defined in this Amendment No. 3 have the meanings set forth in the Schedule 13D. This Amendment No. 3 amends Items 3 and 5(a)-(c) as set forth below.</w:t>
      </w:r>
    </w:p>
    <w:p>
      <w:pPr>
        <w:spacing w:after="0" w:line="174" w:lineRule="exact"/>
        <w:rPr>
          <w:sz w:val="20"/>
          <w:szCs w:val="20"/>
          <w:color w:val="auto"/>
        </w:rPr>
      </w:pPr>
    </w:p>
    <w:p>
      <w:pPr>
        <w:ind w:left="12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SOURCE AND AMOUNT OF FUNDS OR OTHER CONSIDERATION</w:t>
      </w:r>
    </w:p>
    <w:p>
      <w:pPr>
        <w:spacing w:after="0" w:line="2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Item 3 of the Schedule 13D is hereby amended and restated as follows:</w:t>
      </w:r>
    </w:p>
    <w:p>
      <w:pPr>
        <w:spacing w:after="0" w:line="233" w:lineRule="exact"/>
        <w:rPr>
          <w:sz w:val="20"/>
          <w:szCs w:val="20"/>
          <w:color w:val="auto"/>
        </w:rPr>
      </w:pPr>
    </w:p>
    <w:p>
      <w:pPr>
        <w:jc w:val="both"/>
        <w:ind w:left="1360" w:right="100"/>
        <w:spacing w:after="0" w:line="244" w:lineRule="auto"/>
        <w:rPr>
          <w:sz w:val="20"/>
          <w:szCs w:val="20"/>
          <w:color w:val="auto"/>
        </w:rPr>
      </w:pPr>
      <w:r>
        <w:rPr>
          <w:rFonts w:ascii="Times New Roman" w:cs="Times New Roman" w:eastAsia="Times New Roman" w:hAnsi="Times New Roman"/>
          <w:sz w:val="22"/>
          <w:szCs w:val="22"/>
          <w:color w:val="auto"/>
        </w:rPr>
        <w:t>Funds for the purchase of the shares of Common Stock reported herein were derived from general working capital of the M28 Funds and Accounts. A total of $62,525,623, including brokerage commissions, was paid to acquire the Common Stock reported herein.</w:t>
      </w:r>
    </w:p>
    <w:p>
      <w:pPr>
        <w:spacing w:after="0" w:line="200" w:lineRule="exact"/>
        <w:rPr>
          <w:sz w:val="20"/>
          <w:szCs w:val="20"/>
          <w:color w:val="auto"/>
        </w:rPr>
      </w:pPr>
    </w:p>
    <w:p>
      <w:pPr>
        <w:jc w:val="both"/>
        <w:ind w:left="1360" w:right="100"/>
        <w:spacing w:after="0" w:line="238" w:lineRule="auto"/>
        <w:rPr>
          <w:sz w:val="20"/>
          <w:szCs w:val="20"/>
          <w:color w:val="auto"/>
        </w:rPr>
      </w:pPr>
      <w:r>
        <w:rPr>
          <w:rFonts w:ascii="Times New Roman" w:cs="Times New Roman" w:eastAsia="Times New Roman" w:hAnsi="Times New Roman"/>
          <w:sz w:val="22"/>
          <w:szCs w:val="22"/>
          <w:color w:val="auto"/>
        </w:rPr>
        <w:t>The Reporting Persons have and may effect purchases of shares of Common Stock through margin accounts maintained with prime brokers, which extend margin credit as and when required to open or carry positions in its margin accounts, subject to applicable federal margin regulations, stock exchange rules and such firms' credit policies. Positions in the Common Stock may be held in margin accounts and may be pledged as collateral security for the repayment of debit balances in such accounts.</w:t>
      </w:r>
    </w:p>
    <w:p>
      <w:pPr>
        <w:spacing w:after="0" w:line="173" w:lineRule="exact"/>
        <w:rPr>
          <w:sz w:val="20"/>
          <w:szCs w:val="20"/>
          <w:color w:val="auto"/>
        </w:rPr>
      </w:pPr>
    </w:p>
    <w:p>
      <w:pPr>
        <w:ind w:left="120"/>
        <w:spacing w:after="0"/>
        <w:tabs>
          <w:tab w:leader="none" w:pos="134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INTEREST IN SECURITIES OF THE ISSUER</w:t>
      </w:r>
    </w:p>
    <w:p>
      <w:pPr>
        <w:spacing w:after="0" w:line="237" w:lineRule="exact"/>
        <w:rPr>
          <w:sz w:val="20"/>
          <w:szCs w:val="20"/>
          <w:color w:val="auto"/>
        </w:rPr>
      </w:pPr>
    </w:p>
    <w:p>
      <w:pPr>
        <w:ind w:left="1360"/>
        <w:spacing w:after="0"/>
        <w:rPr>
          <w:sz w:val="20"/>
          <w:szCs w:val="20"/>
          <w:color w:val="auto"/>
        </w:rPr>
      </w:pPr>
      <w:r>
        <w:rPr>
          <w:rFonts w:ascii="Times New Roman" w:cs="Times New Roman" w:eastAsia="Times New Roman" w:hAnsi="Times New Roman"/>
          <w:sz w:val="22"/>
          <w:szCs w:val="22"/>
          <w:color w:val="auto"/>
        </w:rPr>
        <w:t>Items 5(a)-(c) of the Schedule 13D are hereby amended and restated as follows:</w:t>
      </w:r>
    </w:p>
    <w:p>
      <w:pPr>
        <w:spacing w:after="0" w:line="233" w:lineRule="exact"/>
        <w:rPr>
          <w:sz w:val="20"/>
          <w:szCs w:val="20"/>
          <w:color w:val="auto"/>
        </w:rPr>
      </w:pPr>
    </w:p>
    <w:p>
      <w:pPr>
        <w:ind w:left="1360" w:right="240" w:hanging="1249"/>
        <w:spacing w:after="0" w:line="238" w:lineRule="auto"/>
        <w:tabs>
          <w:tab w:leader="none" w:pos="13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rows (11) and (13) of the cover pages to this Schedule 13D for the aggregate number of shares of Common Stock and percentages of the Common Stock beneficially owned by the Reporting Person. The percentages in this Schedule 13D are calculated based upon 108,830,525 shares of Common Stock outstanding as of August 8, 2022, as reported on in the Issuer’s Quarterly Report on Form 10-Q for the quarter ended June 30, 2022, filed with the SEC on August 15, 2022.</w:t>
      </w:r>
    </w:p>
    <w:p>
      <w:pPr>
        <w:spacing w:after="0" w:line="203" w:lineRule="exact"/>
        <w:rPr>
          <w:rFonts w:ascii="Times New Roman" w:cs="Times New Roman" w:eastAsia="Times New Roman" w:hAnsi="Times New Roman"/>
          <w:sz w:val="22"/>
          <w:szCs w:val="22"/>
          <w:color w:val="auto"/>
        </w:rPr>
      </w:pPr>
    </w:p>
    <w:p>
      <w:pPr>
        <w:jc w:val="both"/>
        <w:ind w:left="1360" w:right="100" w:hanging="1249"/>
        <w:spacing w:after="0" w:line="244" w:lineRule="auto"/>
        <w:tabs>
          <w:tab w:leader="none" w:pos="13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See rows (7) through (10) of the cover pages to this Schedule 13D for the number of shares of Common Stock as to which the Reporting Persons have the sole or shared power to vote or direct the vote and sole or shared power to dispose or to direct the disposition.</w:t>
      </w:r>
    </w:p>
    <w:p>
      <w:pPr>
        <w:spacing w:after="0" w:line="200" w:lineRule="exact"/>
        <w:rPr>
          <w:rFonts w:ascii="Times New Roman" w:cs="Times New Roman" w:eastAsia="Times New Roman" w:hAnsi="Times New Roman"/>
          <w:sz w:val="22"/>
          <w:szCs w:val="22"/>
          <w:color w:val="auto"/>
        </w:rPr>
      </w:pPr>
    </w:p>
    <w:p>
      <w:pPr>
        <w:jc w:val="both"/>
        <w:ind w:left="1360" w:right="100" w:hanging="1249"/>
        <w:spacing w:after="0" w:line="239" w:lineRule="auto"/>
        <w:tabs>
          <w:tab w:leader="none" w:pos="136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Information concerning transactions in the shares of Common Stock reported herein effected since the filing of Amendment No. 2 is set forth in </w:t>
      </w:r>
      <w:r>
        <w:rPr>
          <w:rFonts w:ascii="Times New Roman" w:cs="Times New Roman" w:eastAsia="Times New Roman" w:hAnsi="Times New Roman"/>
          <w:sz w:val="22"/>
          <w:szCs w:val="22"/>
          <w:u w:val="single" w:color="auto"/>
          <w:color w:val="auto"/>
        </w:rPr>
        <w:t>Annex A</w:t>
      </w:r>
      <w:r>
        <w:rPr>
          <w:rFonts w:ascii="Times New Roman" w:cs="Times New Roman" w:eastAsia="Times New Roman" w:hAnsi="Times New Roman"/>
          <w:sz w:val="22"/>
          <w:szCs w:val="22"/>
          <w:color w:val="auto"/>
        </w:rPr>
        <w:t>, which is attached hereto and is incorporated herein by reference. All of the transactions in the shares of Common Stock listed therein were effected in the open market through various brokerage entities.</w:t>
      </w:r>
    </w:p>
    <w:p>
      <w:pPr>
        <w:sectPr>
          <w:pgSz w:w="11900" w:h="16838" w:orient="portrait"/>
          <w:cols w:equalWidth="0" w:num="1">
            <w:col w:w="11240"/>
          </w:cols>
          <w:pgMar w:left="320" w:top="225" w:right="339" w:bottom="1440" w:gutter="0" w:footer="0" w:header="0"/>
          <w:type w:val="continuous"/>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ind w:firstLine="1296"/>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his or its knowledge and belief, the undersigned certifies that the information set forth in this statement is true, complete and correct.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 August 19, 2022</w:t>
      </w:r>
    </w:p>
    <w:p>
      <w:pPr>
        <w:spacing w:after="0" w:line="22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b w:val="1"/>
          <w:bCs w:val="1"/>
          <w:color w:val="auto"/>
        </w:rPr>
        <w:t>M28 CAPITAL MANAGEMENT LP</w:t>
      </w:r>
    </w:p>
    <w:p>
      <w:pPr>
        <w:spacing w:after="0" w:line="237" w:lineRule="exact"/>
        <w:rPr>
          <w:sz w:val="20"/>
          <w:szCs w:val="20"/>
          <w:color w:val="auto"/>
        </w:rPr>
      </w:pPr>
    </w:p>
    <w:p>
      <w:pPr>
        <w:ind w:left="5840"/>
        <w:spacing w:after="0"/>
        <w:tabs>
          <w:tab w:leader="none" w:pos="6400" w:val="left"/>
        </w:tabs>
        <w:rPr>
          <w:sz w:val="20"/>
          <w:szCs w:val="20"/>
          <w:color w:val="auto"/>
        </w:rPr>
      </w:pPr>
      <w:r>
        <w:rPr>
          <w:rFonts w:ascii="Times New Roman" w:cs="Times New Roman" w:eastAsia="Times New Roman" w:hAnsi="Times New Roman"/>
          <w:sz w:val="22"/>
          <w:szCs w:val="22"/>
          <w:color w:val="auto"/>
        </w:rPr>
        <w:t>By:</w:t>
        <w:tab/>
        <w:t>M28 Capital Management, GP LLC, its general</w:t>
      </w:r>
    </w:p>
    <w:p>
      <w:pPr>
        <w:spacing w:after="0" w:line="14"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22"/>
          <w:szCs w:val="22"/>
          <w:color w:val="auto"/>
        </w:rPr>
        <w:t>partner</w:t>
      </w:r>
    </w:p>
    <w:p>
      <w:pPr>
        <w:spacing w:after="0" w:line="20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/s/ Marc Elia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10795</wp:posOffset>
            </wp:positionV>
            <wp:extent cx="34886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840"/>
        <w:spacing w:after="0"/>
        <w:rPr>
          <w:sz w:val="20"/>
          <w:szCs w:val="20"/>
          <w:color w:val="auto"/>
        </w:rPr>
      </w:pPr>
      <w:r>
        <w:rPr>
          <w:rFonts w:ascii="Times New Roman" w:cs="Times New Roman" w:eastAsia="Times New Roman" w:hAnsi="Times New Roman"/>
          <w:sz w:val="22"/>
          <w:szCs w:val="22"/>
          <w:color w:val="auto"/>
        </w:rPr>
        <w:t>Name: Marc Elia</w:t>
      </w:r>
    </w:p>
    <w:p>
      <w:pPr>
        <w:ind w:left="5840"/>
        <w:spacing w:after="0"/>
        <w:tabs>
          <w:tab w:leader="none" w:pos="65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1"/>
          <w:szCs w:val="21"/>
          <w:color w:val="auto"/>
        </w:rPr>
        <w:t>Managing Member</w:t>
      </w:r>
    </w:p>
    <w:p>
      <w:pPr>
        <w:spacing w:after="0" w:line="200" w:lineRule="exact"/>
        <w:rPr>
          <w:sz w:val="20"/>
          <w:szCs w:val="20"/>
          <w:color w:val="auto"/>
        </w:rPr>
      </w:pPr>
    </w:p>
    <w:p>
      <w:pPr>
        <w:spacing w:after="0" w:line="252"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color w:val="auto"/>
        </w:rPr>
        <w:t>/s/ Marc Elia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10795</wp:posOffset>
            </wp:positionV>
            <wp:extent cx="34886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8"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22"/>
          <w:szCs w:val="22"/>
          <w:b w:val="1"/>
          <w:bCs w:val="1"/>
          <w:color w:val="auto"/>
        </w:rPr>
        <w:t>MARC ELIA</w:t>
      </w:r>
    </w:p>
    <w:p>
      <w:pPr>
        <w:sectPr>
          <w:pgSz w:w="11900" w:h="16838" w:orient="portrait"/>
          <w:cols w:equalWidth="0" w:num="1">
            <w:col w:w="11220"/>
          </w:cols>
          <w:pgMar w:left="320" w:top="702" w:right="35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Annex A</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Transactions in the Shares of Common Stock of the Issuer Since the Filing of</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Amendment No. 2</w:t>
      </w:r>
    </w:p>
    <w:p>
      <w:pPr>
        <w:spacing w:after="0" w:line="209" w:lineRule="exact"/>
        <w:rPr>
          <w:sz w:val="20"/>
          <w:szCs w:val="20"/>
          <w:color w:val="auto"/>
        </w:rPr>
      </w:pPr>
    </w:p>
    <w:p>
      <w:pPr>
        <w:spacing w:after="0" w:line="235" w:lineRule="auto"/>
        <w:rPr>
          <w:sz w:val="20"/>
          <w:szCs w:val="20"/>
          <w:color w:val="auto"/>
        </w:rPr>
      </w:pPr>
      <w:r>
        <w:rPr>
          <w:rFonts w:ascii="Times New Roman" w:cs="Times New Roman" w:eastAsia="Times New Roman" w:hAnsi="Times New Roman"/>
          <w:sz w:val="22"/>
          <w:szCs w:val="22"/>
          <w:color w:val="auto"/>
        </w:rPr>
        <w:t>The following table sets forth all transactions in the shares of Common Stock reported herein effected since the filing of Amendment No. 2. Except as noted below, all such transactions were effected by the Reporting Persons in the open market through brokers and the price per share excludes commissions. Where a price range is provided in the column Price Range ($), the price reported in that row's Price Per Share ($) column is a weighted average price. These shares of Common Stock were purchased/sold in multiple transactions at prices between the price ranges indicated in the Price Range ($) column. The Reporting Persons will undertake to provide to the staff of the SEC, upon request, full information regarding the number of shares of Common Stock purchased/sold at each separate price.</w:t>
      </w:r>
    </w:p>
    <w:p>
      <w:pPr>
        <w:spacing w:after="0" w:line="200" w:lineRule="exact"/>
        <w:rPr>
          <w:sz w:val="20"/>
          <w:szCs w:val="20"/>
          <w:color w:val="auto"/>
        </w:rPr>
      </w:pPr>
    </w:p>
    <w:p>
      <w:pPr>
        <w:spacing w:after="0" w:line="227" w:lineRule="exact"/>
        <w:rPr>
          <w:sz w:val="20"/>
          <w:szCs w:val="20"/>
          <w:color w:val="auto"/>
        </w:rPr>
      </w:pPr>
    </w:p>
    <w:tbl>
      <w:tblPr>
        <w:tblLayout w:type="fixed"/>
        <w:tblInd w:w="840" w:type="dxa"/>
        <w:tblCellMar>
          <w:top w:w="0" w:type="dxa"/>
          <w:left w:w="0" w:type="dxa"/>
          <w:bottom w:w="0" w:type="dxa"/>
          <w:right w:w="0" w:type="dxa"/>
        </w:tblCellMar>
      </w:tblPr>
      <w:tr>
        <w:trPr>
          <w:trHeight w:val="233"/>
        </w:trPr>
        <w:tc>
          <w:tcPr>
            <w:tcW w:w="16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Trade Date</w:t>
            </w:r>
          </w:p>
        </w:tc>
        <w:tc>
          <w:tcPr>
            <w:tcW w:w="3320" w:type="dxa"/>
            <w:vAlign w:val="bottom"/>
          </w:tcPr>
          <w:p>
            <w:pPr>
              <w:ind w:left="680"/>
              <w:spacing w:after="0"/>
              <w:rPr>
                <w:sz w:val="20"/>
                <w:szCs w:val="20"/>
                <w:color w:val="auto"/>
              </w:rPr>
            </w:pPr>
            <w:r>
              <w:rPr>
                <w:rFonts w:ascii="Times New Roman" w:cs="Times New Roman" w:eastAsia="Times New Roman" w:hAnsi="Times New Roman"/>
                <w:sz w:val="20"/>
                <w:szCs w:val="20"/>
                <w:b w:val="1"/>
                <w:bCs w:val="1"/>
                <w:color w:val="auto"/>
              </w:rPr>
              <w:t>Shares Purchased (Sold)</w:t>
            </w:r>
          </w:p>
        </w:tc>
        <w:tc>
          <w:tcPr>
            <w:tcW w:w="282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auto"/>
                <w:w w:val="99"/>
              </w:rPr>
              <w:t>Price Per Share ($)</w:t>
            </w:r>
          </w:p>
        </w:tc>
        <w:tc>
          <w:tcPr>
            <w:tcW w:w="1960" w:type="dxa"/>
            <w:vAlign w:val="bottom"/>
          </w:tcPr>
          <w:p>
            <w:pPr>
              <w:jc w:val="center"/>
              <w:ind w:left="541"/>
              <w:spacing w:after="0"/>
              <w:rPr>
                <w:sz w:val="20"/>
                <w:szCs w:val="20"/>
                <w:color w:val="auto"/>
              </w:rPr>
            </w:pPr>
            <w:r>
              <w:rPr>
                <w:rFonts w:ascii="Times New Roman" w:cs="Times New Roman" w:eastAsia="Times New Roman" w:hAnsi="Times New Roman"/>
                <w:sz w:val="20"/>
                <w:szCs w:val="20"/>
                <w:b w:val="1"/>
                <w:bCs w:val="1"/>
                <w:color w:val="auto"/>
                <w:w w:val="99"/>
              </w:rPr>
              <w:t>Price Range ($)</w:t>
            </w:r>
          </w:p>
        </w:tc>
      </w:tr>
      <w:tr>
        <w:trPr>
          <w:trHeight w:val="229"/>
        </w:trPr>
        <w:tc>
          <w:tcPr>
            <w:tcW w:w="1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08/17/2022</w:t>
            </w:r>
          </w:p>
        </w:tc>
        <w:tc>
          <w:tcPr>
            <w:tcW w:w="332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7"/>
              </w:rPr>
              <w:t>1,000,000</w:t>
            </w:r>
          </w:p>
        </w:tc>
        <w:tc>
          <w:tcPr>
            <w:tcW w:w="2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4.04</w:t>
            </w:r>
          </w:p>
        </w:tc>
        <w:tc>
          <w:tcPr>
            <w:tcW w:w="1960" w:type="dxa"/>
            <w:vAlign w:val="bottom"/>
          </w:tcPr>
          <w:p>
            <w:pPr>
              <w:jc w:val="center"/>
              <w:ind w:left="541"/>
              <w:spacing w:after="0"/>
              <w:rPr>
                <w:sz w:val="20"/>
                <w:szCs w:val="20"/>
                <w:color w:val="auto"/>
              </w:rPr>
            </w:pPr>
            <w:r>
              <w:rPr>
                <w:rFonts w:ascii="Times New Roman" w:cs="Times New Roman" w:eastAsia="Times New Roman" w:hAnsi="Times New Roman"/>
                <w:sz w:val="20"/>
                <w:szCs w:val="20"/>
                <w:color w:val="auto"/>
                <w:w w:val="97"/>
              </w:rPr>
              <w:t>3.96 – 4.15</w:t>
            </w:r>
          </w:p>
        </w:tc>
      </w:tr>
      <w:tr>
        <w:trPr>
          <w:trHeight w:val="230"/>
        </w:trPr>
        <w:tc>
          <w:tcPr>
            <w:tcW w:w="1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08/18/2022</w:t>
            </w:r>
          </w:p>
        </w:tc>
        <w:tc>
          <w:tcPr>
            <w:tcW w:w="3320" w:type="dxa"/>
            <w:vAlign w:val="bottom"/>
          </w:tcPr>
          <w:p>
            <w:pPr>
              <w:jc w:val="center"/>
              <w:ind w:left="1"/>
              <w:spacing w:after="0"/>
              <w:rPr>
                <w:sz w:val="20"/>
                <w:szCs w:val="20"/>
                <w:color w:val="auto"/>
              </w:rPr>
            </w:pPr>
            <w:r>
              <w:rPr>
                <w:rFonts w:ascii="Times New Roman" w:cs="Times New Roman" w:eastAsia="Times New Roman" w:hAnsi="Times New Roman"/>
                <w:sz w:val="20"/>
                <w:szCs w:val="20"/>
                <w:color w:val="auto"/>
                <w:w w:val="97"/>
              </w:rPr>
              <w:t>1,265,549</w:t>
            </w:r>
          </w:p>
        </w:tc>
        <w:tc>
          <w:tcPr>
            <w:tcW w:w="2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4.31</w:t>
            </w:r>
          </w:p>
        </w:tc>
        <w:tc>
          <w:tcPr>
            <w:tcW w:w="1960" w:type="dxa"/>
            <w:vAlign w:val="bottom"/>
          </w:tcPr>
          <w:p>
            <w:pPr>
              <w:jc w:val="center"/>
              <w:ind w:left="541"/>
              <w:spacing w:after="0"/>
              <w:rPr>
                <w:sz w:val="20"/>
                <w:szCs w:val="20"/>
                <w:color w:val="auto"/>
              </w:rPr>
            </w:pPr>
            <w:r>
              <w:rPr>
                <w:rFonts w:ascii="Times New Roman" w:cs="Times New Roman" w:eastAsia="Times New Roman" w:hAnsi="Times New Roman"/>
                <w:sz w:val="20"/>
                <w:szCs w:val="20"/>
                <w:color w:val="auto"/>
                <w:w w:val="97"/>
              </w:rPr>
              <w:t>3.90 – 4.50</w:t>
            </w:r>
          </w:p>
        </w:tc>
      </w:tr>
      <w:tr>
        <w:trPr>
          <w:trHeight w:val="258"/>
        </w:trPr>
        <w:tc>
          <w:tcPr>
            <w:tcW w:w="16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08/19/2022</w:t>
            </w:r>
          </w:p>
        </w:tc>
        <w:tc>
          <w:tcPr>
            <w:tcW w:w="3320" w:type="dxa"/>
            <w:vAlign w:val="bottom"/>
          </w:tcPr>
          <w:p>
            <w:pPr>
              <w:jc w:val="center"/>
              <w:ind w:left="21"/>
              <w:spacing w:after="0"/>
              <w:rPr>
                <w:sz w:val="20"/>
                <w:szCs w:val="20"/>
                <w:color w:val="auto"/>
              </w:rPr>
            </w:pPr>
            <w:r>
              <w:rPr>
                <w:rFonts w:ascii="Times New Roman" w:cs="Times New Roman" w:eastAsia="Times New Roman" w:hAnsi="Times New Roman"/>
                <w:sz w:val="20"/>
                <w:szCs w:val="20"/>
                <w:color w:val="auto"/>
                <w:w w:val="98"/>
              </w:rPr>
              <w:t>584,451</w:t>
            </w:r>
          </w:p>
        </w:tc>
        <w:tc>
          <w:tcPr>
            <w:tcW w:w="28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4.64</w:t>
            </w:r>
          </w:p>
        </w:tc>
        <w:tc>
          <w:tcPr>
            <w:tcW w:w="1960" w:type="dxa"/>
            <w:vAlign w:val="bottom"/>
          </w:tcPr>
          <w:p>
            <w:pPr>
              <w:jc w:val="center"/>
              <w:ind w:left="541"/>
              <w:spacing w:after="0"/>
              <w:rPr>
                <w:sz w:val="20"/>
                <w:szCs w:val="20"/>
                <w:color w:val="auto"/>
              </w:rPr>
            </w:pPr>
            <w:r>
              <w:rPr>
                <w:rFonts w:ascii="Times New Roman" w:cs="Times New Roman" w:eastAsia="Times New Roman" w:hAnsi="Times New Roman"/>
                <w:sz w:val="20"/>
                <w:szCs w:val="20"/>
                <w:color w:val="auto"/>
                <w:w w:val="97"/>
              </w:rPr>
              <w:t>4.33 – 4.70</w:t>
            </w:r>
          </w:p>
        </w:tc>
      </w:tr>
    </w:tbl>
    <w:p>
      <w:pPr>
        <w:spacing w:after="0" w:line="1" w:lineRule="exact"/>
        <w:rPr>
          <w:sz w:val="20"/>
          <w:szCs w:val="20"/>
          <w:color w:val="auto"/>
        </w:rPr>
      </w:pPr>
    </w:p>
    <w:sectPr>
      <w:pgSz w:w="11900" w:h="16838" w:orient="portrait"/>
      <w:cols w:equalWidth="0" w:num="1">
        <w:col w:w="11220"/>
      </w:cols>
      <w:pgMar w:left="320" w:top="702"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2022-08-19T16:30:47Z</dcterms:created>
  <dcterms:modified xsi:type="dcterms:W3CDTF">2022-08-19T16:30:47Z</dcterms:modified>
</cp:coreProperties>
</file>