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293599ds8.htm"/>
      <w:bookmarkStart w:id="1" w:name="ksd293599ds8"/>
      <w:bookmarkEnd w:id="0"/>
      <w:bookmarkEnd w:id="1"/>
      <w:r>
        <w:rPr>
          <w:rFonts w:ascii="Times New Roman" w:hAnsi="Times New Roman"/>
          <w:b/>
          <w:sz w:val="20"/>
        </w:rPr>
        <w:t xml:space="preserve">As filed with the Securities and Exchange Commission on May 13, 2022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 xml:space="preserve">FORM S-8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48"/>
        </w:rPr>
      </w:pPr>
      <w:r>
        <w:rPr>
          <w:rFonts w:ascii="Times New Roman" w:hAnsi="Times New Roman"/>
          <w:b/>
          <w:sz w:val="48"/>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Delaware</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85-1403134</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160" w:after="0"/>
        <w:jc w:val="center"/>
        <w:rPr>
          <w:rFonts w:ascii="Times New Roman" w:hAnsi="Times New Roman"/>
          <w:b/>
          <w:sz w:val="20"/>
        </w:rPr>
      </w:pPr>
      <w:r>
        <w:rPr>
          <w:rFonts w:ascii="Times New Roman" w:hAnsi="Times New Roman"/>
          <w:b/>
          <w:sz w:val="20"/>
        </w:rPr>
        <w:t xml:space="preserve">1601 Trapelo Road, Suite 178 </w:t>
      </w:r>
    </w:p>
    <w:p>
      <w:pPr>
        <w:pStyle w:val="TextBody"/>
        <w:spacing w:before="0" w:after="0"/>
        <w:jc w:val="center"/>
        <w:rPr>
          <w:rFonts w:ascii="Times New Roman" w:hAnsi="Times New Roman"/>
          <w:b/>
          <w:sz w:val="20"/>
        </w:rPr>
      </w:pPr>
      <w:r>
        <w:rPr>
          <w:rFonts w:ascii="Times New Roman" w:hAnsi="Times New Roman"/>
          <w:b/>
          <w:sz w:val="20"/>
        </w:rPr>
        <w:t xml:space="preserve">Waltham, MA 02451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spacing w:before="160" w:after="0"/>
        <w:jc w:val="center"/>
        <w:rPr>
          <w:rFonts w:ascii="Times New Roman" w:hAnsi="Times New Roman"/>
          <w:b/>
          <w:sz w:val="20"/>
        </w:rPr>
      </w:pPr>
      <w:r>
        <w:rPr>
          <w:rFonts w:ascii="Times New Roman" w:hAnsi="Times New Roman"/>
          <w:b/>
          <w:sz w:val="20"/>
        </w:rPr>
        <w:t xml:space="preserve">2021 Equity Incentive Plan </w:t>
      </w:r>
    </w:p>
    <w:p>
      <w:pPr>
        <w:pStyle w:val="TextBody"/>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spacing w:before="160" w:after="0"/>
        <w:jc w:val="center"/>
        <w:rPr>
          <w:rFonts w:ascii="Times New Roman" w:hAnsi="Times New Roman"/>
          <w:b/>
          <w:sz w:val="20"/>
        </w:rPr>
      </w:pPr>
      <w:r>
        <w:rPr>
          <w:rFonts w:ascii="Times New Roman" w:hAnsi="Times New Roman"/>
          <w:b/>
          <w:sz w:val="20"/>
        </w:rPr>
        <w:t xml:space="preserve">David Hering </w:t>
      </w:r>
    </w:p>
    <w:p>
      <w:pPr>
        <w:pStyle w:val="TextBody"/>
        <w:spacing w:before="0" w:after="0"/>
        <w:jc w:val="center"/>
        <w:rPr>
          <w:rFonts w:ascii="Times New Roman" w:hAnsi="Times New Roman"/>
          <w:b/>
          <w:sz w:val="20"/>
        </w:rPr>
      </w:pPr>
      <w:r>
        <w:rPr>
          <w:rFonts w:ascii="Times New Roman" w:hAnsi="Times New Roman"/>
          <w:b/>
          <w:sz w:val="20"/>
        </w:rPr>
        <w:t xml:space="preserve">Interim Chief Executive Officer and Chief Operating Officer </w:t>
      </w:r>
    </w:p>
    <w:p>
      <w:pPr>
        <w:pStyle w:val="TextBody"/>
        <w:spacing w:before="0" w:after="0"/>
        <w:jc w:val="center"/>
        <w:rPr>
          <w:rFonts w:ascii="Times New Roman" w:hAnsi="Times New Roman"/>
          <w:b/>
          <w:sz w:val="20"/>
        </w:rPr>
      </w:pPr>
      <w:r>
        <w:rPr>
          <w:rFonts w:ascii="Times New Roman" w:hAnsi="Times New Roman"/>
          <w:b/>
          <w:sz w:val="20"/>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 xml:space="preserve">1601 Trapelo Road, Suite 178 </w:t>
      </w:r>
    </w:p>
    <w:p>
      <w:pPr>
        <w:pStyle w:val="TextBody"/>
        <w:spacing w:before="0" w:after="0"/>
        <w:jc w:val="center"/>
        <w:rPr>
          <w:rFonts w:ascii="Times New Roman" w:hAnsi="Times New Roman"/>
          <w:b/>
          <w:sz w:val="20"/>
        </w:rPr>
      </w:pPr>
      <w:r>
        <w:rPr>
          <w:rFonts w:ascii="Times New Roman" w:hAnsi="Times New Roman"/>
          <w:b/>
          <w:sz w:val="20"/>
        </w:rPr>
        <w:t xml:space="preserve">Waltham, MA 02451 </w:t>
      </w:r>
    </w:p>
    <w:p>
      <w:pPr>
        <w:pStyle w:val="TextBody"/>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spacing w:before="160" w:after="0"/>
        <w:jc w:val="center"/>
        <w:rPr>
          <w:rFonts w:ascii="Times New Roman" w:hAnsi="Times New Roman"/>
          <w:b/>
          <w:sz w:val="20"/>
        </w:rPr>
      </w:pPr>
      <w:r>
        <w:rPr>
          <w:rFonts w:ascii="Times New Roman" w:hAnsi="Times New Roman"/>
          <w:b/>
          <w:sz w:val="20"/>
        </w:rPr>
        <w:t xml:space="preserve">(781) 819-0080 </w:t>
      </w:r>
    </w:p>
    <w:p>
      <w:pPr>
        <w:pStyle w:val="TextBody"/>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spacing w:before="160" w:after="0"/>
        <w:jc w:val="center"/>
        <w:rPr>
          <w:rFonts w:ascii="Times New Roman" w:hAnsi="Times New Roman"/>
          <w:b/>
          <w:i/>
          <w:sz w:val="20"/>
        </w:rPr>
      </w:pPr>
      <w:r>
        <w:rPr>
          <w:rFonts w:ascii="Times New Roman" w:hAnsi="Times New Roman"/>
          <w:b/>
          <w:i/>
          <w:sz w:val="20"/>
        </w:rPr>
        <w:t xml:space="preserve">Copies to: </w:t>
      </w:r>
    </w:p>
    <w:p>
      <w:pPr>
        <w:pStyle w:val="TextBody"/>
        <w:spacing w:before="60" w:after="0"/>
        <w:jc w:val="center"/>
        <w:rPr>
          <w:rFonts w:ascii="Times New Roman" w:hAnsi="Times New Roman"/>
          <w:b/>
          <w:sz w:val="20"/>
        </w:rPr>
      </w:pPr>
      <w:r>
        <w:rPr>
          <w:rFonts w:ascii="Times New Roman" w:hAnsi="Times New Roman"/>
          <w:b/>
          <w:sz w:val="20"/>
        </w:rPr>
        <w:t xml:space="preserve">Jill Andersen </w:t>
      </w:r>
    </w:p>
    <w:p>
      <w:pPr>
        <w:pStyle w:val="TextBody"/>
        <w:spacing w:before="0" w:after="0"/>
        <w:jc w:val="center"/>
        <w:rPr>
          <w:rFonts w:ascii="Times New Roman" w:hAnsi="Times New Roman"/>
          <w:b/>
          <w:sz w:val="20"/>
        </w:rPr>
      </w:pPr>
      <w:r>
        <w:rPr>
          <w:rFonts w:ascii="Times New Roman" w:hAnsi="Times New Roman"/>
          <w:b/>
          <w:sz w:val="20"/>
        </w:rPr>
        <w:t xml:space="preserve">Chief Legal Officer </w:t>
      </w:r>
    </w:p>
    <w:p>
      <w:pPr>
        <w:pStyle w:val="TextBody"/>
        <w:spacing w:before="0" w:after="0"/>
        <w:jc w:val="center"/>
        <w:rPr>
          <w:rFonts w:ascii="Times New Roman" w:hAnsi="Times New Roman"/>
          <w:b/>
          <w:sz w:val="20"/>
        </w:rPr>
      </w:pPr>
      <w:r>
        <w:rPr>
          <w:rFonts w:ascii="Times New Roman" w:hAnsi="Times New Roman"/>
          <w:b/>
          <w:sz w:val="20"/>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 xml:space="preserve">1601 Trapelo Road, Suite 178 </w:t>
      </w:r>
    </w:p>
    <w:p>
      <w:pPr>
        <w:pStyle w:val="TextBody"/>
        <w:spacing w:before="0" w:after="0"/>
        <w:jc w:val="center"/>
        <w:rPr>
          <w:rFonts w:ascii="Times New Roman" w:hAnsi="Times New Roman"/>
          <w:b/>
          <w:sz w:val="20"/>
        </w:rPr>
      </w:pPr>
      <w:r>
        <w:rPr>
          <w:rFonts w:ascii="Times New Roman" w:hAnsi="Times New Roman"/>
          <w:b/>
          <w:sz w:val="20"/>
        </w:rPr>
        <w:t xml:space="preserve">Waltham, MA 02451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REGISTRATION OF ADDITIONAL SHARES PURSUANT TO GENERAL INSTRUCTION E </w:t>
      </w:r>
    </w:p>
    <w:p>
      <w:pPr>
        <w:pStyle w:val="TextBody"/>
        <w:spacing w:before="120" w:after="0"/>
        <w:jc w:val="left"/>
        <w:rPr>
          <w:rFonts w:ascii="Times New Roman" w:hAnsi="Times New Roman"/>
          <w:sz w:val="20"/>
        </w:rPr>
      </w:pPr>
      <w:r>
        <w:rPr>
          <w:rFonts w:ascii="Times New Roman" w:hAnsi="Times New Roman"/>
          <w:sz w:val="20"/>
        </w:rPr>
        <w:t>Pursuant to General Instruction E of Form S-8, Adagio Therapeutics, Inc. (the </w:t>
      </w:r>
      <w:r>
        <w:rPr>
          <w:rFonts w:ascii="Times New Roman" w:hAnsi="Times New Roman"/>
          <w:b/>
          <w:i/>
          <w:sz w:val="20"/>
        </w:rPr>
        <w:t>Registrant</w:t>
      </w:r>
      <w:r>
        <w:rPr>
          <w:rFonts w:ascii="Times New Roman" w:hAnsi="Times New Roman"/>
          <w:sz w:val="20"/>
        </w:rPr>
        <w:t>) is filing this Registration Statement with the Securities and Exchange Commission (the </w:t>
      </w:r>
      <w:r>
        <w:rPr>
          <w:rFonts w:ascii="Times New Roman" w:hAnsi="Times New Roman"/>
          <w:b/>
          <w:i/>
          <w:sz w:val="20"/>
        </w:rPr>
        <w:t>Commission</w:t>
      </w:r>
      <w:r>
        <w:rPr>
          <w:rFonts w:ascii="Times New Roman" w:hAnsi="Times New Roman"/>
          <w:sz w:val="20"/>
        </w:rPr>
        <w:t>) to register 5,539,145 additional shares of its common stock under the Registrants 2021 Equity Incentive Plan (the </w:t>
      </w:r>
      <w:r>
        <w:rPr>
          <w:rFonts w:ascii="Times New Roman" w:hAnsi="Times New Roman"/>
          <w:b/>
          <w:i/>
          <w:sz w:val="20"/>
        </w:rPr>
        <w:t>2021 Plan</w:t>
      </w:r>
      <w:r>
        <w:rPr>
          <w:rFonts w:ascii="Times New Roman" w:hAnsi="Times New Roman"/>
          <w:sz w:val="20"/>
        </w:rPr>
        <w:t xml:space="preserve">), pursuant to the provisions of the 2021 Plan providing for an automatic increase in the number of shares of common stock reserved and available for issuance under the 2021 Plan on January 1, 2022. </w:t>
      </w:r>
    </w:p>
    <w:p>
      <w:pPr>
        <w:pStyle w:val="TextBody"/>
        <w:spacing w:before="240" w:after="0"/>
        <w:jc w:val="left"/>
        <w:rPr>
          <w:rFonts w:ascii="Times New Roman" w:hAnsi="Times New Roman"/>
          <w:sz w:val="20"/>
        </w:rPr>
      </w:pPr>
      <w:r>
        <w:rPr>
          <w:rFonts w:ascii="Times New Roman" w:hAnsi="Times New Roman"/>
          <w:sz w:val="20"/>
        </w:rPr>
        <w:t xml:space="preserve">In accordance with the instructional note to Part I of Form S-8 as promulgated by the Commission, the information specified by Part I of the Form S-8 has been omitted from this Registration Statement. </w:t>
      </w:r>
    </w:p>
    <w:p>
      <w:pPr>
        <w:pStyle w:val="TextBody"/>
        <w:spacing w:before="240" w:after="0"/>
        <w:jc w:val="left"/>
        <w:rPr>
          <w:rFonts w:ascii="Times New Roman" w:hAnsi="Times New Roman"/>
          <w:sz w:val="20"/>
        </w:rPr>
      </w:pPr>
      <w:r>
        <w:rPr>
          <w:rFonts w:ascii="Times New Roman" w:hAnsi="Times New Roman"/>
          <w:sz w:val="20"/>
        </w:rPr>
        <w:t>This Registration Statement relates to securities of the same class as those that were previously registered by the Registrant on a Registration Statement on Form S-8 (the </w:t>
      </w:r>
      <w:r>
        <w:rPr>
          <w:rFonts w:ascii="Times New Roman" w:hAnsi="Times New Roman"/>
          <w:b/>
          <w:i/>
          <w:sz w:val="20"/>
        </w:rPr>
        <w:t>Prior Registration Statement</w:t>
      </w:r>
      <w:r>
        <w:rPr>
          <w:rFonts w:ascii="Times New Roman" w:hAnsi="Times New Roman"/>
          <w:sz w:val="20"/>
        </w:rPr>
        <w:t xml:space="preserve">) filed with the Commission on August 23, 2021 (File No. 333-259008). The contents of the Prior Registration Statement are incorporated by reference into this Registration Statement.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3.</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by reference into this Registration Statement: </w:t>
      </w:r>
    </w:p>
    <w:p>
      <w:pPr>
        <w:pStyle w:val="TextBody"/>
        <w:spacing w:before="120" w:after="0"/>
        <w:jc w:val="left"/>
        <w:rPr/>
      </w:pPr>
      <w:r>
        <w:rPr>
          <w:rFonts w:ascii="Times New Roman" w:hAnsi="Times New Roman"/>
          <w:sz w:val="20"/>
        </w:rPr>
        <w:t xml:space="preserve">(a) 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Commission on March 31, 2022 (the </w:t>
      </w:r>
      <w:r>
        <w:rPr>
          <w:rFonts w:ascii="Times New Roman" w:hAnsi="Times New Roman"/>
          <w:b/>
          <w:i/>
          <w:sz w:val="20"/>
        </w:rPr>
        <w:t>Form 10-K</w:t>
      </w:r>
      <w:r>
        <w:rPr>
          <w:rFonts w:ascii="Times New Roman" w:hAnsi="Times New Roman"/>
          <w:sz w:val="20"/>
        </w:rPr>
        <w:t xml:space="preserve">), as subsequently amended by Amendment No. 1 to the </w:t>
      </w:r>
      <w:hyperlink r:id="rId3">
        <w:r>
          <w:rPr>
            <w:rStyle w:val="InternetLink"/>
            <w:rFonts w:ascii="Times New Roman" w:hAnsi="Times New Roman"/>
            <w:sz w:val="20"/>
          </w:rPr>
          <w:t>Form 10-K</w:t>
        </w:r>
      </w:hyperlink>
      <w:r>
        <w:rPr>
          <w:rFonts w:ascii="Times New Roman" w:hAnsi="Times New Roman"/>
          <w:sz w:val="20"/>
        </w:rPr>
        <w:t xml:space="preserve">, filed with the Commission on April 29, 2022 (File Nos.: 001-40703); </w:t>
      </w:r>
    </w:p>
    <w:p>
      <w:pPr>
        <w:pStyle w:val="TextBody"/>
        <w:spacing w:before="120" w:after="0"/>
        <w:jc w:val="left"/>
        <w:rPr/>
      </w:pPr>
      <w:r>
        <w:rPr>
          <w:rFonts w:ascii="Times New Roman" w:hAnsi="Times New Roman"/>
          <w:sz w:val="20"/>
        </w:rPr>
        <w:t xml:space="preserve">(b) The Registrants Current Reports on Form 8-K (File No. 001-40703) filed with the Commission on  </w:t>
      </w:r>
      <w:hyperlink r:id="rId4">
        <w:r>
          <w:rPr>
            <w:rStyle w:val="InternetLink"/>
            <w:rFonts w:ascii="Times New Roman" w:hAnsi="Times New Roman"/>
            <w:sz w:val="20"/>
          </w:rPr>
          <w:t>January  13, 2022,</w:t>
        </w:r>
      </w:hyperlink>
      <w:r>
        <w:rPr>
          <w:rFonts w:ascii="Times New Roman" w:hAnsi="Times New Roman"/>
          <w:sz w:val="20"/>
        </w:rPr>
        <w:t xml:space="preserve"> </w:t>
      </w:r>
      <w:hyperlink r:id="rId5">
        <w:r>
          <w:rPr>
            <w:rStyle w:val="InternetLink"/>
            <w:rFonts w:ascii="Times New Roman" w:hAnsi="Times New Roman"/>
            <w:sz w:val="20"/>
          </w:rPr>
          <w:t>February  18, 2022,</w:t>
        </w:r>
      </w:hyperlink>
      <w:r>
        <w:rPr>
          <w:rFonts w:ascii="Times New Roman" w:hAnsi="Times New Roman"/>
          <w:sz w:val="20"/>
        </w:rPr>
        <w:t xml:space="preserve"> </w:t>
      </w:r>
      <w:hyperlink r:id="rId6">
        <w:r>
          <w:rPr>
            <w:rStyle w:val="InternetLink"/>
            <w:rFonts w:ascii="Times New Roman" w:hAnsi="Times New Roman"/>
            <w:sz w:val="20"/>
          </w:rPr>
          <w:t>February  22, 2022,</w:t>
        </w:r>
      </w:hyperlink>
      <w:r>
        <w:rPr>
          <w:rFonts w:ascii="Times New Roman" w:hAnsi="Times New Roman"/>
          <w:sz w:val="20"/>
        </w:rPr>
        <w:t xml:space="preserve"> </w:t>
      </w:r>
      <w:hyperlink r:id="rId7">
        <w:r>
          <w:rPr>
            <w:rStyle w:val="InternetLink"/>
            <w:rFonts w:ascii="Times New Roman" w:hAnsi="Times New Roman"/>
            <w:sz w:val="20"/>
          </w:rPr>
          <w:t>February 23, 2022</w:t>
        </w:r>
      </w:hyperlink>
      <w:r>
        <w:rPr>
          <w:rFonts w:ascii="Times New Roman" w:hAnsi="Times New Roman"/>
          <w:sz w:val="20"/>
        </w:rPr>
        <w:t xml:space="preserve"> (as amended by the Current Report on Form 8-K/A filed on </w:t>
      </w:r>
      <w:hyperlink r:id="rId8">
        <w:r>
          <w:rPr>
            <w:rStyle w:val="InternetLink"/>
            <w:rFonts w:ascii="Times New Roman" w:hAnsi="Times New Roman"/>
            <w:sz w:val="20"/>
          </w:rPr>
          <w:t>March  21, 2022</w:t>
        </w:r>
      </w:hyperlink>
      <w:r>
        <w:rPr>
          <w:rFonts w:ascii="Times New Roman" w:hAnsi="Times New Roman"/>
          <w:sz w:val="20"/>
        </w:rPr>
        <w:t xml:space="preserve">), </w:t>
      </w:r>
      <w:hyperlink r:id="rId9">
        <w:r>
          <w:rPr>
            <w:rStyle w:val="InternetLink"/>
            <w:rFonts w:ascii="Times New Roman" w:hAnsi="Times New Roman"/>
            <w:sz w:val="20"/>
          </w:rPr>
          <w:t>March  1, 2022</w:t>
        </w:r>
      </w:hyperlink>
      <w:r>
        <w:rPr>
          <w:rFonts w:ascii="Times New Roman" w:hAnsi="Times New Roman"/>
          <w:sz w:val="20"/>
        </w:rPr>
        <w:t xml:space="preserve"> and </w:t>
      </w:r>
      <w:hyperlink r:id="rId10">
        <w:r>
          <w:rPr>
            <w:rStyle w:val="InternetLink"/>
            <w:rFonts w:ascii="Times New Roman" w:hAnsi="Times New Roman"/>
            <w:sz w:val="20"/>
          </w:rPr>
          <w:t>March 21, 2022</w:t>
        </w:r>
      </w:hyperlink>
      <w:r>
        <w:rPr>
          <w:rFonts w:ascii="Times New Roman" w:hAnsi="Times New Roman"/>
          <w:sz w:val="20"/>
        </w:rPr>
        <w:t xml:space="preserve"> to the extent the information in and exhibits to such reports are filed and not furnished; and </w:t>
      </w:r>
    </w:p>
    <w:p>
      <w:pPr>
        <w:pStyle w:val="TextBody"/>
        <w:spacing w:before="120" w:after="0"/>
        <w:jc w:val="left"/>
        <w:rPr/>
      </w:pPr>
      <w:r>
        <w:rPr>
          <w:rFonts w:ascii="Times New Roman" w:hAnsi="Times New Roman"/>
          <w:sz w:val="20"/>
        </w:rPr>
        <w:t xml:space="preserve">(c) The description of the Registrants common stock contained in the Registrants Registration Statement on </w:t>
      </w:r>
      <w:hyperlink r:id="rId11">
        <w:r>
          <w:rPr>
            <w:rStyle w:val="InternetLink"/>
            <w:rFonts w:ascii="Times New Roman" w:hAnsi="Times New Roman"/>
            <w:sz w:val="20"/>
          </w:rPr>
          <w:t>Form 8-A</w:t>
        </w:r>
      </w:hyperlink>
      <w:r>
        <w:rPr>
          <w:rFonts w:ascii="Times New Roman" w:hAnsi="Times New Roman"/>
          <w:sz w:val="20"/>
        </w:rPr>
        <w:t xml:space="preserve"> filed on August 3, 2021 (File No. 001-40703) under the Securities Exchange Act of 1934, as amended (the </w:t>
      </w:r>
      <w:r>
        <w:rPr>
          <w:rFonts w:ascii="Times New Roman" w:hAnsi="Times New Roman"/>
          <w:b/>
          <w:i/>
          <w:sz w:val="20"/>
        </w:rPr>
        <w:t>Exchange Act</w:t>
      </w:r>
      <w:r>
        <w:rPr>
          <w:rFonts w:ascii="Times New Roman" w:hAnsi="Times New Roman"/>
          <w:sz w:val="20"/>
        </w:rPr>
        <w:t xml:space="preserve">), as the description therein has been updated and superseded by the description of the Registrants common stock contained in </w:t>
      </w:r>
      <w:hyperlink r:id="rId12">
        <w:r>
          <w:rPr>
            <w:rStyle w:val="InternetLink"/>
            <w:rFonts w:ascii="Times New Roman" w:hAnsi="Times New Roman"/>
            <w:sz w:val="20"/>
          </w:rPr>
          <w:t>Exhibit 4.2</w:t>
        </w:r>
      </w:hyperlink>
      <w:r>
        <w:rPr>
          <w:rFonts w:ascii="Times New Roman" w:hAnsi="Times New Roman"/>
          <w:sz w:val="20"/>
        </w:rPr>
        <w:t xml:space="preserve"> to the </w:t>
      </w:r>
      <w:hyperlink r:id="rId13">
        <w:r>
          <w:rPr>
            <w:rStyle w:val="InternetLink"/>
            <w:rFonts w:ascii="Times New Roman" w:hAnsi="Times New Roman"/>
            <w:sz w:val="20"/>
          </w:rPr>
          <w:t>Form 10-K</w:t>
        </w:r>
      </w:hyperlink>
      <w:r>
        <w:rPr>
          <w:rFonts w:ascii="Times New Roman" w:hAnsi="Times New Roman"/>
          <w:sz w:val="20"/>
        </w:rPr>
        <w:t xml:space="preserve">, filed with the Commission on March 31, 2022, including any amendment or report filed for the purpose of updating such description. </w:t>
      </w:r>
    </w:p>
    <w:p>
      <w:pPr>
        <w:pStyle w:val="TextBody"/>
        <w:spacing w:before="240" w:after="0"/>
        <w:jc w:val="left"/>
        <w:rPr>
          <w:rFonts w:ascii="Times New Roman" w:hAnsi="Times New Roman"/>
          <w:sz w:val="20"/>
        </w:rPr>
      </w:pPr>
      <w:r>
        <w:rPr>
          <w:rFonts w:ascii="Times New Roman" w:hAnsi="Times New Roman"/>
          <w:sz w:val="20"/>
        </w:rPr>
        <w:t xml:space="preserve">All documents, reports and definitive proxy or information statements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8.</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6"/>
        <w:gridCol w:w="178"/>
        <w:gridCol w:w="2668"/>
        <w:gridCol w:w="138"/>
        <w:gridCol w:w="1537"/>
        <w:gridCol w:w="138"/>
        <w:gridCol w:w="1438"/>
        <w:gridCol w:w="138"/>
        <w:gridCol w:w="1352"/>
        <w:gridCol w:w="138"/>
        <w:gridCol w:w="1604"/>
      </w:tblGrid>
      <w:tr>
        <w:trPr/>
        <w:tc>
          <w:tcPr>
            <w:tcW w:w="8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r>
      <w:tr>
        <w:trPr/>
        <w:tc>
          <w:tcPr>
            <w:tcW w:w="876" w:type="dxa"/>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Number</w:t>
            </w:r>
          </w:p>
        </w:tc>
        <w:tc>
          <w:tcPr>
            <w:tcW w:w="178" w:type="dxa"/>
            <w:vMerge w:val="restart"/>
            <w:tcBorders/>
            <w:shd w:fill="auto" w:val="clear"/>
            <w:vAlign w:val="bottom"/>
          </w:tcPr>
          <w:p>
            <w:pPr>
              <w:pStyle w:val="TableContents"/>
              <w:spacing w:before="0" w:after="283"/>
              <w:rPr/>
            </w:pPr>
            <w:r>
              <w:rPr/>
              <w:t>  </w:t>
            </w:r>
          </w:p>
        </w:tc>
        <w:tc>
          <w:tcPr>
            <w:tcW w:w="2668" w:type="dxa"/>
            <w:vMerge w:val="restart"/>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c>
          <w:tcPr>
            <w:tcW w:w="138" w:type="dxa"/>
            <w:tcBorders/>
            <w:shd w:fill="auto" w:val="clear"/>
            <w:vAlign w:val="bottom"/>
          </w:tcPr>
          <w:p>
            <w:pPr>
              <w:pStyle w:val="TableContents"/>
              <w:spacing w:before="0" w:after="283"/>
              <w:rPr/>
            </w:pPr>
            <w:r>
              <w:rPr/>
              <w:t>  </w:t>
            </w:r>
          </w:p>
        </w:tc>
        <w:tc>
          <w:tcPr>
            <w:tcW w:w="6345" w:type="dxa"/>
            <w:gridSpan w:val="7"/>
            <w:tcBorders/>
            <w:shd w:fill="auto" w:val="clear"/>
            <w:vAlign w:val="bottom"/>
          </w:tcPr>
          <w:p>
            <w:pPr>
              <w:pStyle w:val="TableContents"/>
              <w:spacing w:before="0" w:after="283"/>
              <w:jc w:val="center"/>
              <w:rPr>
                <w:b/>
              </w:rPr>
            </w:pPr>
            <w:r>
              <w:rPr>
                <w:b/>
              </w:rPr>
              <w:t>Incorporated by Reference</w:t>
            </w:r>
          </w:p>
        </w:tc>
      </w:tr>
      <w:tr>
        <w:trPr/>
        <w:tc>
          <w:tcPr>
            <w:tcW w:w="876" w:type="dxa"/>
            <w:vMerge w:val="continue"/>
            <w:tcBorders>
              <w:bottom w:val="single" w:sz="8" w:space="0" w:color="000000"/>
            </w:tcBorders>
            <w:shd w:fill="auto" w:val="clear"/>
            <w:tcMar>
              <w:bottom w:w="28" w:type="dxa"/>
            </w:tcMar>
            <w:vAlign w:val="bottom"/>
          </w:tcPr>
          <w:p>
            <w:pPr>
              <w:pStyle w:val="Normal"/>
              <w:rPr/>
            </w:pPr>
            <w:r>
              <w:rPr/>
            </w:r>
          </w:p>
        </w:tc>
        <w:tc>
          <w:tcPr>
            <w:tcW w:w="178" w:type="dxa"/>
            <w:vMerge w:val="continue"/>
            <w:tcBorders/>
            <w:shd w:fill="auto" w:val="clear"/>
            <w:vAlign w:val="bottom"/>
          </w:tcPr>
          <w:p>
            <w:pPr>
              <w:pStyle w:val="Normal"/>
              <w:rPr/>
            </w:pPr>
            <w:r>
              <w:rPr/>
            </w:r>
          </w:p>
        </w:tc>
        <w:tc>
          <w:tcPr>
            <w:tcW w:w="2668" w:type="dxa"/>
            <w:vMerge w:val="continue"/>
            <w:tcBorders>
              <w:bottom w:val="single" w:sz="8" w:space="0" w:color="000000"/>
            </w:tcBorders>
            <w:shd w:fill="auto" w:val="clear"/>
            <w:tcMar>
              <w:bottom w:w="28" w:type="dxa"/>
            </w:tcMar>
            <w:vAlign w:val="bottom"/>
          </w:tcPr>
          <w:p>
            <w:pPr>
              <w:pStyle w:val="Normal"/>
              <w:rPr/>
            </w:pPr>
            <w:r>
              <w:rPr/>
            </w:r>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center"/>
              <w:rPr>
                <w:b/>
              </w:rPr>
            </w:pPr>
            <w:r>
              <w:rPr>
                <w:b/>
              </w:rPr>
              <w:t>Schedule/Form</w:t>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center"/>
              <w:rPr>
                <w:b/>
              </w:rPr>
            </w:pPr>
            <w:r>
              <w:rPr>
                <w:b/>
              </w:rPr>
              <w:t>File Number</w:t>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center"/>
              <w:rPr>
                <w:b/>
              </w:rPr>
            </w:pPr>
            <w:r>
              <w:rPr>
                <w:b/>
              </w:rPr>
              <w:t>Exhibit</w:t>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jc w:val="center"/>
              <w:rPr>
                <w:b/>
              </w:rPr>
            </w:pPr>
            <w:r>
              <w:rPr>
                <w:b/>
              </w:rPr>
              <w:t>Filing Date</w:t>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4.1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r:id="rId14">
              <w:r>
                <w:rPr>
                  <w:rStyle w:val="InternetLink"/>
                </w:rPr>
                <w:t>Amended and Restated Certificate of Incorporation of the Registrant, as currently in effect</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center"/>
              <w:rPr/>
            </w:pPr>
            <w:r>
              <w:rPr/>
              <w:t>8-K</w:t>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center"/>
              <w:rPr/>
            </w:pPr>
            <w:r>
              <w:rPr/>
              <w:t>001-40703</w:t>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center"/>
              <w:rPr/>
            </w:pPr>
            <w:r>
              <w:rPr/>
              <w:t>3.1</w:t>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jc w:val="center"/>
              <w:rPr/>
            </w:pPr>
            <w:r>
              <w:rPr/>
              <w:t>August 10, 2021</w:t>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4.2</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r:id="rId15">
              <w:r>
                <w:rPr>
                  <w:rStyle w:val="InternetLink"/>
                </w:rPr>
                <w:t>Amended and Restated Bylaws of the Registrant, as currently in effect</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center"/>
              <w:rPr/>
            </w:pPr>
            <w:r>
              <w:rPr/>
              <w:t>8-K</w:t>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center"/>
              <w:rPr/>
            </w:pPr>
            <w:r>
              <w:rPr/>
              <w:t>001-40703</w:t>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center"/>
              <w:rPr/>
            </w:pPr>
            <w:r>
              <w:rPr/>
              <w:t>3.2</w:t>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jc w:val="center"/>
              <w:rPr/>
            </w:pPr>
            <w:r>
              <w:rPr/>
              <w:t>August 10, 2021</w:t>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5.1*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w:anchor="d293599dex51.htm">
              <w:r>
                <w:rPr>
                  <w:rStyle w:val="InternetLink"/>
                </w:rPr>
                <w:t xml:space="preserve">Opinion of Wilmer Cutler Pickering Hale &amp; Dorr LLP </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23.1*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w:anchor="d293599dex231.htm">
              <w:r>
                <w:rPr>
                  <w:rStyle w:val="InternetLink"/>
                </w:rPr>
                <w:t xml:space="preserve">Consent of PricewaterhouseCoopers LLP, independent registered public accounting firm </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23.2*</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w:anchor="d293599dex51.htm">
              <w:r>
                <w:rPr>
                  <w:rStyle w:val="InternetLink"/>
                </w:rPr>
                <w:t xml:space="preserve">Consent of Wilmer Cutler Pickering Hale &amp; Dorr LLP (included in Exhibit 5.1) </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24.1*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w:anchor="sig">
              <w:r>
                <w:rPr>
                  <w:rStyle w:val="InternetLink"/>
                </w:rPr>
                <w:t xml:space="preserve">Power of Attorney (included in signature pages of Registration Statement) </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99.1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r:id="rId16">
              <w:r>
                <w:rPr>
                  <w:rStyle w:val="InternetLink"/>
                </w:rPr>
                <w:t>2021 Equity Incentive Plan and Forms of Stock Option Grant Notice, Stock Option Agreement, Notice of Exercise, RSU Award Grant Notice and RSU Award Agreement</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center"/>
              <w:rPr/>
            </w:pPr>
            <w:r>
              <w:rPr/>
              <w:t>S-1</w:t>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center"/>
              <w:rPr/>
            </w:pPr>
            <w:r>
              <w:rPr/>
              <w:t>333-257975</w:t>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center"/>
              <w:rPr/>
            </w:pPr>
            <w:r>
              <w:rPr/>
              <w:t>10.2</w:t>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jc w:val="center"/>
              <w:rPr/>
            </w:pPr>
            <w:r>
              <w:rPr/>
              <w:t>August 2, 2021</w:t>
            </w:r>
          </w:p>
        </w:tc>
      </w:tr>
      <w:tr>
        <w:trPr>
          <w:trHeight w:val="120" w:hRule="atLeast"/>
        </w:trPr>
        <w:tc>
          <w:tcPr>
            <w:tcW w:w="876" w:type="dxa"/>
            <w:tcBorders/>
            <w:shd w:fill="auto" w:val="clear"/>
            <w:vAlign w:val="center"/>
          </w:tcPr>
          <w:p>
            <w:pPr>
              <w:pStyle w:val="TableContents"/>
              <w:spacing w:before="0" w:after="283"/>
              <w:rPr>
                <w:sz w:val="4"/>
                <w:szCs w:val="4"/>
              </w:rPr>
            </w:pPr>
            <w:r>
              <w:rPr>
                <w:sz w:val="4"/>
                <w:szCs w:val="4"/>
              </w:rPr>
            </w:r>
          </w:p>
        </w:tc>
        <w:tc>
          <w:tcPr>
            <w:tcW w:w="2846" w:type="dxa"/>
            <w:gridSpan w:val="2"/>
            <w:tcBorders/>
            <w:shd w:fill="auto" w:val="clear"/>
            <w:vAlign w:val="center"/>
          </w:tcPr>
          <w:p>
            <w:pPr>
              <w:pStyle w:val="TableContents"/>
              <w:spacing w:before="0" w:after="283"/>
              <w:rPr>
                <w:sz w:val="4"/>
                <w:szCs w:val="4"/>
              </w:rPr>
            </w:pPr>
            <w:r>
              <w:rPr>
                <w:sz w:val="4"/>
                <w:szCs w:val="4"/>
              </w:rPr>
            </w:r>
          </w:p>
        </w:tc>
        <w:tc>
          <w:tcPr>
            <w:tcW w:w="1675" w:type="dxa"/>
            <w:gridSpan w:val="2"/>
            <w:tcBorders/>
            <w:shd w:fill="auto" w:val="clear"/>
            <w:vAlign w:val="center"/>
          </w:tcPr>
          <w:p>
            <w:pPr>
              <w:pStyle w:val="TableContents"/>
              <w:spacing w:before="0" w:after="283"/>
              <w:rPr>
                <w:sz w:val="4"/>
                <w:szCs w:val="4"/>
              </w:rPr>
            </w:pPr>
            <w:r>
              <w:rPr>
                <w:sz w:val="4"/>
                <w:szCs w:val="4"/>
              </w:rPr>
            </w:r>
          </w:p>
        </w:tc>
        <w:tc>
          <w:tcPr>
            <w:tcW w:w="1576"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742"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283"/>
              <w:rPr/>
            </w:pPr>
            <w:r>
              <w:rPr/>
              <w:t>107.1*</w:t>
            </w:r>
          </w:p>
        </w:tc>
        <w:tc>
          <w:tcPr>
            <w:tcW w:w="178" w:type="dxa"/>
            <w:tcBorders/>
            <w:shd w:fill="auto" w:val="clear"/>
            <w:vAlign w:val="bottom"/>
          </w:tcPr>
          <w:p>
            <w:pPr>
              <w:pStyle w:val="TableContents"/>
              <w:spacing w:before="0" w:after="283"/>
              <w:rPr/>
            </w:pPr>
            <w:r>
              <w:rPr/>
              <w:t>  </w:t>
            </w:r>
          </w:p>
        </w:tc>
        <w:tc>
          <w:tcPr>
            <w:tcW w:w="2668" w:type="dxa"/>
            <w:tcBorders/>
            <w:shd w:fill="auto" w:val="clear"/>
          </w:tcPr>
          <w:p>
            <w:pPr>
              <w:pStyle w:val="TableContents"/>
              <w:spacing w:before="0" w:after="283"/>
              <w:rPr/>
            </w:pPr>
            <w:hyperlink w:anchor="d293599dexfilingfees.htm">
              <w:r>
                <w:rPr>
                  <w:rStyle w:val="InternetLink"/>
                </w:rPr>
                <w:t xml:space="preserve">Filing Fee Table </w:t>
              </w:r>
            </w:hyperlink>
          </w:p>
        </w:tc>
        <w:tc>
          <w:tcPr>
            <w:tcW w:w="138"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604"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2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this 13th day of May,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5"/>
        <w:gridCol w:w="60"/>
        <w:gridCol w:w="3647"/>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Adagio Therapeutics, Inc.</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David Hering, M.B.A.</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Name: David Hering, M.B.A.</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Title: Interim Chief Executive Officer and Chief Operating Officer</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Jane Pritchett Henderson</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Name: Jane Pritchett Henderson</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Title: Chief Financial Officer and Chief Business Officer</w:t>
            </w:r>
          </w:p>
        </w:tc>
      </w:tr>
    </w:tbl>
    <w:p>
      <w:pPr>
        <w:pStyle w:val="TextBody"/>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spacing w:before="120" w:after="0"/>
        <w:jc w:val="left"/>
        <w:rPr>
          <w:rFonts w:ascii="Times New Roman" w:hAnsi="Times New Roman"/>
          <w:sz w:val="20"/>
        </w:rPr>
      </w:pPr>
      <w:r>
        <w:rPr>
          <w:rFonts w:ascii="Times New Roman" w:hAnsi="Times New Roman"/>
          <w:sz w:val="20"/>
        </w:rPr>
        <w:t xml:space="preserve">KNOW ALL BY THESE PRESENTS, that each person whose signature appears below hereby constitutes and appoints David Hering,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9"/>
        <w:gridCol w:w="121"/>
        <w:gridCol w:w="3392"/>
        <w:gridCol w:w="121"/>
        <w:gridCol w:w="3092"/>
      </w:tblGrid>
      <w:tr>
        <w:trPr/>
        <w:tc>
          <w:tcPr>
            <w:tcW w:w="347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39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92" w:type="dxa"/>
            <w:tcBorders/>
            <w:shd w:fill="auto" w:val="clear"/>
            <w:vAlign w:val="center"/>
          </w:tcPr>
          <w:p>
            <w:pPr>
              <w:pStyle w:val="TableContents"/>
              <w:spacing w:before="0" w:after="283"/>
              <w:rPr>
                <w:sz w:val="4"/>
                <w:szCs w:val="4"/>
              </w:rPr>
            </w:pPr>
            <w:r>
              <w:rPr>
                <w:sz w:val="4"/>
                <w:szCs w:val="4"/>
              </w:rPr>
            </w:r>
          </w:p>
        </w:tc>
      </w:tr>
      <w:tr>
        <w:trPr/>
        <w:tc>
          <w:tcPr>
            <w:tcW w:w="347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1" w:type="dxa"/>
            <w:tcBorders/>
            <w:shd w:fill="auto" w:val="clear"/>
            <w:vAlign w:val="bottom"/>
          </w:tcPr>
          <w:p>
            <w:pPr>
              <w:pStyle w:val="TableContents"/>
              <w:spacing w:before="0" w:after="283"/>
              <w:rPr/>
            </w:pPr>
            <w:r>
              <w:rPr/>
              <w:t>  </w:t>
            </w:r>
          </w:p>
        </w:tc>
        <w:tc>
          <w:tcPr>
            <w:tcW w:w="33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21" w:type="dxa"/>
            <w:tcBorders/>
            <w:shd w:fill="auto" w:val="clear"/>
            <w:vAlign w:val="bottom"/>
          </w:tcPr>
          <w:p>
            <w:pPr>
              <w:pStyle w:val="TableContents"/>
              <w:spacing w:before="0" w:after="283"/>
              <w:rPr/>
            </w:pPr>
            <w:r>
              <w:rPr/>
              <w:t>  </w:t>
            </w:r>
          </w:p>
        </w:tc>
        <w:tc>
          <w:tcPr>
            <w:tcW w:w="30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David Hering, M.B.A.</w:t>
            </w:r>
          </w:p>
          <w:p>
            <w:pPr>
              <w:pStyle w:val="TableContents"/>
              <w:spacing w:before="0" w:after="20"/>
              <w:rPr>
                <w:rFonts w:ascii="Times New Roman" w:hAnsi="Times New Roman"/>
                <w:sz w:val="20"/>
              </w:rPr>
            </w:pPr>
            <w:r>
              <w:rPr>
                <w:rFonts w:ascii="Times New Roman" w:hAnsi="Times New Roman"/>
                <w:sz w:val="20"/>
              </w:rPr>
              <w:t>David Hering, M.B.A.</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0"/>
              <w:rPr>
                <w:rFonts w:ascii="Times New Roman" w:hAnsi="Times New Roman"/>
                <w:sz w:val="20"/>
              </w:rPr>
            </w:pPr>
            <w:r>
              <w:rPr>
                <w:rFonts w:ascii="Times New Roman" w:hAnsi="Times New Roman"/>
                <w:sz w:val="20"/>
              </w:rPr>
              <w:t>Interim Chief Executive Officer and Chief Operating Officer</w:t>
            </w:r>
          </w:p>
          <w:p>
            <w:pPr>
              <w:pStyle w:val="TableContents"/>
              <w:spacing w:before="0" w:after="20"/>
              <w:rPr>
                <w:rFonts w:ascii="Times New Roman" w:hAnsi="Times New Roman"/>
                <w:i/>
                <w:sz w:val="20"/>
              </w:rPr>
            </w:pPr>
            <w:r>
              <w:rPr>
                <w:rFonts w:ascii="Times New Roman" w:hAnsi="Times New Roman"/>
                <w:i/>
                <w:sz w:val="20"/>
              </w:rPr>
              <w:t>(Principal Executive Officer)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Jane Pritchett Henderson</w:t>
            </w:r>
          </w:p>
          <w:p>
            <w:pPr>
              <w:pStyle w:val="TableContents"/>
              <w:spacing w:before="0" w:after="20"/>
              <w:rPr>
                <w:rFonts w:ascii="Times New Roman" w:hAnsi="Times New Roman"/>
                <w:sz w:val="20"/>
              </w:rPr>
            </w:pPr>
            <w:r>
              <w:rPr>
                <w:rFonts w:ascii="Times New Roman" w:hAnsi="Times New Roman"/>
                <w:sz w:val="20"/>
              </w:rPr>
              <w:t>Jane Pritchett Henderson</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 and Chief Business Officer</w:t>
            </w:r>
          </w:p>
          <w:p>
            <w:pPr>
              <w:pStyle w:val="TableContents"/>
              <w:spacing w:before="0" w:after="20"/>
              <w:rPr>
                <w:rFonts w:ascii="Times New Roman" w:hAnsi="Times New Roman"/>
                <w:i/>
                <w:sz w:val="20"/>
              </w:rPr>
            </w:pPr>
            <w:r>
              <w:rPr>
                <w:rFonts w:ascii="Times New Roman" w:hAnsi="Times New Roman"/>
                <w:i/>
                <w:sz w:val="20"/>
              </w:rPr>
              <w:t>(Principal Financial Officer and Principal Accounting Officer)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René Russo, Pharm.D.</w:t>
            </w:r>
          </w:p>
          <w:p>
            <w:pPr>
              <w:pStyle w:val="TableContents"/>
              <w:spacing w:before="0" w:after="20"/>
              <w:rPr>
                <w:rFonts w:ascii="Times New Roman" w:hAnsi="Times New Roman"/>
                <w:sz w:val="20"/>
              </w:rPr>
            </w:pPr>
            <w:r>
              <w:rPr>
                <w:rFonts w:ascii="Times New Roman" w:hAnsi="Times New Roman"/>
                <w:sz w:val="20"/>
              </w:rPr>
              <w:t>René Russo, Pharm.D.</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283"/>
              <w:rPr/>
            </w:pPr>
            <w:r>
              <w:rPr/>
              <w:t>Chair of the Board of Directors</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Tom Heyman</w:t>
            </w:r>
          </w:p>
          <w:p>
            <w:pPr>
              <w:pStyle w:val="TableContents"/>
              <w:spacing w:before="0" w:after="20"/>
              <w:rPr>
                <w:rFonts w:ascii="Times New Roman" w:hAnsi="Times New Roman"/>
                <w:sz w:val="20"/>
              </w:rPr>
            </w:pPr>
            <w:r>
              <w:rPr>
                <w:rFonts w:ascii="Times New Roman" w:hAnsi="Times New Roman"/>
                <w:sz w:val="20"/>
              </w:rPr>
              <w:t>Tom Heyman</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Ellen R. Marram, M.B.A.</w:t>
            </w:r>
          </w:p>
          <w:p>
            <w:pPr>
              <w:pStyle w:val="TableContents"/>
              <w:spacing w:before="0" w:after="20"/>
              <w:rPr>
                <w:rFonts w:ascii="Times New Roman" w:hAnsi="Times New Roman"/>
                <w:sz w:val="20"/>
              </w:rPr>
            </w:pPr>
            <w:r>
              <w:rPr>
                <w:rFonts w:ascii="Times New Roman" w:hAnsi="Times New Roman"/>
                <w:sz w:val="20"/>
              </w:rPr>
              <w:t>Ellen R. Marram, M.B.A.</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Howard Mayer, M.D.</w:t>
            </w:r>
          </w:p>
          <w:p>
            <w:pPr>
              <w:pStyle w:val="TableContents"/>
              <w:spacing w:before="0" w:after="20"/>
              <w:rPr>
                <w:rFonts w:ascii="Times New Roman" w:hAnsi="Times New Roman"/>
                <w:sz w:val="20"/>
              </w:rPr>
            </w:pPr>
            <w:r>
              <w:rPr>
                <w:rFonts w:ascii="Times New Roman" w:hAnsi="Times New Roman"/>
                <w:sz w:val="20"/>
              </w:rPr>
              <w:t>Howard Mayer, M.D.</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r>
        <w:trPr>
          <w:trHeight w:val="240" w:hRule="atLeast"/>
        </w:trPr>
        <w:tc>
          <w:tcPr>
            <w:tcW w:w="3479" w:type="dxa"/>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213" w:type="dxa"/>
            <w:gridSpan w:val="2"/>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Terrance McGuire</w:t>
            </w:r>
          </w:p>
          <w:p>
            <w:pPr>
              <w:pStyle w:val="TableContents"/>
              <w:spacing w:before="0" w:after="20"/>
              <w:rPr>
                <w:rFonts w:ascii="Times New Roman" w:hAnsi="Times New Roman"/>
                <w:sz w:val="20"/>
              </w:rPr>
            </w:pPr>
            <w:r>
              <w:rPr>
                <w:rFonts w:ascii="Times New Roman" w:hAnsi="Times New Roman"/>
                <w:sz w:val="20"/>
              </w:rPr>
              <w:t>Terrance McGuire</w:t>
            </w:r>
          </w:p>
        </w:tc>
        <w:tc>
          <w:tcPr>
            <w:tcW w:w="121" w:type="dxa"/>
            <w:tcBorders/>
            <w:shd w:fill="auto" w:val="clear"/>
            <w:vAlign w:val="bottom"/>
          </w:tcPr>
          <w:p>
            <w:pPr>
              <w:pStyle w:val="TableContents"/>
              <w:spacing w:before="0" w:after="283"/>
              <w:rPr/>
            </w:pPr>
            <w:r>
              <w:rPr/>
              <w:t>  </w:t>
            </w:r>
          </w:p>
        </w:tc>
        <w:tc>
          <w:tcPr>
            <w:tcW w:w="3392"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May 13, 2022</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535"/>
        <w:gridCol w:w="123"/>
        <w:gridCol w:w="3257"/>
        <w:gridCol w:w="123"/>
        <w:gridCol w:w="3167"/>
      </w:tblGrid>
      <w:tr>
        <w:trPr/>
        <w:tc>
          <w:tcPr>
            <w:tcW w:w="35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2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167" w:type="dxa"/>
            <w:tcBorders/>
            <w:shd w:fill="auto" w:val="clear"/>
            <w:vAlign w:val="center"/>
          </w:tcPr>
          <w:p>
            <w:pPr>
              <w:pStyle w:val="TableContents"/>
              <w:spacing w:before="0" w:after="283"/>
              <w:rPr>
                <w:sz w:val="4"/>
                <w:szCs w:val="4"/>
              </w:rPr>
            </w:pPr>
            <w:r>
              <w:rPr>
                <w:sz w:val="4"/>
                <w:szCs w:val="4"/>
              </w:rPr>
            </w:r>
          </w:p>
        </w:tc>
      </w:tr>
      <w:tr>
        <w:trPr/>
        <w:tc>
          <w:tcPr>
            <w:tcW w:w="353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3" w:type="dxa"/>
            <w:tcBorders/>
            <w:shd w:fill="auto" w:val="clear"/>
            <w:vAlign w:val="bottom"/>
          </w:tcPr>
          <w:p>
            <w:pPr>
              <w:pStyle w:val="TableContents"/>
              <w:spacing w:before="0" w:after="283"/>
              <w:rPr/>
            </w:pPr>
            <w:r>
              <w:rPr/>
              <w:t>  </w:t>
            </w:r>
          </w:p>
        </w:tc>
        <w:tc>
          <w:tcPr>
            <w:tcW w:w="325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23" w:type="dxa"/>
            <w:tcBorders/>
            <w:shd w:fill="auto" w:val="clear"/>
            <w:vAlign w:val="bottom"/>
          </w:tcPr>
          <w:p>
            <w:pPr>
              <w:pStyle w:val="TableContents"/>
              <w:spacing w:before="0" w:after="283"/>
              <w:rPr/>
            </w:pPr>
            <w:r>
              <w:rPr/>
              <w:t>  </w:t>
            </w:r>
          </w:p>
        </w:tc>
        <w:tc>
          <w:tcPr>
            <w:tcW w:w="316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35"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Redonda Miller, M.D., M.B.A.</w:t>
            </w:r>
          </w:p>
          <w:p>
            <w:pPr>
              <w:pStyle w:val="TableContents"/>
              <w:spacing w:before="0" w:after="20"/>
              <w:rPr>
                <w:rFonts w:ascii="Times New Roman" w:hAnsi="Times New Roman"/>
                <w:sz w:val="20"/>
              </w:rPr>
            </w:pPr>
            <w:r>
              <w:rPr>
                <w:rFonts w:ascii="Times New Roman" w:hAnsi="Times New Roman"/>
                <w:sz w:val="20"/>
              </w:rPr>
              <w:t>Redonda Miller, M.D., M.B.A.</w:t>
            </w:r>
          </w:p>
        </w:tc>
        <w:tc>
          <w:tcPr>
            <w:tcW w:w="123"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rPr/>
            </w:pPr>
            <w:r>
              <w:rPr/>
              <w:t>Director</w:t>
            </w:r>
          </w:p>
        </w:tc>
        <w:tc>
          <w:tcPr>
            <w:tcW w:w="123" w:type="dxa"/>
            <w:tcBorders/>
            <w:shd w:fill="auto" w:val="clear"/>
            <w:vAlign w:val="bottom"/>
          </w:tcPr>
          <w:p>
            <w:pPr>
              <w:pStyle w:val="TableContents"/>
              <w:spacing w:before="0" w:after="283"/>
              <w:rPr/>
            </w:pPr>
            <w:r>
              <w:rPr/>
              <w:t>  </w:t>
            </w:r>
          </w:p>
        </w:tc>
        <w:tc>
          <w:tcPr>
            <w:tcW w:w="3167" w:type="dxa"/>
            <w:tcBorders/>
            <w:shd w:fill="auto" w:val="clear"/>
          </w:tcPr>
          <w:p>
            <w:pPr>
              <w:pStyle w:val="TableContents"/>
              <w:spacing w:before="0" w:after="283"/>
              <w:jc w:val="center"/>
              <w:rPr/>
            </w:pPr>
            <w:r>
              <w:rPr/>
              <w:t>May 13, 2022</w:t>
            </w:r>
          </w:p>
        </w:tc>
      </w:tr>
      <w:tr>
        <w:trPr>
          <w:trHeight w:val="240" w:hRule="atLeast"/>
        </w:trPr>
        <w:tc>
          <w:tcPr>
            <w:tcW w:w="3535"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tcPr>
          <w:p>
            <w:pPr>
              <w:pStyle w:val="TableContents"/>
              <w:pBdr>
                <w:bottom w:val="single" w:sz="2" w:space="1" w:color="000000"/>
              </w:pBdr>
              <w:spacing w:before="0" w:after="0"/>
              <w:rPr/>
            </w:pPr>
            <w:r>
              <w:rPr/>
              <w:t> </w:t>
            </w:r>
          </w:p>
          <w:p>
            <w:pPr>
              <w:pStyle w:val="TableContents"/>
              <w:spacing w:before="0" w:after="20"/>
              <w:rPr>
                <w:rFonts w:ascii="Times New Roman" w:hAnsi="Times New Roman"/>
                <w:sz w:val="20"/>
              </w:rPr>
            </w:pPr>
            <w:r>
              <w:rPr>
                <w:rFonts w:ascii="Times New Roman" w:hAnsi="Times New Roman"/>
                <w:sz w:val="20"/>
              </w:rPr>
              <w:t>Ajay Royan</w:t>
            </w:r>
          </w:p>
        </w:tc>
        <w:tc>
          <w:tcPr>
            <w:tcW w:w="123"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rPr/>
            </w:pPr>
            <w:r>
              <w:rPr/>
              <w:t>Director</w:t>
            </w:r>
          </w:p>
        </w:tc>
        <w:tc>
          <w:tcPr>
            <w:tcW w:w="123" w:type="dxa"/>
            <w:tcBorders/>
            <w:shd w:fill="auto" w:val="clear"/>
            <w:vAlign w:val="bottom"/>
          </w:tcPr>
          <w:p>
            <w:pPr>
              <w:pStyle w:val="TableContents"/>
              <w:spacing w:before="0" w:after="283"/>
              <w:rPr/>
            </w:pPr>
            <w:r>
              <w:rPr/>
              <w:t>  </w:t>
            </w:r>
          </w:p>
        </w:tc>
        <w:tc>
          <w:tcPr>
            <w:tcW w:w="3167" w:type="dxa"/>
            <w:tcBorders/>
            <w:shd w:fill="auto" w:val="clear"/>
          </w:tcPr>
          <w:p>
            <w:pPr>
              <w:pStyle w:val="TableContents"/>
              <w:spacing w:before="0" w:after="283"/>
              <w:rPr>
                <w:sz w:val="4"/>
                <w:szCs w:val="4"/>
              </w:rPr>
            </w:pPr>
            <w:r>
              <w:rPr>
                <w:sz w:val="4"/>
                <w:szCs w:val="4"/>
              </w:rPr>
            </w:r>
          </w:p>
        </w:tc>
      </w:tr>
      <w:tr>
        <w:trPr>
          <w:trHeight w:val="240" w:hRule="atLeast"/>
        </w:trPr>
        <w:tc>
          <w:tcPr>
            <w:tcW w:w="3535"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Anand Shah, M.D.</w:t>
            </w:r>
          </w:p>
          <w:p>
            <w:pPr>
              <w:pStyle w:val="TableContents"/>
              <w:spacing w:before="0" w:after="20"/>
              <w:rPr>
                <w:rFonts w:ascii="Times New Roman" w:hAnsi="Times New Roman"/>
                <w:sz w:val="20"/>
              </w:rPr>
            </w:pPr>
            <w:r>
              <w:rPr>
                <w:rFonts w:ascii="Times New Roman" w:hAnsi="Times New Roman"/>
                <w:sz w:val="20"/>
              </w:rPr>
              <w:t>Anand Shah, M.D.</w:t>
            </w:r>
          </w:p>
        </w:tc>
        <w:tc>
          <w:tcPr>
            <w:tcW w:w="123"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rPr/>
            </w:pPr>
            <w:r>
              <w:rPr/>
              <w:t>Director</w:t>
            </w:r>
          </w:p>
        </w:tc>
        <w:tc>
          <w:tcPr>
            <w:tcW w:w="123" w:type="dxa"/>
            <w:tcBorders/>
            <w:shd w:fill="auto" w:val="clear"/>
            <w:vAlign w:val="bottom"/>
          </w:tcPr>
          <w:p>
            <w:pPr>
              <w:pStyle w:val="TableContents"/>
              <w:spacing w:before="0" w:after="283"/>
              <w:rPr/>
            </w:pPr>
            <w:r>
              <w:rPr/>
              <w:t>  </w:t>
            </w:r>
          </w:p>
        </w:tc>
        <w:tc>
          <w:tcPr>
            <w:tcW w:w="3167" w:type="dxa"/>
            <w:tcBorders/>
            <w:shd w:fill="auto" w:val="clear"/>
          </w:tcPr>
          <w:p>
            <w:pPr>
              <w:pStyle w:val="TableContents"/>
              <w:spacing w:before="0" w:after="283"/>
              <w:jc w:val="center"/>
              <w:rPr/>
            </w:pPr>
            <w:r>
              <w:rPr/>
              <w:t>May 13, 2022</w:t>
            </w:r>
          </w:p>
        </w:tc>
      </w:tr>
      <w:tr>
        <w:trPr>
          <w:trHeight w:val="240" w:hRule="atLeast"/>
        </w:trPr>
        <w:tc>
          <w:tcPr>
            <w:tcW w:w="3535"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Michael Wyzga</w:t>
            </w:r>
          </w:p>
          <w:p>
            <w:pPr>
              <w:pStyle w:val="TableContents"/>
              <w:spacing w:before="0" w:after="20"/>
              <w:rPr>
                <w:rFonts w:ascii="Times New Roman" w:hAnsi="Times New Roman"/>
                <w:sz w:val="20"/>
              </w:rPr>
            </w:pPr>
            <w:r>
              <w:rPr>
                <w:rFonts w:ascii="Times New Roman" w:hAnsi="Times New Roman"/>
                <w:sz w:val="20"/>
              </w:rPr>
              <w:t>Michael Wyzga</w:t>
            </w:r>
          </w:p>
        </w:tc>
        <w:tc>
          <w:tcPr>
            <w:tcW w:w="123"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rPr/>
            </w:pPr>
            <w:r>
              <w:rPr/>
              <w:t>Director</w:t>
            </w:r>
          </w:p>
        </w:tc>
        <w:tc>
          <w:tcPr>
            <w:tcW w:w="123" w:type="dxa"/>
            <w:tcBorders/>
            <w:shd w:fill="auto" w:val="clear"/>
            <w:vAlign w:val="bottom"/>
          </w:tcPr>
          <w:p>
            <w:pPr>
              <w:pStyle w:val="TableContents"/>
              <w:spacing w:before="0" w:after="283"/>
              <w:rPr/>
            </w:pPr>
            <w:r>
              <w:rPr/>
              <w:t>  </w:t>
            </w:r>
          </w:p>
        </w:tc>
        <w:tc>
          <w:tcPr>
            <w:tcW w:w="3167" w:type="dxa"/>
            <w:tcBorders/>
            <w:shd w:fill="auto" w:val="clear"/>
          </w:tcPr>
          <w:p>
            <w:pPr>
              <w:pStyle w:val="TableContents"/>
              <w:spacing w:before="0" w:after="283"/>
              <w:jc w:val="center"/>
              <w:rPr/>
            </w:pPr>
            <w:r>
              <w:rPr/>
              <w:t>May 13, 2022</w:t>
            </w:r>
          </w:p>
        </w:tc>
      </w:tr>
    </w:tbl>
    <w:p>
      <w:pPr>
        <w:pStyle w:val="TextBody"/>
        <w:spacing w:before="0" w:after="0"/>
        <w:jc w:val="right"/>
        <w:rPr>
          <w:rFonts w:ascii="Times New Roman" w:hAnsi="Times New Roman"/>
          <w:b/>
          <w:sz w:val="20"/>
        </w:rPr>
      </w:pPr>
      <w:r>
        <w:br w:type="page"/>
      </w:r>
      <w:bookmarkStart w:id="3" w:name="d293599dex51.htm"/>
      <w:bookmarkStart w:id="4" w:name="ksd293599dex51"/>
      <w:bookmarkEnd w:id="3"/>
      <w:bookmarkEnd w:id="4"/>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right"/>
        <w:rPr/>
      </w:pPr>
      <w:r>
        <w:rPr/>
        <w:drawing>
          <wp:inline distT="0" distB="0" distL="0" distR="0">
            <wp:extent cx="11715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171575" cy="15240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sz w:val="20"/>
        </w:rPr>
        <w:t xml:space="preserve">+1 617 526 6000 (t) </w:t>
      </w:r>
    </w:p>
    <w:p>
      <w:pPr>
        <w:pStyle w:val="TextBody"/>
        <w:spacing w:before="0" w:after="0"/>
        <w:jc w:val="right"/>
        <w:rPr>
          <w:rFonts w:ascii="Times New Roman" w:hAnsi="Times New Roman"/>
          <w:sz w:val="20"/>
        </w:rPr>
      </w:pPr>
      <w:r>
        <w:rPr>
          <w:rFonts w:ascii="Times New Roman" w:hAnsi="Times New Roman"/>
          <w:sz w:val="20"/>
        </w:rPr>
        <w:t xml:space="preserve">+1 617 526 5000 (f) </w:t>
      </w:r>
    </w:p>
    <w:p>
      <w:pPr>
        <w:pStyle w:val="TextBody"/>
        <w:spacing w:before="240" w:after="0"/>
        <w:jc w:val="left"/>
        <w:rPr>
          <w:rFonts w:ascii="Times New Roman" w:hAnsi="Times New Roman"/>
          <w:sz w:val="20"/>
        </w:rPr>
      </w:pPr>
      <w:r>
        <w:rPr>
          <w:rFonts w:ascii="Times New Roman" w:hAnsi="Times New Roman"/>
          <w:sz w:val="20"/>
        </w:rPr>
        <w:t xml:space="preserve">May 13, 2022 </w:t>
      </w:r>
    </w:p>
    <w:p>
      <w:pPr>
        <w:pStyle w:val="TextBody"/>
        <w:spacing w:before="240" w:after="0"/>
        <w:jc w:val="left"/>
        <w:rPr>
          <w:rFonts w:ascii="Times New Roman" w:hAnsi="Times New Roman"/>
          <w:sz w:val="20"/>
        </w:rPr>
      </w:pPr>
      <w:r>
        <w:rPr>
          <w:rFonts w:ascii="Times New Roman" w:hAnsi="Times New Roman"/>
          <w:sz w:val="20"/>
        </w:rPr>
        <w:t xml:space="preserve">Adagio Therapeutics, Inc. </w:t>
      </w:r>
    </w:p>
    <w:p>
      <w:pPr>
        <w:pStyle w:val="TextBody"/>
        <w:spacing w:before="0" w:after="0"/>
        <w:jc w:val="left"/>
        <w:rPr>
          <w:rFonts w:ascii="Times New Roman" w:hAnsi="Times New Roman"/>
          <w:sz w:val="20"/>
        </w:rPr>
      </w:pPr>
      <w:r>
        <w:rPr>
          <w:rFonts w:ascii="Times New Roman" w:hAnsi="Times New Roman"/>
          <w:sz w:val="20"/>
        </w:rPr>
        <w:t xml:space="preserve">1601 Trapelo Road, Suite 178 </w:t>
      </w:r>
    </w:p>
    <w:p>
      <w:pPr>
        <w:pStyle w:val="TextBody"/>
        <w:spacing w:before="0" w:after="0"/>
        <w:jc w:val="left"/>
        <w:rPr>
          <w:rFonts w:ascii="Times New Roman" w:hAnsi="Times New Roman"/>
          <w:sz w:val="20"/>
        </w:rPr>
      </w:pPr>
      <w:r>
        <w:rPr>
          <w:rFonts w:ascii="Times New Roman" w:hAnsi="Times New Roman"/>
          <w:sz w:val="20"/>
        </w:rPr>
        <w:t xml:space="preserve">Waltham, Massachusetts 02451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Re:</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2021 Equity Incentive Plan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We have assisted in the preparation of a Registration Statement on Form S-8 (the Registration Statement) to be filed with the Securities and Exchange Commission (the Commission) under the Securities Act of 1933, as amended (the Securities Act), relating to an aggregate of 5,539,145 shares of common stock, $0.0001 par value per share (the Shares), of Adagio Therapeutics, Inc., a Delaware corporation (the Company), issuable under the Companys 2021 Equity Incentive Plan (the Plan). </w:t>
      </w:r>
    </w:p>
    <w:p>
      <w:pPr>
        <w:pStyle w:val="TextBody"/>
        <w:spacing w:before="240" w:after="0"/>
        <w:jc w:val="left"/>
        <w:rPr>
          <w:rFonts w:ascii="Times New Roman" w:hAnsi="Times New Roman"/>
          <w:sz w:val="20"/>
        </w:rPr>
      </w:pPr>
      <w:r>
        <w:rPr>
          <w:rFonts w:ascii="Times New Roman" w:hAnsi="Times New Roman"/>
          <w:sz w:val="20"/>
        </w:rPr>
        <w:t xml:space="preserve">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 </w:t>
      </w:r>
    </w:p>
    <w:p>
      <w:pPr>
        <w:pStyle w:val="TextBody"/>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 </w:t>
      </w:r>
    </w:p>
    <w:p>
      <w:pPr>
        <w:pStyle w:val="TextBody"/>
        <w:spacing w:before="240" w:after="0"/>
        <w:jc w:val="left"/>
        <w:rPr>
          <w:rFonts w:ascii="Times New Roman" w:hAnsi="Times New Roman"/>
          <w:sz w:val="20"/>
        </w:rPr>
      </w:pPr>
      <w:r>
        <w:rPr>
          <w:rFonts w:ascii="Times New Roman" w:hAnsi="Times New Roman"/>
          <w:sz w:val="20"/>
        </w:rPr>
        <w:t xml:space="preserve">We assume that the appropriate action will be taken, prior to the offer and sale of the Shares in accordance with the Plan, to register and qualify the Shares for sale under all applicable state securities or blue sky laws. </w:t>
      </w:r>
    </w:p>
    <w:p>
      <w:pPr>
        <w:pStyle w:val="TextBody"/>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state laws of the General Corporation Law of the State of Delaware and the federal laws of the United States of America. </w:t>
      </w:r>
    </w:p>
    <w:p>
      <w:pPr>
        <w:pStyle w:val="TextBody"/>
        <w:spacing w:before="0" w:after="0"/>
        <w:jc w:val="left"/>
        <w:rPr/>
      </w:pPr>
      <w:r>
        <w:rPr/>
        <w:t> </w:t>
      </w:r>
    </w:p>
    <w:tbl>
      <w:tblPr>
        <w:tblW w:w="11415" w:type="dxa"/>
        <w:jc w:val="center"/>
        <w:tblInd w:w="0" w:type="dxa"/>
        <w:tblCellMar>
          <w:top w:w="0" w:type="dxa"/>
          <w:left w:w="0" w:type="dxa"/>
          <w:bottom w:w="0" w:type="dxa"/>
          <w:right w:w="0" w:type="dxa"/>
        </w:tblCellMar>
      </w:tblPr>
      <w:tblGrid>
        <w:gridCol w:w="11415"/>
      </w:tblGrid>
      <w:tr>
        <w:trPr/>
        <w:tc>
          <w:tcPr>
            <w:tcW w:w="11415" w:type="dxa"/>
            <w:tcBorders/>
            <w:shd w:fill="auto" w:val="clear"/>
            <w:vAlign w:val="center"/>
          </w:tcPr>
          <w:p>
            <w:pPr>
              <w:pStyle w:val="TableContents"/>
              <w:spacing w:before="0" w:after="283"/>
              <w:rPr>
                <w:sz w:val="4"/>
                <w:szCs w:val="4"/>
              </w:rPr>
            </w:pPr>
            <w:r>
              <w:rPr>
                <w:sz w:val="4"/>
                <w:szCs w:val="4"/>
              </w:rPr>
            </w:r>
          </w:p>
        </w:tc>
      </w:tr>
      <w:tr>
        <w:trPr/>
        <w:tc>
          <w:tcPr>
            <w:tcW w:w="11415" w:type="dxa"/>
            <w:tcBorders/>
            <w:shd w:fill="auto" w:val="clear"/>
          </w:tcPr>
          <w:p>
            <w:pPr>
              <w:pStyle w:val="TableContents"/>
              <w:spacing w:before="0" w:after="283"/>
              <w:jc w:val="center"/>
              <w:rPr/>
            </w:pPr>
            <w:r>
              <w:rPr/>
              <w:drawing>
                <wp:inline distT="0" distB="0" distL="0" distR="0">
                  <wp:extent cx="72485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7248525" cy="447675"/>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TextBody"/>
        <w:spacing w:before="0" w:after="0"/>
        <w:jc w:val="right"/>
        <w:rPr/>
      </w:pPr>
      <w:r>
        <w:rPr/>
        <w:drawing>
          <wp:inline distT="0" distB="0" distL="0" distR="0">
            <wp:extent cx="117157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171575" cy="1524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May 13, 2022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w:t>
      </w:r>
    </w:p>
    <w:p>
      <w:pPr>
        <w:pStyle w:val="TextBody"/>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for issuance and, when the Shares are issued and paid for in accordance with the terms and conditions of the Plan, the Shares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Wilmer Cutler Pickering Hale and Dorr LLP</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WILMER CUTLER PICKERING HALE AND DORR LLP</w:t>
            </w:r>
          </w:p>
        </w:tc>
      </w:tr>
    </w:tbl>
    <w:p>
      <w:pPr>
        <w:pStyle w:val="TextBody"/>
        <w:spacing w:before="0" w:after="0"/>
        <w:jc w:val="right"/>
        <w:rPr>
          <w:rFonts w:ascii="Times New Roman" w:hAnsi="Times New Roman"/>
          <w:b/>
          <w:sz w:val="20"/>
        </w:rPr>
      </w:pPr>
      <w:r>
        <w:br w:type="page"/>
      </w:r>
      <w:bookmarkStart w:id="5" w:name="d293599dex231.htm"/>
      <w:bookmarkStart w:id="6" w:name="ksd293599dex231"/>
      <w:bookmarkEnd w:id="5"/>
      <w:bookmarkEnd w:id="6"/>
      <w:r>
        <w:rPr>
          <w:rFonts w:ascii="Times New Roman" w:hAnsi="Times New Roman"/>
          <w:b/>
          <w:sz w:val="20"/>
        </w:rPr>
        <w:t xml:space="preserve">Exhibit 23.1 </w:t>
      </w:r>
    </w:p>
    <w:p>
      <w:pPr>
        <w:pStyle w:val="TextBody"/>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Adagio Therapeutics, Inc. of our report dated March 31, 2022 relating to the financial statements, which appears in Adagio Therapeutics, Inc.s Annual Report on Form 10-K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spacing w:before="240" w:after="0"/>
        <w:jc w:val="left"/>
        <w:rPr>
          <w:rFonts w:ascii="Times New Roman" w:hAnsi="Times New Roman"/>
          <w:sz w:val="20"/>
        </w:rPr>
      </w:pPr>
      <w:r>
        <w:rPr>
          <w:rFonts w:ascii="Times New Roman" w:hAnsi="Times New Roman"/>
          <w:sz w:val="20"/>
        </w:rPr>
        <w:t xml:space="preserve">Boston, Massachusetts </w:t>
      </w:r>
    </w:p>
    <w:p>
      <w:pPr>
        <w:pStyle w:val="TextBody"/>
        <w:spacing w:before="0" w:after="0"/>
        <w:jc w:val="left"/>
        <w:rPr>
          <w:rFonts w:ascii="Times New Roman" w:hAnsi="Times New Roman"/>
          <w:sz w:val="20"/>
        </w:rPr>
      </w:pPr>
      <w:r>
        <w:rPr>
          <w:rFonts w:ascii="Times New Roman" w:hAnsi="Times New Roman"/>
          <w:sz w:val="20"/>
        </w:rPr>
        <w:t xml:space="preserve">May 13, 2022 </w:t>
      </w:r>
      <w:r>
        <w:br w:type="page"/>
      </w:r>
    </w:p>
    <w:p>
      <w:pPr>
        <w:pStyle w:val="TextBody"/>
        <w:spacing w:before="0" w:after="0"/>
        <w:jc w:val="right"/>
        <w:rPr>
          <w:rFonts w:ascii="Times New Roman" w:hAnsi="Times New Roman"/>
          <w:b/>
          <w:sz w:val="20"/>
        </w:rPr>
      </w:pPr>
      <w:bookmarkStart w:id="7" w:name="d293599dexfilingfees.htm"/>
      <w:bookmarkStart w:id="8" w:name="ksd293599dexfilingfees"/>
      <w:bookmarkEnd w:id="7"/>
      <w:bookmarkEnd w:id="8"/>
      <w:r>
        <w:rPr>
          <w:rFonts w:ascii="Times New Roman" w:hAnsi="Times New Roman"/>
          <w:b/>
          <w:sz w:val="20"/>
        </w:rPr>
        <w:t xml:space="preserve">Exhibit 107.1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spacing w:before="240" w:after="0"/>
        <w:jc w:val="center"/>
        <w:rPr>
          <w:rFonts w:ascii="Times New Roman" w:hAnsi="Times New Roman"/>
          <w:b/>
          <w:sz w:val="20"/>
        </w:rPr>
      </w:pPr>
      <w:r>
        <w:rPr>
          <w:rFonts w:ascii="Times New Roman" w:hAnsi="Times New Roman"/>
          <w:b/>
          <w:sz w:val="20"/>
        </w:rPr>
        <w:t xml:space="preserve">FORM S-8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b/>
          <w:sz w:val="20"/>
        </w:rPr>
      </w:pPr>
      <w:r>
        <w:rPr>
          <w:rFonts w:ascii="Times New Roman" w:hAnsi="Times New Roman"/>
          <w:b/>
          <w:sz w:val="20"/>
        </w:rPr>
        <w:t xml:space="preserve">ADAGIO THERAPEUTICS,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Table 1: Newly Registered Securities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822"/>
        <w:gridCol w:w="122"/>
        <w:gridCol w:w="1568"/>
        <w:gridCol w:w="122"/>
        <w:gridCol w:w="875"/>
        <w:gridCol w:w="122"/>
        <w:gridCol w:w="905"/>
        <w:gridCol w:w="62"/>
        <w:gridCol w:w="785"/>
        <w:gridCol w:w="122"/>
        <w:gridCol w:w="1580"/>
        <w:gridCol w:w="122"/>
        <w:gridCol w:w="1010"/>
        <w:gridCol w:w="122"/>
        <w:gridCol w:w="1049"/>
      </w:tblGrid>
      <w:tr>
        <w:trPr/>
        <w:tc>
          <w:tcPr>
            <w:tcW w:w="8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822" w:type="dxa"/>
            <w:tcBorders>
              <w:top w:val="single" w:sz="2" w:space="0" w:color="000000"/>
              <w:left w:val="single" w:sz="2" w:space="0" w:color="000000"/>
            </w:tcBorders>
            <w:shd w:fill="auto" w:val="clear"/>
            <w:tcMar>
              <w:top w:w="28" w:type="dxa"/>
              <w:left w:w="160" w:type="dxa"/>
            </w:tcMar>
            <w:vAlign w:val="bottom"/>
          </w:tcPr>
          <w:p>
            <w:pPr>
              <w:pStyle w:val="TableContents"/>
              <w:spacing w:before="0" w:after="0"/>
              <w:jc w:val="center"/>
              <w:rPr>
                <w:rFonts w:ascii="Times New Roman" w:hAnsi="Times New Roman"/>
                <w:sz w:val="14"/>
              </w:rPr>
            </w:pPr>
            <w:r>
              <w:rPr>
                <w:rFonts w:ascii="Times New Roman" w:hAnsi="Times New Roman"/>
                <w:sz w:val="14"/>
              </w:rPr>
              <w:t>Security Type</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68"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Title of Securities</w:t>
            </w:r>
          </w:p>
          <w:p>
            <w:pPr>
              <w:pStyle w:val="TableContents"/>
              <w:spacing w:before="0" w:after="0"/>
              <w:jc w:val="center"/>
              <w:rPr>
                <w:rFonts w:ascii="Times New Roman" w:hAnsi="Times New Roman"/>
                <w:sz w:val="14"/>
              </w:rPr>
            </w:pPr>
            <w:r>
              <w:rPr>
                <w:rFonts w:ascii="Times New Roman" w:hAnsi="Times New Roman"/>
                <w:sz w:val="14"/>
              </w:rPr>
              <w:t>to be Registered</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75"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0"/>
              <w:jc w:val="center"/>
              <w:rPr/>
            </w:pPr>
            <w:r>
              <w:rPr/>
              <w:t>  </w:t>
            </w:r>
            <w:r>
              <w:rPr>
                <w:rFonts w:ascii="Times New Roman" w:hAnsi="Times New Roman"/>
                <w:sz w:val="14"/>
              </w:rPr>
              <w:t>Calculation  </w:t>
            </w:r>
          </w:p>
          <w:p>
            <w:pPr>
              <w:pStyle w:val="TableContents"/>
              <w:spacing w:before="0" w:after="0"/>
              <w:jc w:val="center"/>
              <w:rPr>
                <w:rFonts w:ascii="Times New Roman" w:hAnsi="Times New Roman"/>
                <w:sz w:val="14"/>
              </w:rPr>
            </w:pPr>
            <w:r>
              <w:rPr>
                <w:rFonts w:ascii="Times New Roman" w:hAnsi="Times New Roman"/>
                <w:sz w:val="14"/>
              </w:rPr>
              <w:t>Rule</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05"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Amount</w:t>
            </w:r>
          </w:p>
          <w:p>
            <w:pPr>
              <w:pStyle w:val="TableContents"/>
              <w:spacing w:before="0" w:after="0"/>
              <w:jc w:val="center"/>
              <w:rPr/>
            </w:pPr>
            <w:r>
              <w:rPr/>
              <w:t>  </w:t>
            </w:r>
            <w:r>
              <w:rPr>
                <w:rFonts w:ascii="Times New Roman" w:hAnsi="Times New Roman"/>
                <w:sz w:val="14"/>
              </w:rPr>
              <w:t>Registered(1)  </w:t>
            </w:r>
          </w:p>
          <w:p>
            <w:pPr>
              <w:pStyle w:val="TableContents"/>
              <w:spacing w:before="0" w:after="20"/>
              <w:jc w:val="left"/>
              <w:rPr/>
            </w:pPr>
            <w:r>
              <w:rPr/>
              <w:t> </w:t>
            </w:r>
          </w:p>
        </w:tc>
        <w:tc>
          <w:tcPr>
            <w:tcW w:w="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Proposed</w:t>
            </w:r>
          </w:p>
          <w:p>
            <w:pPr>
              <w:pStyle w:val="TableContents"/>
              <w:spacing w:before="0" w:after="0"/>
              <w:jc w:val="center"/>
              <w:rPr/>
            </w:pPr>
            <w:r>
              <w:rPr/>
              <w:t>  </w:t>
            </w:r>
            <w:r>
              <w:rPr>
                <w:rFonts w:ascii="Times New Roman" w:hAnsi="Times New Roman"/>
                <w:sz w:val="14"/>
              </w:rPr>
              <w:t>Maximum  </w:t>
            </w:r>
          </w:p>
          <w:p>
            <w:pPr>
              <w:pStyle w:val="TableContents"/>
              <w:spacing w:before="0" w:after="0"/>
              <w:jc w:val="center"/>
              <w:rPr>
                <w:rFonts w:ascii="Times New Roman" w:hAnsi="Times New Roman"/>
                <w:sz w:val="14"/>
              </w:rPr>
            </w:pPr>
            <w:r>
              <w:rPr>
                <w:rFonts w:ascii="Times New Roman" w:hAnsi="Times New Roman"/>
                <w:sz w:val="14"/>
              </w:rPr>
              <w:t>Offering</w:t>
            </w:r>
          </w:p>
          <w:p>
            <w:pPr>
              <w:pStyle w:val="TableContents"/>
              <w:spacing w:before="0" w:after="0"/>
              <w:jc w:val="center"/>
              <w:rPr>
                <w:rFonts w:ascii="Times New Roman" w:hAnsi="Times New Roman"/>
                <w:sz w:val="14"/>
              </w:rPr>
            </w:pPr>
            <w:r>
              <w:rPr>
                <w:rFonts w:ascii="Times New Roman" w:hAnsi="Times New Roman"/>
                <w:sz w:val="14"/>
              </w:rPr>
              <w:t>Price per</w:t>
            </w:r>
          </w:p>
          <w:p>
            <w:pPr>
              <w:pStyle w:val="TableContents"/>
              <w:spacing w:before="0" w:after="0"/>
              <w:jc w:val="center"/>
              <w:rPr>
                <w:rFonts w:ascii="Times New Roman" w:hAnsi="Times New Roman"/>
                <w:sz w:val="14"/>
              </w:rPr>
            </w:pPr>
            <w:r>
              <w:rPr>
                <w:rFonts w:ascii="Times New Roman" w:hAnsi="Times New Roman"/>
                <w:sz w:val="14"/>
              </w:rPr>
              <w:t>Share(3)</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Proposed</w:t>
            </w:r>
          </w:p>
          <w:p>
            <w:pPr>
              <w:pStyle w:val="TableContents"/>
              <w:spacing w:before="0" w:after="0"/>
              <w:jc w:val="center"/>
              <w:rPr/>
            </w:pPr>
            <w:r>
              <w:rPr/>
              <w:t>  </w:t>
            </w:r>
            <w:r>
              <w:rPr>
                <w:rFonts w:ascii="Times New Roman" w:hAnsi="Times New Roman"/>
                <w:sz w:val="14"/>
              </w:rPr>
              <w:t>Maximum  </w:t>
            </w:r>
          </w:p>
          <w:p>
            <w:pPr>
              <w:pStyle w:val="TableContents"/>
              <w:spacing w:before="0" w:after="0"/>
              <w:jc w:val="center"/>
              <w:rPr>
                <w:rFonts w:ascii="Times New Roman" w:hAnsi="Times New Roman"/>
                <w:sz w:val="14"/>
              </w:rPr>
            </w:pPr>
            <w:r>
              <w:rPr>
                <w:rFonts w:ascii="Times New Roman" w:hAnsi="Times New Roman"/>
                <w:sz w:val="14"/>
              </w:rPr>
              <w:t>Aggregate</w:t>
            </w:r>
          </w:p>
          <w:p>
            <w:pPr>
              <w:pStyle w:val="TableContents"/>
              <w:spacing w:before="0" w:after="0"/>
              <w:jc w:val="center"/>
              <w:rPr>
                <w:rFonts w:ascii="Times New Roman" w:hAnsi="Times New Roman"/>
                <w:sz w:val="14"/>
              </w:rPr>
            </w:pPr>
            <w:r>
              <w:rPr>
                <w:rFonts w:ascii="Times New Roman" w:hAnsi="Times New Roman"/>
                <w:sz w:val="14"/>
              </w:rPr>
              <w:t>Offering</w:t>
            </w:r>
          </w:p>
          <w:p>
            <w:pPr>
              <w:pStyle w:val="TableContents"/>
              <w:spacing w:before="0" w:after="0"/>
              <w:jc w:val="center"/>
              <w:rPr>
                <w:rFonts w:ascii="Times New Roman" w:hAnsi="Times New Roman"/>
                <w:sz w:val="14"/>
              </w:rPr>
            </w:pPr>
            <w:r>
              <w:rPr>
                <w:rFonts w:ascii="Times New Roman" w:hAnsi="Times New Roman"/>
                <w:sz w:val="14"/>
              </w:rPr>
              <w:t>Price(3)</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10"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sz w:val="14"/>
              </w:rPr>
            </w:pPr>
            <w:r>
              <w:rPr>
                <w:rFonts w:ascii="Times New Roman" w:hAnsi="Times New Roman"/>
                <w:sz w:val="14"/>
              </w:rPr>
              <w:t>Fee Rate</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9"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0"/>
              <w:jc w:val="center"/>
              <w:rPr>
                <w:rFonts w:ascii="Times New Roman" w:hAnsi="Times New Roman"/>
                <w:sz w:val="14"/>
              </w:rPr>
            </w:pPr>
            <w:r>
              <w:rPr>
                <w:rFonts w:ascii="Times New Roman" w:hAnsi="Times New Roman"/>
                <w:sz w:val="14"/>
              </w:rPr>
              <w:t>Amount of</w:t>
            </w:r>
          </w:p>
          <w:p>
            <w:pPr>
              <w:pStyle w:val="TableContents"/>
              <w:spacing w:before="0" w:after="0"/>
              <w:jc w:val="center"/>
              <w:rPr/>
            </w:pPr>
            <w:r>
              <w:rPr/>
              <w:t>  </w:t>
            </w:r>
            <w:r>
              <w:rPr>
                <w:rFonts w:ascii="Times New Roman" w:hAnsi="Times New Roman"/>
                <w:sz w:val="14"/>
              </w:rPr>
              <w:t>Registration  </w:t>
            </w:r>
          </w:p>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left"/>
              <w:rPr/>
            </w:pPr>
            <w:r>
              <w:rPr/>
              <w:t> </w:t>
            </w:r>
          </w:p>
        </w:tc>
      </w:tr>
      <w:tr>
        <w:trPr/>
        <w:tc>
          <w:tcPr>
            <w:tcW w:w="822" w:type="dxa"/>
            <w:tcBorders>
              <w:top w:val="single" w:sz="2" w:space="0" w:color="000000"/>
              <w:left w:val="single" w:sz="2" w:space="0" w:color="000000"/>
            </w:tcBorders>
            <w:shd w:fill="auto" w:val="clear"/>
            <w:tcMar>
              <w:top w:w="28" w:type="dxa"/>
              <w:left w:w="160" w:type="dxa"/>
            </w:tcMar>
          </w:tcPr>
          <w:p>
            <w:pPr>
              <w:pStyle w:val="TableContents"/>
              <w:spacing w:before="0" w:after="0"/>
              <w:jc w:val="center"/>
              <w:rPr>
                <w:rFonts w:ascii="Times New Roman" w:hAnsi="Times New Roman"/>
                <w:sz w:val="20"/>
              </w:rPr>
            </w:pPr>
            <w:r>
              <w:rPr>
                <w:rFonts w:ascii="Times New Roman" w:hAnsi="Times New Roman"/>
                <w:sz w:val="20"/>
              </w:rPr>
              <w:t>Equity</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68" w:type="dxa"/>
            <w:tcBorders>
              <w:top w:val="single" w:sz="2" w:space="0" w:color="000000"/>
            </w:tcBorders>
            <w:shd w:fill="auto" w:val="clear"/>
            <w:tcMar>
              <w:top w:w="28" w:type="dxa"/>
            </w:tcMar>
            <w:vAlign w:val="bottom"/>
          </w:tcPr>
          <w:p>
            <w:pPr>
              <w:pStyle w:val="TableContents"/>
              <w:jc w:val="center"/>
              <w:rPr/>
            </w:pPr>
            <w:r>
              <w:rPr/>
              <w:t>Common Stock, par value</w:t>
              <w:br/>
              <w:t>$0.0001 per share</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75"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Other</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05"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5,539,145(2)</w:t>
            </w:r>
          </w:p>
        </w:tc>
        <w:tc>
          <w:tcPr>
            <w:tcW w:w="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785"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$2.77</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$15,343,431.65</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10"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$0.0000927</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9"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20"/>
              <w:jc w:val="center"/>
              <w:rPr>
                <w:rFonts w:ascii="Times New Roman" w:hAnsi="Times New Roman"/>
                <w:sz w:val="20"/>
              </w:rPr>
            </w:pPr>
            <w:r>
              <w:rPr>
                <w:rFonts w:ascii="Times New Roman" w:hAnsi="Times New Roman"/>
                <w:sz w:val="20"/>
              </w:rPr>
              <w:t>$1,422.34</w:t>
            </w:r>
          </w:p>
        </w:tc>
      </w:tr>
      <w:tr>
        <w:trPr/>
        <w:tc>
          <w:tcPr>
            <w:tcW w:w="4536" w:type="dxa"/>
            <w:gridSpan w:val="7"/>
            <w:tcBorders>
              <w:top w:val="single" w:sz="2" w:space="0" w:color="000000"/>
              <w:left w:val="single" w:sz="2" w:space="0" w:color="000000"/>
            </w:tcBorders>
            <w:shd w:fill="auto" w:val="clear"/>
            <w:tcMar>
              <w:top w:w="28" w:type="dxa"/>
              <w:left w:w="160" w:type="dxa"/>
            </w:tcMar>
          </w:tcPr>
          <w:p>
            <w:pPr>
              <w:pStyle w:val="TableContents"/>
              <w:spacing w:before="0" w:after="0"/>
              <w:jc w:val="center"/>
              <w:rPr>
                <w:rFonts w:ascii="Times New Roman" w:hAnsi="Times New Roman"/>
                <w:b/>
                <w:sz w:val="20"/>
              </w:rPr>
            </w:pPr>
            <w:r>
              <w:rPr>
                <w:rFonts w:ascii="Times New Roman" w:hAnsi="Times New Roman"/>
                <w:b/>
                <w:sz w:val="20"/>
              </w:rPr>
              <w:t>Total Offering Amounts</w:t>
            </w:r>
          </w:p>
          <w:p>
            <w:pPr>
              <w:pStyle w:val="TableContents"/>
              <w:spacing w:before="0" w:after="20"/>
              <w:jc w:val="left"/>
              <w:rPr/>
            </w:pPr>
            <w:r>
              <w:rPr/>
              <w:t> </w:t>
            </w:r>
          </w:p>
        </w:tc>
        <w:tc>
          <w:tcPr>
            <w:tcW w:w="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jc w:val="center"/>
              <w:rPr/>
            </w:pPr>
            <w:r>
              <w:rPr>
                <w:b/>
              </w:rPr>
              <w:t>$15,343,431.65</w:t>
            </w:r>
            <w:r>
              <w:rPr/>
              <w:t xml:space="preserve"> </w:t>
            </w:r>
          </w:p>
          <w:p>
            <w:pPr>
              <w:pStyle w:val="TableContents"/>
              <w:spacing w:before="0" w:after="20"/>
              <w:jc w:val="left"/>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10"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9" w:type="dxa"/>
            <w:tcBorders>
              <w:top w:val="single" w:sz="2" w:space="0" w:color="000000"/>
              <w:right w:val="single" w:sz="2" w:space="0" w:color="000000"/>
            </w:tcBorders>
            <w:shd w:fill="auto" w:val="clear"/>
            <w:tcMar>
              <w:top w:w="28" w:type="dxa"/>
              <w:right w:w="28" w:type="dxa"/>
            </w:tcMar>
            <w:vAlign w:val="bottom"/>
          </w:tcPr>
          <w:p>
            <w:pPr>
              <w:pStyle w:val="TableContents"/>
              <w:jc w:val="center"/>
              <w:rPr/>
            </w:pPr>
            <w:r>
              <w:rPr>
                <w:b/>
              </w:rPr>
              <w:t>$1,422.34</w:t>
            </w:r>
            <w:r>
              <w:rPr/>
              <w:t xml:space="preserve"> </w:t>
            </w:r>
          </w:p>
          <w:p>
            <w:pPr>
              <w:pStyle w:val="TableContents"/>
              <w:spacing w:before="0" w:after="20"/>
              <w:jc w:val="left"/>
              <w:rPr/>
            </w:pPr>
            <w:r>
              <w:rPr/>
              <w:t> </w:t>
            </w:r>
          </w:p>
        </w:tc>
      </w:tr>
      <w:tr>
        <w:trPr/>
        <w:tc>
          <w:tcPr>
            <w:tcW w:w="4536" w:type="dxa"/>
            <w:gridSpan w:val="7"/>
            <w:tcBorders>
              <w:top w:val="single" w:sz="2" w:space="0" w:color="000000"/>
              <w:left w:val="single" w:sz="2" w:space="0" w:color="000000"/>
            </w:tcBorders>
            <w:shd w:fill="auto" w:val="clear"/>
            <w:tcMar>
              <w:top w:w="28" w:type="dxa"/>
              <w:left w:w="160" w:type="dxa"/>
            </w:tcMar>
          </w:tcPr>
          <w:p>
            <w:pPr>
              <w:pStyle w:val="TableContents"/>
              <w:spacing w:before="0" w:after="0"/>
              <w:jc w:val="center"/>
              <w:rPr>
                <w:rFonts w:ascii="Times New Roman" w:hAnsi="Times New Roman"/>
                <w:b/>
                <w:sz w:val="20"/>
              </w:rPr>
            </w:pPr>
            <w:r>
              <w:rPr>
                <w:rFonts w:ascii="Times New Roman" w:hAnsi="Times New Roman"/>
                <w:b/>
                <w:sz w:val="20"/>
              </w:rPr>
              <w:t>Total Fee Offsets</w:t>
            </w:r>
          </w:p>
          <w:p>
            <w:pPr>
              <w:pStyle w:val="TableContents"/>
              <w:spacing w:before="0" w:after="20"/>
              <w:jc w:val="left"/>
              <w:rPr/>
            </w:pPr>
            <w:r>
              <w:rPr/>
              <w:t> </w:t>
            </w:r>
          </w:p>
        </w:tc>
        <w:tc>
          <w:tcPr>
            <w:tcW w:w="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10"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9" w:type="dxa"/>
            <w:tcBorders>
              <w:top w:val="single" w:sz="2" w:space="0" w:color="000000"/>
              <w:right w:val="single" w:sz="2" w:space="0" w:color="000000"/>
            </w:tcBorders>
            <w:shd w:fill="auto" w:val="clear"/>
            <w:tcMar>
              <w:top w:w="28" w:type="dxa"/>
              <w:right w:w="28" w:type="dxa"/>
            </w:tcMar>
            <w:vAlign w:val="bottom"/>
          </w:tcPr>
          <w:p>
            <w:pPr>
              <w:pStyle w:val="TableContents"/>
              <w:jc w:val="center"/>
              <w:rPr/>
            </w:pPr>
            <w:r>
              <w:rPr>
                <w:b/>
              </w:rPr>
              <w:t>$0</w:t>
            </w:r>
            <w:r>
              <w:rPr/>
              <w:t xml:space="preserve"> </w:t>
            </w:r>
          </w:p>
          <w:p>
            <w:pPr>
              <w:pStyle w:val="TableContents"/>
              <w:spacing w:before="0" w:after="20"/>
              <w:jc w:val="left"/>
              <w:rPr/>
            </w:pPr>
            <w:r>
              <w:rPr/>
              <w:t> </w:t>
            </w:r>
          </w:p>
        </w:tc>
      </w:tr>
      <w:tr>
        <w:trPr/>
        <w:tc>
          <w:tcPr>
            <w:tcW w:w="4536" w:type="dxa"/>
            <w:gridSpan w:val="7"/>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0"/>
              <w:jc w:val="center"/>
              <w:rPr>
                <w:rFonts w:ascii="Times New Roman" w:hAnsi="Times New Roman"/>
                <w:b/>
                <w:sz w:val="20"/>
              </w:rPr>
            </w:pPr>
            <w:r>
              <w:rPr>
                <w:rFonts w:ascii="Times New Roman" w:hAnsi="Times New Roman"/>
                <w:b/>
                <w:sz w:val="20"/>
              </w:rPr>
              <w:t>Net Fee Due</w:t>
            </w:r>
          </w:p>
          <w:p>
            <w:pPr>
              <w:pStyle w:val="TableContents"/>
              <w:spacing w:before="0" w:after="20"/>
              <w:jc w:val="left"/>
              <w:rPr/>
            </w:pPr>
            <w:r>
              <w:rPr/>
              <w:t> </w:t>
            </w:r>
          </w:p>
        </w:tc>
        <w:tc>
          <w:tcPr>
            <w:tcW w:w="6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85"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8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0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049"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jc w:val="center"/>
              <w:rPr/>
            </w:pPr>
            <w:r>
              <w:rPr>
                <w:b/>
              </w:rPr>
              <w:t>$1,422.34</w:t>
            </w:r>
            <w:r>
              <w:rPr/>
              <w:t xml:space="preserve"> </w:t>
            </w:r>
          </w:p>
          <w:p>
            <w:pPr>
              <w:pStyle w:val="TableContents"/>
              <w:spacing w:before="0" w:after="20"/>
              <w:jc w:val="left"/>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Rule 416(a) of the Securities Act of 1933, as amended (the </w:t>
            </w:r>
            <w:r>
              <w:rPr>
                <w:rFonts w:ascii="Times New Roman" w:hAnsi="Times New Roman"/>
                <w:b/>
                <w:i/>
                <w:sz w:val="20"/>
              </w:rPr>
              <w:t>Securities Act</w:t>
            </w:r>
            <w:r>
              <w:rPr>
                <w:rFonts w:ascii="Times New Roman" w:hAnsi="Times New Roman"/>
                <w:sz w:val="20"/>
              </w:rPr>
              <w:t>), this Registration Statement shall also cover any additional shares of Registrants common stock, par value $0.0001 (the </w:t>
            </w:r>
            <w:r>
              <w:rPr>
                <w:rFonts w:ascii="Times New Roman" w:hAnsi="Times New Roman"/>
                <w:b/>
                <w:i/>
                <w:sz w:val="20"/>
              </w:rPr>
              <w:t>Common Stock</w:t>
            </w:r>
            <w:r>
              <w:rPr>
                <w:rFonts w:ascii="Times New Roman" w:hAnsi="Times New Roman"/>
                <w:sz w:val="20"/>
              </w:rPr>
              <w:t>), that become issuable under the Registrants 2021 Equity Incentive Plan (the </w:t>
            </w:r>
            <w:r>
              <w:rPr>
                <w:rFonts w:ascii="Times New Roman" w:hAnsi="Times New Roman"/>
                <w:b/>
                <w:i/>
                <w:sz w:val="20"/>
              </w:rPr>
              <w:t>2021 Plan</w:t>
            </w:r>
            <w:r>
              <w:rPr>
                <w:rFonts w:ascii="Times New Roman" w:hAnsi="Times New Roman"/>
                <w:sz w:val="20"/>
              </w:rPr>
              <w:t xml:space="preserve">) by reason of any stock dividend, stock split, recapitalization or other similar transaction that results in an increase in the number of outstanding shares of Common Stock.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additional shares of Common Stock reserved for issuance under the 2021 Plan as a result of an automatic annual increase equal to 5% of the total number of shares of the Registrants capital stock outstanding on December 31, 2021 to the aggregate number of shares of the Registrants common stock reserved for issuance under, and which annual increase is provided by, the 2021 Plan.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in accordance with Rule 457(c) and (h) solely for purposes of calculating the registration fee. The proposed maximum offering price per share and maximum aggregate offering price are calculated on the basis of the average of the high and low sales prices of the Common Stock as reported on the Nasdaq Global Market on May 9, 2022.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32038/000095017022005112/adgi-20211231.htm" TargetMode="External"/><Relationship Id="rId3" Type="http://schemas.openxmlformats.org/officeDocument/2006/relationships/hyperlink" Target="http://www.sec.gov/Archives/edgar/data/../../../ix?doc=/Archives/edgar/data/1832038/000119312522134035/d304392d10ka.htm" TargetMode="External"/><Relationship Id="rId4" Type="http://schemas.openxmlformats.org/officeDocument/2006/relationships/hyperlink" Target="http://www.sec.gov/Archives/edgar/data/../../../ix?doc=/Archives/edgar/data/1832038/000119312522008197/d277827d8k.htm" TargetMode="External"/><Relationship Id="rId5" Type="http://schemas.openxmlformats.org/officeDocument/2006/relationships/hyperlink" Target="http://www.sec.gov/Archives/edgar/data/../../../ix?doc=/Archives/edgar/data/1832038/000119312522046765/d290085d8k.htm" TargetMode="External"/><Relationship Id="rId6" Type="http://schemas.openxmlformats.org/officeDocument/2006/relationships/hyperlink" Target="http://www.sec.gov/Archives/edgar/data/../../../ix?doc=/Archives/edgar/data/1832038/000119312522047719/d279370d8k.htm" TargetMode="External"/><Relationship Id="rId7" Type="http://schemas.openxmlformats.org/officeDocument/2006/relationships/hyperlink" Target="http://www.sec.gov/Archives/edgar/data/../../../ix?doc=/Archives/edgar/data/1832038/000119312522050174/d267907d8k.htm" TargetMode="External"/><Relationship Id="rId8" Type="http://schemas.openxmlformats.org/officeDocument/2006/relationships/hyperlink" Target="http://www.sec.gov/Archives/edgar/data/../../../ix?doc=/Archives/edgar/data/1832038/000119312522079997/d285779d8ka.htm" TargetMode="External"/><Relationship Id="rId9" Type="http://schemas.openxmlformats.org/officeDocument/2006/relationships/hyperlink" Target="http://www.sec.gov/Archives/edgar/data/../../../ix?doc=/Archives/edgar/data/1832038/000119312522061608/d656486d8k.htm" TargetMode="External"/><Relationship Id="rId10" Type="http://schemas.openxmlformats.org/officeDocument/2006/relationships/hyperlink" Target="http://www.sec.gov/Archives/edgar/data/../../../ix?doc=/Archives/edgar/data/1832038/000119312522080001/d325521d8k.htm" TargetMode="External"/><Relationship Id="rId11" Type="http://schemas.openxmlformats.org/officeDocument/2006/relationships/hyperlink" Target="http://www.sec.gov/Archives/edgar/data/1789769/000119312521080481/d140583d8a12b.htm" TargetMode="External"/><Relationship Id="rId12" Type="http://schemas.openxmlformats.org/officeDocument/2006/relationships/hyperlink" Target="http://www.sec.gov/Archives/edgar/data/1832038/000095017022005112/adgi-ex4_2.htm" TargetMode="External"/><Relationship Id="rId13" Type="http://schemas.openxmlformats.org/officeDocument/2006/relationships/hyperlink" Target="http://www.sec.gov/Archives/edgar/data/../../../ix?doc=/Archives/edgar/data/1832038/000095017022005112/adgi-20211231.htm" TargetMode="External"/><Relationship Id="rId14" Type="http://schemas.openxmlformats.org/officeDocument/2006/relationships/hyperlink" Target="http://www.sec.gov/Archives/edgar/data/1832038/000119312521242044/d211424dex31.htm" TargetMode="External"/><Relationship Id="rId15" Type="http://schemas.openxmlformats.org/officeDocument/2006/relationships/hyperlink" Target="http://www.sec.gov/Archives/edgar/data/1832038/000119312521242044/d211424dex32.htm" TargetMode="External"/><Relationship Id="rId16" Type="http://schemas.openxmlformats.org/officeDocument/2006/relationships/hyperlink" Target="http://www.sec.gov/Archives/edgar/data/1832038/000119312521232137/d549501dex102.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2445</Words>
  <CharactersWithSpaces>15130</CharactersWithSpaces>
  <Paragraphs>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