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As filed with the Securities and Exchange Commission on July 16, 2021.</w:t>
      </w:r>
    </w:p>
    <w:p>
      <w:pPr>
        <w:spacing w:after="0" w:line="26" w:lineRule="exact"/>
        <w:rPr>
          <w:sz w:val="24"/>
          <w:szCs w:val="24"/>
          <w:color w:val="auto"/>
        </w:rPr>
      </w:pPr>
    </w:p>
    <w:p>
      <w:pPr>
        <w:ind w:left="90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Adagio Therapeutics, Inc.</w:t>
      </w:r>
    </w:p>
    <w:p>
      <w:pPr>
        <w:spacing w:after="0" w:line="11" w:lineRule="exact"/>
        <w:rPr>
          <w:sz w:val="24"/>
          <w:szCs w:val="24"/>
          <w:color w:val="auto"/>
        </w:rPr>
      </w:pPr>
    </w:p>
    <w:p>
      <w:pPr>
        <w:jc w:val="center"/>
        <w:ind w:right="-9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40"/>
          </w:cols>
          <w:pgMar w:left="320" w:top="230" w:right="439" w:bottom="1440" w:gutter="0" w:footer="0" w:header="0"/>
        </w:sectPr>
      </w:pPr>
    </w:p>
    <w:p>
      <w:pPr>
        <w:spacing w:after="0" w:line="61" w:lineRule="exact"/>
        <w:rPr>
          <w:sz w:val="24"/>
          <w:szCs w:val="24"/>
          <w:color w:val="auto"/>
        </w:rPr>
      </w:pPr>
    </w:p>
    <w:p>
      <w:pPr>
        <w:ind w:left="166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jc w:val="center"/>
        <w:ind w:right="2360"/>
        <w:spacing w:after="0"/>
        <w:rPr>
          <w:sz w:val="20"/>
          <w:szCs w:val="20"/>
          <w:color w:val="auto"/>
        </w:rPr>
      </w:pPr>
      <w:r>
        <w:rPr>
          <w:rFonts w:ascii="Arial" w:cs="Arial" w:eastAsia="Arial" w:hAnsi="Arial"/>
          <w:sz w:val="14"/>
          <w:szCs w:val="14"/>
          <w:b w:val="1"/>
          <w:bCs w:val="1"/>
          <w:color w:val="auto"/>
        </w:rPr>
        <w:t>2836</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85-1403134</w:t>
      </w:r>
    </w:p>
    <w:p>
      <w:pPr>
        <w:spacing w:after="0" w:line="47" w:lineRule="exact"/>
        <w:rPr>
          <w:sz w:val="24"/>
          <w:szCs w:val="24"/>
          <w:color w:val="auto"/>
        </w:rPr>
      </w:pPr>
    </w:p>
    <w:p>
      <w:pPr>
        <w:sectPr>
          <w:pgSz w:w="11900" w:h="16838" w:orient="portrait"/>
          <w:cols w:equalWidth="0" w:num="3">
            <w:col w:w="4860" w:space="720"/>
            <w:col w:w="2680" w:space="720"/>
            <w:col w:w="2160"/>
          </w:cols>
          <w:pgMar w:left="320" w:top="230" w:right="439" w:bottom="1440" w:gutter="0" w:footer="0" w:header="0"/>
          <w:type w:val="continuous"/>
        </w:sectPr>
      </w:pPr>
    </w:p>
    <w:p>
      <w:pPr>
        <w:ind w:left="1160"/>
        <w:spacing w:after="0"/>
        <w:rPr>
          <w:sz w:val="20"/>
          <w:szCs w:val="20"/>
          <w:color w:val="auto"/>
        </w:rPr>
      </w:pPr>
      <w:r>
        <w:rPr>
          <w:rFonts w:ascii="Arial" w:cs="Arial" w:eastAsia="Arial" w:hAnsi="Arial"/>
          <w:sz w:val="13"/>
          <w:szCs w:val="13"/>
          <w:color w:val="auto"/>
        </w:rPr>
        <w:t>(State or other jurisdiction of</w:t>
      </w:r>
    </w:p>
    <w:p>
      <w:pPr>
        <w:ind w:left="11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Arial" w:cs="Arial" w:eastAsia="Arial" w:hAnsi="Arial"/>
          <w:sz w:val="13"/>
          <w:szCs w:val="13"/>
          <w:color w:val="auto"/>
        </w:rPr>
        <w:t>(Primary Standard Industrial</w:t>
      </w:r>
    </w:p>
    <w:p>
      <w:pPr>
        <w:ind w:left="160"/>
        <w:spacing w:after="0"/>
        <w:rPr>
          <w:sz w:val="20"/>
          <w:szCs w:val="20"/>
          <w:color w:val="auto"/>
        </w:rPr>
      </w:pPr>
      <w:r>
        <w:rPr>
          <w:rFonts w:ascii="Arial" w:cs="Arial" w:eastAsia="Arial" w:hAnsi="Arial"/>
          <w:sz w:val="13"/>
          <w:szCs w:val="13"/>
          <w:color w:val="auto"/>
        </w:rPr>
        <w:t>Classification Code Number)</w:t>
      </w:r>
    </w:p>
    <w:p>
      <w:pPr>
        <w:spacing w:after="0"/>
        <w:rPr>
          <w:sz w:val="20"/>
          <w:szCs w:val="20"/>
          <w:color w:val="auto"/>
        </w:rPr>
      </w:pPr>
      <w:r>
        <w:rPr>
          <w:rFonts w:ascii="Arial" w:cs="Arial" w:eastAsia="Arial" w:hAnsi="Arial"/>
          <w:sz w:val="13"/>
          <w:szCs w:val="13"/>
          <w:b w:val="1"/>
          <w:bCs w:val="1"/>
          <w:color w:val="auto"/>
        </w:rPr>
        <w:t>303 Wyman Street, Suite 300</w:t>
      </w:r>
    </w:p>
    <w:p>
      <w:pPr>
        <w:ind w:left="240"/>
        <w:spacing w:after="0" w:line="221" w:lineRule="auto"/>
        <w:rPr>
          <w:sz w:val="20"/>
          <w:szCs w:val="20"/>
          <w:color w:val="auto"/>
        </w:rPr>
      </w:pPr>
      <w:r>
        <w:rPr>
          <w:rFonts w:ascii="Arial" w:cs="Arial" w:eastAsia="Arial" w:hAnsi="Arial"/>
          <w:sz w:val="14"/>
          <w:szCs w:val="14"/>
          <w:b w:val="1"/>
          <w:bCs w:val="1"/>
          <w:color w:val="auto"/>
        </w:rPr>
        <w:t>Waltham, MA 02451</w:t>
      </w:r>
    </w:p>
    <w:p>
      <w:pPr>
        <w:ind w:left="440"/>
        <w:spacing w:after="0"/>
        <w:rPr>
          <w:sz w:val="20"/>
          <w:szCs w:val="20"/>
          <w:color w:val="auto"/>
        </w:rPr>
      </w:pPr>
      <w:r>
        <w:rPr>
          <w:rFonts w:ascii="Arial" w:cs="Arial" w:eastAsia="Arial" w:hAnsi="Arial"/>
          <w:sz w:val="14"/>
          <w:szCs w:val="14"/>
          <w:b w:val="1"/>
          <w:bCs w:val="1"/>
          <w:color w:val="auto"/>
        </w:rPr>
        <w:t>(603) 252-2274</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3"/>
          <w:szCs w:val="13"/>
          <w:color w:val="auto"/>
        </w:rPr>
        <w:t>(I.R.S. Employer</w:t>
      </w:r>
    </w:p>
    <w:p>
      <w:pPr>
        <w:spacing w:after="0"/>
        <w:rPr>
          <w:sz w:val="20"/>
          <w:szCs w:val="20"/>
          <w:color w:val="auto"/>
        </w:rPr>
      </w:pPr>
      <w:r>
        <w:rPr>
          <w:rFonts w:ascii="Arial" w:cs="Arial" w:eastAsia="Arial" w:hAnsi="Arial"/>
          <w:sz w:val="13"/>
          <w:szCs w:val="13"/>
          <w:color w:val="auto"/>
        </w:rPr>
        <w:t>Identification No.)</w:t>
      </w:r>
    </w:p>
    <w:p>
      <w:pPr>
        <w:spacing w:after="0" w:line="457" w:lineRule="exact"/>
        <w:rPr>
          <w:sz w:val="24"/>
          <w:szCs w:val="24"/>
          <w:color w:val="auto"/>
        </w:rPr>
      </w:pPr>
    </w:p>
    <w:p>
      <w:pPr>
        <w:sectPr>
          <w:pgSz w:w="11900" w:h="16838" w:orient="portrait"/>
          <w:cols w:equalWidth="0" w:num="3">
            <w:col w:w="4020" w:space="720"/>
            <w:col w:w="3380" w:space="720"/>
            <w:col w:w="2300"/>
          </w:cols>
          <w:pgMar w:left="320" w:top="230" w:right="439" w:bottom="1440" w:gutter="0" w:footer="0" w:header="0"/>
          <w:type w:val="continuous"/>
        </w:sectPr>
      </w:pPr>
    </w:p>
    <w:p>
      <w:pPr>
        <w:jc w:val="center"/>
        <w:ind w:right="-119"/>
        <w:spacing w:after="0" w:line="235" w:lineRule="auto"/>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Tillman U. Gerngross</w:t>
      </w:r>
    </w:p>
    <w:p>
      <w:pPr>
        <w:jc w:val="center"/>
        <w:ind w:right="-119"/>
        <w:spacing w:after="0" w:line="226" w:lineRule="auto"/>
        <w:rPr>
          <w:sz w:val="20"/>
          <w:szCs w:val="20"/>
          <w:color w:val="auto"/>
        </w:rPr>
      </w:pPr>
      <w:r>
        <w:rPr>
          <w:rFonts w:ascii="Arial" w:cs="Arial" w:eastAsia="Arial" w:hAnsi="Arial"/>
          <w:sz w:val="14"/>
          <w:szCs w:val="14"/>
          <w:b w:val="1"/>
          <w:bCs w:val="1"/>
          <w:color w:val="auto"/>
        </w:rPr>
        <w:t>Chief Executive Officer</w:t>
      </w:r>
    </w:p>
    <w:p>
      <w:pPr>
        <w:jc w:val="center"/>
        <w:ind w:right="-119"/>
        <w:spacing w:after="0" w:line="221" w:lineRule="auto"/>
        <w:rPr>
          <w:sz w:val="20"/>
          <w:szCs w:val="20"/>
          <w:color w:val="auto"/>
        </w:rPr>
      </w:pPr>
      <w:r>
        <w:rPr>
          <w:rFonts w:ascii="Arial" w:cs="Arial" w:eastAsia="Arial" w:hAnsi="Arial"/>
          <w:sz w:val="14"/>
          <w:szCs w:val="14"/>
          <w:b w:val="1"/>
          <w:bCs w:val="1"/>
          <w:color w:val="auto"/>
        </w:rPr>
        <w:t>Adagio Therapeutics, Inc.</w:t>
      </w:r>
    </w:p>
    <w:p>
      <w:pPr>
        <w:jc w:val="center"/>
        <w:ind w:right="-119"/>
        <w:spacing w:after="0" w:line="222" w:lineRule="auto"/>
        <w:rPr>
          <w:sz w:val="20"/>
          <w:szCs w:val="20"/>
          <w:color w:val="auto"/>
        </w:rPr>
      </w:pPr>
      <w:r>
        <w:rPr>
          <w:rFonts w:ascii="Arial" w:cs="Arial" w:eastAsia="Arial" w:hAnsi="Arial"/>
          <w:sz w:val="14"/>
          <w:szCs w:val="14"/>
          <w:b w:val="1"/>
          <w:bCs w:val="1"/>
          <w:color w:val="auto"/>
        </w:rPr>
        <w:t>303 Wyman Street, Suite 300</w:t>
      </w:r>
    </w:p>
    <w:p>
      <w:pPr>
        <w:jc w:val="center"/>
        <w:ind w:right="-119"/>
        <w:spacing w:after="0" w:line="221" w:lineRule="auto"/>
        <w:rPr>
          <w:sz w:val="20"/>
          <w:szCs w:val="20"/>
          <w:color w:val="auto"/>
        </w:rPr>
      </w:pPr>
      <w:r>
        <w:rPr>
          <w:rFonts w:ascii="Arial" w:cs="Arial" w:eastAsia="Arial" w:hAnsi="Arial"/>
          <w:sz w:val="14"/>
          <w:szCs w:val="14"/>
          <w:b w:val="1"/>
          <w:bCs w:val="1"/>
          <w:color w:val="auto"/>
        </w:rPr>
        <w:t>Waltham, MA 02451</w:t>
      </w:r>
    </w:p>
    <w:p>
      <w:pPr>
        <w:jc w:val="center"/>
        <w:ind w:right="-119"/>
        <w:spacing w:after="0" w:line="222" w:lineRule="auto"/>
        <w:rPr>
          <w:sz w:val="20"/>
          <w:szCs w:val="20"/>
          <w:color w:val="auto"/>
        </w:rPr>
      </w:pPr>
      <w:r>
        <w:rPr>
          <w:rFonts w:ascii="Arial" w:cs="Arial" w:eastAsia="Arial" w:hAnsi="Arial"/>
          <w:sz w:val="14"/>
          <w:szCs w:val="14"/>
          <w:b w:val="1"/>
          <w:bCs w:val="1"/>
          <w:color w:val="auto"/>
        </w:rPr>
        <w:t>(603) 252-2274</w:t>
      </w:r>
    </w:p>
    <w:p>
      <w:pPr>
        <w:jc w:val="center"/>
        <w:ind w:right="-11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9" w:lineRule="exact"/>
        <w:rPr>
          <w:sz w:val="24"/>
          <w:szCs w:val="24"/>
          <w:color w:val="auto"/>
        </w:rPr>
      </w:pPr>
    </w:p>
    <w:tbl>
      <w:tblPr>
        <w:tblLayout w:type="fixed"/>
        <w:tblInd w:w="2060" w:type="dxa"/>
        <w:tblCellMar>
          <w:top w:w="0" w:type="dxa"/>
          <w:left w:w="0" w:type="dxa"/>
          <w:bottom w:w="0" w:type="dxa"/>
          <w:right w:w="0" w:type="dxa"/>
        </w:tblCellMar>
      </w:tblPr>
      <w:tr>
        <w:trPr>
          <w:trHeight w:val="182"/>
        </w:trPr>
        <w:tc>
          <w:tcPr>
            <w:tcW w:w="2480" w:type="dxa"/>
            <w:vAlign w:val="bottom"/>
          </w:tcPr>
          <w:p>
            <w:pPr>
              <w:spacing w:after="0"/>
              <w:rPr>
                <w:sz w:val="15"/>
                <w:szCs w:val="15"/>
                <w:color w:val="auto"/>
              </w:rPr>
            </w:pPr>
          </w:p>
        </w:tc>
        <w:tc>
          <w:tcPr>
            <w:tcW w:w="4800" w:type="dxa"/>
            <w:vAlign w:val="bottom"/>
          </w:tcPr>
          <w:p>
            <w:pPr>
              <w:ind w:left="780"/>
              <w:spacing w:after="0"/>
              <w:rPr>
                <w:sz w:val="20"/>
                <w:szCs w:val="20"/>
                <w:color w:val="auto"/>
              </w:rPr>
            </w:pPr>
            <w:r>
              <w:rPr>
                <w:rFonts w:ascii="Arial" w:cs="Arial" w:eastAsia="Arial" w:hAnsi="Arial"/>
                <w:sz w:val="14"/>
                <w:szCs w:val="14"/>
                <w:i w:val="1"/>
                <w:iCs w:val="1"/>
                <w:color w:val="auto"/>
              </w:rPr>
              <w:t>Copies to:</w:t>
            </w:r>
          </w:p>
        </w:tc>
      </w:tr>
      <w:tr>
        <w:trPr>
          <w:trHeight w:val="192"/>
        </w:trPr>
        <w:tc>
          <w:tcPr>
            <w:tcW w:w="248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Divakar Gupta</w:t>
            </w:r>
          </w:p>
        </w:tc>
        <w:tc>
          <w:tcPr>
            <w:tcW w:w="4800" w:type="dxa"/>
            <w:vAlign w:val="bottom"/>
          </w:tcPr>
          <w:p>
            <w:pPr>
              <w:jc w:val="center"/>
              <w:ind w:left="2968"/>
              <w:spacing w:after="0"/>
              <w:rPr>
                <w:sz w:val="20"/>
                <w:szCs w:val="20"/>
                <w:color w:val="auto"/>
              </w:rPr>
            </w:pPr>
            <w:r>
              <w:rPr>
                <w:rFonts w:ascii="Arial" w:cs="Arial" w:eastAsia="Arial" w:hAnsi="Arial"/>
                <w:sz w:val="14"/>
                <w:szCs w:val="14"/>
                <w:b w:val="1"/>
                <w:bCs w:val="1"/>
                <w:color w:val="auto"/>
                <w:w w:val="94"/>
              </w:rPr>
              <w:t>Richard D. Truesdell, Jr.</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0"/>
              </w:rPr>
              <w:t>Ryan Sansom</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Roshni Banker Cariello</w:t>
            </w:r>
          </w:p>
        </w:tc>
      </w:tr>
      <w:tr>
        <w:trPr>
          <w:trHeight w:val="149"/>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3"/>
              </w:rPr>
              <w:t>Courtney M.W. Tygesson</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7"/>
              </w:rPr>
              <w:t>Davis Polk &amp; Wardwell LLP</w:t>
            </w:r>
          </w:p>
        </w:tc>
      </w:tr>
      <w:tr>
        <w:trPr>
          <w:trHeight w:val="148"/>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1"/>
              </w:rPr>
              <w:t>450 Lexington Avenue</w:t>
            </w:r>
          </w:p>
        </w:tc>
      </w:tr>
      <w:tr>
        <w:trPr>
          <w:trHeight w:val="149"/>
        </w:trPr>
        <w:tc>
          <w:tcPr>
            <w:tcW w:w="248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2"/>
              </w:rPr>
              <w:t>55 Hudson Yards</w:t>
            </w:r>
          </w:p>
        </w:tc>
        <w:tc>
          <w:tcPr>
            <w:tcW w:w="480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New York, New York 10017</w:t>
            </w:r>
          </w:p>
        </w:tc>
      </w:tr>
      <w:tr>
        <w:trPr>
          <w:trHeight w:val="148"/>
        </w:trPr>
        <w:tc>
          <w:tcPr>
            <w:tcW w:w="248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4"/>
              </w:rPr>
              <w:t>New York, New York 10001</w:t>
            </w:r>
          </w:p>
        </w:tc>
        <w:tc>
          <w:tcPr>
            <w:tcW w:w="4800" w:type="dxa"/>
            <w:vAlign w:val="bottom"/>
          </w:tcPr>
          <w:p>
            <w:pPr>
              <w:jc w:val="center"/>
              <w:ind w:left="2948"/>
              <w:spacing w:after="0" w:line="149" w:lineRule="exact"/>
              <w:rPr>
                <w:sz w:val="20"/>
                <w:szCs w:val="20"/>
                <w:color w:val="auto"/>
              </w:rPr>
            </w:pPr>
            <w:r>
              <w:rPr>
                <w:rFonts w:ascii="Arial" w:cs="Arial" w:eastAsia="Arial" w:hAnsi="Arial"/>
                <w:sz w:val="14"/>
                <w:szCs w:val="14"/>
                <w:b w:val="1"/>
                <w:bCs w:val="1"/>
                <w:color w:val="auto"/>
                <w:w w:val="93"/>
              </w:rPr>
              <w:t>(212) 450-4000</w:t>
            </w:r>
          </w:p>
        </w:tc>
      </w:tr>
      <w:tr>
        <w:trPr>
          <w:trHeight w:val="186"/>
        </w:trPr>
        <w:tc>
          <w:tcPr>
            <w:tcW w:w="248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(212) 479-6000</w:t>
            </w:r>
          </w:p>
        </w:tc>
        <w:tc>
          <w:tcPr>
            <w:tcW w:w="48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59"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9" w:lineRule="exact"/>
        <w:rPr>
          <w:sz w:val="24"/>
          <w:szCs w:val="24"/>
          <w:color w:val="auto"/>
        </w:rPr>
      </w:pPr>
    </w:p>
    <w:p>
      <w:pPr>
        <w:ind w:left="120" w:right="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30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860" w:type="dxa"/>
            <w:vAlign w:val="bottom"/>
            <w:tcBorders>
              <w:right w:val="single" w:sz="8" w:color="auto"/>
            </w:tcBorders>
          </w:tcPr>
          <w:p>
            <w:pPr>
              <w:jc w:val="center"/>
              <w:ind w:left="8"/>
              <w:spacing w:after="0" w:line="106" w:lineRule="exact"/>
              <w:rPr>
                <w:sz w:val="20"/>
                <w:szCs w:val="20"/>
                <w:color w:val="auto"/>
              </w:rPr>
            </w:pPr>
            <w:r>
              <w:rPr>
                <w:rFonts w:ascii="Arial" w:cs="Arial" w:eastAsia="Arial" w:hAnsi="Arial"/>
                <w:sz w:val="12"/>
                <w:szCs w:val="12"/>
                <w:b w:val="1"/>
                <w:bCs w:val="1"/>
                <w:color w:val="auto"/>
              </w:rPr>
              <w:t>Proposed Maximum</w:t>
            </w:r>
          </w:p>
        </w:tc>
        <w:tc>
          <w:tcPr>
            <w:tcW w:w="1860" w:type="dxa"/>
            <w:vAlign w:val="bottom"/>
            <w:vMerge w:val="restart"/>
          </w:tcPr>
          <w:p>
            <w:pPr>
              <w:jc w:val="center"/>
              <w:ind w:left="5"/>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730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8"/>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6"/>
              </w:rPr>
              <w:t>Offering Price(1)</w:t>
            </w:r>
          </w:p>
        </w:tc>
        <w:tc>
          <w:tcPr>
            <w:tcW w:w="186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196"/>
        </w:trPr>
        <w:tc>
          <w:tcPr>
            <w:tcW w:w="73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6"/>
                <w:szCs w:val="16"/>
                <w:color w:val="auto"/>
                <w:w w:val="91"/>
              </w:rPr>
              <w:t>$100,000,000</w:t>
            </w:r>
          </w:p>
        </w:tc>
        <w:tc>
          <w:tcPr>
            <w:tcW w:w="1860" w:type="dxa"/>
            <w:vAlign w:val="bottom"/>
            <w:tcBorders>
              <w:bottom w:val="single" w:sz="8" w:color="auto"/>
            </w:tcBorders>
          </w:tcPr>
          <w:p>
            <w:pPr>
              <w:jc w:val="center"/>
              <w:ind w:left="25"/>
              <w:spacing w:after="0"/>
              <w:rPr>
                <w:sz w:val="20"/>
                <w:szCs w:val="20"/>
                <w:color w:val="auto"/>
              </w:rPr>
            </w:pPr>
            <w:r>
              <w:rPr>
                <w:rFonts w:ascii="Arial" w:cs="Arial" w:eastAsia="Arial" w:hAnsi="Arial"/>
                <w:sz w:val="16"/>
                <w:szCs w:val="16"/>
                <w:color w:val="auto"/>
                <w:w w:val="89"/>
              </w:rPr>
              <w:t>$10,910</w:t>
            </w:r>
          </w:p>
        </w:tc>
        <w:tc>
          <w:tcPr>
            <w:tcW w:w="0" w:type="dxa"/>
            <w:vAlign w:val="bottom"/>
          </w:tcPr>
          <w:p>
            <w:pPr>
              <w:spacing w:after="0"/>
              <w:rPr>
                <w:sz w:val="1"/>
                <w:szCs w:val="1"/>
                <w:color w:val="auto"/>
              </w:rPr>
            </w:pPr>
          </w:p>
        </w:tc>
      </w:tr>
      <w:tr>
        <w:trPr>
          <w:trHeight w:val="20"/>
        </w:trPr>
        <w:tc>
          <w:tcPr>
            <w:tcW w:w="7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right="20" w:hanging="424"/>
        <w:spacing w:after="0" w:line="226"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 Includes the offering price of additional shares that the underwriters have the option to purchase.</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457(o) based on an estimate of the proposed maximum aggregate offering price.</w:t>
      </w:r>
    </w:p>
    <w:p>
      <w:pPr>
        <w:spacing w:after="0" w:line="53" w:lineRule="exact"/>
        <w:rPr>
          <w:sz w:val="24"/>
          <w:szCs w:val="24"/>
          <w:color w:val="auto"/>
        </w:rPr>
      </w:pPr>
    </w:p>
    <w:p>
      <w:pPr>
        <w:jc w:val="both"/>
        <w:ind w:left="120" w:right="20" w:firstLine="440"/>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both"/>
        <w:ind w:left="12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does it seek an offer to buy these securities in any jurisdiction where the offer or sale is not permitted.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SUBJECT TO COMPLETION</w:t>
      </w:r>
    </w:p>
    <w:p>
      <w:pPr>
        <w:spacing w:after="0" w:line="8" w:lineRule="exact"/>
        <w:rPr>
          <w:sz w:val="20"/>
          <w:szCs w:val="20"/>
          <w:color w:val="auto"/>
        </w:rPr>
      </w:pPr>
    </w:p>
    <w:p>
      <w:pPr>
        <w:ind w:left="120"/>
        <w:spacing w:after="0"/>
        <w:rPr>
          <w:sz w:val="20"/>
          <w:szCs w:val="20"/>
          <w:color w:val="auto"/>
        </w:rPr>
      </w:pPr>
      <w:r>
        <w:rPr>
          <w:rFonts w:ascii="Arial" w:cs="Arial" w:eastAsia="Arial" w:hAnsi="Arial"/>
          <w:sz w:val="22"/>
          <w:szCs w:val="22"/>
          <w:i w:val="1"/>
          <w:iCs w:val="1"/>
          <w:color w:val="DE1A1E"/>
        </w:rPr>
        <w:t>DATED JULY 16, 2021</w:t>
      </w:r>
    </w:p>
    <w:p>
      <w:pPr>
        <w:spacing w:after="0" w:line="257" w:lineRule="exact"/>
        <w:rPr>
          <w:sz w:val="20"/>
          <w:szCs w:val="20"/>
          <w:color w:val="auto"/>
        </w:rPr>
      </w:pPr>
    </w:p>
    <w:p>
      <w:pPr>
        <w:ind w:left="568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173355</wp:posOffset>
            </wp:positionV>
            <wp:extent cx="1388745"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43"/>
          <w:szCs w:val="43"/>
          <w:i w:val="1"/>
          <w:iCs w:val="1"/>
          <w:color w:val="auto"/>
        </w:rPr>
        <w:t>Adagio Therapeutics, Inc.</w:t>
      </w: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229870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120"/>
        <w:spacing w:after="0"/>
        <w:tabs>
          <w:tab w:leader="none" w:pos="3940" w:val="left"/>
        </w:tabs>
        <w:rPr>
          <w:sz w:val="20"/>
          <w:szCs w:val="20"/>
          <w:color w:val="auto"/>
        </w:rPr>
      </w:pPr>
      <w:r>
        <w:rPr>
          <w:rFonts w:ascii="Arial" w:cs="Arial" w:eastAsia="Arial" w:hAnsi="Arial"/>
          <w:sz w:val="18"/>
          <w:szCs w:val="18"/>
          <w:b w:val="1"/>
          <w:bCs w:val="1"/>
          <w:i w:val="1"/>
          <w:iCs w:val="1"/>
          <w:color w:val="auto"/>
        </w:rPr>
        <w:t>Adagio Therapeutics, Inc. is offering</w:t>
      </w:r>
      <w:r>
        <w:rPr>
          <w:sz w:val="20"/>
          <w:szCs w:val="20"/>
          <w:color w:val="auto"/>
        </w:rPr>
        <w:tab/>
      </w:r>
      <w:r>
        <w:rPr>
          <w:rFonts w:ascii="Arial" w:cs="Arial" w:eastAsia="Arial" w:hAnsi="Arial"/>
          <w:sz w:val="16"/>
          <w:szCs w:val="16"/>
          <w:b w:val="1"/>
          <w:bCs w:val="1"/>
          <w:i w:val="1"/>
          <w:iCs w:val="1"/>
          <w:color w:val="auto"/>
        </w:rPr>
        <w:t>shares of common stock. This is our initial public offering and no public market exists for our</w:t>
      </w:r>
    </w:p>
    <w:p>
      <w:pPr>
        <w:spacing w:after="0" w:line="23" w:lineRule="exact"/>
        <w:rPr>
          <w:sz w:val="20"/>
          <w:szCs w:val="20"/>
          <w:color w:val="auto"/>
        </w:rPr>
      </w:pPr>
    </w:p>
    <w:p>
      <w:pPr>
        <w:ind w:left="120"/>
        <w:spacing w:after="0"/>
        <w:tabs>
          <w:tab w:leader="none" w:pos="6980" w:val="left"/>
          <w:tab w:leader="none" w:pos="8120" w:val="left"/>
        </w:tabs>
        <w:rPr>
          <w:sz w:val="20"/>
          <w:szCs w:val="20"/>
          <w:color w:val="auto"/>
        </w:rPr>
      </w:pPr>
      <w:r>
        <w:rPr>
          <w:rFonts w:ascii="Arial" w:cs="Arial" w:eastAsia="Arial" w:hAnsi="Arial"/>
          <w:sz w:val="18"/>
          <w:szCs w:val="18"/>
          <w:b w:val="1"/>
          <w:bCs w:val="1"/>
          <w:i w:val="1"/>
          <w:iCs w:val="1"/>
          <w:color w:val="auto"/>
        </w:rPr>
        <w:t>common stock. We anticipate that the initial public offering price will be 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228600</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applied to list our common stock on The Nasdaq Global Market under the trading symbol “ADGI.”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246380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as defined under U.S. federal securities laws and, as such, will be subject to reduced public company reporting requirements for this prospectus and future filings.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120"/>
        <w:spacing w:after="0"/>
        <w:rPr>
          <w:rFonts w:ascii="Arial" w:cs="Arial" w:eastAsia="Arial" w:hAnsi="Arial"/>
          <w:sz w:val="21"/>
          <w:szCs w:val="21"/>
          <w:b w:val="1"/>
          <w:bCs w:val="1"/>
          <w:i w:val="1"/>
          <w:iCs w:val="1"/>
          <w:color w:val="auto"/>
        </w:rPr>
      </w:pPr>
      <w:r>
        <w:rPr>
          <w:rFonts w:ascii="Arial" w:cs="Arial" w:eastAsia="Arial" w:hAnsi="Arial"/>
          <w:sz w:val="21"/>
          <w:szCs w:val="21"/>
          <w:b w:val="1"/>
          <w:bCs w:val="1"/>
          <w:i w:val="1"/>
          <w:iCs w:val="1"/>
          <w:color w:val="auto"/>
        </w:rPr>
        <w:t>Investing in our common stock involves risks. See “</w:t>
      </w:r>
      <w:hyperlink w:anchor="page16">
        <w:r>
          <w:rPr>
            <w:rFonts w:ascii="Arial" w:cs="Arial" w:eastAsia="Arial" w:hAnsi="Arial"/>
            <w:sz w:val="21"/>
            <w:szCs w:val="21"/>
            <w:b w:val="1"/>
            <w:bCs w:val="1"/>
            <w:i w:val="1"/>
            <w:iCs w:val="1"/>
            <w:u w:val="single" w:color="auto"/>
            <w:color w:val="0000EE"/>
          </w:rPr>
          <w:t>Risk Factors</w:t>
        </w:r>
      </w:hyperlink>
      <w:r>
        <w:rPr>
          <w:rFonts w:ascii="Arial" w:cs="Arial" w:eastAsia="Arial" w:hAnsi="Arial"/>
          <w:sz w:val="21"/>
          <w:szCs w:val="21"/>
          <w:b w:val="1"/>
          <w:bCs w:val="1"/>
          <w:i w:val="1"/>
          <w:iCs w:val="1"/>
          <w:color w:val="auto"/>
        </w:rPr>
        <w:t>” beginning on page 13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9040" w:type="dxa"/>
            <w:vAlign w:val="bottom"/>
            <w:vMerge w:val="restart"/>
          </w:tcPr>
          <w:p>
            <w:pPr>
              <w:spacing w:after="0"/>
              <w:rPr>
                <w:sz w:val="20"/>
                <w:szCs w:val="20"/>
                <w:color w:val="auto"/>
              </w:rPr>
            </w:pPr>
            <w:r>
              <w:rPr>
                <w:rFonts w:ascii="Arial" w:cs="Arial" w:eastAsia="Arial" w:hAnsi="Arial"/>
                <w:sz w:val="18"/>
                <w:szCs w:val="18"/>
                <w:i w:val="1"/>
                <w:iCs w:val="1"/>
                <w:color w:val="auto"/>
              </w:rPr>
              <w:t>Initial Public Offering Price</w:t>
            </w:r>
          </w:p>
        </w:tc>
        <w:tc>
          <w:tcPr>
            <w:tcW w:w="600" w:type="dxa"/>
            <w:vAlign w:val="bottom"/>
          </w:tcPr>
          <w:p>
            <w:pPr>
              <w:jc w:val="right"/>
              <w:spacing w:after="0"/>
              <w:rPr>
                <w:sz w:val="20"/>
                <w:szCs w:val="20"/>
                <w:color w:val="auto"/>
              </w:rPr>
            </w:pPr>
            <w:r>
              <w:rPr>
                <w:rFonts w:ascii="Arial" w:cs="Arial" w:eastAsia="Arial" w:hAnsi="Arial"/>
                <w:sz w:val="14"/>
                <w:szCs w:val="14"/>
                <w:b w:val="1"/>
                <w:bCs w:val="1"/>
                <w:i w:val="1"/>
                <w:iCs w:val="1"/>
                <w:color w:val="auto"/>
                <w:w w:val="88"/>
              </w:rPr>
              <w:t>Per Share</w:t>
            </w: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i w:val="1"/>
                <w:iCs w:val="1"/>
                <w:color w:val="auto"/>
              </w:rPr>
              <w:t>Total</w:t>
            </w:r>
          </w:p>
        </w:tc>
        <w:tc>
          <w:tcPr>
            <w:tcW w:w="0" w:type="dxa"/>
            <w:vAlign w:val="bottom"/>
          </w:tcPr>
          <w:p>
            <w:pPr>
              <w:spacing w:after="0"/>
              <w:rPr>
                <w:sz w:val="1"/>
                <w:szCs w:val="1"/>
                <w:color w:val="auto"/>
              </w:rPr>
            </w:pPr>
          </w:p>
        </w:tc>
      </w:tr>
      <w:tr>
        <w:trPr>
          <w:trHeight w:val="195"/>
        </w:trPr>
        <w:tc>
          <w:tcPr>
            <w:tcW w:w="9040" w:type="dxa"/>
            <w:vAlign w:val="bottom"/>
            <w:vMerge w:val="continue"/>
          </w:tcPr>
          <w:p>
            <w:pPr>
              <w:spacing w:after="0"/>
              <w:rPr>
                <w:sz w:val="16"/>
                <w:szCs w:val="16"/>
                <w:color w:val="auto"/>
              </w:rPr>
            </w:pPr>
          </w:p>
        </w:tc>
        <w:tc>
          <w:tcPr>
            <w:tcW w:w="600" w:type="dxa"/>
            <w:vAlign w:val="bottom"/>
            <w:tcBorders>
              <w:top w:val="single" w:sz="8" w:color="auto"/>
            </w:tcBorders>
          </w:tcPr>
          <w:p>
            <w:pPr>
              <w:jc w:val="right"/>
              <w:ind w:right="235"/>
              <w:spacing w:after="0" w:line="195" w:lineRule="exact"/>
              <w:rPr>
                <w:sz w:val="20"/>
                <w:szCs w:val="20"/>
                <w:color w:val="auto"/>
              </w:rPr>
            </w:pPr>
            <w:r>
              <w:rPr>
                <w:rFonts w:ascii="Arial" w:cs="Arial" w:eastAsia="Arial" w:hAnsi="Arial"/>
                <w:sz w:val="18"/>
                <w:szCs w:val="18"/>
                <w:i w:val="1"/>
                <w:iCs w:val="1"/>
                <w:color w:val="auto"/>
              </w:rPr>
              <w:t>$</w:t>
            </w:r>
          </w:p>
        </w:tc>
        <w:tc>
          <w:tcPr>
            <w:tcW w:w="880" w:type="dxa"/>
            <w:vAlign w:val="bottom"/>
          </w:tcPr>
          <w:p>
            <w:pPr>
              <w:spacing w:after="0"/>
              <w:rPr>
                <w:sz w:val="16"/>
                <w:szCs w:val="16"/>
                <w:color w:val="auto"/>
              </w:rPr>
            </w:pPr>
          </w:p>
        </w:tc>
        <w:tc>
          <w:tcPr>
            <w:tcW w:w="300" w:type="dxa"/>
            <w:vAlign w:val="bottom"/>
            <w:tcBorders>
              <w:top w:val="single" w:sz="8" w:color="auto"/>
            </w:tcBorders>
          </w:tcPr>
          <w:p>
            <w:pPr>
              <w:jc w:val="right"/>
              <w:ind w:right="189"/>
              <w:spacing w:after="0"/>
              <w:rPr>
                <w:sz w:val="20"/>
                <w:szCs w:val="20"/>
                <w:color w:val="auto"/>
              </w:rPr>
            </w:pPr>
            <w:r>
              <w:rPr>
                <w:rFonts w:ascii="Arial" w:cs="Arial" w:eastAsia="Arial" w:hAnsi="Arial"/>
                <w:sz w:val="10"/>
                <w:szCs w:val="10"/>
                <w:i w:val="1"/>
                <w:iCs w:val="1"/>
                <w:color w:val="auto"/>
                <w:w w:val="71"/>
              </w:rPr>
              <w:t>$</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9040" w:type="dxa"/>
            <w:vAlign w:val="bottom"/>
          </w:tcPr>
          <w:p>
            <w:pPr>
              <w:spacing w:after="0"/>
              <w:rPr>
                <w:sz w:val="20"/>
                <w:szCs w:val="20"/>
                <w:color w:val="auto"/>
              </w:rPr>
            </w:pPr>
            <w:r>
              <w:rPr>
                <w:rFonts w:ascii="Arial" w:cs="Arial" w:eastAsia="Arial" w:hAnsi="Arial"/>
                <w:sz w:val="18"/>
                <w:szCs w:val="18"/>
                <w:i w:val="1"/>
                <w:iCs w:val="1"/>
                <w:color w:val="auto"/>
              </w:rPr>
              <w:t>Proceeds, before expenses, to us</w:t>
            </w:r>
          </w:p>
        </w:tc>
        <w:tc>
          <w:tcPr>
            <w:tcW w:w="600" w:type="dxa"/>
            <w:vAlign w:val="bottom"/>
          </w:tcPr>
          <w:p>
            <w:pPr>
              <w:jc w:val="right"/>
              <w:ind w:right="235"/>
              <w:spacing w:after="0"/>
              <w:rPr>
                <w:sz w:val="20"/>
                <w:szCs w:val="20"/>
                <w:color w:val="auto"/>
              </w:rPr>
            </w:pPr>
            <w:r>
              <w:rPr>
                <w:rFonts w:ascii="Arial" w:cs="Arial" w:eastAsia="Arial" w:hAnsi="Arial"/>
                <w:sz w:val="18"/>
                <w:szCs w:val="18"/>
                <w:i w:val="1"/>
                <w:iCs w:val="1"/>
                <w:color w:val="auto"/>
              </w:rPr>
              <w:t>$</w:t>
            </w:r>
          </w:p>
        </w:tc>
        <w:tc>
          <w:tcPr>
            <w:tcW w:w="1180" w:type="dxa"/>
            <w:vAlign w:val="bottom"/>
            <w:gridSpan w:val="2"/>
          </w:tcPr>
          <w:p>
            <w:pPr>
              <w:jc w:val="right"/>
              <w:ind w:right="189"/>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refer you to “Underwriting” for additional information regarding total underwriter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237490</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20"/>
        <w:spacing w:after="0"/>
        <w:tabs>
          <w:tab w:leader="none" w:pos="7980" w:val="left"/>
        </w:tabs>
        <w:rPr>
          <w:sz w:val="20"/>
          <w:szCs w:val="20"/>
          <w:color w:val="auto"/>
        </w:rPr>
      </w:pPr>
      <w:r>
        <w:rPr>
          <w:rFonts w:ascii="Arial" w:cs="Arial" w:eastAsia="Arial" w:hAnsi="Arial"/>
          <w:sz w:val="18"/>
          <w:szCs w:val="18"/>
          <w:i w:val="1"/>
          <w:iCs w:val="1"/>
          <w:color w:val="auto"/>
        </w:rPr>
        <w:t>We have granted the underwriters an option for a period of 30 days to purchase up to an additional</w:t>
      </w:r>
      <w:r>
        <w:rPr>
          <w:sz w:val="20"/>
          <w:szCs w:val="20"/>
          <w:color w:val="auto"/>
        </w:rPr>
        <w:tab/>
      </w:r>
      <w:r>
        <w:rPr>
          <w:rFonts w:ascii="Arial" w:cs="Arial" w:eastAsia="Arial" w:hAnsi="Arial"/>
          <w:sz w:val="16"/>
          <w:szCs w:val="16"/>
          <w:i w:val="1"/>
          <w:iCs w:val="1"/>
          <w:color w:val="auto"/>
        </w:rPr>
        <w:t>shares of our common stock.</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380" w:type="dxa"/>
            <w:vAlign w:val="bottom"/>
            <w:gridSpan w:val="5"/>
          </w:tcPr>
          <w:p>
            <w:pPr>
              <w:spacing w:after="0"/>
              <w:rPr>
                <w:sz w:val="20"/>
                <w:szCs w:val="20"/>
                <w:color w:val="auto"/>
              </w:rPr>
            </w:pPr>
            <w:r>
              <w:rPr>
                <w:rFonts w:ascii="Arial" w:cs="Arial" w:eastAsia="Arial" w:hAnsi="Arial"/>
                <w:sz w:val="18"/>
                <w:szCs w:val="18"/>
                <w:i w:val="1"/>
                <w:iCs w:val="1"/>
                <w:color w:val="auto"/>
                <w:w w:val="90"/>
              </w:rPr>
              <w:t>The underwriters expect to deliver the shares of common stock against payment in New York, New York on or about</w:t>
            </w:r>
          </w:p>
        </w:tc>
        <w:tc>
          <w:tcPr>
            <w:tcW w:w="2640" w:type="dxa"/>
            <w:vAlign w:val="bottom"/>
          </w:tcPr>
          <w:p>
            <w:pPr>
              <w:jc w:val="right"/>
              <w:ind w:right="1403"/>
              <w:spacing w:after="0"/>
              <w:rPr>
                <w:sz w:val="20"/>
                <w:szCs w:val="20"/>
                <w:color w:val="auto"/>
              </w:rPr>
            </w:pPr>
            <w:r>
              <w:rPr>
                <w:rFonts w:ascii="Arial" w:cs="Arial" w:eastAsia="Arial" w:hAnsi="Arial"/>
                <w:sz w:val="18"/>
                <w:szCs w:val="18"/>
                <w:i w:val="1"/>
                <w:iCs w:val="1"/>
                <w:color w:val="auto"/>
              </w:rPr>
              <w:t>, 2021.</w:t>
            </w:r>
          </w:p>
        </w:tc>
      </w:tr>
      <w:tr>
        <w:trPr>
          <w:trHeight w:val="351"/>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20" w:type="dxa"/>
            <w:vAlign w:val="bottom"/>
            <w:tcBorders>
              <w:bottom w:val="single" w:sz="8" w:color="auto"/>
            </w:tcBorders>
            <w:gridSpan w:val="2"/>
          </w:tcPr>
          <w:p>
            <w:pPr>
              <w:spacing w:after="0"/>
              <w:rPr>
                <w:sz w:val="24"/>
                <w:szCs w:val="24"/>
                <w:color w:val="auto"/>
              </w:rPr>
            </w:pPr>
          </w:p>
        </w:tc>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25"/>
        </w:trPr>
        <w:tc>
          <w:tcPr>
            <w:tcW w:w="2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40" w:type="dxa"/>
            <w:vAlign w:val="bottom"/>
            <w:gridSpan w:val="3"/>
          </w:tcPr>
          <w:p>
            <w:pPr>
              <w:jc w:val="right"/>
              <w:ind w:right="1760"/>
              <w:spacing w:after="0"/>
              <w:rPr>
                <w:sz w:val="20"/>
                <w:szCs w:val="20"/>
                <w:color w:val="auto"/>
              </w:rPr>
            </w:pPr>
            <w:r>
              <w:rPr>
                <w:rFonts w:ascii="Arial" w:cs="Arial" w:eastAsia="Arial" w:hAnsi="Arial"/>
                <w:sz w:val="18"/>
                <w:szCs w:val="18"/>
                <w:i w:val="1"/>
                <w:iCs w:val="1"/>
                <w:color w:val="auto"/>
                <w:w w:val="93"/>
              </w:rPr>
              <w:t>Joint Book-Running Managers</w:t>
            </w:r>
          </w:p>
        </w:tc>
        <w:tc>
          <w:tcPr>
            <w:tcW w:w="2640" w:type="dxa"/>
            <w:vAlign w:val="bottom"/>
          </w:tcPr>
          <w:p>
            <w:pPr>
              <w:spacing w:after="0"/>
              <w:rPr>
                <w:sz w:val="24"/>
                <w:szCs w:val="24"/>
                <w:color w:val="auto"/>
              </w:rPr>
            </w:pPr>
          </w:p>
        </w:tc>
      </w:tr>
      <w:tr>
        <w:trPr>
          <w:trHeight w:val="494"/>
        </w:trPr>
        <w:tc>
          <w:tcPr>
            <w:tcW w:w="2660" w:type="dxa"/>
            <w:vAlign w:val="bottom"/>
          </w:tcPr>
          <w:p>
            <w:pPr>
              <w:spacing w:after="0"/>
              <w:rPr>
                <w:sz w:val="20"/>
                <w:szCs w:val="20"/>
                <w:color w:val="auto"/>
              </w:rPr>
            </w:pPr>
            <w:r>
              <w:rPr>
                <w:rFonts w:ascii="Arial" w:cs="Arial" w:eastAsia="Arial" w:hAnsi="Arial"/>
                <w:sz w:val="21"/>
                <w:szCs w:val="21"/>
                <w:i w:val="1"/>
                <w:iCs w:val="1"/>
                <w:color w:val="auto"/>
              </w:rPr>
              <w:t>MORGAN STANLEY</w:t>
            </w:r>
          </w:p>
        </w:tc>
        <w:tc>
          <w:tcPr>
            <w:tcW w:w="2620" w:type="dxa"/>
            <w:vAlign w:val="bottom"/>
            <w:gridSpan w:val="2"/>
          </w:tcPr>
          <w:p>
            <w:pPr>
              <w:ind w:left="920"/>
              <w:spacing w:after="0"/>
              <w:rPr>
                <w:sz w:val="20"/>
                <w:szCs w:val="20"/>
                <w:color w:val="auto"/>
              </w:rPr>
            </w:pPr>
            <w:r>
              <w:rPr>
                <w:rFonts w:ascii="Arial" w:cs="Arial" w:eastAsia="Arial" w:hAnsi="Arial"/>
                <w:sz w:val="21"/>
                <w:szCs w:val="21"/>
                <w:i w:val="1"/>
                <w:iCs w:val="1"/>
                <w:color w:val="auto"/>
              </w:rPr>
              <w:t>JEFFERIES</w:t>
            </w:r>
          </w:p>
        </w:tc>
        <w:tc>
          <w:tcPr>
            <w:tcW w:w="3100" w:type="dxa"/>
            <w:vAlign w:val="bottom"/>
            <w:gridSpan w:val="2"/>
          </w:tcPr>
          <w:p>
            <w:pPr>
              <w:jc w:val="right"/>
              <w:ind w:right="1760"/>
              <w:spacing w:after="0"/>
              <w:rPr>
                <w:sz w:val="20"/>
                <w:szCs w:val="20"/>
                <w:color w:val="auto"/>
              </w:rPr>
            </w:pPr>
            <w:r>
              <w:rPr>
                <w:rFonts w:ascii="Arial" w:cs="Arial" w:eastAsia="Arial" w:hAnsi="Arial"/>
                <w:sz w:val="21"/>
                <w:szCs w:val="21"/>
                <w:i w:val="1"/>
                <w:iCs w:val="1"/>
                <w:color w:val="auto"/>
              </w:rPr>
              <w:t>STIFEL</w:t>
            </w:r>
          </w:p>
        </w:tc>
        <w:tc>
          <w:tcPr>
            <w:tcW w:w="2640" w:type="dxa"/>
            <w:vAlign w:val="bottom"/>
          </w:tcPr>
          <w:p>
            <w:pPr>
              <w:jc w:val="right"/>
              <w:spacing w:after="0"/>
              <w:rPr>
                <w:sz w:val="20"/>
                <w:szCs w:val="20"/>
                <w:color w:val="auto"/>
              </w:rPr>
            </w:pPr>
            <w:r>
              <w:rPr>
                <w:rFonts w:ascii="Arial" w:cs="Arial" w:eastAsia="Arial" w:hAnsi="Arial"/>
                <w:sz w:val="21"/>
                <w:szCs w:val="21"/>
                <w:i w:val="1"/>
                <w:iCs w:val="1"/>
                <w:color w:val="auto"/>
                <w:w w:val="94"/>
              </w:rPr>
              <w:t>GUGGENHEIM SECURITIES</w:t>
            </w:r>
          </w:p>
        </w:tc>
      </w:tr>
    </w:tbl>
    <w:p>
      <w:pPr>
        <w:spacing w:after="0" w:line="1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960" w:val="left"/>
        </w:tabs>
        <w:rPr>
          <w:sz w:val="20"/>
          <w:szCs w:val="20"/>
          <w:color w:val="auto"/>
        </w:rPr>
      </w:pPr>
      <w:r>
        <w:rPr>
          <w:rFonts w:ascii="Arial" w:cs="Arial" w:eastAsia="Arial" w:hAnsi="Arial"/>
          <w:sz w:val="18"/>
          <w:szCs w:val="18"/>
          <w:i w:val="1"/>
          <w:iCs w:val="1"/>
          <w:color w:val="auto"/>
        </w:rPr>
        <w:t>The date of this prospectus is</w:t>
      </w:r>
      <w:r>
        <w:rPr>
          <w:sz w:val="20"/>
          <w:szCs w:val="20"/>
          <w:color w:val="auto"/>
        </w:rPr>
        <w:tab/>
      </w:r>
      <w:r>
        <w:rPr>
          <w:rFonts w:ascii="Arial" w:cs="Arial" w:eastAsia="Arial" w:hAnsi="Arial"/>
          <w:sz w:val="15"/>
          <w:szCs w:val="15"/>
          <w:i w:val="1"/>
          <w:iCs w:val="1"/>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00" w:type="dxa"/>
            <w:vAlign w:val="bottom"/>
            <w:gridSpan w:val="1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Prospectus Summary</w:t>
              </w:r>
            </w:hyperlink>
          </w:p>
        </w:tc>
        <w:tc>
          <w:tcPr>
            <w:tcW w:w="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Page</w:t>
            </w:r>
          </w:p>
        </w:tc>
        <w:tc>
          <w:tcPr>
            <w:tcW w:w="5000" w:type="dxa"/>
            <w:vAlign w:val="bottom"/>
            <w:gridSpan w:val="13"/>
            <w:vMerge w:val="restart"/>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Executive Compensation</w:t>
              </w:r>
            </w:hyperlink>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4900" w:type="dxa"/>
            <w:vAlign w:val="bottom"/>
            <w:gridSpan w:val="14"/>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4"/>
                <w:szCs w:val="14"/>
                <w:color w:val="auto"/>
              </w:rPr>
            </w:pPr>
          </w:p>
        </w:tc>
        <w:tc>
          <w:tcPr>
            <w:tcW w:w="5000" w:type="dxa"/>
            <w:vAlign w:val="bottom"/>
            <w:gridSpan w:val="13"/>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20" w:type="dxa"/>
            <w:vAlign w:val="bottom"/>
            <w:gridSpan w:val="8"/>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3380" w:type="dxa"/>
            <w:vAlign w:val="bottom"/>
            <w:gridSpan w:val="6"/>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5000" w:type="dxa"/>
            <w:vAlign w:val="bottom"/>
            <w:gridSpan w:val="13"/>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Certain Relationships and Related Party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Special Note Regarding Forward-Looking Statements</w:t>
              </w:r>
            </w:hyperlink>
          </w:p>
        </w:tc>
        <w:tc>
          <w:tcPr>
            <w:tcW w:w="102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83</w:t>
            </w:r>
          </w:p>
        </w:tc>
        <w:tc>
          <w:tcPr>
            <w:tcW w:w="16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91">
              <w:r>
                <w:rPr>
                  <w:rFonts w:ascii="Arial" w:cs="Arial" w:eastAsia="Arial" w:hAnsi="Arial"/>
                  <w:sz w:val="18"/>
                  <w:szCs w:val="18"/>
                  <w:color w:val="0000EE"/>
                  <w:w w:val="90"/>
                </w:rPr>
                <w:t>Principal Stockholders</w:t>
              </w:r>
            </w:hyperlink>
          </w:p>
        </w:tc>
        <w:tc>
          <w:tcPr>
            <w:tcW w:w="336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188</w:t>
            </w:r>
          </w:p>
        </w:tc>
        <w:tc>
          <w:tcPr>
            <w:tcW w:w="0" w:type="dxa"/>
            <w:vAlign w:val="bottom"/>
          </w:tcPr>
          <w:p>
            <w:pPr>
              <w:spacing w:after="0"/>
              <w:rPr>
                <w:sz w:val="1"/>
                <w:szCs w:val="1"/>
                <w:color w:val="auto"/>
              </w:rPr>
            </w:pPr>
          </w:p>
        </w:tc>
      </w:tr>
      <w:tr>
        <w:trPr>
          <w:trHeight w:val="196"/>
        </w:trPr>
        <w:tc>
          <w:tcPr>
            <w:tcW w:w="18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88">
              <w:r>
                <w:rPr>
                  <w:rFonts w:ascii="Arial" w:cs="Arial" w:eastAsia="Arial" w:hAnsi="Arial"/>
                  <w:sz w:val="18"/>
                  <w:szCs w:val="18"/>
                  <w:color w:val="0000EE"/>
                  <w:w w:val="91"/>
                </w:rPr>
                <w:t>Market and Industry Data</w:t>
              </w:r>
            </w:hyperlink>
          </w:p>
        </w:tc>
        <w:tc>
          <w:tcPr>
            <w:tcW w:w="3040" w:type="dxa"/>
            <w:vAlign w:val="bottom"/>
            <w:gridSpan w:val="5"/>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85</w:t>
            </w: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196">
              <w:r>
                <w:rPr>
                  <w:rFonts w:ascii="Arial" w:cs="Arial" w:eastAsia="Arial" w:hAnsi="Arial"/>
                  <w:sz w:val="18"/>
                  <w:szCs w:val="18"/>
                  <w:color w:val="0000EE"/>
                  <w:w w:val="92"/>
                </w:rPr>
                <w:t>Description of Capital Stock</w:t>
              </w:r>
            </w:hyperlink>
          </w:p>
        </w:tc>
        <w:tc>
          <w:tcPr>
            <w:tcW w:w="294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193</w:t>
            </w:r>
          </w:p>
        </w:tc>
        <w:tc>
          <w:tcPr>
            <w:tcW w:w="0" w:type="dxa"/>
            <w:vAlign w:val="bottom"/>
          </w:tcPr>
          <w:p>
            <w:pPr>
              <w:spacing w:after="0"/>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Use of Proceeds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86</w:t>
            </w:r>
          </w:p>
        </w:tc>
        <w:tc>
          <w:tcPr>
            <w:tcW w:w="5000" w:type="dxa"/>
            <w:vAlign w:val="bottom"/>
            <w:gridSpan w:val="13"/>
          </w:tcPr>
          <w:p>
            <w:pPr>
              <w:spacing w:after="0" w:line="196" w:lineRule="exact"/>
              <w:rPr>
                <w:rFonts w:ascii="Arial" w:cs="Arial" w:eastAsia="Arial" w:hAnsi="Arial"/>
                <w:sz w:val="18"/>
                <w:szCs w:val="18"/>
                <w:color w:val="0000EE"/>
              </w:rPr>
            </w:pPr>
            <w:hyperlink w:anchor="page202">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199</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7"/>
          </w:tcPr>
          <w:p>
            <w:pPr>
              <w:spacing w:after="0" w:line="196" w:lineRule="exact"/>
              <w:rPr>
                <w:rFonts w:ascii="Arial" w:cs="Arial" w:eastAsia="Arial" w:hAnsi="Arial"/>
                <w:sz w:val="18"/>
                <w:szCs w:val="18"/>
                <w:color w:val="0000EE"/>
                <w:w w:val="94"/>
              </w:rPr>
            </w:pPr>
            <w:hyperlink w:anchor="page90">
              <w:r>
                <w:rPr>
                  <w:rFonts w:ascii="Arial" w:cs="Arial" w:eastAsia="Arial" w:hAnsi="Arial"/>
                  <w:sz w:val="18"/>
                  <w:szCs w:val="18"/>
                  <w:color w:val="0000EE"/>
                  <w:w w:val="94"/>
                </w:rPr>
                <w:t>Dividend Policy</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87</w:t>
            </w:r>
          </w:p>
        </w:tc>
        <w:tc>
          <w:tcPr>
            <w:tcW w:w="5000" w:type="dxa"/>
            <w:vAlign w:val="bottom"/>
            <w:gridSpan w:val="13"/>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Material U.S. Federal Income Tax Consequences to Non-U.S.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Capitalization</w:t>
              </w:r>
            </w:hyperlink>
          </w:p>
        </w:tc>
        <w:tc>
          <w:tcPr>
            <w:tcW w:w="3720" w:type="dxa"/>
            <w:vAlign w:val="bottom"/>
            <w:gridSpan w:val="7"/>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88</w:t>
            </w:r>
          </w:p>
        </w:tc>
        <w:tc>
          <w:tcPr>
            <w:tcW w:w="180" w:type="dxa"/>
            <w:vAlign w:val="bottom"/>
            <w:tcBorders>
              <w:top w:val="single" w:sz="8" w:color="0000EE"/>
            </w:tcBorders>
          </w:tcPr>
          <w:p>
            <w:pPr>
              <w:spacing w:after="0"/>
              <w:rPr>
                <w:sz w:val="17"/>
                <w:szCs w:val="17"/>
                <w:color w:val="auto"/>
              </w:rPr>
            </w:pPr>
          </w:p>
        </w:tc>
        <w:tc>
          <w:tcPr>
            <w:tcW w:w="42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05">
              <w:r>
                <w:rPr>
                  <w:rFonts w:ascii="Arial" w:cs="Arial" w:eastAsia="Arial" w:hAnsi="Arial"/>
                  <w:sz w:val="18"/>
                  <w:szCs w:val="18"/>
                  <w:color w:val="0000EE"/>
                </w:rPr>
                <w:t>Holders</w:t>
              </w:r>
            </w:hyperlink>
          </w:p>
        </w:tc>
        <w:tc>
          <w:tcPr>
            <w:tcW w:w="5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Dilution</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90</w:t>
            </w:r>
          </w:p>
        </w:tc>
        <w:tc>
          <w:tcPr>
            <w:tcW w:w="5000" w:type="dxa"/>
            <w:vAlign w:val="bottom"/>
            <w:gridSpan w:val="13"/>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Underwriting</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206</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Selected Consolidated Financial Data</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93</w:t>
            </w:r>
          </w:p>
        </w:tc>
        <w:tc>
          <w:tcPr>
            <w:tcW w:w="5000" w:type="dxa"/>
            <w:vAlign w:val="bottom"/>
            <w:gridSpan w:val="1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Management’s Discussion and Analysis of Financial Condition</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0" w:type="dxa"/>
            <w:vAlign w:val="bottom"/>
            <w:gridSpan w:val="1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Experts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250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360" w:type="dxa"/>
            <w:vAlign w:val="bottom"/>
            <w:gridSpan w:val="1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and Results of Operations</w:t>
              </w:r>
            </w:hyperlink>
          </w:p>
        </w:tc>
        <w:tc>
          <w:tcPr>
            <w:tcW w:w="360" w:type="dxa"/>
            <w:vAlign w:val="bottom"/>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95</w:t>
            </w:r>
          </w:p>
        </w:tc>
        <w:tc>
          <w:tcPr>
            <w:tcW w:w="5000" w:type="dxa"/>
            <w:vAlign w:val="bottom"/>
            <w:gridSpan w:val="13"/>
          </w:tcPr>
          <w:p>
            <w:pPr>
              <w:spacing w:after="0" w:line="196" w:lineRule="exact"/>
              <w:rPr>
                <w:rFonts w:ascii="Arial" w:cs="Arial" w:eastAsia="Arial" w:hAnsi="Arial"/>
                <w:sz w:val="18"/>
                <w:szCs w:val="18"/>
                <w:color w:val="0000EE"/>
              </w:rPr>
            </w:pPr>
            <w:hyperlink w:anchor="page218">
              <w:r>
                <w:rPr>
                  <w:rFonts w:ascii="Arial" w:cs="Arial" w:eastAsia="Arial" w:hAnsi="Arial"/>
                  <w:sz w:val="18"/>
                  <w:szCs w:val="18"/>
                  <w:color w:val="0000EE"/>
                </w:rPr>
                <w:t>Where You Can Find Additional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215</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4"/>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Business</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113</w:t>
            </w:r>
          </w:p>
        </w:tc>
        <w:tc>
          <w:tcPr>
            <w:tcW w:w="5000" w:type="dxa"/>
            <w:vAlign w:val="bottom"/>
            <w:gridSpan w:val="13"/>
          </w:tcPr>
          <w:p>
            <w:pPr>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90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64">
              <w:r>
                <w:rPr>
                  <w:rFonts w:ascii="Arial" w:cs="Arial" w:eastAsia="Arial" w:hAnsi="Arial"/>
                  <w:sz w:val="18"/>
                  <w:szCs w:val="18"/>
                  <w:color w:val="0000EE"/>
                  <w:w w:val="91"/>
                </w:rPr>
                <w:t>Management</w:t>
              </w:r>
            </w:hyperlink>
          </w:p>
        </w:tc>
        <w:tc>
          <w:tcPr>
            <w:tcW w:w="3900" w:type="dxa"/>
            <w:vAlign w:val="bottom"/>
            <w:gridSpan w:val="9"/>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w w:val="99"/>
              </w:rPr>
              <w:t>161</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334645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provide you. We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common stock.</w:t>
      </w:r>
    </w:p>
    <w:p>
      <w:pPr>
        <w:spacing w:after="0" w:line="17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8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All trademarks, trade names and service marks appearing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their rights thereto.</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left="300" w:firstLine="426"/>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information contained elsewhere in this prospectus. This summary does not contain all of the information you should consider before investing in our common stock. You should read this entire prospectus carefully, especially the sections titled “Risk Factors” and “Management’s Discussion and Analysis of Financial Condition and Results of Operations” and our consolidated financial statements and the related notes appearing elsewhere in this prospectus, before making an investment decision. As used in this prospectus, unless the context otherwise requires, references to “we,” “us,” “our,” “the company,” “Adagio” and “Adagio Therapeutics” refer to Adagio Therapeutics, Inc.</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firstLine="426"/>
        <w:spacing w:after="0" w:line="289"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66"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6"/>
          <w:szCs w:val="16"/>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3"/>
          <w:szCs w:val="13"/>
          <w:color w:val="auto"/>
        </w:rPr>
        <w:t>50</w:t>
      </w:r>
      <w:r>
        <w:rPr>
          <w:rFonts w:ascii="Arial" w:cs="Arial" w:eastAsia="Arial" w:hAnsi="Arial"/>
          <w:sz w:val="16"/>
          <w:szCs w:val="16"/>
          <w:color w:val="auto"/>
        </w:rPr>
        <w:t xml:space="preserve"> (half maximal inhibitory concentrations) of approximately 0.01 mcg/mL or less in live-virus cellular assays. We believe this demonstrated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74" w:lineRule="exact"/>
        <w:rPr>
          <w:sz w:val="20"/>
          <w:szCs w:val="20"/>
          <w:color w:val="auto"/>
        </w:rPr>
      </w:pPr>
    </w:p>
    <w:p>
      <w:pPr>
        <w:jc w:val="both"/>
        <w:ind w:left="300" w:firstLine="426"/>
        <w:spacing w:after="0" w:line="291"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w:t>
      </w:r>
    </w:p>
    <w:p>
      <w:pPr>
        <w:spacing w:after="0" w:line="3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8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820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hanging="2"/>
        <w:spacing w:after="0" w:line="259" w:lineRule="auto"/>
        <w:tabs>
          <w:tab w:leader="none" w:pos="558"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variable implementation of virus mitigation efforts,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87" w:lineRule="exact"/>
        <w:rPr>
          <w:sz w:val="20"/>
          <w:szCs w:val="20"/>
          <w:color w:val="auto"/>
        </w:rPr>
      </w:pPr>
    </w:p>
    <w:p>
      <w:pPr>
        <w:jc w:val="both"/>
        <w:ind w:left="300" w:firstLine="426"/>
        <w:spacing w:after="0" w:line="285" w:lineRule="auto"/>
        <w:rPr>
          <w:sz w:val="20"/>
          <w:szCs w:val="20"/>
          <w:color w:val="auto"/>
        </w:rPr>
      </w:pPr>
      <w:r>
        <w:rPr>
          <w:rFonts w:ascii="Arial" w:cs="Arial" w:eastAsia="Arial" w:hAnsi="Arial"/>
          <w:sz w:val="16"/>
          <w:szCs w:val="16"/>
          <w:color w:val="auto"/>
        </w:rPr>
        <w:t xml:space="preserve">In response to the ongoing pandemic, multiple agents have been discovered, developed and authorized at an unprecedented speed to address COVID-19. Several vaccines have been authorized for the prevention of COVID-19 under public health emergency guidelines both in the United States and abroad. In addition, some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However, we believe additional solutions are required. The recent emergence of SARS-CoV-2 variants has attenuated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of certain currently available mAbs. For example, the U.S. Food and Drug Administration, or the FDA, recently revoked the EUA for one of these mAbs due to its lack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activity against key variants of concern as a single agent and distribution of a second agent, bamlanvimab/etesevimab, has been paused in the United States due to data showing increased prevalence of two variants resistant to this product, the Gamma (P.1) and Beta (B.1.351) variants. Consistent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300" w:firstLine="426"/>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potency and broad neutralizing activity to address SARS-CoV-2, including variants of concern, and additional SARS-like viruses, or sarbecoviruses;</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47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347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Fc portion binds to host cell receptors to activate the innate immune system to eliminate infected host cells and is a key determinant of serum half-life. Key elements that differentiate our approach include:</w:t>
      </w:r>
    </w:p>
    <w:p>
      <w:pPr>
        <w:spacing w:after="0" w:line="72" w:lineRule="exact"/>
        <w:rPr>
          <w:sz w:val="20"/>
          <w:szCs w:val="20"/>
          <w:color w:val="auto"/>
        </w:rPr>
      </w:pPr>
    </w:p>
    <w:p>
      <w:pPr>
        <w:jc w:val="both"/>
        <w:ind w:left="1240" w:hanging="523"/>
        <w:spacing w:after="0" w:line="266"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Recognition of the importance of broadly neutralizing antibodies: </w:t>
      </w:r>
      <w:r>
        <w:rPr>
          <w:rFonts w:ascii="Arial" w:cs="Arial" w:eastAsia="Arial" w:hAnsi="Arial"/>
          <w:sz w:val="18"/>
          <w:szCs w:val="18"/>
          <w:color w:val="auto"/>
        </w:rPr>
        <w:t>From the outset, we chose to focus on mAbs capable of broadly</w:t>
      </w:r>
      <w:r>
        <w:rPr>
          <w:rFonts w:ascii="Arial" w:cs="Arial" w:eastAsia="Arial" w:hAnsi="Arial"/>
          <w:sz w:val="18"/>
          <w:szCs w:val="18"/>
          <w:b w:val="1"/>
          <w:bCs w:val="1"/>
          <w:color w:val="auto"/>
        </w:rPr>
        <w:t xml:space="preserve"> </w:t>
      </w:r>
      <w:r>
        <w:rPr>
          <w:rFonts w:ascii="Arial" w:cs="Arial" w:eastAsia="Arial" w:hAnsi="Arial"/>
          <w:sz w:val="18"/>
          <w:szCs w:val="18"/>
          <w:color w:val="auto"/>
        </w:rPr>
        <w:t>neutralizing not only SARS-CoV-2 and its variants, but also the entire viral class of sarbecoviruses that target the human angiotensin-converting enzyme 2, or hACE2, receptor.</w:t>
      </w:r>
    </w:p>
    <w:p>
      <w:pPr>
        <w:spacing w:after="0" w:line="81" w:lineRule="exact"/>
        <w:rPr>
          <w:rFonts w:ascii="Arial" w:cs="Arial" w:eastAsia="Arial" w:hAnsi="Arial"/>
          <w:sz w:val="18"/>
          <w:szCs w:val="18"/>
          <w:color w:val="auto"/>
        </w:rPr>
      </w:pPr>
    </w:p>
    <w:p>
      <w:pPr>
        <w:jc w:val="both"/>
        <w:ind w:left="1240" w:hanging="523"/>
        <w:spacing w:after="0" w:line="255"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Industry-leading B-cell mining, protein engineering and developability screening capabilities through our partnership with Adimab: </w:t>
      </w:r>
      <w:r>
        <w:rPr>
          <w:rFonts w:ascii="Arial" w:cs="Arial" w:eastAsia="Arial" w:hAnsi="Arial"/>
          <w:sz w:val="18"/>
          <w:szCs w:val="18"/>
          <w:color w:val="auto"/>
        </w:rPr>
        <w:t>We leverage nature’s solutions using Adimab’s deep B-cell mining capabilities to isolate broadly neutralizing antibodies</w:t>
      </w:r>
      <w:r>
        <w:rPr>
          <w:rFonts w:ascii="Arial" w:cs="Arial" w:eastAsia="Arial" w:hAnsi="Arial"/>
          <w:sz w:val="18"/>
          <w:szCs w:val="18"/>
          <w:b w:val="1"/>
          <w:bCs w:val="1"/>
          <w:color w:val="auto"/>
        </w:rPr>
        <w:t xml:space="preserve"> </w:t>
      </w:r>
      <w:r>
        <w:rPr>
          <w:rFonts w:ascii="Arial" w:cs="Arial" w:eastAsia="Arial" w:hAnsi="Arial"/>
          <w:sz w:val="18"/>
          <w:szCs w:val="18"/>
          <w:color w:val="auto"/>
        </w:rPr>
        <w:t>from a 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94" w:lineRule="exact"/>
        <w:rPr>
          <w:rFonts w:ascii="Arial" w:cs="Arial" w:eastAsia="Arial" w:hAnsi="Arial"/>
          <w:sz w:val="18"/>
          <w:szCs w:val="18"/>
          <w:color w:val="auto"/>
        </w:rPr>
      </w:pPr>
    </w:p>
    <w:p>
      <w:pPr>
        <w:jc w:val="both"/>
        <w:ind w:left="1240" w:hanging="523"/>
        <w:spacing w:after="0" w:line="298" w:lineRule="auto"/>
        <w:tabs>
          <w:tab w:leader="none" w:pos="12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Reduced risk of clinical resistance: </w:t>
      </w:r>
      <w:r>
        <w:rPr>
          <w:rFonts w:ascii="Arial" w:cs="Arial" w:eastAsia="Arial" w:hAnsi="Arial"/>
          <w:sz w:val="16"/>
          <w:szCs w:val="16"/>
          <w:color w:val="auto"/>
        </w:rPr>
        <w:t>We are developing antibodies that target conserved residues in the receptor-binding domain, or</w:t>
      </w:r>
      <w:r>
        <w:rPr>
          <w:rFonts w:ascii="Arial" w:cs="Arial" w:eastAsia="Arial" w:hAnsi="Arial"/>
          <w:sz w:val="16"/>
          <w:szCs w:val="16"/>
          <w:b w:val="1"/>
          <w:bCs w:val="1"/>
          <w:color w:val="auto"/>
        </w:rPr>
        <w:t xml:space="preserve"> </w:t>
      </w:r>
      <w:r>
        <w:rPr>
          <w:rFonts w:ascii="Arial" w:cs="Arial" w:eastAsia="Arial" w:hAnsi="Arial"/>
          <w:sz w:val="16"/>
          <w:szCs w:val="16"/>
          <w:color w:val="auto"/>
        </w:rPr>
        <w:t>RBD, of the viral S protein. Importantly, these residues are distinct from those recognized by other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w:t>
      </w:r>
    </w:p>
    <w:p>
      <w:pPr>
        <w:spacing w:after="0" w:line="2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ADG20, our lead product candidate, is designed to be a potent, broadly neutralizing antibody for both the treatment and prevention of COVID-19, including disease caused by variants, as either a single or combination agent. We believe ADG20 will have the following key clinical and commercial attributes:</w:t>
      </w:r>
    </w:p>
    <w:p>
      <w:pPr>
        <w:spacing w:after="0" w:line="89" w:lineRule="exact"/>
        <w:rPr>
          <w:sz w:val="20"/>
          <w:szCs w:val="20"/>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Broadly neutralizing activity across sarbecoviruses;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Rapid onset of protection;</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Differentiated durability;</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Convenient, single-dose IM injection for use in the outpatient setting;</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Ability to both complement and supplement currently available COVID-19 vaccines, including for immunocompromised individuals;</w:t>
      </w:r>
    </w:p>
    <w:p>
      <w:pPr>
        <w:spacing w:after="0" w:line="153" w:lineRule="exact"/>
        <w:rPr>
          <w:rFonts w:ascii="Arial" w:cs="Arial" w:eastAsia="Arial" w:hAnsi="Arial"/>
          <w:sz w:val="16"/>
          <w:szCs w:val="16"/>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titer, high yield manufacturing process;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Standard refrigeration requirements to facilitate worldwide distribution and storage;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 shelf life to enable stockpiling.</w:t>
      </w:r>
    </w:p>
    <w:p>
      <w:pPr>
        <w:spacing w:after="0" w:line="225" w:lineRule="exact"/>
        <w:rPr>
          <w:sz w:val="20"/>
          <w:szCs w:val="20"/>
          <w:color w:val="auto"/>
        </w:rPr>
      </w:pPr>
    </w:p>
    <w:p>
      <w:pPr>
        <w:jc w:val="both"/>
        <w:ind w:left="300" w:firstLine="426"/>
        <w:spacing w:after="0" w:line="273" w:lineRule="auto"/>
        <w:rPr>
          <w:sz w:val="20"/>
          <w:szCs w:val="20"/>
          <w:color w:val="auto"/>
        </w:rPr>
      </w:pPr>
      <w:r>
        <w:rPr>
          <w:rFonts w:ascii="Arial" w:cs="Arial" w:eastAsia="Arial" w:hAnsi="Arial"/>
          <w:sz w:val="17"/>
          <w:szCs w:val="17"/>
          <w:color w:val="auto"/>
        </w:rPr>
        <w:t xml:space="preserve">ADG20 has been evaluated in a series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studies to demonstrate its breadth as well as safety and efficacy in various animal models.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binding studies have demonstrated that ADG20 binds with high affinity to a diverse set of RBD subdomain 1, or RBD SD1, molecules from naturally circulating SARS-CoV-2 variants and related sarbecoviruses. In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models, ADG20 demonstrated an ability to prevent and treat SARS-CoV-2 infection and associated disease as well as a prolonged serum half-life.</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We have completed enrollment in our first-in-human Phase 1 clinical trial in healthy volunteers. Interim data demonstrated that ADG20 was well tolerated and displayed a pharmacokinetic profile consistent with an extended half-life mAb.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STAMP trial, a combined Phase 2/3 global clinical trial designed to provide a path to authorization, marketing approval and commercial launch in 2022. For the prevention of COVID-19, we are conducting our EVADE trial, a combined Phase 2/3 global clinical trial, in both post-exposure and pre-exposure populations. As shown in the graphic below, we believe that intervention with an antiviral neutralizing antibody before exposure to SARS-CoV-2, post-exposure but prior to the onset of symptoms, or early in the course of symptomatic disease when viral replication is high but prior to the onset of significant immune pathology is likely to provide the greatest benefit to patients.</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u w:val="single" w:color="auto"/>
          <w:color w:val="auto"/>
        </w:rPr>
        <w:t>ADG20 for Treatment and Prevention of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Broadly Neutralizing Antibodies and Discovery Programs Beyond ADG20</w:t>
      </w:r>
    </w:p>
    <w:p>
      <w:pPr>
        <w:spacing w:after="0" w:line="121" w:lineRule="exact"/>
        <w:rPr>
          <w:sz w:val="20"/>
          <w:szCs w:val="20"/>
          <w:color w:val="auto"/>
        </w:rPr>
      </w:pPr>
    </w:p>
    <w:p>
      <w:pPr>
        <w:jc w:val="both"/>
        <w:ind w:left="300" w:firstLine="426"/>
        <w:spacing w:after="0" w:line="271" w:lineRule="auto"/>
        <w:rPr>
          <w:sz w:val="20"/>
          <w:szCs w:val="20"/>
          <w:color w:val="auto"/>
        </w:rPr>
      </w:pPr>
      <w:r>
        <w:rPr>
          <w:rFonts w:ascii="Arial" w:cs="Arial" w:eastAsia="Arial" w:hAnsi="Arial"/>
          <w:sz w:val="17"/>
          <w:szCs w:val="17"/>
          <w:color w:val="auto"/>
        </w:rPr>
        <w:t>We are currently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9" w:lineRule="exact"/>
        <w:rPr>
          <w:sz w:val="20"/>
          <w:szCs w:val="20"/>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our team’s collective expertise in development, manufacturing and commercialization to efficiently bring ADG20 to patients.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development and obtain global approval for our lead product candidate, ADG20, for both the treatment and prevention of COVID-19.</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Successfully commercialize ADG20, if approved, through our own organization in the United States and Europe, and partners in the rest of the world.</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secure additional manufacturing capacity with trusted contract development and manufacturing organization, or CDMO, partners to enable a worldwide commercial launch.</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additional antibodies for use in potential combination with ADG20 to address future potential variants of SARS-CoV-2 and other sarbecovirus outbreaks.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relationships with Adimab and academic institutions to discover additional antibody-based solutions to address coronavirus and influenza infections.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were founded in June 2020 to develop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 Our leadership team has more than 100 years of combined development and commercialization experience with small and large molecules in infectious disease, as well as decades of domain expertise in B-cell immunology of viral diseases.</w:t>
      </w:r>
    </w:p>
    <w:p>
      <w:pPr>
        <w:spacing w:after="0" w:line="18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Since our inception, we have raised approximately $470 million of capital from leading institutional healthcare investors and our partners.</w:t>
      </w:r>
    </w:p>
    <w:p>
      <w:pPr>
        <w:spacing w:after="0" w:line="35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00" w:firstLine="426"/>
        <w:spacing w:after="0" w:line="277" w:lineRule="auto"/>
        <w:rPr>
          <w:sz w:val="20"/>
          <w:szCs w:val="20"/>
          <w:color w:val="auto"/>
        </w:rPr>
      </w:pPr>
      <w:r>
        <w:rPr>
          <w:rFonts w:ascii="Arial" w:cs="Arial" w:eastAsia="Arial" w:hAnsi="Arial"/>
          <w:sz w:val="18"/>
          <w:szCs w:val="18"/>
          <w:color w:val="auto"/>
        </w:rPr>
        <w:t>Our business is subject to numerous risks that you should be aware of before making an investment decision. These risks are described more fully in the section titled “Risk Factors” and include, among others:</w:t>
      </w:r>
    </w:p>
    <w:p>
      <w:pPr>
        <w:spacing w:after="0" w:line="76" w:lineRule="exact"/>
        <w:rPr>
          <w:sz w:val="20"/>
          <w:szCs w:val="20"/>
          <w:color w:val="auto"/>
        </w:rPr>
      </w:pPr>
    </w:p>
    <w:p>
      <w:pPr>
        <w:ind w:left="1240" w:right="2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incur losses over the next several years and may never achieve or maintain profitability.</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commercializing products, which may make it difficult for an investor to evaluate the success of our business to date and to assess our future viability.</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274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274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recurring losses from operations and financial condition raise substantial doubt about our ability to continue as a going concern.</w:t>
      </w:r>
    </w:p>
    <w:p>
      <w:pPr>
        <w:spacing w:after="0" w:line="153" w:lineRule="exact"/>
        <w:rPr>
          <w:rFonts w:ascii="Arial" w:cs="Arial" w:eastAsia="Arial" w:hAnsi="Arial"/>
          <w:sz w:val="16"/>
          <w:szCs w:val="16"/>
          <w:color w:val="auto"/>
        </w:rPr>
      </w:pPr>
    </w:p>
    <w:p>
      <w:pPr>
        <w:jc w:val="both"/>
        <w:ind w:left="1240" w:right="20" w:hanging="523"/>
        <w:spacing w:after="0" w:line="286"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70" w:lineRule="exact"/>
        <w:rPr>
          <w:rFonts w:ascii="Arial" w:cs="Arial" w:eastAsia="Arial" w:hAnsi="Arial"/>
          <w:sz w:val="17"/>
          <w:szCs w:val="17"/>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89" w:lineRule="exact"/>
        <w:rPr>
          <w:rFonts w:ascii="Arial" w:cs="Arial" w:eastAsia="Arial" w:hAnsi="Arial"/>
          <w:sz w:val="18"/>
          <w:szCs w:val="18"/>
          <w:color w:val="auto"/>
        </w:rPr>
      </w:pPr>
    </w:p>
    <w:p>
      <w:pPr>
        <w:jc w:val="both"/>
        <w:ind w:left="1240" w:hanging="523"/>
        <w:spacing w:after="0" w:line="273" w:lineRule="auto"/>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83" w:lineRule="exact"/>
        <w:rPr>
          <w:rFonts w:ascii="Arial" w:cs="Arial" w:eastAsia="Arial" w:hAnsi="Arial"/>
          <w:sz w:val="17"/>
          <w:szCs w:val="17"/>
          <w:color w:val="auto"/>
        </w:rPr>
      </w:pPr>
    </w:p>
    <w:p>
      <w:pPr>
        <w:ind w:left="124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75" w:lineRule="exact"/>
        <w:rPr>
          <w:rFonts w:ascii="Arial" w:cs="Arial" w:eastAsia="Arial" w:hAnsi="Arial"/>
          <w:sz w:val="18"/>
          <w:szCs w:val="18"/>
          <w:color w:val="auto"/>
        </w:rPr>
      </w:pPr>
    </w:p>
    <w:p>
      <w:pPr>
        <w:jc w:val="both"/>
        <w:ind w:left="1240" w:right="2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89"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successful in our efforts to build a pipeline of additional product candidates.</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and operations may be adversely affected by the evolving and ongoing COVID-19 global pandemic.</w:t>
      </w:r>
    </w:p>
    <w:p>
      <w:pPr>
        <w:spacing w:after="0" w:line="130" w:lineRule="exact"/>
        <w:rPr>
          <w:rFonts w:ascii="Arial" w:cs="Arial" w:eastAsia="Arial" w:hAnsi="Arial"/>
          <w:sz w:val="18"/>
          <w:szCs w:val="18"/>
          <w:color w:val="auto"/>
        </w:rPr>
      </w:pPr>
    </w:p>
    <w:p>
      <w:pPr>
        <w:jc w:val="both"/>
        <w:ind w:left="1240" w:hanging="523"/>
        <w:spacing w:after="0" w:line="263"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75"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ADG20 and our other monoclonal antibody product candidates may face significant competition from vaccines and other treatments for COVID-19 that are currently available or in development.</w:t>
      </w:r>
    </w:p>
    <w:p>
      <w:pPr>
        <w:spacing w:after="0" w:line="75"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92"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 parties may initiate legal proceedings alleging that we are infringing, misappropriating or otherwise violating their intellectual property rights, the outcome of which would be uncertain.</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7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3734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1240" w:right="20" w:hanging="523"/>
        <w:spacing w:after="0" w:line="263"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89" w:lineRule="exact"/>
        <w:rPr>
          <w:rFonts w:ascii="Arial" w:cs="Arial" w:eastAsia="Arial" w:hAnsi="Arial"/>
          <w:sz w:val="18"/>
          <w:szCs w:val="18"/>
          <w:color w:val="auto"/>
        </w:rPr>
      </w:pPr>
    </w:p>
    <w:p>
      <w:pPr>
        <w:jc w:val="both"/>
        <w:ind w:left="1240" w:hanging="523"/>
        <w:spacing w:after="0" w:line="259"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00" w:firstLine="426"/>
        <w:spacing w:after="0" w:line="263"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As such, we may take advantage of certain exemptions from various reporting requirements that are otherwise applicable to public companies. These exemptions include, but are not limited to:</w:t>
      </w:r>
    </w:p>
    <w:p>
      <w:pPr>
        <w:spacing w:after="0" w:line="89" w:lineRule="exact"/>
        <w:rPr>
          <w:sz w:val="20"/>
          <w:szCs w:val="20"/>
          <w:color w:val="auto"/>
        </w:rPr>
      </w:pPr>
    </w:p>
    <w:p>
      <w:pPr>
        <w:jc w:val="both"/>
        <w:ind w:left="1240" w:hanging="523"/>
        <w:spacing w:after="0" w:line="263"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auditor attestation requirement in the assessment of our internal control over financial reporting;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240" w:right="2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300" w:firstLine="426"/>
        <w:spacing w:after="0" w:line="284"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completion of this offering. However, if prior to the end of such five-year period, (i) our annual gross revenue exceeds $1.07 billion, (ii) we issue more than $1.0 billion of non-convertible debt in the previous three-year period or (iii) we become a “large accelerated filer” (as defined in Rule 12b-2 under the Securities Exchange Act of 1934, as amended, or the Exchange Act), we will cease to be an emerging growth company prior to the end of such five-year period. We will be deemed to be a “large accelerated filer” at such time that we (a) have an aggregate worldwide market value of our common stock held by non-affiliates of $700.0 million or more as of the last business day of our most recently completed second fiscal quarter,</w:t>
      </w:r>
    </w:p>
    <w:p>
      <w:pPr>
        <w:spacing w:after="0" w:line="4" w:lineRule="exact"/>
        <w:rPr>
          <w:sz w:val="20"/>
          <w:szCs w:val="20"/>
          <w:color w:val="auto"/>
        </w:rPr>
      </w:pPr>
    </w:p>
    <w:p>
      <w:pPr>
        <w:ind w:left="300" w:hanging="2"/>
        <w:spacing w:after="0" w:line="260" w:lineRule="auto"/>
        <w:tabs>
          <w:tab w:leader="none" w:pos="559"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have been required to file annual and quarterly reports under the Exchange Act for a period of at least 12 months and (c) have filed at least one annual report pursuant to the Exchange Act.</w:t>
      </w:r>
    </w:p>
    <w:p>
      <w:pPr>
        <w:spacing w:after="0" w:line="185" w:lineRule="exact"/>
        <w:rPr>
          <w:sz w:val="20"/>
          <w:szCs w:val="20"/>
          <w:color w:val="auto"/>
        </w:rPr>
      </w:pPr>
    </w:p>
    <w:p>
      <w:pPr>
        <w:jc w:val="both"/>
        <w:ind w:left="300" w:firstLine="426"/>
        <w:spacing w:after="0" w:line="311"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9" w:lineRule="exact"/>
        <w:rPr>
          <w:sz w:val="20"/>
          <w:szCs w:val="20"/>
          <w:color w:val="auto"/>
        </w:rPr>
      </w:pPr>
    </w:p>
    <w:p>
      <w:pPr>
        <w:jc w:val="both"/>
        <w:ind w:left="300" w:firstLine="426"/>
        <w:spacing w:after="0" w:line="301"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We have elected not to “opt out” of the exemption for the delayed adoption of certain accounting standards, and, therefore, we will adopt new or revised accounting standards at the time private companies adopt the new or revised accounting standards and will do so until such time that we either (i) irrevocably elect to “opt out” of such extended transition period or (ii) no longer</w:t>
      </w:r>
    </w:p>
    <w:p>
      <w:pPr>
        <w:spacing w:after="0" w:line="34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167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3167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spacing w:after="0" w:line="277" w:lineRule="auto"/>
        <w:rPr>
          <w:sz w:val="20"/>
          <w:szCs w:val="20"/>
          <w:color w:val="auto"/>
        </w:rPr>
      </w:pPr>
      <w:r>
        <w:rPr>
          <w:rFonts w:ascii="Arial" w:cs="Arial" w:eastAsia="Arial" w:hAnsi="Arial"/>
          <w:sz w:val="18"/>
          <w:szCs w:val="18"/>
          <w:color w:val="auto"/>
        </w:rPr>
        <w:t>qualify as an emerging growth company. We may choose to early adopt any new or revised accounting standards whenever such early adoption is permitted for private companies.</w:t>
      </w:r>
    </w:p>
    <w:p>
      <w:pPr>
        <w:spacing w:after="0" w:line="170" w:lineRule="exact"/>
        <w:rPr>
          <w:sz w:val="20"/>
          <w:szCs w:val="20"/>
          <w:color w:val="auto"/>
        </w:rPr>
      </w:pPr>
    </w:p>
    <w:p>
      <w:pPr>
        <w:jc w:val="both"/>
        <w:ind w:left="300" w:firstLine="426"/>
        <w:spacing w:after="0" w:line="269" w:lineRule="auto"/>
        <w:rPr>
          <w:sz w:val="20"/>
          <w:szCs w:val="20"/>
          <w:color w:val="auto"/>
        </w:rPr>
      </w:pPr>
      <w:r>
        <w:rPr>
          <w:rFonts w:ascii="Arial" w:cs="Arial" w:eastAsia="Arial" w:hAnsi="Arial"/>
          <w:sz w:val="17"/>
          <w:szCs w:val="17"/>
          <w:color w:val="auto"/>
        </w:rPr>
        <w:t>We are also a “smaller reporting company” as defined under the Securities Exchange Act. We may continue to be a smaller reporting company for so long as either (i) the market value of our common stock held by non-affiliates is less than $250 million as of the last business day of our most recently completed second fiscal quarter or (ii) our annual revenue was less than $100 million during the most recently completed fiscal year and the market value of our common stock held by non-affiliates is less than $700 million as of the last business day of our most recently completed second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00" w:firstLine="426"/>
        <w:spacing w:after="0" w:line="275" w:lineRule="auto"/>
        <w:rPr>
          <w:sz w:val="20"/>
          <w:szCs w:val="20"/>
          <w:color w:val="auto"/>
        </w:rPr>
      </w:pPr>
      <w:r>
        <w:rPr>
          <w:rFonts w:ascii="Arial" w:cs="Arial" w:eastAsia="Arial" w:hAnsi="Arial"/>
          <w:sz w:val="17"/>
          <w:szCs w:val="17"/>
          <w:color w:val="auto"/>
        </w:rPr>
        <w:t>We were incorporated under the laws of the State of Delaware in June of 2020. Our principal executive offices are located at 303 Wyman Street, Suite 300, Waltham, MA 02451 and our telephone number is (781) 819-0080. Our website address is adagiotx.com. The information contained on, or accessible through, our website is not incorporated by reference into this prospectus, and you should not consider any information contained in, or that can be accessed through, our website as part of this prospectus or in deciding whether to purchase our common stock. We have included our website in this prospectus solely as an inactive textual reference.</w:t>
      </w:r>
    </w:p>
    <w:p>
      <w:pPr>
        <w:spacing w:after="0" w:line="36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4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2000" w:type="dxa"/>
            <w:vAlign w:val="bottom"/>
          </w:tcPr>
          <w:p>
            <w:pPr>
              <w:ind w:left="1440"/>
              <w:spacing w:after="0"/>
              <w:rPr>
                <w:sz w:val="20"/>
                <w:szCs w:val="20"/>
                <w:color w:val="auto"/>
              </w:rPr>
            </w:pPr>
            <w:r>
              <w:rPr>
                <w:rFonts w:ascii="Arial" w:cs="Arial" w:eastAsia="Arial" w:hAnsi="Arial"/>
                <w:sz w:val="18"/>
                <w:szCs w:val="18"/>
                <w:color w:val="auto"/>
                <w:w w:val="91"/>
              </w:rPr>
              <w:t>shares.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2420" w:type="dxa"/>
            <w:vAlign w:val="bottom"/>
            <w:gridSpan w:val="2"/>
            <w:vMerge w:val="restart"/>
          </w:tcPr>
          <w:p>
            <w:pPr>
              <w:ind w:left="1560"/>
              <w:spacing w:after="0"/>
              <w:rPr>
                <w:sz w:val="20"/>
                <w:szCs w:val="20"/>
                <w:color w:val="auto"/>
              </w:rPr>
            </w:pPr>
            <w:r>
              <w:rPr>
                <w:rFonts w:ascii="Arial" w:cs="Arial" w:eastAsia="Arial" w:hAnsi="Arial"/>
                <w:sz w:val="18"/>
                <w:szCs w:val="18"/>
                <w:color w:val="auto"/>
              </w:rPr>
              <w:t>shares (or</w:t>
            </w:r>
          </w:p>
        </w:tc>
        <w:tc>
          <w:tcPr>
            <w:tcW w:w="3580" w:type="dxa"/>
            <w:vAlign w:val="bottom"/>
            <w:gridSpan w:val="3"/>
            <w:vMerge w:val="restart"/>
          </w:tcPr>
          <w:p>
            <w:pPr>
              <w:jc w:val="right"/>
              <w:spacing w:after="0"/>
              <w:rPr>
                <w:sz w:val="20"/>
                <w:szCs w:val="20"/>
                <w:color w:val="auto"/>
              </w:rPr>
            </w:pPr>
            <w:r>
              <w:rPr>
                <w:rFonts w:ascii="Arial" w:cs="Arial" w:eastAsia="Arial" w:hAnsi="Arial"/>
                <w:sz w:val="18"/>
                <w:szCs w:val="18"/>
                <w:color w:val="auto"/>
              </w:rPr>
              <w:t>shares if the underwriters exercise in full</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17"/>
                <w:szCs w:val="17"/>
                <w:color w:val="auto"/>
              </w:rPr>
            </w:pPr>
          </w:p>
        </w:tc>
        <w:tc>
          <w:tcPr>
            <w:tcW w:w="2420" w:type="dxa"/>
            <w:vAlign w:val="bottom"/>
            <w:gridSpan w:val="2"/>
            <w:vMerge w:val="continue"/>
          </w:tcPr>
          <w:p>
            <w:pPr>
              <w:spacing w:after="0"/>
              <w:rPr>
                <w:sz w:val="17"/>
                <w:szCs w:val="17"/>
                <w:color w:val="auto"/>
              </w:rPr>
            </w:pPr>
          </w:p>
        </w:tc>
        <w:tc>
          <w:tcPr>
            <w:tcW w:w="3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440" w:type="dxa"/>
            <w:vAlign w:val="bottom"/>
            <w:gridSpan w:val="3"/>
          </w:tcPr>
          <w:p>
            <w:pPr>
              <w:ind w:left="900"/>
              <w:spacing w:after="0"/>
              <w:rPr>
                <w:sz w:val="20"/>
                <w:szCs w:val="20"/>
                <w:color w:val="auto"/>
              </w:rPr>
            </w:pPr>
            <w:r>
              <w:rPr>
                <w:rFonts w:ascii="Arial" w:cs="Arial" w:eastAsia="Arial" w:hAnsi="Arial"/>
                <w:sz w:val="18"/>
                <w:szCs w:val="18"/>
                <w:color w:val="auto"/>
              </w:rPr>
              <w:t>their option to purchase up to</w:t>
            </w:r>
          </w:p>
        </w:tc>
        <w:tc>
          <w:tcPr>
            <w:tcW w:w="1560" w:type="dxa"/>
            <w:vAlign w:val="bottom"/>
          </w:tcPr>
          <w:p>
            <w:pPr>
              <w:ind w:left="200"/>
              <w:spacing w:after="0"/>
              <w:rPr>
                <w:sz w:val="20"/>
                <w:szCs w:val="20"/>
                <w:color w:val="auto"/>
              </w:rPr>
            </w:pPr>
            <w:r>
              <w:rPr>
                <w:rFonts w:ascii="Arial" w:cs="Arial" w:eastAsia="Arial" w:hAnsi="Arial"/>
                <w:sz w:val="18"/>
                <w:szCs w:val="18"/>
                <w:color w:val="auto"/>
                <w:w w:val="91"/>
              </w:rPr>
              <w:t>additional shares).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Option to purchase additional shares offered by us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have granted the underwriters an option for a period of 30 days to</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w w:val="90"/>
              </w:rPr>
              <w:t>purchase up to</w:t>
            </w:r>
          </w:p>
        </w:tc>
        <w:tc>
          <w:tcPr>
            <w:tcW w:w="420" w:type="dxa"/>
            <w:vAlign w:val="bottom"/>
          </w:tcPr>
          <w:p>
            <w:pPr>
              <w:spacing w:after="0"/>
              <w:rPr>
                <w:sz w:val="20"/>
                <w:szCs w:val="20"/>
                <w:color w:val="auto"/>
              </w:rPr>
            </w:pPr>
          </w:p>
        </w:tc>
        <w:tc>
          <w:tcPr>
            <w:tcW w:w="3580" w:type="dxa"/>
            <w:vAlign w:val="bottom"/>
            <w:gridSpan w:val="3"/>
          </w:tcPr>
          <w:p>
            <w:pPr>
              <w:jc w:val="right"/>
              <w:ind w:right="770"/>
              <w:spacing w:after="0"/>
              <w:rPr>
                <w:sz w:val="20"/>
                <w:szCs w:val="20"/>
                <w:color w:val="auto"/>
              </w:rPr>
            </w:pPr>
            <w:r>
              <w:rPr>
                <w:rFonts w:ascii="Arial" w:cs="Arial" w:eastAsia="Arial" w:hAnsi="Arial"/>
                <w:sz w:val="18"/>
                <w:szCs w:val="18"/>
                <w:color w:val="auto"/>
                <w:w w:val="95"/>
              </w:rPr>
              <w:t>additional shares of common stock.</w:t>
            </w:r>
          </w:p>
        </w:tc>
        <w:tc>
          <w:tcPr>
            <w:tcW w:w="0" w:type="dxa"/>
            <w:vAlign w:val="bottom"/>
          </w:tcPr>
          <w:p>
            <w:pPr>
              <w:spacing w:after="0"/>
              <w:rPr>
                <w:sz w:val="1"/>
                <w:szCs w:val="1"/>
                <w:color w:val="auto"/>
              </w:rPr>
            </w:pPr>
          </w:p>
        </w:tc>
      </w:tr>
      <w:tr>
        <w:trPr>
          <w:trHeight w:val="310"/>
        </w:trPr>
        <w:tc>
          <w:tcPr>
            <w:tcW w:w="464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We  estimate  that  the  net  proceeds  from  this  offering  will  be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rPr>
              <w:t>approximately $</w:t>
            </w:r>
          </w:p>
        </w:tc>
        <w:tc>
          <w:tcPr>
            <w:tcW w:w="2580" w:type="dxa"/>
            <w:vAlign w:val="bottom"/>
            <w:gridSpan w:val="2"/>
          </w:tcPr>
          <w:p>
            <w:pPr>
              <w:ind w:left="120"/>
              <w:spacing w:after="0"/>
              <w:rPr>
                <w:sz w:val="20"/>
                <w:szCs w:val="20"/>
                <w:color w:val="auto"/>
              </w:rPr>
            </w:pPr>
            <w:r>
              <w:rPr>
                <w:rFonts w:ascii="Arial" w:cs="Arial" w:eastAsia="Arial" w:hAnsi="Arial"/>
                <w:sz w:val="18"/>
                <w:szCs w:val="18"/>
                <w:color w:val="auto"/>
              </w:rPr>
              <w:t>million, or approximately $</w:t>
            </w:r>
          </w:p>
        </w:tc>
        <w:tc>
          <w:tcPr>
            <w:tcW w:w="1000" w:type="dxa"/>
            <w:vAlign w:val="bottom"/>
          </w:tcPr>
          <w:p>
            <w:pPr>
              <w:jc w:val="right"/>
              <w:spacing w:after="0"/>
              <w:rPr>
                <w:sz w:val="20"/>
                <w:szCs w:val="20"/>
                <w:color w:val="auto"/>
              </w:rPr>
            </w:pPr>
            <w:r>
              <w:rPr>
                <w:rFonts w:ascii="Arial" w:cs="Arial" w:eastAsia="Arial" w:hAnsi="Arial"/>
                <w:sz w:val="18"/>
                <w:szCs w:val="18"/>
                <w:color w:val="auto"/>
              </w:rPr>
              <w:t>million if the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underwriters exercise in full their option to purchase up to</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additional shares of common stock, assuming an initial public offering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price of $</w:t>
            </w:r>
          </w:p>
        </w:tc>
        <w:tc>
          <w:tcPr>
            <w:tcW w:w="4000" w:type="dxa"/>
            <w:vAlign w:val="bottom"/>
            <w:gridSpan w:val="4"/>
          </w:tcPr>
          <w:p>
            <w:pPr>
              <w:jc w:val="right"/>
              <w:spacing w:after="0"/>
              <w:rPr>
                <w:sz w:val="20"/>
                <w:szCs w:val="20"/>
                <w:color w:val="auto"/>
              </w:rPr>
            </w:pPr>
            <w:r>
              <w:rPr>
                <w:rFonts w:ascii="Arial" w:cs="Arial" w:eastAsia="Arial" w:hAnsi="Arial"/>
                <w:sz w:val="18"/>
                <w:szCs w:val="18"/>
                <w:color w:val="auto"/>
                <w:w w:val="92"/>
              </w:rPr>
              <w:t>per share, which is the midpoint of the estimated price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4"/>
              </w:rPr>
              <w:t>range set forth on the cover page of this prospectus, after deducting</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6"/>
              </w:rPr>
              <w:t>estimated underwriting discounts and commissions and estimated</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3440" w:type="dxa"/>
            <w:vAlign w:val="bottom"/>
            <w:gridSpan w:val="3"/>
          </w:tcPr>
          <w:p>
            <w:pPr>
              <w:ind w:left="900"/>
              <w:spacing w:after="0"/>
              <w:rPr>
                <w:sz w:val="20"/>
                <w:szCs w:val="20"/>
                <w:color w:val="auto"/>
              </w:rPr>
            </w:pPr>
            <w:r>
              <w:rPr>
                <w:rFonts w:ascii="Arial" w:cs="Arial" w:eastAsia="Arial" w:hAnsi="Arial"/>
                <w:sz w:val="18"/>
                <w:szCs w:val="18"/>
                <w:color w:val="auto"/>
                <w:w w:val="95"/>
              </w:rPr>
              <w:t>offering expenses payable by us.</w:t>
            </w: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4"/>
                <w:szCs w:val="24"/>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1"/>
              </w:rPr>
              <w:t>We intend to use the net proceeds from this offering, together with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8"/>
              </w:rPr>
              <w:t>existing cash and cash equivalents, to fund clinical development,</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3"/>
              </w:rPr>
              <w:t>manufacturing supply and initial commercialization costs for ADG20,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7"/>
              </w:rPr>
              <w:t>and the remainder for working capital and other general corporate</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purposes,  including  development  of  additional  programs  in  our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pipeline. See the section titled “Use of Proceeds” for additional</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000" w:type="dxa"/>
            <w:vAlign w:val="bottom"/>
          </w:tcPr>
          <w:p>
            <w:pPr>
              <w:ind w:left="900"/>
              <w:spacing w:after="0"/>
              <w:rPr>
                <w:sz w:val="20"/>
                <w:szCs w:val="20"/>
                <w:color w:val="auto"/>
              </w:rPr>
            </w:pPr>
            <w:r>
              <w:rPr>
                <w:rFonts w:ascii="Arial" w:cs="Arial" w:eastAsia="Arial" w:hAnsi="Arial"/>
                <w:sz w:val="18"/>
                <w:szCs w:val="18"/>
                <w:color w:val="auto"/>
              </w:rPr>
              <w:t>information.</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464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You should read the section titled “Risk Factors” for a discussion of</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rPr>
              <w:t>factors you should consider carefully, together with all the other</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18"/>
                <w:szCs w:val="18"/>
                <w:color w:val="auto"/>
              </w:rPr>
            </w:pPr>
          </w:p>
        </w:tc>
        <w:tc>
          <w:tcPr>
            <w:tcW w:w="6000" w:type="dxa"/>
            <w:vAlign w:val="bottom"/>
            <w:gridSpan w:val="5"/>
          </w:tcPr>
          <w:p>
            <w:pPr>
              <w:ind w:left="900"/>
              <w:spacing w:after="0"/>
              <w:rPr>
                <w:sz w:val="20"/>
                <w:szCs w:val="20"/>
                <w:color w:val="auto"/>
              </w:rPr>
            </w:pPr>
            <w:r>
              <w:rPr>
                <w:rFonts w:ascii="Arial" w:cs="Arial" w:eastAsia="Arial" w:hAnsi="Arial"/>
                <w:sz w:val="18"/>
                <w:szCs w:val="18"/>
                <w:color w:val="auto"/>
                <w:w w:val="95"/>
              </w:rPr>
              <w:t>information included in this prospectus, before deciding to invest in</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w w:val="98"/>
              </w:rPr>
              <w:t>our common stock.</w:t>
            </w:r>
          </w:p>
        </w:tc>
        <w:tc>
          <w:tcPr>
            <w:tcW w:w="10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000" w:type="dxa"/>
            <w:vAlign w:val="bottom"/>
          </w:tcPr>
          <w:p>
            <w:pPr>
              <w:ind w:left="900"/>
              <w:spacing w:after="0"/>
              <w:rPr>
                <w:sz w:val="20"/>
                <w:szCs w:val="20"/>
                <w:color w:val="auto"/>
              </w:rPr>
            </w:pPr>
            <w:r>
              <w:rPr>
                <w:rFonts w:ascii="Arial" w:cs="Arial" w:eastAsia="Arial" w:hAnsi="Arial"/>
                <w:sz w:val="18"/>
                <w:szCs w:val="18"/>
                <w:color w:val="auto"/>
              </w:rPr>
              <w:t>“ADGI”</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00" w:firstLine="426"/>
        <w:spacing w:after="0" w:line="259" w:lineRule="auto"/>
        <w:rPr>
          <w:sz w:val="20"/>
          <w:szCs w:val="20"/>
          <w:color w:val="auto"/>
        </w:rPr>
      </w:pPr>
      <w:r>
        <w:rPr>
          <w:rFonts w:ascii="Arial" w:cs="Arial" w:eastAsia="Arial" w:hAnsi="Arial"/>
          <w:sz w:val="18"/>
          <w:szCs w:val="18"/>
          <w:color w:val="auto"/>
        </w:rPr>
        <w:t>The number of shares of our common stock to be outstanding after this offering is based on 18,063,132 shares of our common stock outstanding as of March 31, 2021, assuming the automatic conversion of all outstanding shares of our preferred stock, including 4,296,550 shares of Series C preferred stock issued in April 2021, into an aggregate of 16,944,484 shares of common stock upon the closing of this offering, and excludes:</w:t>
      </w:r>
    </w:p>
    <w:p>
      <w:pPr>
        <w:spacing w:after="0" w:line="92" w:lineRule="exact"/>
        <w:rPr>
          <w:sz w:val="20"/>
          <w:szCs w:val="20"/>
          <w:color w:val="auto"/>
        </w:rPr>
      </w:pPr>
    </w:p>
    <w:p>
      <w:pPr>
        <w:jc w:val="both"/>
        <w:ind w:left="1240" w:hanging="523"/>
        <w:spacing w:after="0" w:line="259"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2,285,404 shares of our common stock, at a weighted-average exercise price of $54.28 per share, that were granted subsequent to March 31, 2021);</w:t>
      </w:r>
    </w:p>
    <w:p>
      <w:pPr>
        <w:spacing w:after="0" w:line="92" w:lineRule="exact"/>
        <w:rPr>
          <w:rFonts w:ascii="Arial" w:cs="Arial" w:eastAsia="Arial" w:hAnsi="Arial"/>
          <w:sz w:val="18"/>
          <w:szCs w:val="18"/>
          <w:color w:val="auto"/>
        </w:rPr>
      </w:pPr>
    </w:p>
    <w:p>
      <w:pPr>
        <w:ind w:left="1240" w:hanging="523"/>
        <w:spacing w:after="0" w:line="277"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4328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34328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2021 Equity Incentive Plan, or the 2021 Plan, becomes effective and will be added to, and become available for issuance under, the</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2021 Plan;</w:t>
      </w:r>
    </w:p>
    <w:p>
      <w:pPr>
        <w:spacing w:after="0" w:line="116" w:lineRule="exact"/>
        <w:rPr>
          <w:sz w:val="20"/>
          <w:szCs w:val="20"/>
          <w:color w:val="auto"/>
        </w:rPr>
      </w:pPr>
    </w:p>
    <w:p>
      <w:pPr>
        <w:jc w:val="both"/>
        <w:ind w:left="1240" w:right="20" w:hanging="523"/>
        <w:spacing w:after="0" w:line="286" w:lineRule="auto"/>
        <w:tabs>
          <w:tab w:leader="none" w:pos="1853"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70" w:lineRule="exact"/>
        <w:rPr>
          <w:rFonts w:ascii="Arial" w:cs="Arial" w:eastAsia="Arial" w:hAnsi="Arial"/>
          <w:sz w:val="17"/>
          <w:szCs w:val="17"/>
          <w:color w:val="auto"/>
        </w:rPr>
      </w:pPr>
    </w:p>
    <w:p>
      <w:pPr>
        <w:jc w:val="both"/>
        <w:ind w:left="1240" w:right="20" w:hanging="523"/>
        <w:spacing w:after="0" w:line="259" w:lineRule="auto"/>
        <w:tabs>
          <w:tab w:leader="none" w:pos="18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Unless otherwise indicated, all information contained in this prospectus, including the number of shares of common stock that will be outstanding after this offering, assumes or gives effect to:</w:t>
      </w:r>
    </w:p>
    <w:p>
      <w:pPr>
        <w:spacing w:after="0" w:line="76" w:lineRule="exact"/>
        <w:rPr>
          <w:sz w:val="20"/>
          <w:szCs w:val="20"/>
          <w:color w:val="auto"/>
        </w:rPr>
      </w:pPr>
    </w:p>
    <w:p>
      <w:pPr>
        <w:ind w:left="1240" w:right="20" w:hanging="523"/>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preferred stock into an aggregate of 16,944,484 shares of our common stock, which will occur upon the closing of this offering;</w:t>
      </w:r>
    </w:p>
    <w:p>
      <w:pPr>
        <w:spacing w:after="0" w:line="76" w:lineRule="exact"/>
        <w:rPr>
          <w:sz w:val="20"/>
          <w:szCs w:val="20"/>
          <w:color w:val="auto"/>
        </w:rPr>
      </w:pPr>
    </w:p>
    <w:p>
      <w:pPr>
        <w:ind w:left="720"/>
        <w:spacing w:after="0"/>
        <w:tabs>
          <w:tab w:leader="none" w:pos="1220" w:val="left"/>
          <w:tab w:leader="none" w:pos="1880" w:val="left"/>
          <w:tab w:leader="none" w:pos="274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split of our common stock effected on</w:t>
      </w:r>
      <w:r>
        <w:rPr>
          <w:sz w:val="20"/>
          <w:szCs w:val="20"/>
          <w:color w:val="auto"/>
        </w:rPr>
        <w:tab/>
      </w:r>
      <w:r>
        <w:rPr>
          <w:rFonts w:ascii="Arial" w:cs="Arial" w:eastAsia="Arial" w:hAnsi="Arial"/>
          <w:sz w:val="16"/>
          <w:szCs w:val="16"/>
          <w:color w:val="auto"/>
        </w:rPr>
        <w:t>, 2021;</w:t>
      </w:r>
    </w:p>
    <w:p>
      <w:pPr>
        <w:spacing w:after="0" w:line="131" w:lineRule="exact"/>
        <w:rPr>
          <w:sz w:val="20"/>
          <w:szCs w:val="20"/>
          <w:color w:val="auto"/>
        </w:rPr>
      </w:pPr>
    </w:p>
    <w:p>
      <w:pPr>
        <w:ind w:left="1240" w:hanging="523"/>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adoption of our amended and restated bylaws immediately prior to the completion of this offering;</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of the outstanding options referred to above after March 31, 2021; and</w:t>
      </w:r>
    </w:p>
    <w:p>
      <w:pPr>
        <w:spacing w:after="0" w:line="130" w:lineRule="exact"/>
        <w:rPr>
          <w:rFonts w:ascii="Arial" w:cs="Arial" w:eastAsia="Arial" w:hAnsi="Arial"/>
          <w:sz w:val="18"/>
          <w:szCs w:val="18"/>
          <w:color w:val="auto"/>
        </w:rPr>
      </w:pPr>
    </w:p>
    <w:p>
      <w:pPr>
        <w:ind w:left="1240" w:hanging="523"/>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our common stock.</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64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jc w:val="both"/>
        <w:ind w:left="300" w:firstLine="426"/>
        <w:spacing w:after="0" w:line="270" w:lineRule="auto"/>
        <w:rPr>
          <w:sz w:val="20"/>
          <w:szCs w:val="20"/>
          <w:color w:val="auto"/>
        </w:rPr>
      </w:pPr>
      <w:r>
        <w:rPr>
          <w:rFonts w:ascii="Arial" w:cs="Arial" w:eastAsia="Arial" w:hAnsi="Arial"/>
          <w:sz w:val="17"/>
          <w:szCs w:val="17"/>
          <w:color w:val="auto"/>
        </w:rPr>
        <w:t>You should read the following summary consolidated financial data together with our consolidated financial statements and the related notes appearing at the end of this prospectus and the “Selected Consolidated Financial Data” and “Management’s Discussion and Analysis of Financial Condition and Results of Operations” sections of this prospectus. We have derived the consolidated statement of operations data for the period from June 3, 2020 (inception) to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6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1"/>
              </w:rPr>
              <w:t>December 31, 2020</w:t>
            </w:r>
          </w:p>
        </w:tc>
        <w:tc>
          <w:tcPr>
            <w:tcW w:w="3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5"/>
          </w:tcPr>
          <w:p>
            <w:pPr>
              <w:jc w:val="right"/>
              <w:ind w:right="23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21,992</w:t>
            </w:r>
          </w:p>
        </w:tc>
        <w:tc>
          <w:tcPr>
            <w:tcW w:w="4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tcPr>
          <w:p>
            <w:pPr>
              <w:ind w:left="3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40,125</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260" w:type="dxa"/>
            <w:vAlign w:val="bottom"/>
            <w:gridSpan w:val="3"/>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tcPr>
          <w:p>
            <w:pPr>
              <w:ind w:left="700"/>
              <w:spacing w:after="0"/>
              <w:rPr>
                <w:sz w:val="20"/>
                <w:szCs w:val="20"/>
                <w:color w:val="auto"/>
              </w:rPr>
            </w:pPr>
            <w:r>
              <w:rPr>
                <w:rFonts w:ascii="Arial" w:cs="Arial" w:eastAsia="Arial" w:hAnsi="Arial"/>
                <w:sz w:val="18"/>
                <w:szCs w:val="18"/>
                <w:color w:val="auto"/>
              </w:rPr>
              <w:t>Total other income</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(65,319)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gridSpan w:val="3"/>
            <w:vMerge w:val="continue"/>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spacing w:after="0"/>
              <w:rPr>
                <w:sz w:val="20"/>
                <w:szCs w:val="20"/>
                <w:color w:val="auto"/>
              </w:rPr>
            </w:pPr>
            <w:r>
              <w:rPr>
                <w:rFonts w:ascii="Arial" w:cs="Arial" w:eastAsia="Arial" w:hAnsi="Arial"/>
                <w:sz w:val="18"/>
                <w:szCs w:val="18"/>
                <w:color w:val="auto"/>
                <w:w w:val="94"/>
              </w:rPr>
              <w:t>Pro forma net loss per share attributable to common stockholders, basic and diluted (unaudited)</w:t>
            </w: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60" w:type="dxa"/>
            <w:vAlign w:val="bottom"/>
            <w:gridSpan w:val="3"/>
            <w:vMerge w:val="continue"/>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(6.26)</w:t>
            </w:r>
          </w:p>
        </w:tc>
        <w:tc>
          <w:tcPr>
            <w:tcW w:w="540" w:type="dxa"/>
            <w:vAlign w:val="bottom"/>
            <w:gridSpan w:val="2"/>
            <w:vMerge w:val="restart"/>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175"/>
        </w:trPr>
        <w:tc>
          <w:tcPr>
            <w:tcW w:w="1160" w:type="dxa"/>
            <w:vAlign w:val="bottom"/>
            <w:gridSpan w:val="2"/>
          </w:tcPr>
          <w:p>
            <w:pPr>
              <w:ind w:left="180"/>
              <w:spacing w:after="0"/>
              <w:rPr>
                <w:sz w:val="20"/>
                <w:szCs w:val="20"/>
                <w:color w:val="auto"/>
              </w:rPr>
            </w:pPr>
            <w:r>
              <w:rPr>
                <w:rFonts w:ascii="Arial" w:cs="Arial" w:eastAsia="Arial" w:hAnsi="Arial"/>
                <w:sz w:val="15"/>
                <w:szCs w:val="15"/>
                <w:color w:val="auto"/>
              </w:rPr>
              <w:t>(3)</w:t>
            </w:r>
          </w:p>
        </w:tc>
        <w:tc>
          <w:tcPr>
            <w:tcW w:w="610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24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Pro forma weighted-average common shares outstanding, basic and diluted</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(3)</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10,433</w:t>
            </w:r>
          </w:p>
        </w:tc>
        <w:tc>
          <w:tcPr>
            <w:tcW w:w="4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274"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720" w:hanging="422"/>
        <w:spacing w:after="0" w:line="265"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jc w:val="both"/>
        <w:ind w:left="720" w:hanging="422"/>
        <w:spacing w:after="0" w:line="302"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Note 13 to our consolidated financial statements appearing at the end of this prospectus for details on the calculation of basic and diluted net loss per share attributable to common stockholders and the “Selected Consolidated Financial Data” section of this prospectus for details on the calculation of unaudited basic and diluted pro forma net loss per share attributable to common stockholders.</w:t>
      </w: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3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42303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  91,247</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  426,746</w:t>
            </w:r>
          </w:p>
        </w:tc>
        <w:tc>
          <w:tcPr>
            <w:tcW w:w="96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66,197</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401,696</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assets</w:t>
            </w:r>
          </w:p>
        </w:tc>
        <w:tc>
          <w:tcPr>
            <w:tcW w:w="3200" w:type="dxa"/>
            <w:vAlign w:val="bottom"/>
            <w:gridSpan w:val="2"/>
          </w:tcPr>
          <w:p>
            <w:pPr>
              <w:jc w:val="right"/>
              <w:ind w:right="108"/>
              <w:spacing w:after="0"/>
              <w:rPr>
                <w:sz w:val="20"/>
                <w:szCs w:val="20"/>
                <w:color w:val="auto"/>
              </w:rPr>
            </w:pPr>
            <w:r>
              <w:rPr>
                <w:rFonts w:ascii="Arial" w:cs="Arial" w:eastAsia="Arial" w:hAnsi="Arial"/>
                <w:sz w:val="18"/>
                <w:szCs w:val="18"/>
                <w:color w:val="auto"/>
              </w:rPr>
              <w:t>94,874</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430,373</w:t>
            </w: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2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169,548</w:t>
            </w:r>
          </w:p>
        </w:tc>
        <w:tc>
          <w:tcPr>
            <w:tcW w:w="1520" w:type="dxa"/>
            <w:vAlign w:val="bottom"/>
            <w:shd w:val="clear" w:color="auto" w:fill="CCEEFF"/>
          </w:tcPr>
          <w:p>
            <w:pPr>
              <w:jc w:val="right"/>
              <w:ind w:right="29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3200" w:type="dxa"/>
            <w:vAlign w:val="bottom"/>
            <w:gridSpan w:val="2"/>
          </w:tcPr>
          <w:p>
            <w:pPr>
              <w:jc w:val="right"/>
              <w:ind w:right="48"/>
              <w:spacing w:after="0"/>
              <w:rPr>
                <w:sz w:val="20"/>
                <w:szCs w:val="20"/>
                <w:color w:val="auto"/>
              </w:rPr>
            </w:pPr>
            <w:r>
              <w:rPr>
                <w:rFonts w:ascii="Arial" w:cs="Arial" w:eastAsia="Arial" w:hAnsi="Arial"/>
                <w:sz w:val="18"/>
                <w:szCs w:val="18"/>
                <w:color w:val="auto"/>
              </w:rPr>
              <w:t>(103,362)</w:t>
            </w:r>
          </w:p>
        </w:tc>
        <w:tc>
          <w:tcPr>
            <w:tcW w:w="1520" w:type="dxa"/>
            <w:vAlign w:val="bottom"/>
          </w:tcPr>
          <w:p>
            <w:pPr>
              <w:jc w:val="right"/>
              <w:ind w:right="297"/>
              <w:spacing w:after="0"/>
              <w:rPr>
                <w:sz w:val="20"/>
                <w:szCs w:val="20"/>
                <w:color w:val="auto"/>
              </w:rPr>
            </w:pPr>
            <w:r>
              <w:rPr>
                <w:rFonts w:ascii="Arial" w:cs="Arial" w:eastAsia="Arial" w:hAnsi="Arial"/>
                <w:sz w:val="18"/>
                <w:szCs w:val="18"/>
                <w:color w:val="auto"/>
              </w:rPr>
              <w:t>401,685</w:t>
            </w: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ind w:left="720" w:hanging="422"/>
        <w:spacing w:after="0"/>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pro forma consolidated balance sheet data give effect to (i) our issuance and sale in April 2021 of 4,296,550 shares of our Series C</w:t>
      </w:r>
    </w:p>
    <w:p>
      <w:pPr>
        <w:spacing w:after="0" w:line="21" w:lineRule="exact"/>
        <w:rPr>
          <w:sz w:val="20"/>
          <w:szCs w:val="20"/>
          <w:color w:val="auto"/>
        </w:rPr>
      </w:pPr>
    </w:p>
    <w:p>
      <w:pPr>
        <w:jc w:val="both"/>
        <w:ind w:left="720"/>
        <w:spacing w:after="0" w:line="265" w:lineRule="auto"/>
        <w:rPr>
          <w:sz w:val="20"/>
          <w:szCs w:val="20"/>
          <w:color w:val="auto"/>
        </w:rPr>
      </w:pPr>
      <w:r>
        <w:rPr>
          <w:rFonts w:ascii="Arial" w:cs="Arial" w:eastAsia="Arial" w:hAnsi="Arial"/>
          <w:sz w:val="17"/>
          <w:szCs w:val="17"/>
          <w:color w:val="auto"/>
        </w:rPr>
        <w:t>preferred stock for gross proceeds of $335.5 million and (ii) the automatic conversion of all outstanding shares of our preferred stock, including our Series C preferred stock, into an aggregate of 16,944,484 shares of common stock upon the closing of this offering.</w:t>
      </w:r>
    </w:p>
    <w:p>
      <w:pPr>
        <w:ind w:left="300"/>
        <w:spacing w:after="0"/>
        <w:tabs>
          <w:tab w:leader="none" w:pos="700" w:val="left"/>
          <w:tab w:leader="none" w:pos="8860" w:val="left"/>
        </w:tabs>
        <w:rPr>
          <w:sz w:val="20"/>
          <w:szCs w:val="20"/>
          <w:color w:val="auto"/>
        </w:rPr>
      </w:pPr>
      <w:r>
        <w:rPr>
          <w:rFonts w:ascii="Arial" w:cs="Arial" w:eastAsia="Arial" w:hAnsi="Arial"/>
          <w:sz w:val="18"/>
          <w:szCs w:val="18"/>
          <w:color w:val="auto"/>
        </w:rPr>
        <w:t>(3)</w:t>
        <w:tab/>
        <w:t>The pro forma as adjusted consolidated balance sheet data give further effect to our issuance and sale of</w:t>
      </w:r>
      <w:r>
        <w:rPr>
          <w:sz w:val="20"/>
          <w:szCs w:val="20"/>
          <w:color w:val="auto"/>
        </w:rPr>
        <w:tab/>
      </w:r>
      <w:r>
        <w:rPr>
          <w:rFonts w:ascii="Arial" w:cs="Arial" w:eastAsia="Arial" w:hAnsi="Arial"/>
          <w:sz w:val="16"/>
          <w:szCs w:val="16"/>
          <w:color w:val="auto"/>
        </w:rPr>
        <w:t>shares of our common stock</w:t>
      </w:r>
    </w:p>
    <w:p>
      <w:pPr>
        <w:spacing w:after="0" w:line="9"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pro forma as adjusted information discussed above is illustrative only and will change based on the actual initial public offering price and</w:t>
      </w:r>
    </w:p>
    <w:p>
      <w:pPr>
        <w:spacing w:after="0" w:line="46"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other terms of this offering determined at pricing. Each $1.00 increase (decrease) in the assumed initial public offering price of $ per share, which is the midpoint of the estimated price range set forth on the cover page of this prospectus, would increase (decrease) the pro</w:t>
      </w:r>
    </w:p>
    <w:p>
      <w:pPr>
        <w:spacing w:after="0" w:line="1" w:lineRule="exact"/>
        <w:rPr>
          <w:sz w:val="20"/>
          <w:szCs w:val="20"/>
          <w:color w:val="auto"/>
        </w:rPr>
      </w:pPr>
    </w:p>
    <w:p>
      <w:pPr>
        <w:jc w:val="both"/>
        <w:ind w:left="720"/>
        <w:spacing w:after="0" w:line="281" w:lineRule="auto"/>
        <w:rPr>
          <w:sz w:val="20"/>
          <w:szCs w:val="20"/>
          <w:color w:val="auto"/>
        </w:rPr>
      </w:pPr>
      <w:r>
        <w:rPr>
          <w:rFonts w:ascii="Arial" w:cs="Arial" w:eastAsia="Arial" w:hAnsi="Arial"/>
          <w:sz w:val="16"/>
          <w:szCs w:val="16"/>
          <w:color w:val="auto"/>
        </w:rPr>
        <w:t>forma as adjusted amount of each of cash and cash equivalents, working capital, total assets and total stockholders’ equity by $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w:t>
      </w:r>
    </w:p>
    <w:p>
      <w:pPr>
        <w:spacing w:after="0" w:line="2" w:lineRule="exact"/>
        <w:rPr>
          <w:sz w:val="20"/>
          <w:szCs w:val="20"/>
          <w:color w:val="auto"/>
        </w:rPr>
      </w:pPr>
    </w:p>
    <w:p>
      <w:pPr>
        <w:jc w:val="both"/>
        <w:ind w:left="720"/>
        <w:spacing w:after="0" w:line="255" w:lineRule="auto"/>
        <w:rPr>
          <w:sz w:val="20"/>
          <w:szCs w:val="20"/>
          <w:color w:val="auto"/>
        </w:rPr>
      </w:pPr>
      <w:r>
        <w:rPr>
          <w:rFonts w:ascii="Arial" w:cs="Arial" w:eastAsia="Arial" w:hAnsi="Arial"/>
          <w:sz w:val="18"/>
          <w:szCs w:val="18"/>
          <w:color w:val="auto"/>
        </w:rPr>
        <w:t>adjusted amount of each of cash and cash equivalents, working capital, total assets and total stockholders’ equity by $ million, assuming no change in the assumed initial public offering price per share and after deducting estimated underwriting discounts and commissions and estimated offering expenses payable by us.</w:t>
      </w:r>
    </w:p>
    <w:p>
      <w:pPr>
        <w:spacing w:after="0" w:line="3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and uncertainties described below, together with all of the other information in this prospectus, including our financial statements and related notes, before deciding whether to purchase shares of our common stock. The risks and uncertainties described below are not the only ones we face. Additional risks and uncertainties that we are unaware of, or that we currently believe are not material, may also become important factors that affect us. If any of the following risks are realized, our business, financial condition, results of operations and prospects could be materially and adversely affected. In that event, the price of our common stock could decline, and you could lose part or all of your investment.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121" w:lineRule="exact"/>
        <w:rPr>
          <w:sz w:val="20"/>
          <w:szCs w:val="20"/>
          <w:color w:val="auto"/>
        </w:rPr>
      </w:pPr>
    </w:p>
    <w:p>
      <w:pPr>
        <w:ind w:left="560" w:right="6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Since our inception, we have incurred significant losses, and we expect to continue to incur significant expenses and operating losses for the foreseeable future. Our net losses were $65.3 million for the period from June 3, 2020 (inception) to December 31, 2020 and $38.7 million for the three months ended March 31, 2021. As of March 31, 2021, we had an accumulated deficit of $104.0 million. Since our inception, we have financed our operations with gross proceeds of $465.4 million raised in our private placements of preferred stock, including the sale of our Series C preferred stock in April 2021. We have no products approved for commercialization and have never generated any revenue from product sales.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All of our product candidates are still in clinical and preclinical testing. We expect to continue to incur significant expenses and operating losses over the next several years. Our net losses may fluctuate significantly from quarter to quarter and year to year. We anticipate that our expenses will increase substantially as we:</w:t>
      </w:r>
    </w:p>
    <w:p>
      <w:pPr>
        <w:spacing w:after="0" w:line="89" w:lineRule="exact"/>
        <w:rPr>
          <w:sz w:val="20"/>
          <w:szCs w:val="20"/>
          <w:color w:val="auto"/>
        </w:rPr>
      </w:pPr>
    </w:p>
    <w:p>
      <w:pPr>
        <w:ind w:left="1080" w:hanging="532"/>
        <w:spacing w:after="0" w:line="342" w:lineRule="auto"/>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pursue marketing approvals or Emergency Use Authorization,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To date, we have not generated any revenue from product sales. To become and remain profitable, we must succeed in developing and eventually commercializing product candidates that generate significant revenue. This will require us to be successful in a range of challenging activities, including completing preclinical testing and clinical trials of our product candidates, validating manufacturing processes, obtaining regulatory approval or EUA, and manufacturing, marketing and selling any product candidates for which we may obtain regulatory approval or EUA, as well as discovering and developing additional product candidates. All of our product candidates are in clinical or preclinical development. We may never succeed in these activities and, even if we do, may never generate any revenue or revenue that is significant enough to achieve profitability.</w:t>
      </w:r>
    </w:p>
    <w:p>
      <w:pPr>
        <w:spacing w:after="0" w:line="16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295"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for an investor to evaluate the success of our business to date and to assess our future viability.</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are a clinical-stage biopharmaceutical company with a limited operating history. We commenced operations in June 2020, and our operations to date have been largely focused on organizing and staffing our company, business planning, raising capital, acquiring our technology and product candidates, developing our manufacturing capabilities and developing our clinical and preclinical product candidates, including undertaking preclinical studies and conducting clinical trials. To date, we have not yet demonstrated our ability to successfully complete pivotal clinical trials, obtain regulatory approvals or EUA, manufacture a product on a commercial scale, or conduct sales and marketing activities necessary for successful commercialization, and we may not be successful in doing so. Consequently, any predictions you make about our future success or viability may not be as accurate as they could be if we had a longer operating history or a history of successfully developing and commercializing products.</w:t>
      </w:r>
    </w:p>
    <w:p>
      <w:pPr>
        <w:spacing w:after="0" w:line="16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spacing w:after="0" w:line="273" w:lineRule="exact"/>
        <w:rPr>
          <w:sz w:val="20"/>
          <w:szCs w:val="20"/>
          <w:color w:val="auto"/>
        </w:rPr>
      </w:pPr>
    </w:p>
    <w:p>
      <w:pPr>
        <w:ind w:left="560" w:right="200"/>
        <w:spacing w:after="0" w:line="263" w:lineRule="auto"/>
        <w:rPr>
          <w:sz w:val="20"/>
          <w:szCs w:val="20"/>
          <w:color w:val="auto"/>
        </w:rPr>
      </w:pPr>
      <w:r>
        <w:rPr>
          <w:rFonts w:ascii="Arial" w:cs="Arial" w:eastAsia="Arial" w:hAnsi="Arial"/>
          <w:sz w:val="18"/>
          <w:szCs w:val="18"/>
          <w:b w:val="1"/>
          <w:bCs w:val="1"/>
          <w:i w:val="1"/>
          <w:iCs w:val="1"/>
          <w:color w:val="auto"/>
        </w:rPr>
        <w:t>Even if this offering is successful, we will need substantial additional funding to meet our financial obligations and to pursue our business objectives. If we are unable to raise capital when needed, we could be forced to curtail our planned operations and the pursuit of our growth strategy.</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and we expect to continue to incur significant expenses and operating losses over the next several years as we continue to develop our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40"/>
          </w:cols>
          <w:pgMar w:left="32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candidate pipeline and build out our manufacturing capabilities for our product candidates, which, if approved, may not achieve commercial success. Our revenue, if any, will be derived from sales of products that may not be commercially available for a number of years, if at all. If we obtain marketing approval for any product candidates that we develop or otherwise acquire, we expect to incur significant commercialization expenses related to product sales, marketing, distribution and manufacturing. We also expect an increase in our expenses associated with creating additional infrastructure to support operations as a public company. Accordingly, we will need to obtain substantial additional funding in order to continue our operations.</w:t>
      </w:r>
    </w:p>
    <w:p>
      <w:pPr>
        <w:spacing w:after="0" w:line="161"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As of March 31, 2021, we had cash and cash equivalents of $91.2 million. In addition, in April 2021, we received gross proceeds of $335.5 million from sales of our Series C preferred stock. We believe that the anticipated net proceeds from this offering, together with our existing cash and</w:t>
      </w:r>
    </w:p>
    <w:p>
      <w:pPr>
        <w:jc w:val="both"/>
        <w:ind w:left="120"/>
        <w:spacing w:after="0" w:line="251" w:lineRule="auto"/>
        <w:rPr>
          <w:sz w:val="20"/>
          <w:szCs w:val="20"/>
          <w:color w:val="auto"/>
        </w:rPr>
      </w:pPr>
      <w:r>
        <w:rPr>
          <w:rFonts w:ascii="Arial" w:cs="Arial" w:eastAsia="Arial" w:hAnsi="Arial"/>
          <w:sz w:val="18"/>
          <w:szCs w:val="18"/>
          <w:color w:val="auto"/>
        </w:rPr>
        <w:t>cash equivalents, will be sufficient to fund our operating expenses and capital expenditure requirements through . This estimate is based on assumptions that may prove to be wrong, and we could exhaust our available capital resources sooner than we expect. We plan to use the net proceeds from this offering to fund clinical development, manufacturing supply and initial commercialization costs for ADG20, and the remainder for working capital and other general corporate purposes, including development of additional programs in our pipeline. The net proceeds from this offering, together with our existing cash and cash equivalents, may not be sufficient to fund any of our product candidates through regulatory approval. Changes may occur beyond our control that would cause us to consume our available capital before that time, including changes in and progress of our development activities, acquisitions of additional product candidates and changes in regulation. The timing and amount of our funding requirements will depend on many factors, including:</w:t>
      </w:r>
    </w:p>
    <w:p>
      <w:pPr>
        <w:spacing w:after="0" w:line="103"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will require additional capital to achieve our business objectives. Additional funds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and the recent disruptions to and volatility in the credit and financial markets in the United States and worldwide resulting from the ongoing COVID-19 pandemic. If we are unable to raise sufficient additional capital, we could be forced to curtail our planned operations and the pursuit of our growth strategy.</w:t>
      </w:r>
    </w:p>
    <w:p>
      <w:pPr>
        <w:spacing w:after="0" w:line="303"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Until such time, if ever, as we can generate substantial revenue, we may finance our cash needs through a combination of equity offerings, government or private-party grants, debt financings and license and collaboration agreements. We do not currently have any other committed external source of funds. To the extent that we raise additional capital through the sale of equity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recurring losses from operations and financial condition raise substantial doubt about our ability to continue as a going concern.</w:t>
      </w:r>
    </w:p>
    <w:p>
      <w:pPr>
        <w:spacing w:after="0" w:line="14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recurring losses from operations and financial condition raise substantial doubt about our ability to continue as a going concern. In our financial statements for the period from June 3, 2020 (inception) to December 31, 2020, we concluded that our recurring losses from operations and need for additional financing to fund future operations raise substantial doubt about our ability to continue as a going concern. Similarly, our independent registered public accounting firm included an explanatory paragraph in its report on our financial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statements for the period from June 3, 2020 (inception) to December 31, 2020 with respect to this uncertainty. Our ability to continue as a going concern will require us to obtain additional funding. If we are unable to obtain sufficient funding, our business, prospects, financial condition and results of operations will be materially and adversely affected, and we may be unable to continue as a going concern. If we are unable to raise capital when needed or on acceptable terms, we would be forced to delay, limit, reduce or terminate our product development or future commercialization efforts of one or more of our product candidates, or may be forced to reduce or terminate our operations. If we are unable to continue as a going concern, we may have to liquidate our assets and may receive less than the value at which those assets are carried on our audited financial statements, and it is likely that investors will lose all or a part of their investment. After this offering, in our own required quarterly assessments, we may again conclude that there is substantial doubt about our ability to continue as a going concern, and future reports from our independent registered public accounting firm may also contain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if at all.</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b w:val="1"/>
          <w:bCs w:val="1"/>
          <w:i w:val="1"/>
          <w:iCs w:val="1"/>
          <w:color w:val="auto"/>
        </w:rPr>
        <w:t>All of our product candidates are currently in clinical and preclinical development. If we are unable to successfully develop, receive regulatory approval or EUA for and commercialize our product candidates for the indications we seek, or successfully develop any other product candidates, or experience significant delays in doing so, our business will be harmed.</w:t>
      </w:r>
    </w:p>
    <w:p>
      <w:pPr>
        <w:spacing w:after="0" w:line="5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currently have no products approved for commercial sale, and all of our product candidates are currently in clinical and preclinical development. In February 2021, we initiated a Phase 1 clinical trial evaluating ADG20, our lead monoclonal antibody product candidate. We have also advanced ADG20 into global pivotal trials for the treatment and prevention of COVID-19, including in countries with high rates of resistant variants. We have initiated conduct of our first prospective, randomized, multi-center clinical trials, have not previously conducted any later stage or pivotal clinical trials, have limited experience in preparing, submitting and prosecuting regulatory filings and have not previously submitted a biologics license application, or BLA, for any product candidate.</w:t>
      </w:r>
    </w:p>
    <w:p>
      <w:pPr>
        <w:spacing w:after="0" w:line="192"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ability to generate revenue from our product candidates, which may not occur for several years, if ever, will depend heavily on the successful development, regulatory approval or granting of EUA, obtaining of manufacturing supply, capacity and expertise and eventual commercialization of our product candidates. In the absence of a public health emergency, we will not be able to receive an EUA. The success of ADG20 or any other product candidates that we develop or otherwise may acquire will depend on several factors, including:</w:t>
      </w:r>
    </w:p>
    <w:p>
      <w:pPr>
        <w:spacing w:after="0" w:line="77"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hanging="532"/>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filing acceptable investigational new drug applications, or INDs, with the U.S. Food and Drug Administration, or the FDA, or comparable foreign applications that allow commencement of our planned clinical trials or future clinical trials for our product candidates;</w:t>
      </w:r>
    </w:p>
    <w:p>
      <w:pPr>
        <w:spacing w:after="0" w:line="29" w:lineRule="exact"/>
        <w:rPr>
          <w:rFonts w:ascii="Arial" w:cs="Arial" w:eastAsia="Arial" w:hAnsi="Arial"/>
          <w:sz w:val="16"/>
          <w:szCs w:val="16"/>
          <w:color w:val="auto"/>
        </w:rPr>
      </w:pPr>
    </w:p>
    <w:p>
      <w:pPr>
        <w:ind w:left="1080" w:hanging="532"/>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and successfully develop, obtain regulatory approval or EUA for, and then successfully commercialize our product candidates;</w:t>
      </w:r>
    </w:p>
    <w:p>
      <w:pPr>
        <w:spacing w:after="0" w:line="89" w:lineRule="exact"/>
        <w:rPr>
          <w:rFonts w:ascii="Arial" w:cs="Arial" w:eastAsia="Arial" w:hAnsi="Arial"/>
          <w:sz w:val="18"/>
          <w:szCs w:val="18"/>
          <w:color w:val="auto"/>
        </w:rPr>
      </w:pPr>
    </w:p>
    <w:p>
      <w:pPr>
        <w:ind w:left="5540" w:right="180" w:hanging="4992"/>
        <w:spacing w:after="0" w:line="449" w:lineRule="auto"/>
        <w:tabs>
          <w:tab w:leader="none" w:pos="10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successful enrollment and timely completion of clinical trials, including our ability to generate positive data from any such clinical trials; 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developing and expanding sales, marketing and distribution capabilities and launching commercial sales of products, if approved, whether alone or in collaboration with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the benefits and use of our products, including method of administration, if approved, by patients, the medical community and third-party payors, for their approved indications;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availability, perceived advantages, cost, safety and efficacy of alternative therapies for any product candidate that we develop;</w:t>
      </w:r>
    </w:p>
    <w:p>
      <w:pPr>
        <w:spacing w:after="0" w:line="142" w:lineRule="exact"/>
        <w:rPr>
          <w:rFonts w:ascii="Arial" w:cs="Arial" w:eastAsia="Arial" w:hAnsi="Arial"/>
          <w:sz w:val="17"/>
          <w:szCs w:val="17"/>
          <w:color w:val="auto"/>
        </w:rPr>
      </w:pPr>
    </w:p>
    <w:p>
      <w:pPr>
        <w:ind w:left="1080" w:right="20" w:hanging="532"/>
        <w:spacing w:after="0" w:line="308"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continuing need for therapies for the treatment and prevention of COVID-19, including due to the continuation of the pandemic, the development of SARS-CoV-2 into an endemic disease or the inability of other available therapies to address COVID-19;</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or GCPs, current Good Laboratory Practices, or cGLPs,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potential significant and changing government regulation, regulatory guidance and requirements and evolving treatment guidelines;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 patients’ willingness to pay out-of-pocket in the absence of such coverage and adequate reimbursement;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a continued acceptable safety, tolerability and efficacy profile of the products following approval;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292" w:lineRule="exact"/>
        <w:rPr>
          <w:sz w:val="20"/>
          <w:szCs w:val="20"/>
          <w:color w:val="auto"/>
        </w:rPr>
      </w:pPr>
    </w:p>
    <w:p>
      <w:pPr>
        <w:jc w:val="both"/>
        <w:ind w:left="560" w:right="440"/>
        <w:spacing w:after="0" w:line="375" w:lineRule="auto"/>
        <w:rPr>
          <w:sz w:val="20"/>
          <w:szCs w:val="20"/>
          <w:color w:val="auto"/>
        </w:rPr>
      </w:pPr>
      <w:r>
        <w:rPr>
          <w:rFonts w:ascii="Arial" w:cs="Arial" w:eastAsia="Arial" w:hAnsi="Arial"/>
          <w:sz w:val="15"/>
          <w:szCs w:val="15"/>
          <w:b w:val="1"/>
          <w:bCs w:val="1"/>
          <w:i w:val="1"/>
          <w:iCs w:val="1"/>
          <w:color w:val="auto"/>
        </w:rPr>
        <w:t>Because ADG20 and any future product candidates represent novel approaches to the treatment of disease, there are many uncertainties regarding the development, market acceptance, third-party reimbursement coverage and commercial potential of our product candidates.</w:t>
      </w:r>
    </w:p>
    <w:p>
      <w:pPr>
        <w:spacing w:after="0" w:line="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is a new disease, the treatment and prevention of which is not yet well understood. Although monoclonal antibody products have been used in the treatment of many indications, to date, the FDA has not yet approved the use of any monoclonal antibodies to treat COVID-19, although the FDA has issued an EUA for several monoclonal antibody products for the treatment of COVID-19 in patients at high risk of disease progression, including bamlanivimab, casirivimab/imdevimab, bamlanvimab/etesevimab and sotrovimab. Because this is a relatively new and expanding area of novel therapeutic interventions, there are many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uncertainties related to development, marketing, reimbursement and the commercial potential for our product candidates. There can be no assurance as to the length of the clinical trials, the number of patients the FDA will require to be enrolled in the trials in order to establish the safety, efficacy, purity and potency of antibody products or that the design of or data generated in these trials will be acceptable to the FDA to support marketing approval.</w:t>
      </w:r>
    </w:p>
    <w:p>
      <w:pPr>
        <w:spacing w:after="0" w:line="14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addition, the FDA may take longer than usual to come to a decision on any BLA that we submit and may ultimately determine that there is insufficient data, information or experience with our product candidates to support an approval decision. The FDA may also require that we conduct additional post-marketing studies or implement risk management programs, such as Risk Evaluation and Mitigation Strategies, or REMS, until more experience with our product candidates is obtained. Finally, after increased usage, we may find that our product candidates do not have the intended effect or have unanticipated side effects, potentially jeopardizing initial or continuing regulatory approval and commercial prospects.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success of our business depends in part upon our ability to develop engineered monoclonal antibodies that can broadly neutralize SARS-CoV-2, SARS-CoV and additional pre-emergent coronaviruses. We may fail to deliver monoclonal antibodies that are effective in the treatment or prevention of symptomatic COVID-19. Even if we are able to identify and develop such antibodies, we cannot ensure that such product candidates will achieve marketing approval to safely and effectively treat or prevent symptomatic COVID-19 or other future coronavirus diseases.</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we uncover any previously unknown risks related to our antibodies, or if we experience unanticipated expenses, problems or delays in developing our product candidates, we may be unable to achieve our strategy of building a pipeline of monoclonal antibodies. Further, competitors who are developing products with similar technology may experience problems with their products that could identify problems that would potentially harm our business.</w:t>
      </w:r>
    </w:p>
    <w:p>
      <w:pPr>
        <w:spacing w:after="0" w:line="18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There is no assurance that the approaches offered by our product candidates will gain broad acceptance among doctors or patients or that governmental agencies or third-party medical insurers will be willing to provide reimbursement coverage for our proposed product candidates. Since our current product candidates and any future product candidates will represent novel approaches to treating various conditions, it may be difficult, in any event, to accurately estimate the potential revenues from these product candidates. Accordingly, we may spend significant capital trying to obtain approval for product candidates that have an uncertain commercial market. The market for any products that we successfully develop will also depend on the cost of the product. We do not yet have sufficient information to reliably estimate what it will cost to commercially manufacture our current product candidates, and the actual cost to manufacture these products could materially and adversely affect the commercial viability of these products.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16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addition, our monoclonal antibodies may be provided to patients in combination with other agents provided by third parties or by us. The cost of such combination therapy may increase the overall cost of therapy, which may affect our ability to obtain reimbursement coverage for the combination therapy from governmental or private third-party medical insurers.</w:t>
      </w:r>
    </w:p>
    <w:p>
      <w:pPr>
        <w:spacing w:after="0" w:line="292" w:lineRule="exact"/>
        <w:rPr>
          <w:sz w:val="20"/>
          <w:szCs w:val="20"/>
          <w:color w:val="auto"/>
        </w:rPr>
      </w:pPr>
    </w:p>
    <w:p>
      <w:pPr>
        <w:ind w:left="560" w:right="80"/>
        <w:spacing w:after="0" w:line="259" w:lineRule="auto"/>
        <w:rPr>
          <w:sz w:val="20"/>
          <w:szCs w:val="20"/>
          <w:color w:val="auto"/>
        </w:rPr>
      </w:pPr>
      <w:r>
        <w:rPr>
          <w:rFonts w:ascii="Arial" w:cs="Arial" w:eastAsia="Arial" w:hAnsi="Arial"/>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required regulatory approvals or EUA, we will not be able to commercialize our product candidates, and our ability to generate product revenue will be adversely affected.</w:t>
      </w:r>
    </w:p>
    <w:p>
      <w:pPr>
        <w:spacing w:after="0" w:line="7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All of our product candidates are in clinical and preclinical development and their risk of failure is high. The clinical trials and manufacturing of our product candidates are, and the manufacturing and marketing of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3" w:lineRule="auto"/>
        <w:rPr>
          <w:sz w:val="20"/>
          <w:szCs w:val="20"/>
          <w:color w:val="auto"/>
        </w:rPr>
      </w:pPr>
      <w:r>
        <w:rPr>
          <w:rFonts w:ascii="Arial" w:cs="Arial" w:eastAsia="Arial" w:hAnsi="Arial"/>
          <w:sz w:val="17"/>
          <w:szCs w:val="17"/>
          <w:color w:val="auto"/>
        </w:rPr>
        <w:t>products, if approved, will be, subject to extensive and rigorous review and regulation by numerous government authorities in the United States and in other countries where we intend to test and market our product candidates. Before obtaining regulatory approvals for the commercial sale of any of our product candidates, we must demonstrate through lengthy, complex and expensive preclinical testing and clinical trials that our product candidates are both safe and effective for use in each target indication.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Even if our future clinical trials are completed as planned, we cannot be certain that their results will support the safety and effectiveness of our product candidates for their targeted indications or support continued clinical development of such product candidates. Our future clinical trial results may not be successful.</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even if such trials are successfully completed, we cannot guarantee that the FDA, the European Medicines Agency, or EMA, or other foreign regulatory authorities will interpret the results as we do, and more trials could be required before we submit our product candidates for approval. Moreover, results acceptable to support approval in one jurisdiction may be deemed inadequate by another regulatory authority to support regulatory approval in that other jurisdiction. To the extent that the results of the trials are not satisfactory to the FDA, EMA or other foreign regulatory authorities for support of a marketing application, we may be required to expend significant resources, which may not be available to us, to conduct additional preclinical studies or trials for our product candidates either prior to or post-approval, or they may object to elements of our clinical development program, requiring their alteration.</w:t>
      </w:r>
    </w:p>
    <w:p>
      <w:pPr>
        <w:spacing w:after="0" w:line="19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Of the large number of products in development, only a small percentage successfully complete the FDA’s or comparable foreign regulatory authorities’ approval processes and are commercialized. Even if we eventually complete clinical testing and receive approval of a new drug application, or NDA,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spacing w:after="0" w:line="19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Furthermore, even if we obtain regulatory approval for our product candidates, we may still need to develop a commercial organization, establish a commercially viable pricing structure and obtain approval for coverage and adequate reimbursement from commercial and government payors, including government health administration authorities. If we are unable to successfully commercialize our product candidates, we may not be able to generate sufficient revenue to continue our business.</w:t>
      </w:r>
    </w:p>
    <w:p>
      <w:pPr>
        <w:spacing w:after="0" w:line="295" w:lineRule="exact"/>
        <w:rPr>
          <w:sz w:val="20"/>
          <w:szCs w:val="20"/>
          <w:color w:val="auto"/>
        </w:rPr>
      </w:pPr>
    </w:p>
    <w:p>
      <w:pPr>
        <w:jc w:val="both"/>
        <w:ind w:left="560" w:right="240"/>
        <w:spacing w:after="0" w:line="375" w:lineRule="auto"/>
        <w:rPr>
          <w:sz w:val="20"/>
          <w:szCs w:val="20"/>
          <w:color w:val="auto"/>
        </w:rPr>
      </w:pPr>
      <w:r>
        <w:rPr>
          <w:rFonts w:ascii="Arial" w:cs="Arial" w:eastAsia="Arial" w:hAnsi="Arial"/>
          <w:sz w:val="15"/>
          <w:szCs w:val="15"/>
          <w:b w:val="1"/>
          <w:bCs w:val="1"/>
          <w:i w:val="1"/>
          <w:iCs w:val="1"/>
          <w:color w:val="auto"/>
        </w:rPr>
        <w:t>We may experience delays in beginning or conducting clinical trials or numerous unforeseen events before, during or as a result of clinical trials that could delay or prevent our ability to complete clinical trials, receive marketing approval or commercialize our product candidates.</w:t>
      </w:r>
    </w:p>
    <w:p>
      <w:pPr>
        <w:spacing w:after="0" w:line="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may experience delays in conducting any clinical trials, and we do not know whether our clinical trials will begin on time, need to be redesigned, recruit and enroll patients on time or be completed on schedule, or 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all. We may experience numerous unforeseen events before, during or as a result of clinical trials that could delay or prevent our ability to complete such trials or receive marketing approval for or commercialize our product candidates, or that could significantly increase the cost of such trials, including:</w:t>
      </w:r>
    </w:p>
    <w:p>
      <w:pPr>
        <w:spacing w:after="0" w:line="2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sufficiently developing, characterizing or controlling a manufacturing process suitable for advanced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developing suitable assays for screening patients for eligibility for trials with respect to certain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delays in reaching agreement with the FDA, EMA or other regulatory authorities as to the design or implementation of our clinical trials;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regulatory authorization to commence a clinical trial;</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challenges in reaching an agreement on acceptable terms with clinical trial sites or prospective contract research organizations, or CROs, the terms of which can be subject to extensive negotiation and may vary significantly among different clinical trial sites;</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institutional review board, or IRB, approval at each trial site;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recruiting suitable patients to participate in a clinical trial;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inspections of clinical trial sites or operations by applicable regulatory authorities, or the imposition of a clinical hold;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CROs or other third parties deviating from trial protocol or dropping out of a trial;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perform in accordance with the applicable regulatory requirements, including the FDA’s regulations and GCP requirements, or applicable regulatory requirements in other countries;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having an insufficient number of clinical trial sites;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in manufacturing sufficient quantities of product candidate for use in clinical trials;</w:t>
      </w:r>
    </w:p>
    <w:p>
      <w:pPr>
        <w:spacing w:after="0" w:line="130"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suspensions or terminations by IRBs of the institutions at which such trials are being conducted, by the independent Data Monitoring Committee for such trial or by the FDA or other regulatory authorities due to a number of factors, including those described above;</w:t>
      </w:r>
    </w:p>
    <w:p>
      <w:pPr>
        <w:spacing w:after="0" w:line="51" w:lineRule="exact"/>
        <w:rPr>
          <w:rFonts w:ascii="Arial" w:cs="Arial" w:eastAsia="Arial" w:hAnsi="Arial"/>
          <w:sz w:val="17"/>
          <w:szCs w:val="17"/>
          <w:color w:val="auto"/>
        </w:rPr>
      </w:pPr>
    </w:p>
    <w:p>
      <w:pPr>
        <w:jc w:val="both"/>
        <w:ind w:left="1080" w:right="20" w:hanging="532"/>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regulatory requirements or guidance, or feedback from regulatory authorities that requires us to modify the design or conduct of our clinical trials; for example, in April 2021, the FDA informed us that it had changed its view on allowing high risk patients to be randomized to placebo in the United States in our STAMP treatment trial, which has resulted in modification of the design and conduct of this trial exclusively outside of the United States;</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especially if regulatory bodies require the completion of non-inferiority trials, enrollment in these clinical trials may be slower than we anticipate or participants may drop out of these clinical trials at a higher rate than we anticipate;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w:t>
      </w:r>
    </w:p>
    <w:p>
      <w:pPr>
        <w:spacing w:after="0" w:line="75" w:lineRule="exact"/>
        <w:rPr>
          <w:rFonts w:ascii="Arial" w:cs="Arial" w:eastAsia="Arial" w:hAnsi="Arial"/>
          <w:sz w:val="18"/>
          <w:szCs w:val="18"/>
          <w:color w:val="auto"/>
        </w:rPr>
      </w:pPr>
    </w:p>
    <w:p>
      <w:pPr>
        <w:jc w:val="both"/>
        <w:ind w:left="1080" w:right="20" w:hanging="532"/>
        <w:spacing w:after="0" w:line="254"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 for example, we intend to conduct our STAMP treatment trial at sites outside of the United States, and the applicable foreign regulatory authorities may determine that a placebo-controlled trial would expose patients to unacceptable health risks (for example, if alternative effective therapies become available in these regions during the conduct of the trial), which could delay enrollment of our trial and the authorization or approval of ADG20;</w:t>
      </w:r>
    </w:p>
    <w:p>
      <w:pPr>
        <w:spacing w:after="0" w:line="100"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 of clinical trials of our product candidates may be greater than we anticipate and we may not have funds to cover the costs;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future collaborators that conduct clinical trials may face any of the above issues, and may conduct clinical trials in ways they view as advantageous to them but that are suboptimal for us.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8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incur unplanned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or not obtain marketing approval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in others;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marketing approval with labeling that includes significant use or distribution restrictions or safety warnings, including boxed warnings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 subject to changes in the way the product is administered; or</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product or to impose restrictions on its distribution after obtaining marketing approval.</w:t>
      </w:r>
    </w:p>
    <w:p>
      <w:pPr>
        <w:spacing w:after="0" w:line="170"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All of our product candidates will require extensive clinical testing before we are prepared to submit a BLA or marketing authorization application, or MAA, for regulatory approval. We cannot predict with any certainty if or when we might complete the clinical development for our product candidates and submit a BLA or MAA for regulatory approval of any of our product candidates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We cannot predict with any certainty whether or when we might complete a given clinical trial.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approval of our product candidates.</w:t>
      </w:r>
    </w:p>
    <w:p>
      <w:pPr>
        <w:spacing w:after="0" w:line="272"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b w:val="1"/>
          <w:bCs w:val="1"/>
          <w:i w:val="1"/>
          <w:iCs w:val="1"/>
          <w:color w:val="auto"/>
        </w:rPr>
        <w:t>There can be no assurance that the product we are developing for COVID-19 would be granted an EUA by the FDA or similar authorization by regulatory authorities outside of the United States if we decide to apply for such an authorization. If we do not apply for such an authorization or, if we do apply and no authorization is granted or, once granted, it is terminated, we will be unable to sell our product in the near future and instead, will be required to pursue solely the traditional regulatory approval processes of the FDA and comparable foreign authorities, which are lengthy, time consuming and inherently unpredictable. If we are not able to obtain required regulatory approval for our product candidates, our business will be substantially harmed.</w:t>
      </w:r>
    </w:p>
    <w:p>
      <w:pPr>
        <w:spacing w:after="0" w:line="70" w:lineRule="exact"/>
        <w:rPr>
          <w:sz w:val="20"/>
          <w:szCs w:val="20"/>
          <w:color w:val="auto"/>
        </w:rPr>
      </w:pPr>
    </w:p>
    <w:p>
      <w:pPr>
        <w:jc w:val="both"/>
        <w:ind w:left="120" w:firstLine="440"/>
        <w:spacing w:after="0" w:line="266" w:lineRule="auto"/>
        <w:rPr>
          <w:sz w:val="20"/>
          <w:szCs w:val="20"/>
          <w:color w:val="auto"/>
        </w:rPr>
      </w:pPr>
      <w:r>
        <w:rPr>
          <w:rFonts w:ascii="Arial" w:cs="Arial" w:eastAsia="Arial" w:hAnsi="Arial"/>
          <w:sz w:val="17"/>
          <w:szCs w:val="17"/>
          <w:color w:val="auto"/>
        </w:rPr>
        <w:t>We may seek an EUA from the FDA or similar authorization from regulatory authorities outside of the United States, such as conditional marketing authorization from the EMA. If we apply for an EUA and it is granted, an EUA will authorize us to market and sell our COVID-19 monoclonal antibody under certain conditions of authorization as long as the public health emergency exists. The FDA expects that companies that receive an EUA for COVID-19 antibodies will proceed to licensure of their products under a full BLA. The FDA may issue an EUA during a public health emergency if the agency determines that the potential benefits of a product outweigh the potential risks and if other regulatory criteria are met. There is no guarantee that we will apply for an EUA or other similar authorization or, if we do apply, that we will be able to obtain such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An EUA authorizing the marketing and sale of our product will terminate upon expiration of the public health emergency, which is a determination made by the Secretary of the Department of Health and Human Services, or HHS. The FDA may also terminate an EUA if safety issues or other concerns about our product arise or if we fail to comply with the conditions of authorization. If we apply for an EUA or similar authorization from regulatory authorities outside of the United States, the failure to obtain such authorization or the termination of such an authorization, if obtained, would adversely impact our ability to market and sell our COVID-19 antibody, which could adversely impact our business, financial condition and results of operations.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 Neither we nor any current or future collaborator is permitted to market any drug product candidates in the United States until we receive regulatory approval of a BLA from the FDA, and we cannot market it in the European Union until we receive approval for a MAA from the EMA, or other required regulatory approval in other countries. To date, we have had only limited discussions with the FDA and the Medicines and Healthcare products Regulatory Agency regarding clinical development programs or regulatory approval for any product candidate within the United States and United Kingdom, respectively. In addition, we have had no discussions with other comparable foreign authorities regarding clinical development programs or regulatory approval for any product candidate outside of those jurisdictions.</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Prior to obtaining approval to commercialize any drug product candidate in the United States or abroad, we must demonstrate with substantial evidence from well-controlled clinical trials, and to the satisfaction of the FDA, EMA or other foreign regulatory agencies, that such product candidates are safe, pure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collect sufficient data from clinical trials of our product candidates to support the submission and filing of a BLA with the FDA, MAA with the EMA or other submission;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and testing laboratories with which we contract for clinical and commercial supplies;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authorities may significantly change in a manner rendering our clinical data insufficient for approval.</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FDA, EMA and other regulatory authorities may change their policies, issue additional regulations or revise existing regulations, or take other actions, which may prevent or delay approval of our future products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29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approval.</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 understand the side effects of product candidates at various doses and schedules. Success in preclinical or animal studies and early clinical trials does not ensure that later large-scale efficacy trials will be successful nor does it predict final results. For example, we may be unable to identify suitable animal disease models for our product candidates, which could delay or frustrate our ability to proceed into clinical trials or obtain marketing approval. Our product candidates may fail to show the desired safety and efficacy in clinical development despite having progressed through preclinical studies and initial clinical trials.</w:t>
      </w:r>
    </w:p>
    <w:p>
      <w:pPr>
        <w:spacing w:after="0" w:line="17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Many companies in the pharmaceutical and biotechnology industries have suffered significant setbacks in late-stage clinical trials even after achieving promising results in preclinical testing and earlier-stage clinical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trials.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257" w:lineRule="exact"/>
        <w:rPr>
          <w:sz w:val="20"/>
          <w:szCs w:val="20"/>
          <w:color w:val="auto"/>
        </w:rPr>
      </w:pPr>
    </w:p>
    <w:p>
      <w:pPr>
        <w:ind w:left="560" w:right="26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1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From time to time, we may publish interim, top-line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preliminary, top-line or interim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w:t>
      </w:r>
    </w:p>
    <w:p>
      <w:pPr>
        <w:spacing w:after="0" w:line="196"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product candidates may be harmed, which could significantly harm our business prospects.</w:t>
      </w:r>
    </w:p>
    <w:p>
      <w:pPr>
        <w:spacing w:after="0" w:line="304"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approval of our product candidates, limit their commercialization, increase our costs or necessitate the abandonment or limitation of the development of some of our product candidates.</w:t>
      </w:r>
    </w:p>
    <w:p>
      <w:pPr>
        <w:spacing w:after="0" w:line="63"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To obtain the requisite regulatory approvals for the commercial sale of our product candidates, we must demonstrate through lengthy, complex and expensive preclinical testing and clinical trials that our product candidates are safe, pure and potent for use in each target indication.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w:t>
      </w:r>
    </w:p>
    <w:p>
      <w:pPr>
        <w:spacing w:after="0" w:line="188"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fail to demonstrate with substantial evidence from adequate and well-controlled trials, and to the satisfaction of the FDA or comparable foreign regulatory authorities, that our product candidates are safe and potent for their intended uses. In addition, the FDA may determine that antibody monotherapy products are not sufficient and that combination antibody therapies should become the standard of care.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These side effects may not be appropriately recognized or managed by the treating medical staff, as toxicities resulting from monoclonal antibody therapy, as with our ADG20 product candidate, are not normally encountered in the general patient population and by medical personnel.</w:t>
      </w:r>
    </w:p>
    <w:p>
      <w:pPr>
        <w:spacing w:after="0" w:line="16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If any such adverse events occur, our clinical trials could be suspended or terminated. If we cannot demonstrate that any adverse events were not caused by the drug, the FDA, EMA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Such findings could further result in regulatory authorities failing to provide marketing authorization for our product candidates or limiting the scope of the approved indication, if approved. Many product candidates that initially showed promise in early-stage testing have later been found to cause side effects that prevented further development of the product candidate. Even if we are able to demonstrate that all future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8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identify undesirable side effects caused by such products, a number of potentially significant negative consequences could result, including:</w:t>
      </w:r>
    </w:p>
    <w:p>
      <w:pPr>
        <w:spacing w:after="0" w:line="76" w:lineRule="exact"/>
        <w:rPr>
          <w:sz w:val="20"/>
          <w:szCs w:val="20"/>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suspend, withdraw or limit approvals of such product, or seek an injunction against its manufacture or distribution;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 or other requirements subject to a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change the way a product is administered or conduct additional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decide to remove the product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not be able to achieve or maintain third-party payor coverage and adequate reimbursement;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and physician or patient acceptance of our products may suffer.</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approved, and could significantly harm our business, results of operations and prospects.</w:t>
      </w:r>
    </w:p>
    <w:p>
      <w:pPr>
        <w:spacing w:after="0" w:line="273" w:lineRule="exact"/>
        <w:rPr>
          <w:sz w:val="20"/>
          <w:szCs w:val="20"/>
          <w:color w:val="auto"/>
        </w:rPr>
      </w:pPr>
    </w:p>
    <w:p>
      <w:pPr>
        <w:jc w:val="both"/>
        <w:ind w:left="560" w:right="340"/>
        <w:spacing w:after="0" w:line="263" w:lineRule="auto"/>
        <w:rPr>
          <w:sz w:val="20"/>
          <w:szCs w:val="20"/>
          <w:color w:val="auto"/>
        </w:rPr>
      </w:pPr>
      <w:r>
        <w:rPr>
          <w:rFonts w:ascii="Arial" w:cs="Arial" w:eastAsia="Arial" w:hAnsi="Arial"/>
          <w:sz w:val="18"/>
          <w:szCs w:val="18"/>
          <w:b w:val="1"/>
          <w:bCs w:val="1"/>
          <w:i w:val="1"/>
          <w:iCs w:val="1"/>
          <w:color w:val="auto"/>
        </w:rPr>
        <w:t>Lack of awareness or negative public opinion of monoclonal antibody therapies and increased regulatory scrutiny of monoclonal antibody therapies to treat symptomatic COVID-19 may adversely impact the development or commercial success of our current and future product candidates.</w:t>
      </w:r>
    </w:p>
    <w:p>
      <w:pPr>
        <w:spacing w:after="0" w:line="7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clinical and commercial success of our monoclonal antibody therapies will depend in part on public acceptance of the use of monoclonal antibody therapies to treat symptomatic COVID-19. To date, the FDA has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not yet approved any monoclonal antibodies to treat or prevent COVID-19, although the FDA has issued an EUA for several monoclonal antibody products for the treatment of COVID-19 in patients at high risk of disease progression, including bamlanivimab, casirivimab/imdevimab, bamlanvimab/etesevimab and sotrovimab. Any adverse public attitudes about the use of monoclonal antibody therapies may adversely impact our ability to enroll clinical trials.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w:t>
      </w:r>
    </w:p>
    <w:p>
      <w:pPr>
        <w:spacing w:after="0" w:line="19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More restrictive government regulations or negative public opinion would have a negative effect on our business or financial condition and may delay or impair the development and commercialization of our product candidates or demand for any products once approved. Adverse events in our or others’ clinical trials, even if not ultimately attributable to our product candidates, and the resulting publicity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 all of which would have a negative impact on our business and operations.</w:t>
      </w:r>
    </w:p>
    <w:p>
      <w:pPr>
        <w:spacing w:after="0" w:line="300"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We may experience delays or difficulties in the enrollment and/or retention of patients in clinical trials, which could delay or prevent our receipt of necessary regulatory approvals.</w:t>
      </w:r>
    </w:p>
    <w:p>
      <w:pPr>
        <w:spacing w:after="0" w:line="6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9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severity and difficulty of diagnosing the disease under investigation;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contraction of the public health crisis caused by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 in question;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size of the patient population and process for identifying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of the trial protocol, including but not limited to the use of a placebo control or active comparator;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in the trial, including relating to monoclonal antibody approaches;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competing commercially available therapies and other competing therapeutic candidates’ clinical trials for the disease or condition under investigation;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willingness of patients to be enrolled in our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potential disruptions caused by the COVID-19 pandemic, including difficulties in initiating clinical sites, enrolling and retaining participants, diversion of healthcare resources away from clinical trials, travel or quarantine policies that may be implemented, our ability to import and export clinical trial supplies, raw materials and commercial supply and other factors;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inability to enroll, or maintain the enrollment of, a sufficient number of patients for clinical trials would result in significant delays and could require us to abandon one or more clinical trials altogether.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296" w:lineRule="exact"/>
        <w:rPr>
          <w:sz w:val="20"/>
          <w:szCs w:val="20"/>
          <w:color w:val="auto"/>
        </w:rPr>
      </w:pPr>
    </w:p>
    <w:p>
      <w:pPr>
        <w:ind w:left="560" w:right="660"/>
        <w:spacing w:after="0" w:line="342" w:lineRule="auto"/>
        <w:rPr>
          <w:sz w:val="20"/>
          <w:szCs w:val="20"/>
          <w:color w:val="auto"/>
        </w:rPr>
      </w:pPr>
      <w:r>
        <w:rPr>
          <w:rFonts w:ascii="Arial" w:cs="Arial" w:eastAsia="Arial" w:hAnsi="Arial"/>
          <w:sz w:val="16"/>
          <w:szCs w:val="16"/>
          <w:b w:val="1"/>
          <w:bCs w:val="1"/>
          <w:i w:val="1"/>
          <w:iCs w:val="1"/>
          <w:color w:val="auto"/>
        </w:rPr>
        <w:t>Breakthrough therapy designation by the FDA for any product candidate may not lead to a faster development or regulatory review or approval process, and it does not increase the likelihood that the product candidate will receive marketing approval.</w:t>
      </w:r>
    </w:p>
    <w:p>
      <w:pPr>
        <w:spacing w:after="0" w:line="16"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may, in the future, apply for breakthrough therapy designation,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BLA.</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product candidates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it may decide that the time period for FDA review or approval will not be shortened.</w:t>
      </w:r>
    </w:p>
    <w:p>
      <w:pPr>
        <w:spacing w:after="0" w:line="272" w:lineRule="exact"/>
        <w:rPr>
          <w:sz w:val="20"/>
          <w:szCs w:val="20"/>
          <w:color w:val="auto"/>
        </w:rPr>
      </w:pPr>
    </w:p>
    <w:p>
      <w:pPr>
        <w:ind w:left="560" w:right="34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Because we have limited financial and management resources, we must focus on development programs and product candidates that we identify for specific indications. As such, we are currently primarily focused on the development of ADG20 for the treatment and prevention of symptomatic COVID-19. As a result, we may forego or delay pursuit of opportunities with other product candidates or for other indications for these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b w:val="1"/>
          <w:bCs w:val="1"/>
          <w:i w:val="1"/>
          <w:iCs w:val="1"/>
          <w:color w:val="auto"/>
        </w:rPr>
        <w:t>We plan to conduct and may in the future conduct additional clinical trials for our product candidates outside the United States, and the FDA and similar foreign regulatory authorities may not accept data from such trials conducted in locations outside of their jurisdiction.</w:t>
      </w:r>
    </w:p>
    <w:p>
      <w:pPr>
        <w:spacing w:after="0" w:line="1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intend to conduct clinical trials outside the United States. The acceptance of trial data from clinical trials conducted outside the United States by the FDA may be subject to certain conditions or may not be accepted at all.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in accordance with GCP standards,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may not be successful in our efforts to build a pipeline of additional product candidates.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may not be able to continue to identify and develop new product candidates in addition to our current pipeline. Even if we are successful in continuing to build our pipeline, the potential product candidates that we identify may not be suitable for clinical development. For example, product candidates may be shown to have harmful side effects or other characteristics that indicate that they are unlikely to be successfully developed, much less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and adversely affect our stock price.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business and operations may be adversely affected by the evolving and ongoing COVID-19 global pandemic.</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evolving and constantly changing impact of COVID-19, which was declared a global pandemic by the World Health Organization, or WHO, will directly affect the potential commercial prospects of our lead product candidate for the treatment and prevention of COVID-19. The severity of the global pandemic,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7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pandemic has resulted in travel and other restrictions in order to reduce the spread of the disease, including public health directives and orders in the United States and the European Union that, among other things and for various periods of time, directed individuals to shelter at their places of residence, directed businesses and governmental agencies to cease non-essential operations at physical locations, prohibited certain non-essential gatherings and events and ordered cessation of non-essential travel. Future remote work policies and similar government orders or other restrictions on the conduct of business operations related to the COVID-19 pandemic may negatively impact productivity and may disrupt our ongoing research and development activities and our clinical programs and timelines, the magnitude of which will depend, in part, on the length and severity of the restrictions and other limitations on our ability to conduct our business in the ordinary course. Further, such orders also may impact the availability or cost of materials, which would disrupt our supply chain and manufacturing efforts and could affect our ability to conduct ongoing and planned clinical trials and preparatory activities.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Although our planned clinical trials have not been materially delayed by the COVID-19 pandemic to date, in December 2020 shipment of ADG20 clinical supply by WuXi Biologics (Hong Kong) Limited, or WuXi, was delayed due to the introduction by the Chinese government of a new procedure for the approval of the export of products for the treatment of COVID-19. However, this type of delay is not anticipated to occur in the future, now that this export procedure has been implemented. In addition, we may experience related disruptions in the future that could severely impact our clinical trials, including:</w:t>
      </w:r>
    </w:p>
    <w:p>
      <w:pPr>
        <w:spacing w:after="0" w:line="93" w:lineRule="exact"/>
        <w:rPr>
          <w:sz w:val="20"/>
          <w:szCs w:val="20"/>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difficulties or a suspension in clinical site initiation, including difficulties in recruiting clinical site investigators and clinical site staff;</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interruptions in our ability to manufacture and deliver drug supply for trials due to capacity constraints or lack of raw materials;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and the ability or willingness of subjects to travel to trial sites due to limitations on travel imposed or recommended by federal or state governments, employers and others;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these affected geographies.</w:t>
      </w:r>
    </w:p>
    <w:p>
      <w:pPr>
        <w:spacing w:after="0" w:line="22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7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global COVID-19 pandemic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prospectus,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to the extent the ongoing COVID-19 pandemic adversely affects our business, financial condition and results of operations, it may also have the effect of heightening many of the other risks and uncertainties described in this “Risk Factors” section.</w:t>
      </w:r>
    </w:p>
    <w:p>
      <w:pPr>
        <w:spacing w:after="0" w:line="278" w:lineRule="exact"/>
        <w:rPr>
          <w:sz w:val="20"/>
          <w:szCs w:val="20"/>
          <w:color w:val="auto"/>
        </w:rPr>
      </w:pPr>
    </w:p>
    <w:p>
      <w:pPr>
        <w:ind w:left="560" w:right="620"/>
        <w:spacing w:after="0" w:line="308" w:lineRule="auto"/>
        <w:rPr>
          <w:sz w:val="20"/>
          <w:szCs w:val="20"/>
          <w:color w:val="auto"/>
        </w:rPr>
      </w:pPr>
      <w:r>
        <w:rPr>
          <w:rFonts w:ascii="Arial" w:cs="Arial" w:eastAsia="Arial" w:hAnsi="Arial"/>
          <w:sz w:val="17"/>
          <w:szCs w:val="17"/>
          <w:b w:val="1"/>
          <w:bCs w:val="1"/>
          <w:i w:val="1"/>
          <w:iCs w:val="1"/>
          <w:color w:val="auto"/>
        </w:rPr>
        <w:t>The market opportunities for any current or future product candidate we develop, if approved, may be limited to those patients who are ineligible for established therapies or for whom prior therapies have failed, and may be small.</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Any revenue we are able to generate in the future from product sales will be dependent, in part, upon the size of the market in the United States and any other jurisdiction for which we gain regulatory approval and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commercial rights. If the markets or patient subsets that we are targeting are not as significant as we estimate, we may not generate significant revenues from sales of such products, even if approved.</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potentially addressable patient population for our current or future product candidates may be limited, if and when approved. Further, even if any of our product candidates are approved by the FDA or comparable foreign regulators, their approved indications may be limited to a subset of the indications that we targeted. Even if we obtain significant market share for any product candidate, if and when approved, if the potential target populations are small, we may never achieve profitability without obtaining marketing approval for additional indications, including to be used as first-or second-line therapy.</w:t>
      </w:r>
    </w:p>
    <w:p>
      <w:pPr>
        <w:spacing w:after="0" w:line="296" w:lineRule="exact"/>
        <w:rPr>
          <w:sz w:val="20"/>
          <w:szCs w:val="20"/>
          <w:color w:val="auto"/>
        </w:rPr>
      </w:pPr>
    </w:p>
    <w:p>
      <w:pPr>
        <w:ind w:left="560" w:right="480"/>
        <w:spacing w:after="0" w:line="277" w:lineRule="auto"/>
        <w:rPr>
          <w:sz w:val="20"/>
          <w:szCs w:val="20"/>
          <w:color w:val="auto"/>
        </w:rPr>
      </w:pPr>
      <w:r>
        <w:rPr>
          <w:rFonts w:ascii="Arial" w:cs="Arial" w:eastAsia="Arial" w:hAnsi="Arial"/>
          <w:sz w:val="18"/>
          <w:szCs w:val="18"/>
          <w:b w:val="1"/>
          <w:bCs w:val="1"/>
          <w:i w:val="1"/>
          <w:iCs w:val="1"/>
          <w:color w:val="auto"/>
        </w:rPr>
        <w:t>Newly emerging SARS-CoV-2 variants could reduce the activity and effectiveness of ADG20 as a potential treatment for or prevention of symptomatic COVID-19.</w:t>
      </w:r>
    </w:p>
    <w:p>
      <w:pPr>
        <w:spacing w:after="0" w:line="62"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Multiple variants of the virus that causes COVID-19 have been documented in the United States and globally during this pandemic. Although we have shown in pre-clinical studies that ADG20 has the potential to broadly neutralize SARS-CoV-2 and the predominantly circulating variants, new SARS-CoV-2 variants could be less impacted by ADG20 and its mechanism of action, or the results shown in pre-clinical studies may not be replicated in clinical studies. This would significantly and adversely affect our ability to obtain authorization or approval of and to commercialize ADG20.</w:t>
      </w:r>
    </w:p>
    <w:p>
      <w:pPr>
        <w:spacing w:after="0" w:line="265"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develop ADG20 and future product candidates for use in combination with other therapies or third-party product candidates, which exposes us to additional regulatory risks.</w:t>
      </w:r>
    </w:p>
    <w:p>
      <w:pPr>
        <w:spacing w:after="0" w:line="6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may develop ADG20 and future product candidates for use in combination with one or more currently authorized or approved therapies to treat symptomatic COVID-19, or with therapies that may be authorized or approved in the future. Even if any product candidate we develop were to receive marketing approval or be commercialized for use in combination with other existing therapies, we would continue to be subject to the risk that the FDA, EMA or comparable foreign regulatory authorities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 Combination antibody therapies appear to be favored by the FDA over monotherapy, and in the future the FDA, EMA and comparable foreign regulatory authorities may determine that monotherapy products should not be approved, eliminating our ability to commercialize ADG20 as a monotherapy treatment.</w:t>
      </w:r>
    </w:p>
    <w:p>
      <w:pPr>
        <w:spacing w:after="0" w:line="17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also evaluate ADG20 or any future product candidate in combination with one or more other third-party product candidates that have not yet been approved for marketing by the FDA, EMA or comparable foreign regulatory authorities. If so, we will not be able to market and sell ADG20 or any product candidate we develop in combination with any such unapproved therapies that do not ultimately obtain marketing approval. If the FDA or comparable foreign regulatory authorities do not approve these other product candidates, or revoke their approval of, or if safety, efficacy, manufacturing or supply issues arise with, the biologics or antivirals we choose to evaluate in combination with ADG20 or any product candidate we develop, we may be unable to obtain approval of or market any such product candidate.</w:t>
      </w:r>
    </w:p>
    <w:p>
      <w:pPr>
        <w:spacing w:after="0" w:line="286"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Following the result of a referendum in 2016, the United Kingdom left the European Union on January 31, 2020, commonly referred to as Brexit. Pursuant to the formal withdrawal arrangements agreed to by the United Kingdom and the European Union, as of January 1, 2021, the United Kingdom is no longer subject to the transition period, or the Transition Period, during which European Union rules continued to apply. Negotiations between the United Kingdom and the European Union are expected to continue in relation to the customs and trading relationship between the United Kingdom and the European Union following the expiry of the Transition Period.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Since a significant proportion of the regulatory framework in the United Kingdom applicable to our business and our product candidates is derived from European Union directives and regulations, Brexit, following the Transition Period, could materially impact the regulatory regime with respect to the development, manufacture, importation, approval and commercialization of our product candidates in the United Kingdom or the European Union. For example, as a result of the uncertainty surrounding Brexit, the EMA relocated to Amsterdam from London. Following the Transition Period, the United Kingdom will no longer be covered by the centralized procedures for obtaining European Union-wide marketing authorizations from the EMA and, unless a specific agreement is entered into, a separate process for authorization of drug products will be required in the United Kingdom, the potential process for which is currently unclear. Any delay in obtaining, or an inability to obtain, any marketing approvals, as a result of Brexit or otherwise, would prevent us from commercializing our product candidates in the United Kingdom or the European Union and limit our ability to generate revenue and achieve and sustain profitability. In addition, we may be required to pay taxes or duties or be subjected to other hurdles in connection with the importation of our product candidates into the European Union, or we may incur expenses in establishing a manufacturing facility in the European Union in order to circumvent such hurdles. If any of these outcomes occur, we may be forced to restrict or delay efforts to seek regulatory approval in the United Kingdom or the European Union for our product candidates, or incur significant additional expenses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United Kingdom. It is also possible that Brexit may negatively affect our ability to attract and retain employees, particularly those from the European Union.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Manufacturing of our Product Candidates</w:t>
      </w:r>
    </w:p>
    <w:p>
      <w:pPr>
        <w:spacing w:after="0" w:line="121"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b w:val="1"/>
          <w:bCs w:val="1"/>
          <w:i w:val="1"/>
          <w:iCs w:val="1"/>
          <w:color w:val="auto"/>
        </w:rPr>
        <w:t>Monoclonal antibody therapies are complex and difficult to manufacture. We could experience manufacturing problems, or may be unable to access raw materials due to global supply chain shortages, that result in delays in the development or commercialization of our product candidates or otherwise harm our business.</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manufacture of monoclonal antibody therapies is technically complex and necessitates substantial expertise and capital investment.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Production difficulties caused by unforeseen events may delay the availability of material for our clinical studies or commercialization efforts.</w:t>
      </w:r>
    </w:p>
    <w:p>
      <w:pPr>
        <w:spacing w:after="0" w:line="22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manufacturers of pharmaceutical products must comply with strictly enforced cGMP requirements, state and federal regulations, as well as foreign requirements when applicable. Any failure of us or our contract manufacturing organizations to adhere to or document compliance to such regulatory requirements could lead to a delay or interruption in the availability of product for clinical trials or commercial use, or enforcement action from the FDA, EMA or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if any, and our ability to commercialize any product candidates that receive regulatory approval on a timely and competitive basis.</w:t>
      </w:r>
    </w:p>
    <w:p>
      <w:pPr>
        <w:spacing w:after="0" w:line="18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Biological products are inherently difficult and time-consuming to manufacture. Our program materials are manufactured using technically complex processes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manufacturing, may lead to an inability to</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manufacture our product candidate, resulting in delays in clinical development or commercialization plans. Any changes in the manufacturing of components of the raw materials we use could result in unanticipated or unfavorable effects in our manufacturing processes or product quality, resulting in delays.</w:t>
      </w:r>
    </w:p>
    <w:p>
      <w:pPr>
        <w:spacing w:after="0" w:line="184"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delay, failure or inability to manufacture on a timely basis can impact the timelines for our clinical trials or our commercialization plans. Such delay, failure or inability to manufacture can result from:</w:t>
      </w:r>
    </w:p>
    <w:p>
      <w:pPr>
        <w:spacing w:after="0" w:line="76" w:lineRule="exact"/>
        <w:rPr>
          <w:sz w:val="20"/>
          <w:szCs w:val="20"/>
          <w:color w:val="auto"/>
        </w:rPr>
      </w:pPr>
    </w:p>
    <w:p>
      <w:pPr>
        <w:jc w:val="both"/>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92" w:lineRule="exact"/>
        <w:rPr>
          <w:rFonts w:ascii="Arial" w:cs="Arial" w:eastAsia="Arial" w:hAnsi="Arial"/>
          <w:sz w:val="18"/>
          <w:szCs w:val="18"/>
          <w:color w:val="auto"/>
        </w:rPr>
      </w:pPr>
    </w:p>
    <w:p>
      <w:pPr>
        <w:jc w:val="both"/>
        <w:ind w:left="1080" w:right="20" w:hanging="532"/>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70"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obtain manufacturing slots from contract development and manufacturing organizations (including contract testing laboratories that perform cGMP operations), or CDMOs, or to have enough manufacturing slots to manufacture our product candidates to meet clinical or commercial requirements and demands;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inability to procure raw materials and reagents;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depletion or performance degradation of the cell line starting material;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loss of or close-down of any manufacturing facility used in the manufacture of our product candidates, or the inability to find alternative manufacturing capability in a timely fashion.</w:t>
      </w:r>
    </w:p>
    <w:p>
      <w:pPr>
        <w:spacing w:after="0" w:line="2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and subject to extensive regulations. If we or our contract manufacturers fail to comply with such regulations, regulatory authorities may impose sanctions or require remedial measures that could be costly or time-consuming, and our ability to provide supply of our product candidates for clinical trials or any approved products could be delayed or stopped.</w:t>
      </w:r>
    </w:p>
    <w:p>
      <w:pPr>
        <w:spacing w:after="0" w:line="7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our existing contract manufacturers, are subject to extensive regulation.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ensure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MAA on a timely basis.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and they could put a hold on one or more of our clinical trials if the facilities of any of our CDMOs do not pass such audit or inspections. Certain of our CDMO’s facilities are or may be under construction and have not completed installation of equipment for and establishment of routine manufacturing and testing operations and have not yet been inspected by regulatory authorities. If any of our CDMO’s facilities do not pass a pre-approval plant inspection, FDA or EMA approval of the products will not be granted.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regulatory authorities also may, at any time following approval of a product for sale, inspect or audit our CDMO’s manufacturing facilities or those of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CDMOs fail to maintain regulatory compliance, the FDA or EMA can impose regulatory sanctions, including, among other things, refusal to approve a pending application for a new drug product, or revocation of a pre-existing approval. As a result, our business, financial condition and results of operations may be harmed. Additionally, if supply from one approved manufacturer is interrupted, there could be a significant disruption in commercial supply. An alternative manufacturer would need to be qualified and approved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17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These factors could cause the delay of clinical trials, regulatory submissions, required approvals or commercialization of our product candidates, cause us to incur higher costs and prevent us from commercializing our products successfully, if approved, or could delay commercial supply once approved. Furthermore, if our suppliers fail to meet contractual requirements, and we are unable to secure one or more replacement suppliers capable of production at a substantially equivalent cost, our clinical trials or commercial launch may be delayed or we could lose potential revenue.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intend to rely on third parties to produce clinical and commercial supplies of our product candidates.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manufacturing material for our product candidates in partnership with a CDMO. We do not own or operate any facilities for product manufacturing, storage and distribution or testing. We are dependent on third parties to manufacture the clinical and commercial supplies of our current and any future product candidates. We have established a relationship with WuXi to produce material to support our clinical development program and our initial commercial supply for our products, if approved. We have not yet fully manufactured our product candidates on a commercial scale, and we do not yet have sufficient information to reliably estimate the cost of the commercial manufacturing of our product candidates. Certain of our product candidates may have to compete with existing and future products, such as the annual influenza vaccine, that may have a lower price point. The actual cost to manufacture our product candidates could materially and adversely affect the commercial viability of our product candidates.</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facilities used by our contract manufacturers and contract testing labs to manufacture and test our product candidates must be approved by the FDA pursuant to inspections that will be conducted after we submit our BLA to the FDA. We do not control the manufacturing process of, and are completely dependent on, our contract manufacturing partners for compliance with the cGMP requirements. If our contract manufacturers cannot successfully manufacture material that conforms to our specifications and the strict regulatory requirements of the FDA or others, we will not be able to secure and/or maintain regulatory approval for our product candidates. In addition, we have limited control over the ability of our contract manufacturers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9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intend to rely on third-party manufacturers to supply us with sufficient quantities of our product candidates to be used, if approved, for commercialization. If we are not able to meet market demand for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engaged WuXi for development and generation of the production cell line starting material for ADG20 manufacturing.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18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addition, we currently rely on WuXi, a CDMO in China, for clinical supply of ADG20 and will rely on WuXi for commercial supply of ADG20. We will likely continue to rely on foreign CDMOs in the future. Foreign CDMOs may be subject to trade restrictions and other foreign regulatory requirements, which could increase the cost or reduce the supply of material available to us, delay the procurement of such material or delay or prevent the shipment of material out of the foreign country to the United States.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w:t>
      </w:r>
    </w:p>
    <w:p>
      <w:pPr>
        <w:spacing w:after="0" w:line="19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Further, our reliance on third-party manufacturers entails risks to which we would not be subject if we manufactured product candidates ourselves, including:</w:t>
      </w:r>
    </w:p>
    <w:p>
      <w:pPr>
        <w:spacing w:after="0" w:line="76"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access sufficient manufacturing capacity;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inability of our third-party manufacturers to execute our manufacturing procedures and other logistical support requirements appropriately;</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negotiate additional manufacturing agreements with third parties under commercially reasonable terms, if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breach, termination or nonrenewal of manufacturing agreements with third parties in a manner or at a time that is costly or damaging to us;</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lack of ownership of the intellectual property rights in any improvements made by our third-party manufacturers in the manufacturing process for our product candidates;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disruptions to operations of our third-party manufacturers or suppliers by conditions unrelated to our business or operations, including the bankruptcy of the manufacturer or supplier.</w:t>
      </w:r>
    </w:p>
    <w:p>
      <w:pPr>
        <w:spacing w:after="0" w:line="170"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cannot be sure that single-source suppliers for our manufacturing raw materials will remain in business or that they will not be purchased by one of our competitors or another company that is not interested in continuing to produce these raw materials for our intended purpose. In addition, the lead time needed to establish a relationship with a new supplier can be lengthy and we may experience delays in meeting demand in the event we must switch to a new supplier. The time and effort to qualify a new supplier could result in additional costs, diversion of resources or reduced manufacturing yields, any of which would adversely impact our business, financial condition and results of operations.</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of these events could lead to clinical trial delays or failure to obtain regulatory approval or impact our ability to successfully commercialize our current or any future product candidates, if approved. Some of these events could be the basis for FDA action, including injunction, request for recall, seizure or total or partial suspension of production.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40"/>
        <w:spacing w:after="0" w:line="311" w:lineRule="auto"/>
        <w:rPr>
          <w:sz w:val="20"/>
          <w:szCs w:val="20"/>
          <w:color w:val="auto"/>
        </w:rPr>
      </w:pPr>
      <w:r>
        <w:rPr>
          <w:rFonts w:ascii="Arial" w:cs="Arial" w:eastAsia="Arial" w:hAnsi="Arial"/>
          <w:sz w:val="16"/>
          <w:szCs w:val="16"/>
          <w:b w:val="1"/>
          <w:bCs w:val="1"/>
          <w:i w:val="1"/>
          <w:iCs w:val="1"/>
          <w:color w:val="auto"/>
        </w:rPr>
        <w:t>We depend on sole-source third-party suppliers for materials that are necessary for the conduct of preclinical studies and manufacture of our product candidates for clinical trials, and the loss of these third-party suppliers and manufacturers or their inability to supply us with sufficient quantities of adequate materials, or to do so at acceptable quality levels and on a timely basis, could harm our business.</w:t>
      </w:r>
    </w:p>
    <w:p>
      <w:pPr>
        <w:spacing w:after="0" w:line="4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Manufacturing our product candidates requires many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For example, we are reliant on WuXi as the sole procurer of the raw materials used in the manufacture of our product candidates, including certain purification resins and cell culture media, which increases the risk of delays in production. In addition, to date, we have relied on WuXi as our only CDMO. The loss of this CDMO or its failure to supply us with material to support our clinical development program on a timely basis could impair our ability to develop our product candidates or otherwise delay the development process, which could adversely affect our business, financial condition and results of operations.</w:t>
      </w:r>
    </w:p>
    <w:p>
      <w:pPr>
        <w:spacing w:after="0" w:line="17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Some of our CDMO’s raw material suppliers may not have the capacity to support clinical trials and commercial products manufactured under cGMP by biopharmaceutical firms or may otherwise be ill-equipped to support our needs. We also do not have supply contracts with many of these suppliers directly, and we or our CDMOs may not be able to obtain supply contracts with them on acceptable terms or at all. Accordingly, we or our CDMOs may experience delays in receiving key raw materials and equipment to support clinical or commercial manufacturing.</w:t>
      </w:r>
    </w:p>
    <w:p>
      <w:pPr>
        <w:spacing w:after="0" w:line="17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For some of these specialty materials, we and our CDMOs rely on and may in the future rely on sole-source vendors or a limited number of vendors. The supply of specialty materials and equipment that are necessary to produce our product candidates could be reduced or interrupted at any time. In such case, identifying and engaging an alternative supplier or manufacturer could result in delay, and we may not be able to find other acceptable suppliers or manufacturers on acceptable terms, or at all. Switching suppliers or manufacturers may involve substantial costs and is likely to result in a delay in our desired clinical and commercial timelines. If we change suppliers or manufacturers for commercial production, applicable regulatory agencies may require us to conduct additional studies or trials. If key suppliers or manufacturers are lost, or if the supply of the materials is diminished or discontinued, we may not be able to develop,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280" w:lineRule="exact"/>
        <w:rPr>
          <w:sz w:val="20"/>
          <w:szCs w:val="20"/>
          <w:color w:val="auto"/>
        </w:rPr>
      </w:pPr>
    </w:p>
    <w:p>
      <w:pPr>
        <w:ind w:left="560" w:right="500"/>
        <w:spacing w:after="0" w:line="308" w:lineRule="auto"/>
        <w:rPr>
          <w:sz w:val="20"/>
          <w:szCs w:val="20"/>
          <w:color w:val="auto"/>
        </w:rPr>
      </w:pPr>
      <w:r>
        <w:rPr>
          <w:rFonts w:ascii="Arial" w:cs="Arial" w:eastAsia="Arial" w:hAnsi="Arial"/>
          <w:sz w:val="17"/>
          <w:szCs w:val="17"/>
          <w:b w:val="1"/>
          <w:bCs w:val="1"/>
          <w:i w:val="1"/>
          <w:iCs w:val="1"/>
          <w:color w:val="auto"/>
        </w:rPr>
        <w:t>The third parties upon whom we depend may be adversely affected by earthquakes, wildfires or other natural disasters, and our business continuity and disaster recovery plans may not adequately protect us from a serious disaster.</w:t>
      </w:r>
    </w:p>
    <w:p>
      <w:pPr>
        <w:spacing w:after="0" w:line="3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Any unplanned event, such as flood, fire, explosion, earthquake, extreme weather condition, medical epidemics or pandemics, power shortage, telecommunication failure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9" w:lineRule="exact"/>
        <w:rPr>
          <w:sz w:val="20"/>
          <w:szCs w:val="20"/>
          <w:color w:val="auto"/>
        </w:rPr>
      </w:pPr>
    </w:p>
    <w:p>
      <w:pPr>
        <w:ind w:left="560" w:right="140"/>
        <w:spacing w:after="0" w:line="308" w:lineRule="auto"/>
        <w:rPr>
          <w:sz w:val="20"/>
          <w:szCs w:val="20"/>
          <w:color w:val="auto"/>
        </w:rPr>
      </w:pPr>
      <w:r>
        <w:rPr>
          <w:rFonts w:ascii="Arial" w:cs="Arial" w:eastAsia="Arial" w:hAnsi="Arial"/>
          <w:sz w:val="17"/>
          <w:szCs w:val="17"/>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3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Given the nature of monoclonal antibody manufacturing, there is a risk of contamination, including in the manufacture of raw materials and in the manufacturing of our product candidates, or in the manufacturing facility itself.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17"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commercialization schedule.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21"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b w:val="1"/>
          <w:bCs w:val="1"/>
          <w:i w:val="1"/>
          <w:iCs w:val="1"/>
          <w:color w:val="auto"/>
        </w:rPr>
        <w:t>Even if any of our product candidates receive marketing approval, they may fail to achieve the degree of market acceptance by physicians, patients, third-party payors and others in the medical community necessary for commercial success.</w:t>
      </w:r>
    </w:p>
    <w:p>
      <w:pPr>
        <w:spacing w:after="0" w:line="3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third-party payors and others in the medical community. If our product candidates do not achieve an adequate level of acceptance, we may not generate significant revenue and we may not become profitable. The degree of market acceptance of our product candidates, if approved for commercial sale, will depend on a number of factors, including:</w:t>
      </w:r>
    </w:p>
    <w:p>
      <w:pPr>
        <w:spacing w:after="0" w:line="92" w:lineRule="exact"/>
        <w:rPr>
          <w:sz w:val="20"/>
          <w:szCs w:val="20"/>
          <w:color w:val="auto"/>
        </w:rPr>
      </w:pPr>
    </w:p>
    <w:p>
      <w:pPr>
        <w:ind w:left="5540" w:right="2620" w:hanging="4992"/>
        <w:spacing w:after="0" w:line="449" w:lineRule="auto"/>
        <w:tabs>
          <w:tab w:leader="none" w:pos="10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efficacy, safety and potential advantages compared to alternative treatments, including oral options; 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EMA or other foreign regulatory authorities, including any limitations or warnings contained in a product’s approved labeling, including any black box warning or REMS;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treatments and of physicians to prescribe these treatments;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hire and retain a sales force in the United States;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availability of third-party coverage and adequate reimbursement for ADG20 and any other product candidates, once approved;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 or requirements that our products be used in combination with other products;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be effective against emerging variants as a monotherapy.</w:t>
      </w:r>
    </w:p>
    <w:p>
      <w:pPr>
        <w:spacing w:after="0" w:line="333" w:lineRule="exact"/>
        <w:rPr>
          <w:sz w:val="20"/>
          <w:szCs w:val="20"/>
          <w:color w:val="auto"/>
        </w:rPr>
      </w:pPr>
    </w:p>
    <w:p>
      <w:pPr>
        <w:ind w:left="560" w:right="660"/>
        <w:spacing w:after="0" w:line="375" w:lineRule="auto"/>
        <w:rPr>
          <w:sz w:val="20"/>
          <w:szCs w:val="20"/>
          <w:color w:val="auto"/>
        </w:rPr>
      </w:pPr>
      <w:r>
        <w:rPr>
          <w:rFonts w:ascii="Arial" w:cs="Arial" w:eastAsia="Arial" w:hAnsi="Arial"/>
          <w:sz w:val="15"/>
          <w:szCs w:val="15"/>
          <w:b w:val="1"/>
          <w:bCs w:val="1"/>
          <w:i w:val="1"/>
          <w:iCs w:val="1"/>
          <w:color w:val="auto"/>
        </w:rPr>
        <w:t>If we are unable to establish sales, marketing and distribution capabilities for ADG20 or any other product candidate that may receive regulatory approval, we may not be successful in commercializing those product candidates if and when they are approved.</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We are currently establishing our commercial infrastructure to support the anticipated marketing and distribution of our product candidates, which we will need to achieve commercial success for ADG20 or any other product candidate for which we may obtain marketing approval. We are currently in the process of building a sales, marketing and market access infrastructure to market our product candidates in the United States and Europe, if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Factors that may inhibit our efforts to market our products on our own include:</w:t>
      </w:r>
    </w:p>
    <w:p>
      <w:pPr>
        <w:spacing w:after="0" w:line="131"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in order to educate physicians about our product candidates, once approved;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independent sales, marketing and market access organizations.</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b w:val="1"/>
          <w:bCs w:val="1"/>
          <w:i w:val="1"/>
          <w:iCs w:val="1"/>
          <w:color w:val="auto"/>
        </w:rPr>
        <w:t>The affected populations for our lead monoclonal antibody product candidate or our other product candidates may be smaller than we or third parties currently project, which may affect the addressable markets for our product candidates.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Our projections of the number of people who are candidates to receive COVID-19 treatments and preventatives are estimates based on our knowledge and understanding of these diseases. These estimates may prove to be incorrect and new studies may further reduce the estimated incidence or prevalence of these diseases. The number of patients in the United States, the European Union and elsewhere may turn out to be lower than expected, may not be otherwise amenable to treatment with our product candidates or patients may become increasingly difficult to identify and access, all of which would adversely affect our business, financial condition, results of operations and prospects. Further, even if we obtain approval for our product candidates, the FDA or other regulators may limit their approved indications to more narrow uses or subpopulations within the populations for which we are targeting development of our product candidates.</w:t>
      </w:r>
    </w:p>
    <w:p>
      <w:pPr>
        <w:spacing w:after="0" w:line="19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A decline, or a widespread perception of a decline, in the spread or severity of the ongoing COVID-19 pandemic, including disease due to variants with relative or absolute resistance to other products, or an increase in available alternative treatments for or widespread immunity to COVID-19, could reduce the total addressable market for our lead product candidate for the treatment and prevention of COVID-19. Similarly, if new SARS-CoV-2 variants are less impacted by ADG20 and its mechanism of action than expected and such variants become more prevalent in the ongoing pandemic, the number of patients that we will be able to successfully treat with ADG20, if approved, will be decreased.</w:t>
      </w:r>
    </w:p>
    <w:p>
      <w:pPr>
        <w:spacing w:after="0" w:line="176"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total addressable market opportunity for our product candidates will ultimately depend upon a number of factors, including the diagnosis and treatment criteria included in the final label, if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range for the indications we are targeting has involved using a third-party to model the future populations susceptible to and immune from SARS-CoV-2, based on assumptions such as vaccine adoption, efficacy, duration of effect, viral infectiousness and other factors we cannot control. Accordingly, these estimates included in this prospectus may turn out to be inaccurate. Further, the data and statistical information used in this prospectus, including estimates derived from them, may differ from information and estimates made by our competitors or from current or future studies conducted by independent sources.</w:t>
      </w:r>
    </w:p>
    <w:p>
      <w:pPr>
        <w:spacing w:after="0" w:line="289" w:lineRule="exact"/>
        <w:rPr>
          <w:sz w:val="20"/>
          <w:szCs w:val="20"/>
          <w:color w:val="auto"/>
        </w:rPr>
      </w:pPr>
    </w:p>
    <w:p>
      <w:pPr>
        <w:ind w:left="560" w:right="20"/>
        <w:spacing w:after="0" w:line="375" w:lineRule="auto"/>
        <w:rPr>
          <w:sz w:val="20"/>
          <w:szCs w:val="20"/>
          <w:color w:val="auto"/>
        </w:rPr>
      </w:pPr>
      <w:r>
        <w:rPr>
          <w:rFonts w:ascii="Arial" w:cs="Arial" w:eastAsia="Arial" w:hAnsi="Arial"/>
          <w:sz w:val="15"/>
          <w:szCs w:val="15"/>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If our product candidates are approved by the FDA, we may only promote or market our product candidates for their specifically approved indications. We will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these uses for which they are not approved, which could lead to product liability suits that that might require significant financial and management resources and that could harm our reputation.</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Advertising and promotion of any product candidate that obtains approval in the United States will be heavily scrutinized by the FDA, the U.S. Federal Trade Commission, the Department of Justice, or the DOJ, the Office of Inspector General of HHS, state attorneys general, members of the U.S. Congress, and the public. Additionally, advertising and promotion of any product candidate that obtains approval outside of the United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States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corrective information to healthcare practitioners, injunctions, or civil or criminal penalties.</w:t>
      </w:r>
    </w:p>
    <w:p>
      <w:pPr>
        <w:spacing w:after="0" w:line="295" w:lineRule="exact"/>
        <w:rPr>
          <w:sz w:val="20"/>
          <w:szCs w:val="20"/>
          <w:color w:val="auto"/>
        </w:rPr>
      </w:pPr>
    </w:p>
    <w:p>
      <w:pPr>
        <w:ind w:left="560" w:right="520"/>
        <w:spacing w:after="0" w:line="277" w:lineRule="auto"/>
        <w:rPr>
          <w:sz w:val="20"/>
          <w:szCs w:val="20"/>
          <w:color w:val="auto"/>
        </w:rPr>
      </w:pPr>
      <w:r>
        <w:rPr>
          <w:rFonts w:ascii="Arial" w:cs="Arial" w:eastAsia="Arial" w:hAnsi="Arial"/>
          <w:sz w:val="18"/>
          <w:szCs w:val="18"/>
          <w:b w:val="1"/>
          <w:bCs w:val="1"/>
          <w:i w:val="1"/>
          <w:iCs w:val="1"/>
          <w:color w:val="auto"/>
        </w:rPr>
        <w:t>ADG20 and our other monoclonal antibody product candidates may face significant competition from vaccines and other treatments for COVID-19 that are currently available or in development.</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the FDA has approved or granted EUA for several therapeutics and vaccines for the treatment or prevention of COVID-19 developed or marketed by other companies, many of which are large, established biotechnology and pharmaceutical companies.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any other company develops treatments more rapidly or effectively than we do, develops a treatment that becomes the standard of care, develops a treatment at a lower cost or is more successful at commercializing an approved therapeutic, we may not be able to successfully commercialize ADG20 for the treatment and prevention of symptomatic COVID-19, even if approved, or compete with other treatments or vaccines, which could adversely impact our business and operations.</w:t>
      </w:r>
    </w:p>
    <w:p>
      <w:pPr>
        <w:spacing w:after="0" w:line="18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approvals of those product candidates in the United States and in foreign countries. Our current and potential future competitors may also have significantly more experience commercializing drugs, particularly monoclonal antibodies and other biological products, that have been approved for marketing. Mergers and acquisitions in the pharmaceutical and biotechnology industries could result in even more resources being concentrated among a small number of our competitors.</w:t>
      </w:r>
    </w:p>
    <w:p>
      <w:pPr>
        <w:spacing w:after="0" w:line="19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will face competition from other drugs or from other non-drug products currently approved or that will be approved in the future for the treatment of diseases we intend to target. Therefore, our ability to compete successfully will depend largely on our ability to:</w:t>
      </w:r>
    </w:p>
    <w:p>
      <w:pPr>
        <w:spacing w:after="0" w:line="76"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 and commercialize drugs that are differentiated from products in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demonstrate through our clinical trials that our product candidates are differentiated from existing and future therapies;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qualified scientific, product development and commercial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patent or other proprietary protection for our medicines;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required regulatory approvals;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placement in COVID-19 treatment and prevention guidelines from organizations such as the CDC, WHO and the Infectious Diseases Society of America, or IDSA, and equivalent European guidelines;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obtain coverage and adequate reimbursement from, and negotiate competitive pricing with, third-party payors;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successfully collaborate with pharmaceutical companies in the discovery, development and commercialization of new medicines.</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availability of our competitors’ products could limit the demand, and the price we are able to charge, for any product candidate we develop. The inability to compete with existing or subsequently introduced drugs would have an adverse impact on our business, financial condition and prospects. In addition, the reimbursement structure of approved monoclonal antibodies by other companies could impact the anticipated reimbursement structure of our monoclonal antibodies, if approved, and our business, financial condition, results of operations and prospects.</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Government entities, such as the Centers for Disease Control and Prevention, or CDC, the WHO and non-government professional societies, such as the IDSA and the European Society of Clinical Microbiology and Infectious Diseases, or ESCMID, may produce treatment and/or prevention guidelines for COVID-19, including the use of monoclonal antibodies for these indications. If ADG20 fails to be added to these guidelines, or if it receives poor positioning within those guidelines, payors and other customers may be less inclined to add ADG20 to their formularies, significantly reducing demand for ADG20, if approved.</w:t>
      </w:r>
    </w:p>
    <w:p>
      <w:pPr>
        <w:spacing w:after="0" w:line="188"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Established pharmaceutical companies may invest heavily to accelerate discovery and development of novel compounds or to in-license novel compounds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regulatory and marketing approval for, or commercializing, drugs before we do, which would have an adverse impact on our business and results of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Any product candidates for which we intend to seek approval as biologic products may face biosimilar competition sooner than anticipated.</w:t>
      </w:r>
    </w:p>
    <w:p>
      <w:pPr>
        <w:spacing w:after="0" w:line="15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If we are successful in achieving regulatory approval to commercialize any biologic product candidate that we develop, it may face competition from biosimilar products. In the United States, our product candidates are regulated by the FDA as biologic products subject to approval under the BLA pathway. The Patient Protection and Affordable Care Act, as amended by the Health Care and Education Reconciliation Act,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biological products.</w:t>
      </w:r>
    </w:p>
    <w:p>
      <w:pPr>
        <w:spacing w:after="0" w:line="186"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For example, in May 2021, the Biden administration expressed support for waiving intellectual property protections for COVID-19 vaccines amid concerns about vaccine access in foreign nations. Such waiver, if implemented, could extend to our product candidates.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generic substitution for non-biological products is not yet clear, and will depend on a number of marketplace and regulatory factors that are still developing.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292"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The success of our product candidates will depend significantly on coverage and adequate reimbursement or the willingness of patients to pay for these therapies.</w:t>
      </w:r>
    </w:p>
    <w:p>
      <w:pPr>
        <w:spacing w:after="0" w:line="6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believe our success depends on obtaining and maintaining coverage and adequate reimbursement for our product candidates, including ADG20 for the treatment and prevention of COVID-19,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assure that other payors will also provide coverage, and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68"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and other healthcare professionals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IDSA and ESCMID, may produce treatment and/or prevention guidelines for the treatment and prevention of COVID-19, including guidance regarding the use of monoclonal antibodies in these indications. If ADG20 fails to be added to these guidelines, or if it receives poor positioning within these guidelines, payors and other customers may be less inclined to add ADG20 to their formularies, significantly reducing demand for ADG20, if approved.</w:t>
      </w:r>
    </w:p>
    <w:p>
      <w:pPr>
        <w:spacing w:after="0" w:line="19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There can be no assurance that ADG20 or any other product candidate, if approved for sale in the United States or in other countries, will be considered medically reasonable and necessary, that it will be considered cost-effective by third-party payors, that coverage or an adequate level of reimbursement will be available or that reimbursement policies and practices in the United States and in foreign countries where our products are sold will not adversely affect our ability to sell our product candidates profitably, if they are approved for sale.</w:t>
      </w:r>
    </w:p>
    <w:p>
      <w:pPr>
        <w:spacing w:after="0" w:line="279"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will face an even greater risk if we sell any products that we may develop. If we cannot successfully defend ourselves against claims that our product candidates or drugs caused injuries, we will incur substantial liabilities. Regardless of merit or eventual outcome, liability claims may result in:</w:t>
      </w:r>
    </w:p>
    <w:p>
      <w:pPr>
        <w:spacing w:after="0" w:line="71"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decreased demand for any product candidates or drugs that we may develop;</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Although we maintain product liability insurance coverage, such insurance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 cyberattacks or a deficiency in our or our CDMO’s, CROs’, manufacturers’ contractors’, consultants’ or collaborators’ cybersecurity.</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Despite the implementation of security measures, our internal computer systems, and those of third parties on which we rely, are vulnerable to damage from, among other things, computer viruses, malware, natural disasters, terrorism, war, telecommunication and electrical failures, system malfunctions, cyberattacks or cyber-intrusions over the Internet, attachments to emails, phishing attacks,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of clinical trial data from completed or ongoing or planned clinical trials could result in delays in our regulatory approval efforts and significantly increase our costs to recover or reproduce the data.</w:t>
      </w:r>
    </w:p>
    <w:p>
      <w:pPr>
        <w:spacing w:after="0" w:line="182"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We cannot ensure that our data protection efforts and our investment in information technology, or the efforts or investments of CDMOs, CROs, consultants or other third parties with which we work,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CDMOs,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16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To the extent that any disruption or security breach was to result in a loss of or damage to our data or applications, or inappropriate disclosure of confidential or proprietary information or personal data, we could incur material legal claims and liability and damage to our reputation, and the further development of our product candidates could be delayed. Any such event could also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192"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Notifications and follow-up actions related to a data breach or other security incident could impact our reputation and cause us to incur significant costs, including significant legal expenses and remediation costs.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or dissemination of, our data, including personal data, or other information that is processed or maintained on our behalf, we could be exposed to litigation and governmental investigations and inquiries, the further development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commercialization of our product candidates could be delayed and we could be subject to significant fines or penalties for any noncompliance with applicable state, federal and foreign privacy and security laws, rules, regulations and standards.</w:t>
      </w:r>
    </w:p>
    <w:p>
      <w:pPr>
        <w:spacing w:after="0" w:line="278"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6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United States,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Federal Trade Commission Act,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or HIPAA, as amended by the Health Information Technology for Economic and Clinical Health Act, and the regulations promulgated thereunder. Depending on the facts and circumstances, we could be subject to significant penalties if we obtain, use or disclose individually identifiable health information in a manner that is not authorized or permitted by HIPAA.</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Europe, the General Data Protection Regulation, or the GDPR, took effect in May 2018. The GDPR governs the collection, use, disclosure, transfer or other processing of personal data of individuals within the European Economic Area, or the EEA, including clinical trial data. Among other things, the GDPR imposes requirements regarding the security of personal data and notification of data breaches to the competent national data processing authorities, requires having lawful bases on which personal data can be processed and requires changes to informed consent practices, as well as more detailed notices for clinical trial subjects and investigators. In addition, the GDPR increases the scrutiny of transfers of personal data from the EEA to the United States and other jurisdictions that the European Commission does not recognize as having “adequate” data protection laws; in July 2020, the Court of Justice of the European Union limited how organizations could lawfully transfer personal data from the EEA to the United States by invalidating the EU-U.S. Privacy Shield and imposing further restrictions on the use of standard contractual clauses, which could increase our costs and our ability to efficiently process personal data from the EEA. The GDPR imposes substantial fines for breaches and violations (up to the greater of €20 million or 4% of our consolidated annual worldwide gross revenue), and confers a private right of action on data subjects and consumer associations to lodge complaints with supervisory authorities, seek judicial remedies and obtain compensation for damages resulting from violations of the GDPR.</w:t>
      </w:r>
    </w:p>
    <w:p>
      <w:pPr>
        <w:spacing w:after="0" w:line="17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Relatedly, following the United Kingdom’s withdrawal from the EEA and the European Union and the expiration of the Transition Period, companies must comply with both the GDPR and the legislation similar to the GDPR as incorporated into UK national law, which provides for significant fines of up to the greater of £17.5 million or 4% of global turnover and exposes companies to two parallel regimes with potentially divergent enforcement actions for certain violations. On January 1, 2021, the United Kingdom became a third country for purposes of the GDPR. The relationship between the United Kingdom and the European Union in relation to certain aspects of data protection law remains unclear, for example with respect to how data can lawfully be transferred between each jurisdiction, which exposes us to further compliance risk. Pursuant to the EU-UK Trade and Cooperation Agreement of December 24, 2020, transfers of personal data from the European Union to the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United Kingdom may continue to take place without a need for additional safeguards during a further transition period, which expires on the earlier of</w:t>
      </w:r>
    </w:p>
    <w:p>
      <w:pPr>
        <w:spacing w:after="0" w:line="46" w:lineRule="exact"/>
        <w:rPr>
          <w:sz w:val="20"/>
          <w:szCs w:val="20"/>
          <w:color w:val="auto"/>
        </w:rPr>
      </w:pPr>
    </w:p>
    <w:p>
      <w:pPr>
        <w:jc w:val="both"/>
        <w:ind w:left="120" w:right="20" w:hanging="4"/>
        <w:spacing w:after="0" w:line="270" w:lineRule="auto"/>
        <w:tabs>
          <w:tab w:leader="none" w:pos="35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date on which an adequacy decision with respect to the United Kingdom is adopted by the European Commission; or (ii) the expiry of four months, which shall be extended by a further two months unless either the European Union or the United Kingdom objects. On February 19, 2021 the European Commission published its draft decision finding the United Kingdom to be adequate under the GDPR, though it remains unclear whether the European Commission will formally adopt an adequacy decision with respect to the United Kingdom. In the absence of such decision, after the expiry of the additional transition period we may need to put in place additional safeguards for transfers of personal data from the European Union to the United Kingdom, such as standard contractual clauses approved by the European Commission.</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 Furthermore, the laws are not consistent, and compliance in the event of a widespread data breach is costly. In addition, states are constantly adopting new laws or amending existing laws, requiring attention to frequently changing regulatory requirements. For example, California enacted the California Consumer Privacy Act, or the CCPA, which took effect on January 1, 2020, became enforceable by the California Attorney General on July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 new ways to opt out of certain sales of personal information. The CCPA provides for civil penalties for violations, as well as a private right of action for data breaches that is expected to increase data breach litigation. Further, the California Privacy Rights Act, or the CPRA, recently passed in California and will impose additional data protection obligations on companies doing business in California, including additional consumer rights processes, limitations on data uses, new audit requirements for higher risk data and opt outs for certain uses of sensitive data. It also created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Although the CCPA currently exempts certain health-related information, including clinical trial data, the CCPA and the CPRA may increase our compliance costs and potential liability. Similar laws have been proposed in other states and at the federal level and, if passed, such laws may have potentially conflicting requirements that would make compliance challenging.</w:t>
      </w:r>
    </w:p>
    <w:p>
      <w:pPr>
        <w:spacing w:after="0" w:line="17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With the GDPR, CCPA, CPRA and other laws, regulations and other obligations relating to privacy and data protection imposing new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applicable data privacy and protection laws and regulations. We do not currently have any formal data privacy policies and procedures in place and have not completed formal assessments of whether we are in compliance with all applicable data privacy laws and regulations. Additionally, if third parties with which we work, such as vendors or service providers, violate applicable laws, rules or regulations or our policies, such violations may also put our or our clinical trial and employee data, including personal data, at risk, which could in turn have an adverse effect on our business.</w:t>
      </w:r>
    </w:p>
    <w:p>
      <w:pPr>
        <w:spacing w:after="0" w:line="273" w:lineRule="exact"/>
        <w:rPr>
          <w:sz w:val="20"/>
          <w:szCs w:val="20"/>
          <w:color w:val="auto"/>
        </w:rPr>
      </w:pPr>
    </w:p>
    <w:p>
      <w:pPr>
        <w:ind w:left="560" w:right="260"/>
        <w:spacing w:after="0" w:line="277" w:lineRule="auto"/>
        <w:rPr>
          <w:sz w:val="20"/>
          <w:szCs w:val="20"/>
          <w:color w:val="auto"/>
        </w:rPr>
      </w:pPr>
      <w:r>
        <w:rPr>
          <w:rFonts w:ascii="Arial" w:cs="Arial" w:eastAsia="Arial" w:hAnsi="Arial"/>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any contract manufacturers and suppliers we engage are subject to numerous federal, state and local environmental, health and safety laws, regulations and permitting requirements, including those governing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166"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left="560" w:right="160"/>
        <w:spacing w:after="0" w:line="301" w:lineRule="auto"/>
        <w:rPr>
          <w:sz w:val="20"/>
          <w:szCs w:val="20"/>
          <w:color w:val="auto"/>
        </w:rPr>
      </w:pPr>
      <w:r>
        <w:rPr>
          <w:rFonts w:ascii="Arial" w:cs="Arial" w:eastAsia="Arial" w:hAnsi="Arial"/>
          <w:sz w:val="16"/>
          <w:szCs w:val="16"/>
          <w:b w:val="1"/>
          <w:bCs w:val="1"/>
          <w:i w:val="1"/>
          <w:iCs w:val="1"/>
          <w:color w:val="auto"/>
        </w:rPr>
        <w:t>We currently rely on third parties to conduct, supervise, analyze and monitor a significant portion of our research and preclinical testing and clinical trials for our product candidates, and if those third parties do not successfully carry out their contractual duties, comply with regulatory requirements or otherwise perform satisfactorily, we may not be able to obtain regulatory approval or commercialize product candidates, or such approval or commercialization may be delayed, and our business may be substantially harmed.</w:t>
      </w:r>
    </w:p>
    <w:p>
      <w:pPr>
        <w:spacing w:after="0" w:line="4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engaged CROs and other third parties to conduct our planned preclinical studies or clinical trials, including our ongoing clinical trials of ADG20, and to monitor and manage data. We expect to continue to rely on third parties, including clinical data management organizations, medical institutions and clinical investigators, to conduct those clinical trials. We also rely on third parties for their research and discovery capabilities.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material adverse impact on our business, financial condition and prospects. Further, the performance of our CROs and other third parties conducting our trials may also be interrupted by the ongoing COVID-19 pandemic, including due to travel or quarantine policies, heightened exposure of CRO or clinical site or other vendor staff who are healthcare providers to COVID-19 or prioritization of resources toward the pandemic.</w:t>
      </w:r>
    </w:p>
    <w:p>
      <w:pPr>
        <w:spacing w:after="0" w:line="16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any third parties conducting our clinical trials will not be our employees, and except for remedies available to us under our agreements with such third parties, we cannot control whether or not they devote sufficient time and resources to our clinical programs. If these third parties do not successfully carry out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rely on these parties for execution of our preclinical studies and clinical trials, and generally do not control their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GCPs, the clinical data generated in our clinical trials may be deemed unreliable and the FDA,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 produced under cGMP conditions. Our failure to comply with these regulations may require us to repeat clinical trials, which would delay the regulatory approval process.</w:t>
      </w:r>
    </w:p>
    <w:p>
      <w:pPr>
        <w:spacing w:after="0" w:line="182"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We also are required to register certain ongoing clinical trials and post the results of certain completed clinical trials on a government-sponsored database, ClinicalTrials.gov, within specified timeframes. Failure to do so can result in fines, adverse publicity and civil and criminal sanctions.</w:t>
      </w:r>
    </w:p>
    <w:p>
      <w:pPr>
        <w:spacing w:after="0" w:line="124"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for ADG20 or any other product candidates.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also expect to rely on other third parties to label,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92" w:lineRule="exact"/>
        <w:rPr>
          <w:sz w:val="20"/>
          <w:szCs w:val="20"/>
          <w:color w:val="auto"/>
        </w:rPr>
      </w:pPr>
    </w:p>
    <w:p>
      <w:pPr>
        <w:ind w:left="560" w:right="100"/>
        <w:spacing w:after="0" w:line="308" w:lineRule="auto"/>
        <w:rPr>
          <w:sz w:val="20"/>
          <w:szCs w:val="20"/>
          <w:color w:val="auto"/>
        </w:rPr>
      </w:pPr>
      <w:r>
        <w:rPr>
          <w:rFonts w:ascii="Arial" w:cs="Arial" w:eastAsia="Arial" w:hAnsi="Arial"/>
          <w:sz w:val="17"/>
          <w:szCs w:val="17"/>
          <w:b w:val="1"/>
          <w:bCs w:val="1"/>
          <w:i w:val="1"/>
          <w:iCs w:val="1"/>
          <w:color w:val="auto"/>
        </w:rPr>
        <w:t>We may seek collaborations with third parties for the development or commercialization of our product candidates. If those collaborations are not successful, we may not be able to capitalize on the market potential of these product candidates.</w:t>
      </w:r>
    </w:p>
    <w:p>
      <w:pPr>
        <w:spacing w:after="0" w:line="3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may seek third-party collaborators for the development and commercialization of our product candidates, including for the commercialization of any of our product candidates that are approved for marketing outside the United States.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Collaborations involving our product candidates would pose the following risks to us:</w:t>
      </w:r>
    </w:p>
    <w:p>
      <w:pPr>
        <w:spacing w:after="0" w:line="13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30"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75"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collaborators may infringe the intellectual property rights of third parties, which may expose us to litigation and potential liability; and</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of approval by the FDA,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b w:val="1"/>
          <w:bCs w:val="1"/>
          <w:i w:val="1"/>
          <w:iCs w:val="1"/>
          <w:color w:val="auto"/>
        </w:rPr>
        <w:t>If we are unable to obtain, maintain and enforce patent protection for our current and future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4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rely upon a combination of patents, trade secret protection and confidentiality agreements to protect the intellectual property related to our product candidates and technologies. Our success depends in large part on our ability to obtain and maintain patent and other intellectual property protection in the United States and in other countries with respect to our proprietary technology and product candidates. The risks associated with patent rights generally apply to patent rights that we in-license now or in the future, as well as patent rights that we may own now or in the future. Although we own a number of pending patent applications that have not yet issued as patents, we do not own or license any issued patents with claims directed to our product candidates, including ADG20, and we may not be successful in prosecuting our filed patent applications. Accordingly, there can be no assurance that we will be able to obtain patent protection for any of our product candidates, including ADG20. Our pending Patent Cooperation Treaty, or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United States Patent and Trademark Office, or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We cannot offer any assurances about which of our patent applications will issue,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United States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in the United States,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Additionally, an interference proceeding can be provoked by a third party or instituted by the USPTO to determine who was the first to invent any of the subject matter covered by the patent claims of our applications.</w:t>
      </w:r>
    </w:p>
    <w:p>
      <w:pPr>
        <w:spacing w:after="0" w:line="179"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courts or patent offices in the United States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19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 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165"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elect not to patent. We seek to protect our proprietary information,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If any of the parties to these confidentiality agreements breaches or violates the terms of such agreements, we may not have adequate remedies for any such breach or violation, and we could lose our trade secrets as a result.</w:t>
      </w:r>
    </w:p>
    <w:p>
      <w:pPr>
        <w:spacing w:after="0" w:line="181"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United States. The enforceability of confidentiality agreements may vary from jurisdiction to jurisdiction. As a result, we may encounter significant problems in protecting and defending our intellectual property both in the United States and abroad. Additionally, if the steps taken to maintain our trade secrets are deemed inadequate, we may have insufficient recourse against third parties for misappropriating the trade secret.</w:t>
      </w:r>
    </w:p>
    <w:p>
      <w:pPr>
        <w:spacing w:after="0" w:line="16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18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also seek to preserve the integrity and confidentiality of our data and trade secrets by maintaining physical security of our premises and physical and electronic security of our information technology systems.</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Monitoring unauthorized uses and disclosures is difficult, and we do not know whether the steps we have taken to protect our proprietary technologies will be effective.</w:t>
      </w:r>
    </w:p>
    <w:p>
      <w:pPr>
        <w:spacing w:after="0" w:line="170"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While we have confidence in these individuals, organizations and systems, our agreements or security measures may be breached, and we may not have adequate remedies for any breach. Also,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 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materially harmed.</w:t>
      </w:r>
    </w:p>
    <w:p>
      <w:pPr>
        <w:spacing w:after="0" w:line="7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Patents have a limited lifespan. In the United States,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284" w:lineRule="exact"/>
        <w:rPr>
          <w:sz w:val="20"/>
          <w:szCs w:val="20"/>
          <w:color w:val="auto"/>
        </w:rPr>
      </w:pPr>
    </w:p>
    <w:p>
      <w:pPr>
        <w:ind w:left="560" w:right="40"/>
        <w:spacing w:after="0" w:line="375" w:lineRule="auto"/>
        <w:rPr>
          <w:sz w:val="20"/>
          <w:szCs w:val="20"/>
          <w:color w:val="auto"/>
        </w:rPr>
      </w:pPr>
      <w:r>
        <w:rPr>
          <w:rFonts w:ascii="Arial" w:cs="Arial" w:eastAsia="Arial" w:hAnsi="Arial"/>
          <w:sz w:val="15"/>
          <w:szCs w:val="15"/>
          <w:b w:val="1"/>
          <w:bCs w:val="1"/>
          <w:i w:val="1"/>
          <w:iCs w:val="1"/>
          <w:color w:val="auto"/>
        </w:rPr>
        <w:t>We are a party to an assignment and license agreement with Adimab, pursuant to which we are obligated to make payments upon achievement of milestone events and royalties. If this agreement is terminated, our business and prospects will be materially and adversely affected.</w:t>
      </w:r>
    </w:p>
    <w:p>
      <w:pPr>
        <w:spacing w:after="0" w:line="1"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party to an assignment and license agreement, or the Adimab Assignment Agreement, with Adimab, LLC, or Adimab, which has assigned to us its rights to all existing coronavirus antibodies controlled by it and their derivatives, patents claiming such antibodies, know-how related to such antibodies, and biological and chemical materials specifically related to such antibodies. Pursuant to the Adimab Assignment Agreement, Adimab additionally grants us a non-exclusive, worldwide, sublicensable license under Adimab’s antibody discovery and optimization platform technology to research, develop, make, use, and sell coronavirus antibodies and products containing or comprising coronavirus antibodies, provided that we may not use such licensed rights to discover or optimize antibodies. Under the Adimab Assignment Agreement, we are required to use commercially reasonable efforts to achieve specific development and regulatory milestones for products in certain major markets and to commercialize a product in any country in which we obtain marketing approval. This agreement additionally contains obligations that require us to make payments in the event certain milestone events are achieved and royalty payments on net sales of our products, if approved, on a product-by-product and country-by-country basis, for a period ending on the later of 12 years after the first commercial sale of such product in such country or the expiration of the last valid claim of any patent in such country that was assigned to us under the Adimab Assignment Agreement or that claims priority to any such patent. Our business is reliant upon the intellectual property rights assigned and licensed to us under the Adimab Assignment Agreement. If we materially breach the Adimab Assignment Agreement, our license under the Adimab Assignment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is terminated as a result of our breach or otherwise, our business and prospects will be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materially and adversely affected. For more information on the Adimab Assignment Agreement, see the section titled “Business—Licensing, Collaborations and Partnerships—Assignment and License Agreement with Adimab.” For more information regarding our relationship with Adimab, see the section titled “Certain Relationships and Related Party Transactions.”</w:t>
      </w:r>
    </w:p>
    <w:p>
      <w:pPr>
        <w:spacing w:after="0" w:line="292" w:lineRule="exact"/>
        <w:rPr>
          <w:sz w:val="20"/>
          <w:szCs w:val="20"/>
          <w:color w:val="auto"/>
        </w:rPr>
      </w:pPr>
    </w:p>
    <w:p>
      <w:pPr>
        <w:ind w:left="560" w:right="240"/>
        <w:spacing w:after="0" w:line="259"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79"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current and future collaborations and licenses could subject us to a number of risks, including:</w:t>
      </w:r>
    </w:p>
    <w:p>
      <w:pPr>
        <w:spacing w:after="0" w:line="131"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130" w:lineRule="exact"/>
        <w:rPr>
          <w:rFonts w:ascii="Arial" w:cs="Arial" w:eastAsia="Arial" w:hAnsi="Arial"/>
          <w:sz w:val="18"/>
          <w:szCs w:val="18"/>
          <w:color w:val="auto"/>
        </w:rPr>
      </w:pPr>
    </w:p>
    <w:p>
      <w:pPr>
        <w:jc w:val="both"/>
        <w:ind w:left="1080" w:right="2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ownership of our company;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strategic collaborators devote to the development or commercialization of our product candidates;</w:t>
      </w:r>
    </w:p>
    <w:p>
      <w:pPr>
        <w:spacing w:after="0" w:line="75"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93"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strategic collaborators may select indications or design clinical trials in a way that may be less successful than if we were doing so;</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commit adequate resources to the marketing and distribution of our product candidates, limiting our potential revenue from these products;</w:t>
      </w:r>
    </w:p>
    <w:p>
      <w:pPr>
        <w:spacing w:after="0" w:line="75"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experience financial difficulties;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candidate developed either independently or in collaboration with others, including our competitors;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strategic collaborators could terminate the arrangement or allow it to expire, which would delay the development and may increase the cost of developing our product candidates.</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18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15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84"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62"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and factual issues. Changes in either patent laws or interpretations of patent laws in the United States and other countries may diminish the value of our intellectual property or narrow the scope of our patent protection.</w:t>
      </w:r>
    </w:p>
    <w:p>
      <w:pPr>
        <w:spacing w:after="0" w:line="170"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 xml:space="preserve">For example, on September 16, 2011, the Leahy-Smith America Invents Act, or the Leahy-Smith Act, was signed into law. The Leahy-Smith Act included a number of significant changes to United States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derivation proceedings. Finally, the Leahy-Smith Act contained new statutory provisions that require the USPTO to issue new</w:t>
      </w:r>
      <w:r>
        <w:rPr>
          <w:rFonts w:ascii="Arial" w:cs="Arial" w:eastAsia="Arial" w:hAnsi="Arial"/>
          <w:sz w:val="17"/>
          <w:szCs w:val="17"/>
          <w:i w:val="1"/>
          <w:iCs w:val="1"/>
          <w:color w:val="auto"/>
        </w:rPr>
        <w:t xml:space="preserve"> </w:t>
      </w:r>
      <w:r>
        <w:rPr>
          <w:rFonts w:ascii="Arial" w:cs="Arial" w:eastAsia="Arial" w:hAnsi="Arial"/>
          <w:sz w:val="17"/>
          <w:szCs w:val="17"/>
          <w:color w:val="auto"/>
        </w:rPr>
        <w:t>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19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74" w:lineRule="exact"/>
        <w:rPr>
          <w:sz w:val="20"/>
          <w:szCs w:val="20"/>
          <w:color w:val="auto"/>
        </w:rPr>
      </w:pPr>
    </w:p>
    <w:p>
      <w:pPr>
        <w:ind w:left="560" w:right="100"/>
        <w:spacing w:after="0" w:line="263" w:lineRule="auto"/>
        <w:rPr>
          <w:sz w:val="20"/>
          <w:szCs w:val="20"/>
          <w:color w:val="auto"/>
        </w:rPr>
      </w:pPr>
      <w:r>
        <w:rPr>
          <w:rFonts w:ascii="Arial" w:cs="Arial" w:eastAsia="Arial" w:hAnsi="Arial"/>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 infringed, or may refuse to stop the other party in such infringement proceeding from using the technology at issue on the grounds that our patents do not cover the technology in question. An adverse result in any litigation or defense proceedings could put one or more of our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licensed or future owned patents at risk of being invalidated, held unenforceable or interpreted narrowly, and could put any of our owned or licensed patent applications at risk of not yielding an issued patent.</w:t>
      </w:r>
    </w:p>
    <w:p>
      <w:pPr>
        <w:spacing w:after="0" w:line="170"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If we initiate legal proceedings against a third party to enforce a patent covering one of our product candidates, the defendant could counterclaim that the patent covering our product or product candidate is invalid and/or unenforceable. In patent litigation in the United States,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re-examination, post grant review,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and equivalent proceedings in foreign jurisdictions (for example, opposition proceedings, nullity proceedings or litigation or</w:t>
      </w:r>
      <w:r>
        <w:rPr>
          <w:rFonts w:ascii="Arial" w:cs="Arial" w:eastAsia="Arial" w:hAnsi="Arial"/>
          <w:sz w:val="17"/>
          <w:szCs w:val="17"/>
          <w:i w:val="1"/>
          <w:iCs w:val="1"/>
          <w:color w:val="auto"/>
        </w:rPr>
        <w:t xml:space="preserve"> </w:t>
      </w:r>
      <w:r>
        <w:rPr>
          <w:rFonts w:ascii="Arial" w:cs="Arial" w:eastAsia="Arial" w:hAnsi="Arial"/>
          <w:sz w:val="17"/>
          <w:szCs w:val="17"/>
          <w:color w:val="auto"/>
        </w:rPr>
        <w:t>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184" w:lineRule="exact"/>
        <w:rPr>
          <w:sz w:val="20"/>
          <w:szCs w:val="20"/>
          <w:color w:val="auto"/>
        </w:rPr>
      </w:pPr>
    </w:p>
    <w:p>
      <w:pPr>
        <w:jc w:val="both"/>
        <w:ind w:left="120" w:firstLine="440"/>
        <w:spacing w:after="0" w:line="267" w:lineRule="auto"/>
        <w:rPr>
          <w:sz w:val="20"/>
          <w:szCs w:val="20"/>
          <w:color w:val="auto"/>
        </w:rPr>
      </w:pPr>
      <w:r>
        <w:rPr>
          <w:rFonts w:ascii="Arial" w:cs="Arial" w:eastAsia="Arial" w:hAnsi="Arial"/>
          <w:sz w:val="17"/>
          <w:szCs w:val="17"/>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ADG20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United States.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190"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184"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WuXi has provided only high-level information to us identifying the general nature of the licensed control elements in the expression vector used in the production cell line starting material for ADG20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ADG20, and a third party may claim that our development or commercialization of ADG20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ADG20, which may not be feasible on a technical or commercial basis in a timely manner, and we may have to delay or abandon development of ADG20, which could have a material adverse effect on our business.</w:t>
      </w:r>
    </w:p>
    <w:p>
      <w:pPr>
        <w:spacing w:after="0" w:line="179"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272"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62" w:lineRule="exact"/>
        <w:rPr>
          <w:sz w:val="20"/>
          <w:szCs w:val="20"/>
          <w:color w:val="auto"/>
        </w:rPr>
      </w:pPr>
    </w:p>
    <w:p>
      <w:pPr>
        <w:jc w:val="both"/>
        <w:ind w:left="120" w:right="20" w:firstLine="440"/>
        <w:spacing w:after="0" w:line="268"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Our commercial success depends in part on our ability to develop, manufacture, market and sell our product candidates and use our proprietary technologies without infringing, misappropriating or otherwise violating the patents and proprietary rights of third parties. As our current and future product candidates progress toward commercialization, the possibility of a patent infringement claim against us increases. There is a substantial amount of litigation involving patents and other intellectual property rights in the biotechnology and pharmaceutical industries, including patent infringement lawsuits, interferences, derivation proceedings, post grant reviews,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and reexamination proceedings before the USPTO or oppositions and other comparable proceedings in foreign jurisdictions. Numerous United States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or other intellectual property rights.</w:t>
      </w:r>
    </w:p>
    <w:p>
      <w:pPr>
        <w:spacing w:after="0" w:line="18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We cannot provide any assurance that our current and future product candidates do not infringe, misappropriate or otherwise violate other parties’ patents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current and future product candidates, including oppositions, interference proceedings, reexaminations,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derivation proceedings before the USPTO in the United States or any equivalent regulatory authority in other countries. Even if we believe such claims are without merit, a court of competent jurisdiction could hold that these third-party patents are valid, enforceable and infringed, which could have a negative impact on our ability to commercialize ADG20 or any future product candidates. In order to successfully challenge the validity of any United States patents asserted against us in federal court, we would need to overcome a presumption of validity. As this burden is high and requires us to present clear and convincing evidence as to the invalidity of any such United States patent claim, there is no assurance that a court of competent jurisdiction would agree with us and invalidate the claims of any such United States patent. Moreover, given the vast number of patents in our field of technology, we cannot be certain that we do not infringe existing patents or that we will not infringe patents that may be granted in the future.</w:t>
      </w:r>
    </w:p>
    <w:p>
      <w:pPr>
        <w:spacing w:after="0" w:line="17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172"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0"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future patents and other intellectual property.</w:t>
      </w:r>
    </w:p>
    <w:p>
      <w:pPr>
        <w:spacing w:after="0" w:line="129"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0" w:lineRule="auto"/>
        <w:rPr>
          <w:sz w:val="20"/>
          <w:szCs w:val="20"/>
          <w:color w:val="auto"/>
        </w:rPr>
      </w:pPr>
      <w:r>
        <w:rPr>
          <w:rFonts w:ascii="Arial" w:cs="Arial" w:eastAsia="Arial" w:hAnsi="Arial"/>
          <w:sz w:val="17"/>
          <w:szCs w:val="17"/>
          <w:color w:val="auto"/>
        </w:rPr>
        <w:t>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16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290" w:lineRule="exact"/>
        <w:rPr>
          <w:sz w:val="20"/>
          <w:szCs w:val="20"/>
          <w:color w:val="auto"/>
        </w:rPr>
      </w:pPr>
    </w:p>
    <w:p>
      <w:pPr>
        <w:ind w:left="560" w:right="220"/>
        <w:spacing w:after="0" w:line="277" w:lineRule="auto"/>
        <w:rPr>
          <w:sz w:val="20"/>
          <w:szCs w:val="20"/>
          <w:color w:val="auto"/>
        </w:rPr>
      </w:pPr>
      <w:r>
        <w:rPr>
          <w:rFonts w:ascii="Arial" w:cs="Arial" w:eastAsia="Arial" w:hAnsi="Arial"/>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Filing and prosecuting patent applications and defending patents covering our product candidates in all countries throughout the world would be prohibitively expensive. Competitors may use our technologies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United States or Europe. These products may compete with our product candidates, and our future patents or other intellectual property rights may not be effective or sufficient to prevent them from competing.</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15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In addition,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3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7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obtain in the future. Furthermore, the USPTO and various non-United States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which could have a material adverse effect on our business.</w:t>
      </w:r>
    </w:p>
    <w:p>
      <w:pPr>
        <w:spacing w:after="0" w:line="276" w:lineRule="exact"/>
        <w:rPr>
          <w:sz w:val="20"/>
          <w:szCs w:val="20"/>
          <w:color w:val="auto"/>
        </w:rPr>
      </w:pPr>
    </w:p>
    <w:p>
      <w:pPr>
        <w:ind w:left="560" w:right="200"/>
        <w:spacing w:after="0" w:line="277" w:lineRule="auto"/>
        <w:rPr>
          <w:sz w:val="20"/>
          <w:szCs w:val="20"/>
          <w:color w:val="auto"/>
        </w:rPr>
      </w:pPr>
      <w:r>
        <w:rPr>
          <w:rFonts w:ascii="Arial" w:cs="Arial" w:eastAsia="Arial" w:hAnsi="Arial"/>
          <w:sz w:val="18"/>
          <w:szCs w:val="18"/>
          <w:b w:val="1"/>
          <w:bCs w:val="1"/>
          <w:i w:val="1"/>
          <w:iCs w:val="1"/>
          <w:color w:val="auto"/>
        </w:rPr>
        <w:t>Any trademarks we have obtained or may obtain may be infringed or otherwise violated, or successfully challenged, resulting in harm to our business.</w:t>
      </w:r>
    </w:p>
    <w:p>
      <w:pPr>
        <w:spacing w:after="0" w:line="6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We expect to rely on trademarks as one means to distinguish our product candidates, if approved for marketing, from the drugs of our competitors. Once we select new trademarks and apply to register them, our trademark applications may not be approved. Although we would be given an opportunity to respond to those rejections, we may be unable to overcome such rejections.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significantly harmed.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28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or otherwise competitive with our product candidates but that are not covered by the claims of any of our patents, should they issue;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in-license necessary for the manufacture, use, sale, offer for sale or importation of one or more of our product candidates may be terminated by the licensor;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make the inventions covered by our future issued patents or our pending patent applications;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or our collaborators might not have been the first to file patent applications covering certain of our inventions;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issued patents that we own or in-license may be held invalid or unenforceable as a result of legal challenges by our competitors;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issued patents that we own or in-license may not provide coverage for all aspects of our product candidates in all countries;</w:t>
      </w:r>
    </w:p>
    <w:p>
      <w:pPr>
        <w:spacing w:after="0" w:line="130" w:lineRule="exact"/>
        <w:rPr>
          <w:rFonts w:ascii="Arial" w:cs="Arial" w:eastAsia="Arial" w:hAnsi="Arial"/>
          <w:sz w:val="18"/>
          <w:szCs w:val="18"/>
          <w:color w:val="auto"/>
        </w:rPr>
      </w:pPr>
    </w:p>
    <w:p>
      <w:pPr>
        <w:jc w:val="both"/>
        <w:ind w:left="1080" w:right="20" w:hanging="532"/>
        <w:spacing w:after="0" w:line="311"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54"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Legal and Regulatory Compliance Matters</w:t>
      </w:r>
    </w:p>
    <w:p>
      <w:pPr>
        <w:spacing w:after="0" w:line="121" w:lineRule="exact"/>
        <w:rPr>
          <w:sz w:val="20"/>
          <w:szCs w:val="20"/>
          <w:color w:val="auto"/>
        </w:rPr>
      </w:pPr>
    </w:p>
    <w:p>
      <w:pPr>
        <w:ind w:left="560"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7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under such laws. These laws will impact, among other things, our clinical research, proposed sales, marketing and educational programs, and other interactions with healthcare professionals. In addition, we may be subject to patient privacy laws by both the federal government and the states in which we conduct or may conduct our business. The laws that will affect our operations include, but are not limited to:</w:t>
      </w:r>
    </w:p>
    <w:p>
      <w:pPr>
        <w:spacing w:after="0" w:line="97" w:lineRule="exact"/>
        <w:rPr>
          <w:sz w:val="20"/>
          <w:szCs w:val="20"/>
          <w:color w:val="auto"/>
        </w:rPr>
      </w:pPr>
    </w:p>
    <w:p>
      <w:pPr>
        <w:jc w:val="both"/>
        <w:ind w:left="1080" w:hanging="532"/>
        <w:spacing w:after="0" w:line="254"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or entities from knowingly and willfully soliciting, receiving, offering or paying any remuneration (including any kickback, bribe or rebate), directly or indirectly, overtly or covertly, in cash or in kind in return for, or to induce, either the referral of an individual, or the purchase, lease, order or arrangement for or recommendation of the purchase, lease, order or arrangement for any good, facility,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76" w:lineRule="exact"/>
        <w:rPr>
          <w:sz w:val="20"/>
          <w:szCs w:val="20"/>
          <w:color w:val="auto"/>
        </w:rPr>
      </w:pPr>
    </w:p>
    <w:p>
      <w:pPr>
        <w:jc w:val="both"/>
        <w:ind w:left="1080" w:hanging="532"/>
        <w:spacing w:after="0" w:line="287"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without limitation, the federal False Claims Act, which can be enforced by private citizens through civil whistleblower or qui tam actions, and civil monetary penalty laws which prohibit, among other things, individuals or entities from knowingly presenting, or causing to be presented, claims for payment or approval from the federal government, including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to the United States federal government. Several pharmaceutical and other healthcare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77" w:lineRule="exact"/>
        <w:rPr>
          <w:rFonts w:ascii="Arial" w:cs="Arial" w:eastAsia="Arial" w:hAnsi="Arial"/>
          <w:sz w:val="16"/>
          <w:szCs w:val="16"/>
          <w:color w:val="auto"/>
        </w:rPr>
      </w:pPr>
    </w:p>
    <w:p>
      <w:pPr>
        <w:jc w:val="both"/>
        <w:ind w:left="1080" w:hanging="532"/>
        <w:spacing w:after="0" w:line="255"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HIPAA, which created additional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97"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and teaching hospitals, and (ii) ownership and investment interests held by physicians and their immediate family members. Effective January 1, 2022, these reporting obligations will extend to include transfers of value made during the previous year to physician assistants, nurse practitioners, clinical nurse specialists, anesthesiologist assistants, certified registered nurse anesthetists and certified nurse midwives; and</w:t>
      </w:r>
    </w:p>
    <w:p>
      <w:pPr>
        <w:spacing w:after="0" w:line="71" w:lineRule="exact"/>
        <w:rPr>
          <w:rFonts w:ascii="Arial" w:cs="Arial" w:eastAsia="Arial" w:hAnsi="Arial"/>
          <w:sz w:val="16"/>
          <w:szCs w:val="16"/>
          <w:color w:val="auto"/>
        </w:rPr>
      </w:pPr>
    </w:p>
    <w:p>
      <w:pPr>
        <w:jc w:val="both"/>
        <w:ind w:left="1080" w:hanging="532"/>
        <w:spacing w:after="0" w:line="275"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18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303"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ADG20 or any future product candidates, they will remain subject to ongoing regulatory oversight, which may result in significant additional expense.</w:t>
      </w:r>
    </w:p>
    <w:p>
      <w:pPr>
        <w:spacing w:after="0" w:line="6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Even if we obtain any regulatory approval for ADG20 or any future product candidates, they will be subject to ongoing regulatory requirements applicable to manufacturing, labeling, packaging, storage, advertising, promoting, sampling, record-keeping and submission of safety and other post-market information, among other things. Any regulatory approvals that we receive for ADG20 or any future product candidates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We will further be required to immediately report any serious and unexpected adverse events and certain quality or production problems with our products to regulatory authorities along with other periodic reports.</w:t>
      </w:r>
    </w:p>
    <w:p>
      <w:pPr>
        <w:spacing w:after="0" w:line="17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 manufacturing facility or us, including requesting a recall or requiring withdrawal of the drug from the market or suspension of manufacturing.</w:t>
      </w: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regulatory requirements following approval of ADG20 or any future product candidates, a regulatory authority may:</w:t>
      </w:r>
    </w:p>
    <w:p>
      <w:pPr>
        <w:spacing w:after="0" w:line="76" w:lineRule="exact"/>
        <w:rPr>
          <w:sz w:val="20"/>
          <w:szCs w:val="20"/>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issue an untitled letter or warning letter asserting that we are in violation of the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 the marketing or manufacturing of the drug;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seize or detain the drug or otherwise require the withdrawal of the drug from the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 product candidates;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ADG20 or any future product candidates and harm our business, financial condition, results of operations and prospects.</w:t>
      </w:r>
    </w:p>
    <w:p>
      <w:pPr>
        <w:spacing w:after="0" w:line="292" w:lineRule="exact"/>
        <w:rPr>
          <w:sz w:val="20"/>
          <w:szCs w:val="20"/>
          <w:color w:val="auto"/>
        </w:rPr>
      </w:pPr>
    </w:p>
    <w:p>
      <w:pPr>
        <w:jc w:val="both"/>
        <w:ind w:left="560" w:right="640"/>
        <w:spacing w:after="0" w:line="375" w:lineRule="auto"/>
        <w:rPr>
          <w:sz w:val="20"/>
          <w:szCs w:val="20"/>
          <w:color w:val="auto"/>
        </w:rPr>
      </w:pPr>
      <w:r>
        <w:rPr>
          <w:rFonts w:ascii="Arial" w:cs="Arial" w:eastAsia="Arial" w:hAnsi="Arial"/>
          <w:sz w:val="15"/>
          <w:szCs w:val="15"/>
          <w:b w:val="1"/>
          <w:bCs w:val="1"/>
          <w:i w:val="1"/>
          <w:iCs w:val="1"/>
          <w:color w:val="auto"/>
        </w:rPr>
        <w:t>Even if we obtain FDA or EMA approval any of our product candidates in the United States or European Union, we may never obtain approval for or commercialize any of them in any other jurisdiction, which would limit our ability to realize their full market potential.</w:t>
      </w:r>
    </w:p>
    <w:p>
      <w:pPr>
        <w:spacing w:after="0" w:line="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17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Approval by the FDA in the United States or the EMA in the European Union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w:t>
      </w:r>
    </w:p>
    <w:p>
      <w:pPr>
        <w:spacing w:after="0" w:line="18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approved for sale in any jurisdiction, including in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unrealized.</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Healthcare legislative or regulatory reform measures may have a negative impact on our business and results of operations.</w:t>
      </w:r>
    </w:p>
    <w:p>
      <w:pPr>
        <w:spacing w:after="0" w:line="1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 March 2010, the ACA was passed, which substantially changed the way healthcare is financed by both the government and private insurers and significantly impacts the United States pharmaceutical industry. The ACA, among other things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17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The Tax Cuts and Jobs Act of 2017, or the Tax Act, included a provision that repealed, effective January 1, 2019, the tax-based shared responsibility payment imposed by the ACA on certain individuals who fail to maintain qualifying health coverage for all or part of a year that is commonly referred to as the “individual mandate.” On December 14, 2018, a judge for the United States District Court for the Northern District of Texas ruled that the ACA is unconstitutional in its entirety because the “individual mandate” was repealed by Congress as part of the Tax Act. Additionally, on December 18, 2019, the United States Court of Appeals for the Fifth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although it is unclear when a decision will be made. On February 10, 2021, the Biden administration withdrew the federal government’s support for overturning the ACA. Although the U.S. Supreme Court has not yet ruled on the constitutionality of the ACA,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 or our business.</w:t>
      </w:r>
    </w:p>
    <w:p>
      <w:pPr>
        <w:spacing w:after="0" w:line="176"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These changes include aggregate reductions to Medicare payments to providers of 2% per fiscal year pursuant to the Budget Control Act of 2011, which began in 2013, and due to subsequent legislative amendments to the statute, including the BBA, will remain in effect through 2030 unless additional Congressional action is taken. However, COVID-19 relief legislation suspended the 2% Medicare sequester from May 1, 2020 through December 31, 2021. The American Taxpayer Relief Act of 2012, among other things, further reduced Medicare payments to several providers, including hospitals,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single-source and innovator multiple-source drugs, beginning January 1, 2024. These laws may result in additional reductions in Medicare, Medicaid and other healthcare funding, which could have an adverse effect on customers for our product candidates, if approved, and, accordingly, our financial operations.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Additionally,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5" w:lineRule="auto"/>
        <w:rPr>
          <w:sz w:val="20"/>
          <w:szCs w:val="20"/>
          <w:color w:val="auto"/>
        </w:rPr>
      </w:pPr>
      <w:r>
        <w:rPr>
          <w:rFonts w:ascii="Arial" w:cs="Arial" w:eastAsia="Arial" w:hAnsi="Arial"/>
          <w:sz w:val="16"/>
          <w:szCs w:val="16"/>
          <w:color w:val="auto"/>
        </w:rPr>
        <w:t>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Further, on November 20, 2020, HHS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was also delayed pending review by the Biden administration until January 1, 2023. Further, in November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On December 28, 2020, the United States District Court for the Northern District of California issued a nationwide preliminary injunction against implementation of the interim final rule. The likelihood of implementation of any of the other Trump administration reform initiatives is uncertain, particularly in light of the recent U.S. presidential election.</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It is also possible that additional governmental action is taken in response to the COVID-19 pandemic.</w:t>
      </w:r>
    </w:p>
    <w:p>
      <w:pPr>
        <w:spacing w:after="0" w:line="18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For example, the results of the 2020 U.S. Presidential election may impact our business and industry. The Trump administration took several executive actions, including the issuance of a number of Executive Orders, that could impose significant burdens on, or otherwise materially delay, the FDA’s ability to engage in routine oversight activities such as implementing statutes through rulemaking, issuance of guidance, and review and approval of marketing applications. It is difficult to predict whether or how these requirements will be interpreted and implemented, or whether they will be rescinded and replaced under the Biden administration. The policies and priorities of the new administration are unknown and could materially impact the regulations governing our product candidates. Any new regulations or guidance, or revisions or reinterpretations of existing regulations or guidance, may impose additional costs or lengthen FDA review times for ADG20 or any future product candidates. We cannot determine how changes in regulations, statutes, policies or interpretations when and if issued, enacted or adopted, may affect our business in the future. Such changes could, among other things, require:</w:t>
      </w:r>
    </w:p>
    <w:p>
      <w:pPr>
        <w:spacing w:after="0" w:line="91"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clinical trials to be conducted prior to obtaining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to manufacturing methods;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recalls, replacements or discontinuance of one or more of our products, if approved;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additional recordkeeping.</w:t>
      </w:r>
    </w:p>
    <w:p>
      <w:pPr>
        <w:spacing w:after="0" w:line="225"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ADG20 or other product candidates,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are highly dependent on the management, development, clinical, financial and business development expertise of our executive officers. Each of our executive officers may currently terminate their employment with us at any time. We do not maintain “key person” insurance for any of our executives or employees.</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pipeline toward scaling up for commercialization, manufacturing and sales and marketing personnel, will also be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87" w:lineRule="exact"/>
        <w:rPr>
          <w:sz w:val="20"/>
          <w:szCs w:val="20"/>
          <w:color w:val="auto"/>
        </w:rPr>
      </w:pPr>
    </w:p>
    <w:p>
      <w:pPr>
        <w:ind w:left="560" w:right="40"/>
        <w:spacing w:after="0" w:line="263"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positions with Adimab and/or other companies and may not be able to or may choose not to devote sufficient time and attention to our company, or may otherwise have conflicting incentives.</w:t>
      </w:r>
    </w:p>
    <w:p>
      <w:pPr>
        <w:spacing w:after="0" w:line="76"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Tillman U. Gerngross, Ph.D., our co-founder, Chief Executive Officer and a member of our board of directors, is a co-founder, the currently serving Chief Executive Officer and a member of the board of directors of Adimab, and also serves as an officer and/or Chairman of three additional private companies, Venture Partner at one additional private company and Chairman of one public company. Laura Walker, Ph.D., our co-founder and Chief Scientific Officer, serves as Senior Director of Antibody Sciences at Adimab. Terrance McGuire and Ajay Royan, members of our board of directors, serve as directors of Adimab. As a result, these directors and executive officers may not be able to devote their full time and attention to our company, which could impede the achievement of our research, development and commercialization objectives and seriously harm our ability to successfully implement our business strategy. Since joining us, all of our executive officers have each spent a significant portion of their time devoted to us. While none of the executives has a minimum time commitment to us, each retains flexibility to ensure that he or she can re-allocate his or her time based on the needs of each business. These executives’ time-allocation strategies may change over time based on the needs of each business or the executives’ individual incentives to provide services to us relative to other businesses. In addition, certain of these individuals own equity interests in Adimab, which represent a significant portion of these individuals’ net worth. These individuals’ respective positions at Adimab and the ownership of any Adimab equity or equity awards creates, or may create the appearance of, conflicts of interest, including when these individuals make decisions that could have different implications for Adimab than for us.</w:t>
      </w:r>
    </w:p>
    <w:p>
      <w:pPr>
        <w:spacing w:after="0" w:line="294"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6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executive officers, directors, five percent stockholders and their affiliates beneficially own approximately 80.5% of our voting stock as of July 16, 2021. Therefore, these stockholders, and in particular,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our largest stockholder, Adimab, will have the ability to influence us through their ownership positions. These stockholders may be able to determine all matters requiring stockholder approval.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65"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Adimab owns a significant percentage of our common stock, will be able to exert significant influence over matters subject to stockholder approval and may have interests that conflict with those of our other stockholders.</w:t>
      </w:r>
    </w:p>
    <w:p>
      <w:pPr>
        <w:spacing w:after="0" w:line="6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Adimab is currently our largest stockholder and beneficially owns approximately 30.8% of the voting power of our outstanding common stock as of July 16, 2021 on an as-converted basis. As such, Adimab has the ability to substantially influence us through this ownership position. For example, Adimab, acting together with a small number of our other large stockholders, will be able to control elections of directors, amendments of our organizational documents or approval of any merger, amalgamation, sale of assets or other major corporate transaction. Any transferees or successors of all or a significant portion of Adimab’s ownership in us will be able to exert a similar amount of influence over us through their ownership position.</w:t>
      </w:r>
    </w:p>
    <w:p>
      <w:pPr>
        <w:spacing w:after="0" w:line="16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Furthermore, certain of our directors and officers may have actual or potential conflicts of interest with us because of their positions or affiliations with Adimab or their equity ownership in Adimab. Tillman Gerngross, co-founder and Chief Executive Officer and member of the board of directors of Adimab, Laura Walker, Senior Director of Antibody Sciences at Adimab, and Ajay Royan, members of the board of directors of Adimab, serve as our executive officers and/or on our board of directors and retain their positions and affiliations with Adimab. Our other stockholders may not have visibility into the Adimab ownership positions or other affiliations of any of our directors or officers with Adimab or its affiliates, which may change at any time through acquisition, disposition, dilution or otherwise. Any change in our directors’ or officers’ ownership in or positions with Adimab or its affiliates could impact the interests of those holders. Adimab’s interests may not always coincide with our corporate interests or the interests of our other stockholders, and it may exercise its voting and other rights in a manner with which you may not agree or that may not be in the best interests of our other stockholders. So long as it continues to own a significant portion of our outstanding voting securities, Adimab will continue to have considerable influence in all matters that are subject to approval by our stockholders and will be able to strongly influence our other decisions.</w:t>
      </w:r>
    </w:p>
    <w:p>
      <w:pPr>
        <w:spacing w:after="0" w:line="276" w:lineRule="exact"/>
        <w:rPr>
          <w:sz w:val="20"/>
          <w:szCs w:val="20"/>
          <w:color w:val="auto"/>
        </w:rPr>
      </w:pPr>
    </w:p>
    <w:p>
      <w:pPr>
        <w:ind w:left="560" w:right="720"/>
        <w:spacing w:after="0" w:line="375" w:lineRule="auto"/>
        <w:rPr>
          <w:sz w:val="20"/>
          <w:szCs w:val="20"/>
          <w:color w:val="auto"/>
        </w:rPr>
      </w:pPr>
      <w:r>
        <w:rPr>
          <w:rFonts w:ascii="Arial" w:cs="Arial" w:eastAsia="Arial" w:hAnsi="Arial"/>
          <w:sz w:val="15"/>
          <w:szCs w:val="15"/>
          <w:b w:val="1"/>
          <w:bCs w:val="1"/>
          <w:i w:val="1"/>
          <w:iCs w:val="1"/>
          <w:color w:val="auto"/>
        </w:rPr>
        <w:t>We expect to expand our clinical development and regulatory capabilities and potentially implement sales, marketing and distribution capabilities, and as a result, we may encounter difficulties in managing our growth, which could disrupt our operations.</w:t>
      </w:r>
    </w:p>
    <w:p>
      <w:pPr>
        <w:spacing w:after="0" w:line="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As of July 16, 2021, we had 68 employees. As our development progresses, we expect to experience significant growth in the number of our employees and the scope of our operations, particularly in the areas of clinical product development, regulatory affairs, manufacturing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80"/>
        <w:spacing w:after="0" w:line="342" w:lineRule="auto"/>
        <w:rPr>
          <w:sz w:val="20"/>
          <w:szCs w:val="20"/>
          <w:color w:val="auto"/>
        </w:rPr>
      </w:pPr>
      <w:r>
        <w:rPr>
          <w:rFonts w:ascii="Arial" w:cs="Arial" w:eastAsia="Arial" w:hAnsi="Arial"/>
          <w:sz w:val="16"/>
          <w:szCs w:val="16"/>
          <w:b w:val="1"/>
          <w:bCs w:val="1"/>
          <w:i w:val="1"/>
          <w:iCs w:val="1"/>
          <w:color w:val="auto"/>
        </w:rPr>
        <w:t>Our employees, independent contractors, consultants, collaborators, principal investigators, CROs, suppliers and vendors may engage in misconduct or other improper activities, including non-compliance with regulatory standards and requirements.</w:t>
      </w:r>
    </w:p>
    <w:p>
      <w:pPr>
        <w:spacing w:after="0" w:line="1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We are exposed to the risk that our employees, independent contractors, consultants, collaborators, principal investigators, CROs, suppliers and vendors may engage in fraudulent conduct or other illegal activity. Misconduct by these parties could include intentional, reckless and/or negligent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200" w:lineRule="exact"/>
        <w:rPr>
          <w:sz w:val="20"/>
          <w:szCs w:val="20"/>
          <w:color w:val="auto"/>
        </w:rPr>
      </w:pP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Ownership of Our Common Stock and Our Status as a Public Company</w:t>
      </w:r>
    </w:p>
    <w:p>
      <w:pPr>
        <w:spacing w:after="0" w:line="121" w:lineRule="exact"/>
        <w:rPr>
          <w:sz w:val="20"/>
          <w:szCs w:val="20"/>
          <w:color w:val="auto"/>
        </w:rPr>
      </w:pPr>
    </w:p>
    <w:p>
      <w:pPr>
        <w:ind w:left="560" w:right="42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of our common stock at or above the initial offering price, if at all.</w:t>
      </w:r>
    </w:p>
    <w:p>
      <w:pPr>
        <w:spacing w:after="0" w:line="6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and may not be indicative of the price at which our common stock will trade after the closing of this offering. Although we have applied to have our common stock approved for listing on The Nasdaq Global Market, an active trading market for our shares may never develop or be sustained following this offering. If an active market for our common stock does not develop or is not sustained, it may be difficult for you to sell shares you purchased in this offering at an attractive price or at all.</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The trading price of the shares of our common stock may be volatile, and purchasers of our common stock could incur substantial losses.</w:t>
      </w:r>
    </w:p>
    <w:p>
      <w:pPr>
        <w:spacing w:after="0" w:line="140"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stock price may be volatile.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progress and results of our ongoing clinical trials of ADG20 or the commencement, enrollment or results of any future clinical trials we may conduct, or changes in the development status of our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delay in our regulatory filings for ADG20 or any other product candidate we may develop, and any adverse development or perceived adverse development with respect to the applicable regulatory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authority’s review of such filings, including without limitation the FDA’s issuance of a “refusal to file” letter or a request for additional information;</w:t>
      </w:r>
    </w:p>
    <w:p>
      <w:pPr>
        <w:spacing w:after="0" w:line="76"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or termination of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financial estimates by us or by any equity research analysts who might cover our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conditions or trends in our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announcements by our competitors of new product candidates or technologies, or the results of clinical trials or regulatory decisions;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stock market price and volume fluctuations of comparable companies and, in particular, those that operate in the biopharmaceutical industry;</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relationships with our collaborators;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stock market in general, and the Nasdaq Global Market and biotechnology companies in particular, have experienced extreme price and volume fluctuations that have often been unrelated or disproportionate to the operating performance of these companies, including very recently in connection with the ongoing COVID-19 pandemic, which has resulted in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3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you purchase shares of our common stock in this offering, you will suffer immediate dilution of your investment.</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The initial public offering price of our common stock is substantially higher than the pro forma as adjusted net tangible book value per share of our common stock after this offering. Therefore, if you purchase shares of our common stock in this offering, you will pay a price per share that substantially exceeds our pro forma as adjusted net tangible book value per share after this offering. Based on an assumed initial public offering price of</w:t>
      </w:r>
    </w:p>
    <w:p>
      <w:pPr>
        <w:spacing w:after="0" w:line="2" w:lineRule="exact"/>
        <w:rPr>
          <w:sz w:val="20"/>
          <w:szCs w:val="20"/>
          <w:color w:val="auto"/>
        </w:rPr>
      </w:pPr>
    </w:p>
    <w:p>
      <w:pPr>
        <w:ind w:left="560" w:hanging="444"/>
        <w:spacing w:after="0"/>
        <w:tabs>
          <w:tab w:leader="none" w:pos="5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per share, which is the midpoint of the estimated price range set forth on the cover page of this prospectus, you will experience immediate dilution</w:t>
      </w:r>
    </w:p>
    <w:p>
      <w:pPr>
        <w:spacing w:after="0" w:line="32" w:lineRule="exact"/>
        <w:rPr>
          <w:rFonts w:ascii="Arial" w:cs="Arial" w:eastAsia="Arial" w:hAnsi="Arial"/>
          <w:sz w:val="16"/>
          <w:szCs w:val="16"/>
          <w:color w:val="auto"/>
        </w:rPr>
      </w:pPr>
    </w:p>
    <w:p>
      <w:pPr>
        <w:ind w:left="120" w:right="20"/>
        <w:spacing w:after="0" w:line="260" w:lineRule="auto"/>
        <w:rPr>
          <w:rFonts w:ascii="Arial" w:cs="Arial" w:eastAsia="Arial" w:hAnsi="Arial"/>
          <w:sz w:val="16"/>
          <w:szCs w:val="16"/>
          <w:color w:val="auto"/>
        </w:rPr>
      </w:pPr>
      <w:r>
        <w:rPr>
          <w:rFonts w:ascii="Arial" w:cs="Arial" w:eastAsia="Arial" w:hAnsi="Arial"/>
          <w:sz w:val="18"/>
          <w:szCs w:val="18"/>
          <w:color w:val="auto"/>
        </w:rPr>
        <w:t>of $ per share, representing the difference between our pro forma as adjusted net tangible book value per share as of March 31, 2021, after giving effect to this offering, and the assumed initial public offering price.</w:t>
      </w:r>
    </w:p>
    <w:p>
      <w:pPr>
        <w:sectPr>
          <w:pgSz w:w="11900" w:h="16838" w:orient="portrait"/>
          <w:cols w:equalWidth="0" w:num="1">
            <w:col w:w="11140"/>
          </w:cols>
          <w:pgMar w:left="320" w:top="459" w:right="439" w:bottom="1440" w:gutter="0" w:footer="0" w:header="0"/>
        </w:sectPr>
      </w:pP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as of average exercise price of $ offering. See “Dilution.”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right"/>
        <w:spacing w:after="0" w:line="342" w:lineRule="auto"/>
        <w:rPr>
          <w:sz w:val="20"/>
          <w:szCs w:val="20"/>
          <w:color w:val="auto"/>
        </w:rPr>
      </w:pPr>
      <w:r>
        <w:rPr>
          <w:rFonts w:ascii="Arial" w:cs="Arial" w:eastAsia="Arial" w:hAnsi="Arial"/>
          <w:sz w:val="16"/>
          <w:szCs w:val="16"/>
          <w:color w:val="auto"/>
        </w:rPr>
        <w:t>, 2021, we had outstanding stock options to purchase an aggregate of         shares of common stock at a weighted-per share. To the extent any of these outstanding options are exercised, there will be further dilution to investors in this</w:t>
      </w:r>
    </w:p>
    <w:p>
      <w:pPr>
        <w:spacing w:after="0" w:line="374" w:lineRule="exact"/>
        <w:rPr>
          <w:sz w:val="20"/>
          <w:szCs w:val="20"/>
          <w:color w:val="auto"/>
        </w:rPr>
      </w:pPr>
    </w:p>
    <w:p>
      <w:pPr>
        <w:sectPr>
          <w:pgSz w:w="11900" w:h="16838" w:orient="portrait"/>
          <w:cols w:equalWidth="0" w:num="2">
            <w:col w:w="2060" w:space="320"/>
            <w:col w:w="8760"/>
          </w:cols>
          <w:pgMar w:left="320" w:top="459" w:right="439" w:bottom="1440" w:gutter="0" w:footer="0" w:header="0"/>
          <w:type w:val="continuous"/>
        </w:sectPr>
      </w:pPr>
    </w:p>
    <w:p>
      <w:pPr>
        <w:spacing w:after="0" w:line="73" w:lineRule="exact"/>
        <w:rPr>
          <w:sz w:val="20"/>
          <w:szCs w:val="20"/>
          <w:color w:val="auto"/>
        </w:rPr>
      </w:pPr>
    </w:p>
    <w:p>
      <w:pPr>
        <w:jc w:val="both"/>
        <w:ind w:left="560" w:right="120"/>
        <w:spacing w:after="0" w:line="340" w:lineRule="auto"/>
        <w:rPr>
          <w:sz w:val="20"/>
          <w:szCs w:val="20"/>
          <w:color w:val="auto"/>
        </w:rPr>
      </w:pPr>
      <w:r>
        <w:rPr>
          <w:rFonts w:ascii="Arial" w:cs="Arial" w:eastAsia="Arial" w:hAnsi="Arial"/>
          <w:sz w:val="15"/>
          <w:szCs w:val="15"/>
          <w:b w:val="1"/>
          <w:bCs w:val="1"/>
          <w:i w:val="1"/>
          <w:iCs w:val="1"/>
          <w:color w:val="auto"/>
        </w:rPr>
        <w:t>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3"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A material weakness is a deficiency, or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6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did not design and maintain effective controls over the completeness and accuracy of research and development expenses, prepaid expenses, accounts payable and accrued expenses related to our contract manufacturing agreements during interim financial reporting periods. This material weakness resulted in adjustments to research and development expenses for the three months ended March 31, 2021 and prepaid expenses, accounts payable and accrued expenses as of March 31, 2021, all of which were recorded prior to the issuance of our interim consolidated financial statements. Additionally, this material weakness could result in misstatements of the aforementioned account balances or disclosures that would result in a material misstatement of our annual or interim consolidated financial statements that would not be prevented or detected.</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order to remediate this material weakness, we intend to design and implement a control during interim periods related to the completeness and accuracy of the contract manufacturing accrual process.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cannot assure that the measures we have taken to date, and actions we may take in the future, will be sufficient to remediate the control deficiency that led to this material weakness in our internal control over financial reporting or that they will prevent or avoid potential future material weaknesses. In addition, neither our management nor an independent registered public accounting firm has performed an evaluation of our internal control over financial reporting in accordance with the provisions of the Sarbanes-Oxley Act because no such evaluation has been required. Had we or our independent registered public accounting firm performed an evaluation of our internal control over financial reporting in accordance with the provisions of the Sarbanes-Oxley Act, additional material weaknesses may have been identified. If we are unable to successfully remediate our existing or</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any future material weaknesses in our internal control over financial reporting, or we identify any additional material weaknesses, the accuracy and timing of our financial reporting may be adversely affected, potentially resulting in restatements of our consolidated financial statements; we may be unable to maintain compliance with securities law requirements regarding timely filing of periodic reports and applicable Nasdaq listing requirements; investors may lose confidence in our financial reporting; and our stock price may decline as a result.</w:t>
      </w:r>
    </w:p>
    <w:p>
      <w:pPr>
        <w:spacing w:after="0" w:line="279" w:lineRule="exact"/>
        <w:rPr>
          <w:sz w:val="20"/>
          <w:szCs w:val="20"/>
          <w:color w:val="auto"/>
        </w:rPr>
      </w:pPr>
    </w:p>
    <w:p>
      <w:pPr>
        <w:ind w:left="560" w:right="200"/>
        <w:spacing w:after="0" w:line="308" w:lineRule="auto"/>
        <w:rPr>
          <w:sz w:val="20"/>
          <w:szCs w:val="20"/>
          <w:color w:val="auto"/>
        </w:rPr>
      </w:pPr>
      <w:r>
        <w:rPr>
          <w:rFonts w:ascii="Arial" w:cs="Arial" w:eastAsia="Arial" w:hAnsi="Arial"/>
          <w:sz w:val="17"/>
          <w:szCs w:val="17"/>
          <w:b w:val="1"/>
          <w:bCs w:val="1"/>
          <w:i w:val="1"/>
          <w:iCs w:val="1"/>
          <w:color w:val="auto"/>
        </w:rPr>
        <w:t>If we are unable to design and maintain effective internal control over financial reporting in the future, investors may lose confidence in the accuracy and completeness of our financial reports and the market price of our common stock may decline.</w:t>
      </w:r>
    </w:p>
    <w:p>
      <w:pPr>
        <w:spacing w:after="0" w:line="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Ensuring that we have adequate internal control over financial reporting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In connection with this offering, we intend to begin the process of documenting, reviewing and improving our internal control over financial reporting for compliance with Section 404 of the Sarbanes-Oxley Act, which will require annual management assessment of the effectiveness of our internal control over financial reporting.</w:t>
      </w:r>
    </w:p>
    <w:p>
      <w:pPr>
        <w:spacing w:after="0" w:line="70"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Implementing any appropriate changes to our internal control over financial reporting may distract our officers and employees, entail substantial costs to modify our existing processes, and take significant time to complete. These changes may not, however, be effective in establishing and maintaining the adequacy of our internal controls, and any failure to maintain that adequacy, or consequent inability to produce accurate financial statements on a timely basis, could increase our operating costs and harm our business. If we fail to remediate our identified material weakness, or identify additional material weaknesses, in our internal control over financial reporting; if we are unable to comply with the requirements of Section 404 of the Sarbanes-Oxley Act in a timely manner; or if we are unable to assert that our internal control over financial reporting is effective, investors may lose confidence in the accuracy and completeness of our financial reports and the market price of our common stock could decline, and we could also become subject to investigations by the stock exchange on which our common stock is listed, the Securities and Exchange Commission, or SEC, or other regulatory authorities, which could require additional financial and management resources.</w:t>
      </w:r>
    </w:p>
    <w:p>
      <w:pPr>
        <w:spacing w:after="0" w:line="274" w:lineRule="exact"/>
        <w:rPr>
          <w:sz w:val="20"/>
          <w:szCs w:val="20"/>
          <w:color w:val="auto"/>
        </w:rPr>
      </w:pPr>
    </w:p>
    <w:p>
      <w:pPr>
        <w:ind w:left="560" w:right="560"/>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equity research analysts publish about us and our business. As a newly public company, we have only limited research coverage by equity research analysts. Equity research analysts may elect not to provide research coverage of our common stock, and such lack of research coverage may adversely affect the market price of our common stock. In the event we do have equity research analyst coverage, we will not have any control over the analysts or the content and opinions included in their reports. The price of our stock could decline if one or more equity research analysts downgrade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A significant portion of our total outstanding shares are restricted from immediate resale but may be sold into the market in the near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This could cause the market price of our common stock to drop significantly, even if our business is doing well.</w:t>
      </w:r>
    </w:p>
    <w:p>
      <w:pPr>
        <w:spacing w:after="0" w:line="103"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16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5980" w:type="dxa"/>
            <w:vAlign w:val="bottom"/>
          </w:tcPr>
          <w:p>
            <w:pPr>
              <w:spacing w:after="0"/>
              <w:rPr>
                <w:sz w:val="17"/>
                <w:szCs w:val="17"/>
                <w:color w:val="auto"/>
              </w:rPr>
            </w:pPr>
          </w:p>
        </w:tc>
      </w:tr>
      <w:tr>
        <w:trPr>
          <w:trHeight w:val="519"/>
        </w:trPr>
        <w:tc>
          <w:tcPr>
            <w:tcW w:w="5140" w:type="dxa"/>
            <w:vAlign w:val="bottom"/>
            <w:gridSpan w:val="3"/>
          </w:tcPr>
          <w:p>
            <w:pPr>
              <w:ind w:left="560"/>
              <w:spacing w:after="0"/>
              <w:rPr>
                <w:sz w:val="20"/>
                <w:szCs w:val="20"/>
                <w:color w:val="auto"/>
              </w:rPr>
            </w:pPr>
            <w:r>
              <w:rPr>
                <w:rFonts w:ascii="Arial" w:cs="Arial" w:eastAsia="Arial" w:hAnsi="Arial"/>
                <w:sz w:val="18"/>
                <w:szCs w:val="18"/>
                <w:color w:val="auto"/>
                <w:w w:val="99"/>
              </w:rPr>
              <w:t>Upon the closing of this offering, we will have outstanding</w:t>
            </w:r>
          </w:p>
        </w:tc>
        <w:tc>
          <w:tcPr>
            <w:tcW w:w="5980" w:type="dxa"/>
            <w:vAlign w:val="bottom"/>
          </w:tcPr>
          <w:p>
            <w:pPr>
              <w:jc w:val="right"/>
              <w:spacing w:after="0"/>
              <w:rPr>
                <w:sz w:val="20"/>
                <w:szCs w:val="20"/>
                <w:color w:val="auto"/>
              </w:rPr>
            </w:pPr>
            <w:r>
              <w:rPr>
                <w:rFonts w:ascii="Arial" w:cs="Arial" w:eastAsia="Arial" w:hAnsi="Arial"/>
                <w:sz w:val="18"/>
                <w:szCs w:val="18"/>
                <w:color w:val="auto"/>
                <w:w w:val="96"/>
              </w:rPr>
              <w:t>shares of common stock, after giving effect to the automatic conversion of our</w:t>
            </w:r>
          </w:p>
        </w:tc>
      </w:tr>
      <w:tr>
        <w:trPr>
          <w:trHeight w:val="216"/>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outstanding preferred stock into</w:t>
            </w:r>
          </w:p>
        </w:tc>
        <w:tc>
          <w:tcPr>
            <w:tcW w:w="8100" w:type="dxa"/>
            <w:vAlign w:val="bottom"/>
            <w:gridSpan w:val="2"/>
          </w:tcPr>
          <w:p>
            <w:pPr>
              <w:jc w:val="right"/>
              <w:spacing w:after="0"/>
              <w:rPr>
                <w:sz w:val="20"/>
                <w:szCs w:val="20"/>
                <w:color w:val="auto"/>
              </w:rPr>
            </w:pPr>
            <w:r>
              <w:rPr>
                <w:rFonts w:ascii="Arial" w:cs="Arial" w:eastAsia="Arial" w:hAnsi="Arial"/>
                <w:sz w:val="18"/>
                <w:szCs w:val="18"/>
                <w:color w:val="auto"/>
                <w:w w:val="96"/>
              </w:rPr>
              <w:t>shares of our common stock, and assuming no exercise of outstanding options to purchase shares of our</w:t>
            </w:r>
          </w:p>
        </w:tc>
      </w:tr>
      <w:tr>
        <w:trPr>
          <w:trHeight w:val="230"/>
        </w:trPr>
        <w:tc>
          <w:tcPr>
            <w:tcW w:w="3020" w:type="dxa"/>
            <w:vAlign w:val="bottom"/>
            <w:gridSpan w:val="2"/>
          </w:tcPr>
          <w:p>
            <w:pPr>
              <w:ind w:left="120"/>
              <w:spacing w:after="0"/>
              <w:rPr>
                <w:sz w:val="20"/>
                <w:szCs w:val="20"/>
                <w:color w:val="auto"/>
              </w:rPr>
            </w:pPr>
            <w:r>
              <w:rPr>
                <w:rFonts w:ascii="Arial" w:cs="Arial" w:eastAsia="Arial" w:hAnsi="Arial"/>
                <w:sz w:val="18"/>
                <w:szCs w:val="18"/>
                <w:color w:val="auto"/>
                <w:w w:val="99"/>
              </w:rPr>
              <w:t>common stock. Of these shares, the</w:t>
            </w:r>
          </w:p>
        </w:tc>
        <w:tc>
          <w:tcPr>
            <w:tcW w:w="8100" w:type="dxa"/>
            <w:vAlign w:val="bottom"/>
            <w:gridSpan w:val="2"/>
          </w:tcPr>
          <w:p>
            <w:pPr>
              <w:jc w:val="right"/>
              <w:spacing w:after="0"/>
              <w:rPr>
                <w:sz w:val="20"/>
                <w:szCs w:val="20"/>
                <w:color w:val="auto"/>
              </w:rPr>
            </w:pPr>
            <w:r>
              <w:rPr>
                <w:rFonts w:ascii="Arial" w:cs="Arial" w:eastAsia="Arial" w:hAnsi="Arial"/>
                <w:sz w:val="18"/>
                <w:szCs w:val="18"/>
                <w:color w:val="auto"/>
                <w:w w:val="97"/>
              </w:rPr>
              <w:t>shares sold in this offering will be freely tradable and substantially all of the additional shares of common</w:t>
            </w:r>
          </w:p>
        </w:tc>
      </w:tr>
    </w:tbl>
    <w:p>
      <w:pPr>
        <w:jc w:val="both"/>
        <w:ind w:left="1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 will be available for sale in the public market beginning 180 days after the date of this prospectus following the expiration of lock-up agreements between some of our stockholders and the underwriters. Morgan Stanley &amp; Co. LLC and Jefferies LLC may release these stockholders from their lock-up agreements with the underwriters at any time and without notice, which would allow for earlier sales of shares in the public market.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promptly following the closing of this offering, we intend to file one or more registration statements on Form S-8 under the Securities</w:t>
      </w:r>
    </w:p>
    <w:p>
      <w:pPr>
        <w:spacing w:after="0" w:line="46"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Act of 1933, as 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93"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65" w:lineRule="exact"/>
        <w:rPr>
          <w:sz w:val="20"/>
          <w:szCs w:val="20"/>
          <w:color w:val="auto"/>
        </w:rPr>
      </w:pPr>
    </w:p>
    <w:p>
      <w:pPr>
        <w:ind w:left="560" w:right="18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There are provisions in our certificate of incorporation and bylaws to be in effect upon the closing of this offering that may make it difficult for a third party to acquire, or attempt to acquire, control of our company, even if a change of control was considered favorable by you and other stockholders.</w:t>
      </w:r>
    </w:p>
    <w:p>
      <w:pPr>
        <w:jc w:val="both"/>
        <w:ind w:left="120" w:right="20"/>
        <w:spacing w:after="0" w:line="295" w:lineRule="auto"/>
        <w:rPr>
          <w:sz w:val="20"/>
          <w:szCs w:val="20"/>
          <w:color w:val="auto"/>
        </w:rPr>
      </w:pPr>
      <w:r>
        <w:rPr>
          <w:rFonts w:ascii="Arial" w:cs="Arial" w:eastAsia="Arial" w:hAnsi="Arial"/>
          <w:sz w:val="16"/>
          <w:szCs w:val="16"/>
          <w:color w:val="auto"/>
        </w:rPr>
        <w:t>For example, our board of directors will have the authority to issue up to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including:</w:t>
      </w:r>
    </w:p>
    <w:p>
      <w:pPr>
        <w:spacing w:after="0" w:line="13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only one of our three classes of directors will be elected each year;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entitled to remove directors other than by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vote and only for cause;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will not be permitted to take actions by written consent;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cannot call a special meeting of stockholders;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submit proposals for consideration at stockholder meetings.</w:t>
      </w:r>
    </w:p>
    <w:p>
      <w:pPr>
        <w:spacing w:after="0" w:line="225"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46"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executive officers, directors and current beneficial owners of 5% or more of our common stock and their respective affiliates beneficially own 80.5% of our outstanding common stock as of July 16, 2021. As a result, these persons, acting together, would be able to significantly influence all matters requiring stockholder approval, including the election and removal of directors, any merger, consolidation, sale of all or substantially all of our assets, or other significant corporate transactions.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57"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the JOBS Act, and may remain an emerging growth company until the last day of the fiscal year following the fifth anniversary of the completion of this offering. However, if certain events occur prior to the end of such five-year period, including if we become a “large accelerated filer,” our annual gross revenues exceed $1.07 billion or we issue more than $1.0 billion of non-convertible debt in the previous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0" w:lineRule="exact"/>
        <w:rPr>
          <w:sz w:val="20"/>
          <w:szCs w:val="20"/>
          <w:color w:val="auto"/>
        </w:rPr>
      </w:pPr>
    </w:p>
    <w:p>
      <w:pPr>
        <w:jc w:val="both"/>
        <w:ind w:left="1080" w:right="20" w:hanging="532"/>
        <w:spacing w:after="0" w:line="263"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 exemption from compliance with the auditor attestation requirement in the assessment of our internal control over financial reporting;</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taken advantage of the reduced reporting burdens in this prospectus. In particular, in this prospectus, we have provided only two years of audited financial statements and we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0"/>
        <w:spacing w:after="0" w:line="277" w:lineRule="auto"/>
        <w:rPr>
          <w:sz w:val="20"/>
          <w:szCs w:val="20"/>
          <w:color w:val="auto"/>
        </w:rPr>
      </w:pPr>
      <w:r>
        <w:rPr>
          <w:rFonts w:ascii="Arial" w:cs="Arial" w:eastAsia="Arial" w:hAnsi="Arial"/>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6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are a “smaller reporting company.” We are therefore entitled to rely on certain reduced disclosure requirements for as long as we remain a smaller reporting company, such as an exemption from providing selected financial data and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stock prices may be more volatile.</w:t>
      </w:r>
    </w:p>
    <w:p>
      <w:pPr>
        <w:spacing w:after="0" w:line="295" w:lineRule="exact"/>
        <w:rPr>
          <w:sz w:val="20"/>
          <w:szCs w:val="20"/>
          <w:color w:val="auto"/>
        </w:rPr>
      </w:pPr>
    </w:p>
    <w:p>
      <w:pPr>
        <w:ind w:left="560" w:right="30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62"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will have broad discretion over the use of proceeds from this offering. You may not agree with our decisions, and our use of the proceeds may not yield any return on your investment. We expect to use the net proceeds to us from this offering, together with our existing cash and cash equivalents, to fund clinical development, manufacturing supply and initial commercialization costs for ADG20, and the remainder for working capital and other general corporate purposes, including development of additional programs in our pipeline. See “Use of Proceeds.” In addition, we may use a portion of the proceeds from this offering to pursue our strategy to in-license or acquire additional product candidates.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74"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6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95" w:lineRule="exact"/>
        <w:rPr>
          <w:sz w:val="20"/>
          <w:szCs w:val="20"/>
          <w:color w:val="auto"/>
        </w:rPr>
      </w:pPr>
    </w:p>
    <w:p>
      <w:pPr>
        <w:ind w:left="560" w:right="60"/>
        <w:spacing w:after="0" w:line="31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4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9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560" w:right="3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demands upon management as a result of becoming a public company, which could lower our profits or make it more difficult to run our business.</w:t>
      </w:r>
    </w:p>
    <w:p>
      <w:pPr>
        <w:spacing w:after="0" w:line="6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the Nasdaq Stock Market.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if we are unable to satisfy our obligations as a public company, we could be subject to delisting of our common stock, fines, sanctions, other regulatory action and potentially civil litigation.</w:t>
      </w:r>
    </w:p>
    <w:p>
      <w:pPr>
        <w:spacing w:after="0" w:line="18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particular, pursuant to Section 404 of the Sarbanes-Oxley Act of 2002, or Section 404, in our second annual report on Form 10-K due to be filed with the SEC after becoming a public company,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internal control over financial reporting, which is both costly and challenging. In this regard, we will need to continue to dedicate internal resources, potentially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have incurred substantial losses since inception and do not expect to become profitable in the near future, if ever. To the extent that we continue to generate taxable losses, unused losses will carry forward to offset future taxable income, if any. As of December 31, 2020, we had U.S. federal net operating loss, or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w:t>
      </w:r>
    </w:p>
    <w:p>
      <w:pPr>
        <w:spacing w:after="0" w:line="192"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Under the Tax Act, as modified by the Coronavirus Aid, Relief and Economic Security Act, or the CARES Act, federal NOLs incurred in taxable years beginning after December 31, 2017 and in future taxable years may carry forward indefinitely, but the deductibility of such federal NOLs incurred in taxable years beginning after December 31, 2020 are limited. It is uncertain how various states will respond to the Tax Act and CARES Act. 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completion of this offering, together with private placements and other transactions that have occurred since our inception, may trigger such an ownership change pursuant to Section 382. We have not conducted a study to assess whether any such ownership changes have occurred. We may experience ownership changes as a result of subsequent shifts in our stock ownership, some of which may be outside of our control. If an ownership change occurs and our ability to use our NOL carryforwards is materially limited, it would harm our financial condition and results of operations by effectively increasing our future tax obligations.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Our business activities will be subject to the Foreign Corrupt Practices Act, or FCPA, and similar anti-bribery and anti-corruption laws.</w:t>
      </w:r>
    </w:p>
    <w:p>
      <w:pPr>
        <w:spacing w:after="0" w:line="140"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we expand our business activities outside of the United States, including our clinical trial efforts, we will be subject to the FCPA and similar anti-bribery or anti-corruption laws, regulations or rules of other countries in which we operate. The FCPA generally prohibits offering, promising, giving or authorizing others to give anything of value, either directly or indirectly, to a non-United States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non-United States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manufacturers, contractors, or collaborators, or those of our affiliates, will comply with all applicable laws and regulations, particularly given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high level of complexity of these laws. Violations of these laws and regulations could result in fines, criminal sanctions against us, our officers, or our employees, the closing down of facilities, including those of our suppliers and manufacturers,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28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Disruptions at the FDA and other agencies may also slow the time necessary for new drugs or biologics to be reviewed and/or approved by necessary government agencies, which would adversely affect our business. For example, over the last several years, including most recently from December 22, 2018 to January 25, 2019,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92"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Separately, in response to the COVID-19 pandemic, on March 10, 2020 the FDA announced its intention to postpone most inspections of foreign manufacturing facilities and products and subsequently,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adverse effect on our business.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more costly to operate. Furthermore, a severe or prolonged economic downturn, including a recession or depression resulting from the current COVID-19 pandemic or political disruption could result in a variety of risks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to our business, including weakened demand for our product candidates or any future product candidates, if approved, and our ability to raise additional capital when needed on acceptable terms, if at all. A weak or declining economy or political disruption, including any international trade disputes, could also strain our manufacturers or suppliers, possibly resulting in supply disruption, or cause our customers to delay making payments for our potential products. Any of the foregoing could seriously harm our business, and we cannot anticipate all of the ways in which the political or economic climate and financial market conditions could seriously harm our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This prospectus contains forward-looking statements that involve substantial risks and uncertainties. The forward-looking statements are contained principally in the sections titled “Prospectus Summary,” “Risk Factors,” “Management’s Discussion and Analysis of Financial Condition and Results of Operations,” “Business” and elsewhere in this prospectus. In some cases, you can identify forward-looking statements by terms such as “may,” “will,” “should,” “expect,” “plan,” “anticipate,” “could,” “intend,” “target,” “project,” “estimate,” “believe,” “predict,” “potential” or “continue” or the negative of these terms or other similar expressions intended to identify statements about the future. These statements speak only as of the date of this prospectus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100" w:lineRule="exact"/>
        <w:rPr>
          <w:sz w:val="20"/>
          <w:szCs w:val="20"/>
          <w:color w:val="auto"/>
        </w:rPr>
      </w:pPr>
    </w:p>
    <w:p>
      <w:pPr>
        <w:jc w:val="both"/>
        <w:ind w:left="1080" w:right="20" w:hanging="532"/>
        <w:spacing w:after="0" w:line="286" w:lineRule="auto"/>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timing, progress and results of our preclinical studies and clinical trials of ADG20 and any future product candidates, including statements regarding the timing of our planned IND submissions, initiation and completion of studies or trials and related preparatory work, the period during which the results of the trials will become available and our research and development programs;</w:t>
      </w:r>
    </w:p>
    <w:p>
      <w:pPr>
        <w:spacing w:after="0" w:line="70"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timing of any submission of filings for regulatory approval of, and our ability to obtain and maintain regulatory approvals for, our current and future product candidates;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manufacturing capabilities and strategy, including the scalability and commercial viability of our manufacturing methods and processes;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our ability to identify patients with the diseases treated by our product candidates and to enroll these patients in our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market acceptance and opportunity for and clinical utility of our product candidates, if approved for commercial use;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expectations regarding the scope of any approved indication for ADG20 or any other product candidate;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successfully commercialize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ability to leverage our platform to identify and develop future product candidates;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capital requirements and our need for or ability to obtain additional funding before we can expect to generate any revenue from product sales and the period over which we expect the net proceeds from this offering, together with our existing cash and cash equivalents, to be sufficient to fund our operations;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competitive position and the development of and projections relating to our competitors or our industry;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business disruptions affecting our preclinical studies or the initiation, patient enrollment, development and operation of our clinical trials, including a public health crisis, such as the outbreak of COVID-19.</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foregoing list of forward-looking statements is not exhaustive. You should refer to the “Risk Factors” section of this prospectus for a discussion of important factors that may cause our actual results to differ materially from those expressed or implied by our forward-looking statements. Other sections of this prospectus may include additional factors that could harm our business and financial performance. Moreover, we operate in an evolving environment. New risk factors and uncertainties may emerge from time to time, and it is not possible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for management to predict all risk factors and uncertainties. As a result of these factors, we cannot assure you that the forward-looking statements in this prospectus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will file from time to time with the SEC after the date of this prospectus.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Although we believe that we have a reasonable basis for each forward-looking statement contained in this prospectus, the events and circumstances reflected in our forward-looking statements may not be achieved or occur and actual results could differ materially from those projected in the forward-looking statements.</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our forward-looking statements by these cautionary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responsible for the disclosure contained in this prospectus. However, this prospectus contains industry, statistical and market data derived from our own internal estimates and research as well as from industry and general publications and research, surveys and studies conducted by third parties. The market and industry data used in this prospectus involve a number of assumptions and limitations, and any estimates underlying such market information and other factors, including those described in the section titled “Risk Factors,” could cause actual results to differ materially from those expressed in the third-party estimates and in our estimates.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07"/>
        </w:trPr>
        <w:tc>
          <w:tcPr>
            <w:tcW w:w="268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534"/>
        </w:trPr>
        <w:tc>
          <w:tcPr>
            <w:tcW w:w="380" w:type="dxa"/>
            <w:vAlign w:val="bottom"/>
            <w:tcBorders>
              <w:top w:val="single" w:sz="8" w:color="0000EE"/>
            </w:tcBorders>
          </w:tcPr>
          <w:p>
            <w:pPr>
              <w:spacing w:after="0"/>
              <w:rPr>
                <w:sz w:val="24"/>
                <w:szCs w:val="24"/>
                <w:color w:val="auto"/>
              </w:rPr>
            </w:pPr>
          </w:p>
        </w:tc>
        <w:tc>
          <w:tcPr>
            <w:tcW w:w="980" w:type="dxa"/>
            <w:vAlign w:val="bottom"/>
            <w:tcBorders>
              <w:top w:val="single" w:sz="8" w:color="0000EE"/>
            </w:tcBorders>
          </w:tcPr>
          <w:p>
            <w:pPr>
              <w:spacing w:after="0"/>
              <w:rPr>
                <w:sz w:val="24"/>
                <w:szCs w:val="24"/>
                <w:color w:val="auto"/>
              </w:rPr>
            </w:pPr>
          </w:p>
        </w:tc>
        <w:tc>
          <w:tcPr>
            <w:tcW w:w="1320" w:type="dxa"/>
            <w:vAlign w:val="bottom"/>
          </w:tcPr>
          <w:p>
            <w:pPr>
              <w:spacing w:after="0"/>
              <w:rPr>
                <w:sz w:val="24"/>
                <w:szCs w:val="24"/>
                <w:color w:val="auto"/>
              </w:rPr>
            </w:pPr>
          </w:p>
        </w:tc>
        <w:tc>
          <w:tcPr>
            <w:tcW w:w="392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97"/>
              </w:rPr>
              <w:t>USE OF PROCEEDS</w:t>
            </w:r>
          </w:p>
        </w:tc>
        <w:tc>
          <w:tcPr>
            <w:tcW w:w="1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80" w:type="dxa"/>
            <w:vAlign w:val="bottom"/>
          </w:tcPr>
          <w:p>
            <w:pPr>
              <w:spacing w:after="0"/>
              <w:rPr>
                <w:sz w:val="24"/>
                <w:szCs w:val="24"/>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w w:val="96"/>
              </w:rPr>
              <w:t>We estimate that the net proceeds to us from our issuance and sale of</w:t>
            </w:r>
          </w:p>
        </w:tc>
        <w:tc>
          <w:tcPr>
            <w:tcW w:w="5180" w:type="dxa"/>
            <w:vAlign w:val="bottom"/>
            <w:gridSpan w:val="4"/>
          </w:tcPr>
          <w:p>
            <w:pPr>
              <w:jc w:val="right"/>
              <w:spacing w:after="0"/>
              <w:rPr>
                <w:sz w:val="20"/>
                <w:szCs w:val="20"/>
                <w:color w:val="auto"/>
              </w:rPr>
            </w:pPr>
            <w:r>
              <w:rPr>
                <w:rFonts w:ascii="Arial" w:cs="Arial" w:eastAsia="Arial" w:hAnsi="Arial"/>
                <w:sz w:val="18"/>
                <w:szCs w:val="18"/>
                <w:color w:val="auto"/>
              </w:rPr>
              <w:t>shares of our common stock in this offering will be approximately</w:t>
            </w:r>
          </w:p>
        </w:tc>
      </w:tr>
      <w:tr>
        <w:trPr>
          <w:trHeight w:val="216"/>
        </w:trPr>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2300" w:type="dxa"/>
            <w:vAlign w:val="bottom"/>
            <w:gridSpan w:val="2"/>
          </w:tcPr>
          <w:p>
            <w:pPr>
              <w:ind w:left="220"/>
              <w:spacing w:after="0"/>
              <w:rPr>
                <w:sz w:val="20"/>
                <w:szCs w:val="20"/>
                <w:color w:val="auto"/>
              </w:rPr>
            </w:pPr>
            <w:r>
              <w:rPr>
                <w:rFonts w:ascii="Arial" w:cs="Arial" w:eastAsia="Arial" w:hAnsi="Arial"/>
                <w:sz w:val="18"/>
                <w:szCs w:val="18"/>
                <w:color w:val="auto"/>
                <w:w w:val="98"/>
              </w:rPr>
              <w:t>million (or approximately $</w:t>
            </w:r>
          </w:p>
        </w:tc>
        <w:tc>
          <w:tcPr>
            <w:tcW w:w="5880" w:type="dxa"/>
            <w:vAlign w:val="bottom"/>
            <w:gridSpan w:val="3"/>
          </w:tcPr>
          <w:p>
            <w:pPr>
              <w:jc w:val="center"/>
              <w:spacing w:after="0"/>
              <w:rPr>
                <w:sz w:val="20"/>
                <w:szCs w:val="20"/>
                <w:color w:val="auto"/>
              </w:rPr>
            </w:pPr>
            <w:r>
              <w:rPr>
                <w:rFonts w:ascii="Arial" w:cs="Arial" w:eastAsia="Arial" w:hAnsi="Arial"/>
                <w:sz w:val="18"/>
                <w:szCs w:val="18"/>
                <w:color w:val="auto"/>
                <w:w w:val="94"/>
              </w:rPr>
              <w:t>million if the underwriters exercise in full their option to purchase up to</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w w:val="99"/>
              </w:rPr>
              <w:t>additional shares), assuming an</w:t>
            </w:r>
          </w:p>
        </w:tc>
      </w:tr>
      <w:tr>
        <w:trPr>
          <w:trHeight w:val="216"/>
        </w:trPr>
        <w:tc>
          <w:tcPr>
            <w:tcW w:w="2680" w:type="dxa"/>
            <w:vAlign w:val="bottom"/>
            <w:gridSpan w:val="3"/>
          </w:tcPr>
          <w:p>
            <w:pPr>
              <w:ind w:left="120"/>
              <w:spacing w:after="0"/>
              <w:rPr>
                <w:sz w:val="20"/>
                <w:szCs w:val="20"/>
                <w:color w:val="auto"/>
              </w:rPr>
            </w:pPr>
            <w:r>
              <w:rPr>
                <w:rFonts w:ascii="Arial" w:cs="Arial" w:eastAsia="Arial" w:hAnsi="Arial"/>
                <w:sz w:val="18"/>
                <w:szCs w:val="18"/>
                <w:color w:val="auto"/>
              </w:rPr>
              <w:t>initial public offering price of $</w:t>
            </w:r>
          </w:p>
        </w:tc>
        <w:tc>
          <w:tcPr>
            <w:tcW w:w="8460" w:type="dxa"/>
            <w:vAlign w:val="bottom"/>
            <w:gridSpan w:val="5"/>
          </w:tcPr>
          <w:p>
            <w:pPr>
              <w:jc w:val="right"/>
              <w:spacing w:after="0"/>
              <w:rPr>
                <w:sz w:val="20"/>
                <w:szCs w:val="20"/>
                <w:color w:val="auto"/>
              </w:rPr>
            </w:pPr>
            <w:r>
              <w:rPr>
                <w:rFonts w:ascii="Arial" w:cs="Arial" w:eastAsia="Arial" w:hAnsi="Arial"/>
                <w:sz w:val="18"/>
                <w:szCs w:val="18"/>
                <w:color w:val="auto"/>
                <w:w w:val="90"/>
              </w:rPr>
              <w:t>per share, which is the midpoint of the estimated price range set forth on the cover page of this prospectus, and after</w:t>
            </w:r>
          </w:p>
        </w:tc>
      </w:tr>
      <w:tr>
        <w:trPr>
          <w:trHeight w:val="230"/>
        </w:trPr>
        <w:tc>
          <w:tcPr>
            <w:tcW w:w="8560" w:type="dxa"/>
            <w:vAlign w:val="bottom"/>
            <w:gridSpan w:val="6"/>
          </w:tcPr>
          <w:p>
            <w:pPr>
              <w:ind w:left="120"/>
              <w:spacing w:after="0"/>
              <w:rPr>
                <w:sz w:val="20"/>
                <w:szCs w:val="20"/>
                <w:color w:val="auto"/>
              </w:rPr>
            </w:pPr>
            <w:r>
              <w:rPr>
                <w:rFonts w:ascii="Arial" w:cs="Arial" w:eastAsia="Arial" w:hAnsi="Arial"/>
                <w:sz w:val="18"/>
                <w:szCs w:val="18"/>
                <w:color w:val="auto"/>
                <w:w w:val="96"/>
              </w:rPr>
              <w:t>deducting estimated underwriting discounts and commissions and estimated offering expenses payable by us.</w:t>
            </w:r>
          </w:p>
        </w:tc>
        <w:tc>
          <w:tcPr>
            <w:tcW w:w="74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18"/>
        </w:trPr>
        <w:tc>
          <w:tcPr>
            <w:tcW w:w="380" w:type="dxa"/>
            <w:vAlign w:val="bottom"/>
          </w:tcPr>
          <w:p>
            <w:pPr>
              <w:spacing w:after="0"/>
              <w:rPr>
                <w:sz w:val="24"/>
                <w:szCs w:val="24"/>
                <w:color w:val="auto"/>
              </w:rPr>
            </w:pPr>
          </w:p>
        </w:tc>
        <w:tc>
          <w:tcPr>
            <w:tcW w:w="6220" w:type="dxa"/>
            <w:vAlign w:val="bottom"/>
            <w:gridSpan w:val="4"/>
          </w:tcPr>
          <w:p>
            <w:pPr>
              <w:ind w:left="180"/>
              <w:spacing w:after="0"/>
              <w:rPr>
                <w:sz w:val="20"/>
                <w:szCs w:val="20"/>
                <w:color w:val="auto"/>
              </w:rPr>
            </w:pPr>
            <w:r>
              <w:rPr>
                <w:rFonts w:ascii="Arial" w:cs="Arial" w:eastAsia="Arial" w:hAnsi="Arial"/>
                <w:sz w:val="18"/>
                <w:szCs w:val="18"/>
                <w:color w:val="auto"/>
                <w:w w:val="95"/>
              </w:rPr>
              <w:t>Each $1.00 increase or decrease in the assumed initial public offering price of $</w:t>
            </w:r>
          </w:p>
        </w:tc>
        <w:tc>
          <w:tcPr>
            <w:tcW w:w="4540" w:type="dxa"/>
            <w:vAlign w:val="bottom"/>
            <w:gridSpan w:val="3"/>
          </w:tcPr>
          <w:p>
            <w:pPr>
              <w:jc w:val="right"/>
              <w:spacing w:after="0"/>
              <w:rPr>
                <w:sz w:val="20"/>
                <w:szCs w:val="20"/>
                <w:color w:val="auto"/>
              </w:rPr>
            </w:pPr>
            <w:r>
              <w:rPr>
                <w:rFonts w:ascii="Arial" w:cs="Arial" w:eastAsia="Arial" w:hAnsi="Arial"/>
                <w:sz w:val="18"/>
                <w:szCs w:val="18"/>
                <w:color w:val="auto"/>
                <w:w w:val="93"/>
              </w:rPr>
              <w:t>per share, which is the midpoint of the estimated price range</w:t>
            </w:r>
          </w:p>
        </w:tc>
      </w:tr>
      <w:tr>
        <w:trPr>
          <w:trHeight w:val="230"/>
        </w:trPr>
        <w:tc>
          <w:tcPr>
            <w:tcW w:w="9300" w:type="dxa"/>
            <w:vAlign w:val="bottom"/>
            <w:gridSpan w:val="7"/>
          </w:tcPr>
          <w:p>
            <w:pPr>
              <w:ind w:left="120"/>
              <w:spacing w:after="0"/>
              <w:rPr>
                <w:sz w:val="20"/>
                <w:szCs w:val="20"/>
                <w:color w:val="auto"/>
              </w:rPr>
            </w:pPr>
            <w:r>
              <w:rPr>
                <w:rFonts w:ascii="Arial" w:cs="Arial" w:eastAsia="Arial" w:hAnsi="Arial"/>
                <w:sz w:val="18"/>
                <w:szCs w:val="18"/>
                <w:color w:val="auto"/>
                <w:w w:val="96"/>
              </w:rPr>
              <w:t>set forth on the cover page of this prospectus, would increase or decrease the net proceeds to us from this offering by $</w:t>
            </w:r>
          </w:p>
        </w:tc>
        <w:tc>
          <w:tcPr>
            <w:tcW w:w="1840" w:type="dxa"/>
            <w:vAlign w:val="bottom"/>
          </w:tcPr>
          <w:p>
            <w:pPr>
              <w:jc w:val="right"/>
              <w:spacing w:after="0"/>
              <w:rPr>
                <w:sz w:val="20"/>
                <w:szCs w:val="20"/>
                <w:color w:val="auto"/>
              </w:rPr>
            </w:pPr>
            <w:r>
              <w:rPr>
                <w:rFonts w:ascii="Arial" w:cs="Arial" w:eastAsia="Arial" w:hAnsi="Arial"/>
                <w:sz w:val="18"/>
                <w:szCs w:val="18"/>
                <w:color w:val="auto"/>
              </w:rPr>
              <w:t>million, assuming the</w:t>
            </w:r>
          </w:p>
        </w:tc>
      </w:tr>
    </w:tbl>
    <w:p>
      <w:pPr>
        <w:jc w:val="both"/>
        <w:ind w:left="120" w:right="20"/>
        <w:spacing w:after="0" w:line="30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as</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set forth on the cover page of this prospectus, would increase or decrease the net proceeds to us from this offering by $ million, assuming no change in the assumed initial public offering price per share and after deducting estimated underwriting discounts and commissions and estimated offering expenses payable by us. We do not expect that a change in the initial public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9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March 31, 2021, we had cash and cash equivalents of $91.2 million. In April 2021, we received gross proceeds of $335.5 million from the issuance and sale of our Series C preferred stock. We intend to use the net proceeds from this offering, together with our existing cash and cash equivalents, as follows:</w:t>
      </w:r>
    </w:p>
    <w:p>
      <w:pPr>
        <w:spacing w:after="0" w:line="89" w:lineRule="exact"/>
        <w:rPr>
          <w:sz w:val="20"/>
          <w:szCs w:val="20"/>
          <w:color w:val="auto"/>
        </w:rPr>
      </w:pPr>
    </w:p>
    <w:p>
      <w:pPr>
        <w:ind w:left="540"/>
        <w:spacing w:after="0"/>
        <w:tabs>
          <w:tab w:leader="none" w:pos="1060" w:val="left"/>
          <w:tab w:leader="none" w:pos="29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approximately $</w:t>
      </w:r>
      <w:r>
        <w:rPr>
          <w:sz w:val="20"/>
          <w:szCs w:val="20"/>
          <w:color w:val="auto"/>
        </w:rPr>
        <w:tab/>
      </w:r>
      <w:r>
        <w:rPr>
          <w:rFonts w:ascii="Arial" w:cs="Arial" w:eastAsia="Arial" w:hAnsi="Arial"/>
          <w:sz w:val="16"/>
          <w:szCs w:val="16"/>
          <w:color w:val="auto"/>
        </w:rPr>
        <w:t>million to fund clinical development, manufacturing supply and initial commercialization costs for ADG20; and</w:t>
      </w:r>
    </w:p>
    <w:p>
      <w:pPr>
        <w:spacing w:after="0" w:line="131"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remainder for working capital and other general corporate purposes, including development of additional programs in our pipeline.</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may also use a portion of the net proceeds from this offering to in-license, acquire or invest in complementary businesses, technologies, products or assets, although we have no current agreements, commitments or understandings to do so.</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We believe that the net proceeds from this offering, together with our existing cash and cash equivalents, which includes the proceeds from the issuance and sale of our Series C preferred stock in April 2021, will enable us to fund our operating expenses and capital expenditure requirements</w:t>
      </w:r>
    </w:p>
    <w:p>
      <w:pPr>
        <w:ind w:left="120" w:right="20"/>
        <w:spacing w:after="0" w:line="255" w:lineRule="auto"/>
        <w:rPr>
          <w:sz w:val="20"/>
          <w:szCs w:val="20"/>
          <w:color w:val="auto"/>
        </w:rPr>
      </w:pPr>
      <w:r>
        <w:rPr>
          <w:rFonts w:ascii="Arial" w:cs="Arial" w:eastAsia="Arial" w:hAnsi="Arial"/>
          <w:sz w:val="18"/>
          <w:szCs w:val="18"/>
          <w:color w:val="auto"/>
        </w:rPr>
        <w:t>through . Based on our current operational plans and assumptions, we expect the net proceeds from this offering, together with our existing cash and cash equivalents, will be sufficient to . We have based this estimate on assumptions that may prove to be wrong, and we could exhaust our available capital resources sooner than we expect.</w:t>
      </w:r>
    </w:p>
    <w:p>
      <w:pPr>
        <w:spacing w:after="0" w:line="19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As of the date of this prospectus, we cannot predict with certainty all of the particular uses for the net proceeds to be received upon the closing of this offering or the amounts that we will actually spend on the uses set forth above. The amounts and timing of our actual expenditures may vary significantly depending on numerous factors, including the progress of our development, the status of and results from preclinical studies or clinical trials we have ongoing or may commence in the future, any collaborations that we may enter into with third parties for our product candidates or strategic opportunities that become available to us, as well as any unforeseen cash needs.</w:t>
      </w:r>
    </w:p>
    <w:p>
      <w:pPr>
        <w:spacing w:after="0" w:line="195"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use, we plan to invest the net proceeds from this offering in short-term, interest bearing obligations, investment-grade instruments, certificates of deposit or direct or guaranteed obligations of the United States.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46"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We have never declared or paid, and do not anticipate declaring or paying in the foreseeable future, any cash dividends on our capital stock. We currently intend to retain all available funds and any future earnings to support our operations and finance the growth and development of our business.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2021:</w:t>
      </w:r>
    </w:p>
    <w:p>
      <w:pPr>
        <w:spacing w:after="0" w:line="131"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jc w:val="both"/>
        <w:ind w:left="1080" w:right="20" w:hanging="532"/>
        <w:spacing w:after="0" w:line="279" w:lineRule="auto"/>
        <w:tabs>
          <w:tab w:leader="none" w:pos="10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on a pro forma basis to give effect to (i) our issuance and sale in April 2021 of 4,296,550 shares of our Series C preferred stock for gross proceeds of $335.5 million, (ii) the automatic conversion of all outstanding shares of our preferred stock, including our Series C preferred stock, into an aggregate of 16,944,484 shares of common stock upon the closing of this offering and (iii) the filing and effectiveness of our amended and restated certificate of incorporation immediately prior to the completion of this offering; and</w:t>
      </w:r>
    </w:p>
    <w:p>
      <w:pPr>
        <w:sectPr>
          <w:pgSz w:w="11900" w:h="16838" w:orient="portrait"/>
          <w:cols w:equalWidth="0" w:num="1">
            <w:col w:w="11140"/>
          </w:cols>
          <w:pgMar w:left="320" w:top="459" w:right="439" w:bottom="1440" w:gutter="0" w:footer="0" w:header="0"/>
        </w:sectPr>
      </w:pP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a pro forma as adjusted basis to give further effect to our issuance and sale of shares of our common stock in this offering at an assumed initial public offering price of $ per share, which is the midpoint of the estimated price range set forth on the cover page of this prospectus, after deducting estimated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620" w:space="460"/>
            <w:col w:w="10060"/>
          </w:cols>
          <w:pgMar w:left="320" w:top="459" w:right="439" w:bottom="1440" w:gutter="0" w:footer="0" w:header="0"/>
          <w:type w:val="continuous"/>
        </w:sectPr>
      </w:pPr>
    </w:p>
    <w:p>
      <w:pPr>
        <w:jc w:val="both"/>
        <w:ind w:left="120" w:firstLine="440"/>
        <w:spacing w:after="0" w:line="263" w:lineRule="auto"/>
        <w:rPr>
          <w:sz w:val="20"/>
          <w:szCs w:val="20"/>
          <w:color w:val="auto"/>
        </w:rPr>
      </w:pPr>
      <w:r>
        <w:rPr>
          <w:rFonts w:ascii="Arial" w:cs="Arial" w:eastAsia="Arial" w:hAnsi="Arial"/>
          <w:sz w:val="18"/>
          <w:szCs w:val="18"/>
          <w:color w:val="auto"/>
        </w:rPr>
        <w:t>You should read the information in this table together with our consolidated financial statements and the related notes appearing at the end of this prospectus and the “Selected Consolidated Financial Data” and “Management’s Discussion and Analysis of Financial Condition and Results of Operations” sections of this prospectus.</w:t>
      </w:r>
    </w:p>
    <w:p>
      <w:pPr>
        <w:spacing w:after="0" w:line="8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3"/>
              </w:rPr>
              <w:t>As of March 31, 2021</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0"/>
                <w:szCs w:val="10"/>
                <w:color w:val="auto"/>
              </w:rPr>
            </w:pPr>
          </w:p>
        </w:tc>
        <w:tc>
          <w:tcPr>
            <w:tcW w:w="1260" w:type="dxa"/>
            <w:vAlign w:val="bottom"/>
            <w:gridSpan w:val="3"/>
            <w:vMerge w:val="restart"/>
          </w:tcPr>
          <w:p>
            <w:pPr>
              <w:jc w:val="center"/>
              <w:ind w:right="540"/>
              <w:spacing w:after="0"/>
              <w:rPr>
                <w:sz w:val="20"/>
                <w:szCs w:val="20"/>
                <w:color w:val="auto"/>
              </w:rPr>
            </w:pPr>
            <w:r>
              <w:rPr>
                <w:rFonts w:ascii="Arial" w:cs="Arial" w:eastAsia="Arial" w:hAnsi="Arial"/>
                <w:sz w:val="14"/>
                <w:szCs w:val="14"/>
                <w:b w:val="1"/>
                <w:bCs w:val="1"/>
                <w:color w:val="auto"/>
                <w:w w:val="97"/>
              </w:rPr>
              <w:t>Pro Forma</w:t>
            </w:r>
          </w:p>
        </w:tc>
        <w:tc>
          <w:tcPr>
            <w:tcW w:w="7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200" w:type="dxa"/>
            <w:vAlign w:val="bottom"/>
            <w:tcBorders>
              <w:top w:val="single" w:sz="8" w:color="auto"/>
            </w:tcBorders>
            <w:gridSpan w:val="8"/>
          </w:tcPr>
          <w:p>
            <w:pPr>
              <w:jc w:val="center"/>
              <w:ind w:right="18"/>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share data)</w:t>
            </w: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91,247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426,746</w:t>
            </w: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4"/>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760" w:type="dxa"/>
            <w:vAlign w:val="bottom"/>
            <w:gridSpan w:val="5"/>
          </w:tcPr>
          <w:p>
            <w:pPr>
              <w:spacing w:after="0"/>
              <w:rPr>
                <w:sz w:val="20"/>
                <w:szCs w:val="20"/>
                <w:color w:val="auto"/>
              </w:rPr>
            </w:pPr>
            <w:r>
              <w:rPr>
                <w:rFonts w:ascii="Arial" w:cs="Arial" w:eastAsia="Arial" w:hAnsi="Arial"/>
                <w:sz w:val="18"/>
                <w:szCs w:val="18"/>
                <w:color w:val="auto"/>
              </w:rPr>
              <w:t>Convertible preferred stock, $0.0001 par value; 12,647,934 shares authorized, issued and</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ind w:left="180"/>
              <w:spacing w:after="0"/>
              <w:rPr>
                <w:sz w:val="20"/>
                <w:szCs w:val="20"/>
                <w:color w:val="auto"/>
              </w:rPr>
            </w:pPr>
            <w:r>
              <w:rPr>
                <w:rFonts w:ascii="Arial" w:cs="Arial" w:eastAsia="Arial" w:hAnsi="Arial"/>
                <w:sz w:val="18"/>
                <w:szCs w:val="18"/>
                <w:color w:val="auto"/>
              </w:rPr>
              <w:t>outstanding, actual; no shares authorized,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380" w:type="dxa"/>
            <w:vAlign w:val="bottom"/>
          </w:tcPr>
          <w:p>
            <w:pPr>
              <w:ind w:left="18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169,548</w:t>
            </w:r>
          </w:p>
        </w:tc>
        <w:tc>
          <w:tcPr>
            <w:tcW w:w="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60" w:type="dxa"/>
            <w:vAlign w:val="bottom"/>
            <w:gridSpan w:val="5"/>
          </w:tcPr>
          <w:p>
            <w:pPr>
              <w:ind w:left="360"/>
              <w:spacing w:after="0" w:line="201" w:lineRule="exact"/>
              <w:rPr>
                <w:sz w:val="20"/>
                <w:szCs w:val="20"/>
                <w:color w:val="auto"/>
              </w:rPr>
            </w:pPr>
            <w:r>
              <w:rPr>
                <w:rFonts w:ascii="Arial" w:cs="Arial" w:eastAsia="Arial" w:hAnsi="Arial"/>
                <w:sz w:val="18"/>
                <w:szCs w:val="18"/>
                <w:color w:val="auto"/>
              </w:rPr>
              <w:t>Preferred stock, $0.0001 par value; no shares authorized, issued or outstanding, actual;</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5"/>
          </w:tcPr>
          <w:p>
            <w:pPr>
              <w:jc w:val="right"/>
              <w:ind w:right="670"/>
              <w:spacing w:after="0"/>
              <w:rPr>
                <w:sz w:val="20"/>
                <w:szCs w:val="20"/>
                <w:color w:val="auto"/>
              </w:rPr>
            </w:pPr>
            <w:r>
              <w:rPr>
                <w:rFonts w:ascii="Arial" w:cs="Arial" w:eastAsia="Arial" w:hAnsi="Arial"/>
                <w:sz w:val="18"/>
                <w:szCs w:val="18"/>
                <w:color w:val="auto"/>
              </w:rPr>
              <w:t>shares authorized and no shares issued or outstanding, pro forma and pro forma as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ind w:left="540"/>
              <w:spacing w:after="0"/>
              <w:rPr>
                <w:sz w:val="20"/>
                <w:szCs w:val="20"/>
                <w:color w:val="auto"/>
              </w:rPr>
            </w:pPr>
            <w:r>
              <w:rPr>
                <w:rFonts w:ascii="Arial" w:cs="Arial" w:eastAsia="Arial" w:hAnsi="Arial"/>
                <w:sz w:val="18"/>
                <w:szCs w:val="18"/>
                <w:color w:val="auto"/>
              </w:rPr>
              <w:t>adjusted</w:t>
            </w:r>
          </w:p>
        </w:tc>
        <w:tc>
          <w:tcPr>
            <w:tcW w:w="2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760" w:type="dxa"/>
            <w:vAlign w:val="bottom"/>
            <w:gridSpan w:val="5"/>
            <w:shd w:val="clear" w:color="auto" w:fill="CCEEFF"/>
          </w:tcPr>
          <w:p>
            <w:pPr>
              <w:ind w:left="360"/>
              <w:spacing w:after="0" w:line="201" w:lineRule="exact"/>
              <w:rPr>
                <w:sz w:val="20"/>
                <w:szCs w:val="20"/>
                <w:color w:val="auto"/>
              </w:rPr>
            </w:pPr>
            <w:r>
              <w:rPr>
                <w:rFonts w:ascii="Arial" w:cs="Arial" w:eastAsia="Arial" w:hAnsi="Arial"/>
                <w:sz w:val="18"/>
                <w:szCs w:val="18"/>
                <w:color w:val="auto"/>
                <w:w w:val="96"/>
              </w:rPr>
              <w:t>Common stock, $0.0001 par value; 19,000,000 shares authorized, 5,638,648 shares issued and</w:t>
            </w: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1,118,648 shares outstanding, actual;</w:t>
            </w:r>
          </w:p>
        </w:tc>
        <w:tc>
          <w:tcPr>
            <w:tcW w:w="408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w w:val="89"/>
              </w:rPr>
              <w:t>shares authorized, 22,583,132 shares issued and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1"/>
              </w:rPr>
              <w:t>18,063,132 shares outstanding, pro forma;</w:t>
            </w:r>
          </w:p>
        </w:tc>
        <w:tc>
          <w:tcPr>
            <w:tcW w:w="2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shares authorized,</w:t>
            </w:r>
          </w:p>
        </w:tc>
        <w:tc>
          <w:tcPr>
            <w:tcW w:w="200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shares issued</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outstanding, pro forma as adjusted</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w:t>
            </w: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w w:val="99"/>
              </w:rPr>
              <w:t>Treasury stock, at cost; 4,520,000 shares</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742</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505,787</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ind w:left="360"/>
              <w:spacing w:after="0"/>
              <w:rPr>
                <w:sz w:val="20"/>
                <w:szCs w:val="20"/>
                <w:color w:val="auto"/>
              </w:rPr>
            </w:pPr>
            <w:r>
              <w:rPr>
                <w:rFonts w:ascii="Arial" w:cs="Arial" w:eastAsia="Arial" w:hAnsi="Arial"/>
                <w:sz w:val="18"/>
                <w:szCs w:val="18"/>
                <w:color w:val="auto"/>
              </w:rPr>
              <w:t>Accumulated deficit</w:t>
            </w:r>
          </w:p>
        </w:tc>
        <w:tc>
          <w:tcPr>
            <w:tcW w:w="20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w w:val="88"/>
              </w:rPr>
              <w:t>(104,019)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0"/>
              </w:rPr>
              <w:t>(104,019)</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stockholders’ equity (deficit)</w:t>
            </w:r>
          </w:p>
        </w:tc>
        <w:tc>
          <w:tcPr>
            <w:tcW w:w="20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8"/>
              </w:rPr>
              <w:t>(103,362)</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401,685</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20"/>
                <w:szCs w:val="20"/>
                <w:color w:val="auto"/>
              </w:rPr>
            </w:pPr>
            <w:r>
              <w:rPr>
                <w:rFonts w:ascii="Arial" w:cs="Arial" w:eastAsia="Arial" w:hAnsi="Arial"/>
                <w:sz w:val="18"/>
                <w:szCs w:val="18"/>
                <w:color w:val="auto"/>
                <w:w w:val="91"/>
              </w:rPr>
              <w:t>Total capitalization</w:t>
            </w:r>
          </w:p>
        </w:tc>
        <w:tc>
          <w:tcPr>
            <w:tcW w:w="23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66,186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401,685</w:t>
            </w:r>
          </w:p>
        </w:tc>
        <w:tc>
          <w:tcPr>
            <w:tcW w:w="5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The pro forma as adjusted information above is illustrative only, and our capitalization following the completion of this offering will depend on the actual initial public offering price and other terms of this offering determined at pricing. Each $1.00 increase or decrease in the assumed initial public</w:t>
      </w:r>
    </w:p>
    <w:p>
      <w:pPr>
        <w:jc w:val="both"/>
        <w:ind w:left="120"/>
        <w:spacing w:after="0" w:line="260" w:lineRule="auto"/>
        <w:rPr>
          <w:sz w:val="20"/>
          <w:szCs w:val="20"/>
          <w:color w:val="auto"/>
        </w:rPr>
      </w:pPr>
      <w:r>
        <w:rPr>
          <w:rFonts w:ascii="Arial" w:cs="Arial" w:eastAsia="Arial" w:hAnsi="Arial"/>
          <w:sz w:val="18"/>
          <w:szCs w:val="18"/>
          <w:color w:val="auto"/>
        </w:rPr>
        <w:t>offering price of $ per share, which is the midpoint of the estimated price range set forth on the cover page of this prospectus, would increase or decrease the pro forma as adjusted amount of each of cash and cash equivalents, additional paid-in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type w:val="continuous"/>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6"/>
          <w:szCs w:val="16"/>
          <w:color w:val="auto"/>
        </w:rPr>
        <w:t>capital, total stockholders’ equity and total capitalization by $ million, assuming the number of shares offered by us, as set forth on the cover page of this prospectus, remains the same and after deducting estimated underwriting discounts and commissions and estimated offering expenses payable by us. Each increase or decrease of 1,000,000 shares in the number of shares offered by us in this offering, as set forth on the cover page of this prospectus, would increase or decrease the pro forma as adjusted amount of each of cash and cash equivalents, additional paid-in capital, total stockholders’ equity</w:t>
      </w:r>
    </w:p>
    <w:p>
      <w:pPr>
        <w:spacing w:after="0" w:line="1"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and total capitalization by $ million, assuming no change in the assumed initial public offering price per share and after deducting estimated underwriting discounts and commissions and estimated offering expenses payable by us.</w:t>
      </w:r>
    </w:p>
    <w:p>
      <w:pPr>
        <w:spacing w:after="0" w:line="18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hanging="532"/>
        <w:spacing w:after="0" w:line="259"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1,073,214 shares of our common stock issuable upon the exercise of options outstanding as of March 31, 2021 under our 2020 Equity Incentive Plan, or the 2020 Plan, at a weighted-average exercise price of $12.45 per share (which does not include options to purchase an aggregate of 2,285,404 shares of our common stock, at a weighted-average exercise price of $54.28 per share, that were granted subsequent to March 31, 2021);</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311" w:lineRule="auto"/>
        <w:tabs>
          <w:tab w:leader="none" w:pos="1696"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shares of our common stock that will become available for future issuance under our 2021 Employee Stock Purchase Plan, or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historical net tangible book value (deficit) as of March 31, 2021 was $(103.5) million, or $(92.49) per share of common stock. Our historical net tangible book value (deficit) is the amount of our total tangible assets less our total liabilities and the carrying value of our preferred stock, which is not included within stockholders’ equity (deficit). Historical net tangible book value (deficit) per share represents historical net tangible book value (deficit) divided by the 1,118,648 shares of our common stock outstanding as of March 31, 2021.</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pro forma net tangible book value as of March 31, 2021 was $401.6 million, or $22.23 per share of common stock. Pro forma net tangible book value represents the amount of our total tangible assets less our total liabilities, after giving effect to (i) our issuance and sale in April 2021 of 4,296,550 shares of our Series C preferred stock for gross proceeds of $335.5 million and (ii) the automatic conversion of all outstanding shares of our preferred stock, including our Series C preferred stock, into an aggregate of 16,944,484 shares of common stock upon the closing of this offering. Pro forma net tangible book value per share represents pro forma net tangible book value divided by the number of shares outstanding as of March 31, 2021, after giving effect to the pro forma adjustments described above.</w:t>
      </w:r>
    </w:p>
    <w:p>
      <w:pPr>
        <w:spacing w:after="0" w:line="192"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After giving further effect to our issuance and sale of shares of our common stock in this offering at an assumed initial public offering price of $ per share, which is the midpoint of the estimated price range set forth on the cover page of this prospectus, and after deducting estimated</w:t>
      </w:r>
    </w:p>
    <w:p>
      <w:pPr>
        <w:ind w:left="120"/>
        <w:spacing w:after="0"/>
        <w:rPr>
          <w:sz w:val="20"/>
          <w:szCs w:val="20"/>
          <w:color w:val="auto"/>
        </w:rPr>
      </w:pPr>
      <w:r>
        <w:rPr>
          <w:rFonts w:ascii="Arial" w:cs="Arial" w:eastAsia="Arial" w:hAnsi="Arial"/>
          <w:sz w:val="17"/>
          <w:szCs w:val="17"/>
          <w:color w:val="auto"/>
        </w:rPr>
        <w:t>underwriting discounts and commissions and estimated offering expenses payable by us, our pro forma as adjusted net tangible book value as of</w:t>
      </w:r>
    </w:p>
    <w:p>
      <w:pPr>
        <w:spacing w:after="0" w:line="397"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March 31, 2021 would have been $ million, or $ per share. This represents an immediate increase in pro forma as adjusted net tangible book value per share of $ to existing stockholders and immediate dilution of $ in pro forma as adjusted net tangible book value per share to new</w:t>
      </w:r>
    </w:p>
    <w:p>
      <w:pPr>
        <w:jc w:val="both"/>
        <w:ind w:left="120"/>
        <w:spacing w:after="0" w:line="255" w:lineRule="auto"/>
        <w:rPr>
          <w:sz w:val="20"/>
          <w:szCs w:val="20"/>
          <w:color w:val="auto"/>
        </w:rPr>
      </w:pPr>
      <w:r>
        <w:rPr>
          <w:rFonts w:ascii="Arial" w:cs="Arial" w:eastAsia="Arial" w:hAnsi="Arial"/>
          <w:sz w:val="18"/>
          <w:szCs w:val="18"/>
          <w:color w:val="auto"/>
        </w:rPr>
        <w:t>investors participating in this offering. Dilution per share to new investors is determined by subtracting pro forma as adjusted net tangible book value per share after this offering from the assumed initial public offering price per share paid by new investors. The following table illustrates this dilution on a per share basis: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9020" w:type="dxa"/>
            <w:vAlign w:val="bottom"/>
          </w:tcPr>
          <w:p>
            <w:pPr>
              <w:ind w:left="360"/>
              <w:spacing w:after="0"/>
              <w:rPr>
                <w:sz w:val="20"/>
                <w:szCs w:val="20"/>
                <w:color w:val="auto"/>
              </w:rPr>
            </w:pPr>
            <w:r>
              <w:rPr>
                <w:rFonts w:ascii="Arial" w:cs="Arial" w:eastAsia="Arial" w:hAnsi="Arial"/>
                <w:sz w:val="18"/>
                <w:szCs w:val="18"/>
                <w:color w:val="auto"/>
              </w:rPr>
              <w:t>Historical net tangible book value (deficit) per share as of March 31, 2021</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 (92.49)</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12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114.72</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9020" w:type="dxa"/>
            <w:vAlign w:val="bottom"/>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p>
        </w:tc>
        <w:tc>
          <w:tcPr>
            <w:tcW w:w="3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90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Increase in pro forma as adjusted net tangible book value per share attributable to new investors participating in this</w:t>
            </w:r>
          </w:p>
        </w:tc>
        <w:tc>
          <w:tcPr>
            <w:tcW w:w="3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9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offering</w:t>
            </w:r>
          </w:p>
        </w:tc>
        <w:tc>
          <w:tcPr>
            <w:tcW w:w="340" w:type="dxa"/>
            <w:vAlign w:val="bottom"/>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020" w:type="dxa"/>
            <w:vAlign w:val="bottom"/>
          </w:tcPr>
          <w:p>
            <w:pPr>
              <w:spacing w:after="0"/>
              <w:rPr>
                <w:sz w:val="20"/>
                <w:szCs w:val="20"/>
                <w:color w:val="auto"/>
              </w:rPr>
            </w:pPr>
            <w:r>
              <w:rPr>
                <w:rFonts w:ascii="Arial" w:cs="Arial" w:eastAsia="Arial" w:hAnsi="Arial"/>
                <w:sz w:val="18"/>
                <w:szCs w:val="18"/>
                <w:color w:val="auto"/>
              </w:rPr>
              <w:t>Pro forma as adjusted net tangible book value per share immediately after this offering</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dilution information discussed above is illustrative only and will depend on the actual initial public offering price and other terms of this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offering determined at pricing. Each $1.00 increase or decrease in the assumed initial public offering price of $ per share, which is the midpoint of the estimated price range set forth on the cover page of this prospectus, would increase or decrease our pro forma as adjusted net tangible book value per</w:t>
      </w:r>
    </w:p>
    <w:p>
      <w:pPr>
        <w:spacing w:after="0" w:line="1"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share after this offering by $ and dilution per share to investors participating in this offering by $ ,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our pro forma as adjusted net tangible book value per share</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2240" w:val="left"/>
          <w:tab w:leader="none" w:pos="9040" w:val="left"/>
        </w:tabs>
        <w:rPr>
          <w:sz w:val="20"/>
          <w:szCs w:val="20"/>
          <w:color w:val="auto"/>
        </w:rPr>
      </w:pPr>
      <w:r>
        <w:rPr>
          <w:rFonts w:ascii="Arial" w:cs="Arial" w:eastAsia="Arial" w:hAnsi="Arial"/>
          <w:sz w:val="18"/>
          <w:szCs w:val="18"/>
          <w:color w:val="auto"/>
        </w:rPr>
        <w:t>after this offering by $</w:t>
      </w:r>
      <w:r>
        <w:rPr>
          <w:sz w:val="20"/>
          <w:szCs w:val="20"/>
          <w:color w:val="auto"/>
        </w:rPr>
        <w:tab/>
      </w:r>
      <w:r>
        <w:rPr>
          <w:rFonts w:ascii="Arial" w:cs="Arial" w:eastAsia="Arial" w:hAnsi="Arial"/>
          <w:sz w:val="18"/>
          <w:szCs w:val="18"/>
          <w:color w:val="auto"/>
        </w:rPr>
        <w:t>and decrease the dilution per share to new investors participating in this offering by $</w:t>
      </w:r>
      <w:r>
        <w:rPr>
          <w:sz w:val="20"/>
          <w:szCs w:val="20"/>
          <w:color w:val="auto"/>
        </w:rPr>
        <w:tab/>
      </w:r>
      <w:r>
        <w:rPr>
          <w:rFonts w:ascii="Arial" w:cs="Arial" w:eastAsia="Arial" w:hAnsi="Arial"/>
          <w:sz w:val="16"/>
          <w:szCs w:val="16"/>
          <w:color w:val="auto"/>
        </w:rPr>
        <w:t>, assuming no change in the</w:t>
      </w:r>
    </w:p>
    <w:p>
      <w:pPr>
        <w:spacing w:after="0" w:line="23" w:lineRule="exact"/>
        <w:rPr>
          <w:sz w:val="20"/>
          <w:szCs w:val="20"/>
          <w:color w:val="auto"/>
        </w:rPr>
      </w:pPr>
    </w:p>
    <w:p>
      <w:pPr>
        <w:ind w:left="120" w:right="20"/>
        <w:spacing w:after="0" w:line="186" w:lineRule="auto"/>
        <w:rPr>
          <w:sz w:val="20"/>
          <w:szCs w:val="20"/>
          <w:color w:val="auto"/>
        </w:rPr>
      </w:pPr>
      <w:r>
        <w:rPr>
          <w:rFonts w:ascii="Arial" w:cs="Arial" w:eastAsia="Arial" w:hAnsi="Arial"/>
          <w:sz w:val="12"/>
          <w:szCs w:val="12"/>
          <w:color w:val="auto"/>
        </w:rPr>
        <w:t>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pro forma as adjusted net tangible book value per share after this offering by $ and increase the dilution per share to new investors participating in this offering by $ , assuming no change in the assumed initial public offering price after deducting estimated underwriting discounts and commissions and estimated offering expenses payable by us.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underwriters exercise in full their option to purchase additional shares of common stock, our pro forma as adjusted net tangible book value</w:t>
      </w:r>
    </w:p>
    <w:p>
      <w:pPr>
        <w:spacing w:after="0" w:line="4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per share after this offering would be $ , representing an immediate increase in pro forma as adjusted net tangible book value per share of $ to existing stockholders and immediate dilution in pro forma as adjusted net tangible book value per share of $ to new investors participating in this offering, assuming an initial public offering price of $ per share, which is the midpoint of the estimated price range set forth on the cover page of this prospectus, and after deducting estimated underwriting discounts and commissions and estimated offering expenses payable by us.</w:t>
      </w:r>
    </w:p>
    <w:p>
      <w:pPr>
        <w:spacing w:after="0" w:line="176"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following table summarizes, as of March 31, 2021, the total number of shares of common stock purchased from us on an as converted to common stock basis, the total consideration and the average price per share (1) paid by existing stockholders and (2) to be paid by new investors participating in this offering at the assumed initial public offering price of $ per share, which is the midpoint of the estimated price range set forth on the cover page of this prospectus, before deducting estimated underwriting discounts and commissions and estimated offering expenses payable by us. As the table shows, new investors participating in this offering will pay an average price per share substantially higher than our existing stockholders paid.</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920" w:type="dxa"/>
            <w:vAlign w:val="bottom"/>
            <w:gridSpan w:val="4"/>
            <w:vMerge w:val="restart"/>
          </w:tcPr>
          <w:p>
            <w:pPr>
              <w:ind w:left="420"/>
              <w:spacing w:after="0"/>
              <w:rPr>
                <w:sz w:val="20"/>
                <w:szCs w:val="20"/>
                <w:color w:val="auto"/>
              </w:rPr>
            </w:pPr>
            <w:r>
              <w:rPr>
                <w:rFonts w:ascii="Arial" w:cs="Arial" w:eastAsia="Arial" w:hAnsi="Arial"/>
                <w:sz w:val="14"/>
                <w:szCs w:val="14"/>
                <w:b w:val="1"/>
                <w:bCs w:val="1"/>
                <w:color w:val="auto"/>
              </w:rPr>
              <w:t>Shares Purchased</w:t>
            </w:r>
          </w:p>
        </w:tc>
        <w:tc>
          <w:tcPr>
            <w:tcW w:w="5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3"/>
            <w:vMerge w:val="restart"/>
          </w:tcPr>
          <w:p>
            <w:pPr>
              <w:jc w:val="right"/>
              <w:ind w:right="339"/>
              <w:spacing w:after="0"/>
              <w:rPr>
                <w:sz w:val="20"/>
                <w:szCs w:val="20"/>
                <w:color w:val="auto"/>
              </w:rPr>
            </w:pPr>
            <w:r>
              <w:rPr>
                <w:rFonts w:ascii="Arial" w:cs="Arial" w:eastAsia="Arial" w:hAnsi="Arial"/>
                <w:sz w:val="14"/>
                <w:szCs w:val="14"/>
                <w:b w:val="1"/>
                <w:bCs w:val="1"/>
                <w:color w:val="auto"/>
              </w:rPr>
              <w:t>Total Consideration</w:t>
            </w:r>
          </w:p>
        </w:tc>
        <w:tc>
          <w:tcPr>
            <w:tcW w:w="3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5400" w:type="dxa"/>
            <w:vAlign w:val="bottom"/>
          </w:tcPr>
          <w:p>
            <w:pPr>
              <w:spacing w:after="0"/>
              <w:rPr>
                <w:sz w:val="6"/>
                <w:szCs w:val="6"/>
                <w:color w:val="auto"/>
              </w:rPr>
            </w:pPr>
          </w:p>
        </w:tc>
        <w:tc>
          <w:tcPr>
            <w:tcW w:w="1920" w:type="dxa"/>
            <w:vAlign w:val="bottom"/>
            <w:tcBorders>
              <w:bottom w:val="single" w:sz="8" w:color="auto"/>
            </w:tcBorders>
            <w:gridSpan w:val="4"/>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960" w:type="dxa"/>
            <w:vAlign w:val="bottom"/>
            <w:tcBorders>
              <w:bottom w:val="single" w:sz="8" w:color="auto"/>
            </w:tcBorders>
            <w:gridSpan w:val="3"/>
            <w:vMerge w:val="continue"/>
          </w:tcPr>
          <w:p>
            <w:pPr>
              <w:spacing w:after="0"/>
              <w:rPr>
                <w:sz w:val="6"/>
                <w:szCs w:val="6"/>
                <w:color w:val="auto"/>
              </w:rPr>
            </w:pPr>
          </w:p>
        </w:tc>
        <w:tc>
          <w:tcPr>
            <w:tcW w:w="3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5400" w:type="dxa"/>
            <w:vAlign w:val="bottom"/>
          </w:tcPr>
          <w:p>
            <w:pPr>
              <w:spacing w:after="0"/>
              <w:rPr>
                <w:sz w:val="4"/>
                <w:szCs w:val="4"/>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4"/>
                <w:szCs w:val="4"/>
                <w:color w:val="auto"/>
              </w:rPr>
            </w:pPr>
          </w:p>
        </w:tc>
        <w:tc>
          <w:tcPr>
            <w:tcW w:w="1180" w:type="dxa"/>
            <w:vAlign w:val="bottom"/>
            <w:gridSpan w:val="2"/>
            <w:vMerge w:val="restart"/>
          </w:tcPr>
          <w:p>
            <w:pPr>
              <w:jc w:val="right"/>
              <w:ind w:right="410"/>
              <w:spacing w:after="0"/>
              <w:rPr>
                <w:sz w:val="20"/>
                <w:szCs w:val="20"/>
                <w:color w:val="auto"/>
              </w:rPr>
            </w:pPr>
            <w:r>
              <w:rPr>
                <w:rFonts w:ascii="Arial" w:cs="Arial" w:eastAsia="Arial" w:hAnsi="Arial"/>
                <w:sz w:val="14"/>
                <w:szCs w:val="14"/>
                <w:b w:val="1"/>
                <w:bCs w:val="1"/>
                <w:color w:val="auto"/>
                <w:w w:val="87"/>
              </w:rPr>
              <w:t>Percentage</w:t>
            </w:r>
          </w:p>
        </w:tc>
        <w:tc>
          <w:tcPr>
            <w:tcW w:w="100" w:type="dxa"/>
            <w:vAlign w:val="bottom"/>
          </w:tcPr>
          <w:p>
            <w:pPr>
              <w:spacing w:after="0"/>
              <w:rPr>
                <w:sz w:val="4"/>
                <w:szCs w:val="4"/>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w w:val="90"/>
              </w:rPr>
              <w:t>Percentage</w:t>
            </w:r>
          </w:p>
        </w:tc>
        <w:tc>
          <w:tcPr>
            <w:tcW w:w="18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18,063,132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465,410,461</w:t>
            </w:r>
          </w:p>
        </w:tc>
        <w:tc>
          <w:tcPr>
            <w:tcW w:w="3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$ 25.77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Investors participating in this offering</w:t>
            </w:r>
          </w:p>
        </w:tc>
        <w:tc>
          <w:tcPr>
            <w:tcW w:w="8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40" w:type="dxa"/>
            <w:vAlign w:val="bottom"/>
            <w:gridSpan w:val="3"/>
          </w:tcPr>
          <w:p>
            <w:pPr>
              <w:ind w:left="440"/>
              <w:spacing w:after="0"/>
              <w:rPr>
                <w:sz w:val="20"/>
                <w:szCs w:val="20"/>
                <w:color w:val="auto"/>
              </w:rPr>
            </w:pPr>
            <w:r>
              <w:rPr>
                <w:rFonts w:ascii="Arial" w:cs="Arial" w:eastAsia="Arial" w:hAnsi="Arial"/>
                <w:sz w:val="18"/>
                <w:szCs w:val="18"/>
                <w:color w:val="auto"/>
                <w:w w:val="94"/>
              </w:rPr>
              <w:t>Each $1.00 increase or decrease in the assumed initial public offering price of $</w:t>
            </w:r>
          </w:p>
        </w:tc>
        <w:tc>
          <w:tcPr>
            <w:tcW w:w="4580" w:type="dxa"/>
            <w:vAlign w:val="bottom"/>
            <w:gridSpan w:val="11"/>
          </w:tcPr>
          <w:p>
            <w:pPr>
              <w:ind w:left="180"/>
              <w:spacing w:after="0"/>
              <w:rPr>
                <w:sz w:val="20"/>
                <w:szCs w:val="20"/>
                <w:color w:val="auto"/>
              </w:rPr>
            </w:pPr>
            <w:r>
              <w:rPr>
                <w:rFonts w:ascii="Arial" w:cs="Arial" w:eastAsia="Arial" w:hAnsi="Arial"/>
                <w:sz w:val="18"/>
                <w:szCs w:val="18"/>
                <w:color w:val="auto"/>
                <w:w w:val="91"/>
              </w:rPr>
              <w:t>per share, which is the midpoint of the estimated price range</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6"/>
          <w:szCs w:val="16"/>
          <w:color w:val="auto"/>
        </w:rPr>
        <w:t>set forth on the cover page of this prospectus, would increase or decrease the total consideration paid by new investors participating in this offering by</w:t>
      </w:r>
    </w:p>
    <w:p>
      <w:pPr>
        <w:spacing w:after="0" w:line="32" w:lineRule="exact"/>
        <w:rPr>
          <w:sz w:val="20"/>
          <w:szCs w:val="20"/>
          <w:color w:val="auto"/>
        </w:rPr>
      </w:pPr>
    </w:p>
    <w:p>
      <w:pPr>
        <w:ind w:left="660" w:hanging="544"/>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million and, in the case of an increase, would increase the percentage of total consideration paid by new investors participating in this offering</w:t>
      </w:r>
    </w:p>
    <w:p>
      <w:pPr>
        <w:spacing w:after="0" w:line="386" w:lineRule="exact"/>
        <w:rPr>
          <w:sz w:val="20"/>
          <w:szCs w:val="20"/>
          <w:color w:val="auto"/>
        </w:rPr>
      </w:pPr>
    </w:p>
    <w:p>
      <w:pPr>
        <w:ind w:left="120" w:right="20"/>
        <w:spacing w:after="0" w:line="274" w:lineRule="auto"/>
        <w:rPr>
          <w:sz w:val="20"/>
          <w:szCs w:val="20"/>
          <w:color w:val="auto"/>
        </w:rPr>
      </w:pPr>
      <w:r>
        <w:rPr>
          <w:rFonts w:ascii="Arial" w:cs="Arial" w:eastAsia="Arial" w:hAnsi="Arial"/>
          <w:sz w:val="17"/>
          <w:szCs w:val="17"/>
          <w:color w:val="auto"/>
        </w:rPr>
        <w:t>by percentage points and, in the case of a decrease, would decrease the percentage of total consideration paid by new investors by percentage points, assuming that the number of shares offered by us, as set forth on the cover page of this prospectus, remains the same. Each</w:t>
      </w:r>
    </w:p>
    <w:p>
      <w:pPr>
        <w:ind w:left="120"/>
        <w:spacing w:after="0"/>
        <w:rPr>
          <w:sz w:val="20"/>
          <w:szCs w:val="20"/>
          <w:color w:val="auto"/>
        </w:rPr>
      </w:pPr>
      <w:r>
        <w:rPr>
          <w:rFonts w:ascii="Arial" w:cs="Arial" w:eastAsia="Arial" w:hAnsi="Arial"/>
          <w:sz w:val="16"/>
          <w:szCs w:val="16"/>
          <w:color w:val="auto"/>
        </w:rPr>
        <w:t>increase or decrease of 1,000,000 shares in the number of shares offered by us, as set forth on the cover page of this prospectus, would increase or</w:t>
      </w:r>
    </w:p>
    <w:p>
      <w:pPr>
        <w:spacing w:after="0" w:line="386"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decrease the total consideration paid by new investors participating in this offering by $ million and, in the case of an increase, would increase the percentage of total consideration paid by new investors by percentage points and, in the case of a decrease, would decrease the percentage of total consideration paid by new investors by percentage points, assuming no change in the assumed initial public offering price per share.</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table assumes no exercise of the underwriters’ option to purchase additional shares in this offering. If the underwriters exercise in full their option to purchase additional shares of our common stock, the number of shares of our common stock held by existing stockholders would be reduced</w:t>
      </w:r>
    </w:p>
    <w:p>
      <w:pPr>
        <w:ind w:left="120" w:right="20"/>
        <w:spacing w:after="0" w:line="290" w:lineRule="auto"/>
        <w:rPr>
          <w:sz w:val="20"/>
          <w:szCs w:val="20"/>
          <w:color w:val="auto"/>
        </w:rPr>
      </w:pPr>
      <w:r>
        <w:rPr>
          <w:rFonts w:ascii="Arial" w:cs="Arial" w:eastAsia="Arial" w:hAnsi="Arial"/>
          <w:sz w:val="17"/>
          <w:szCs w:val="17"/>
          <w:color w:val="auto"/>
        </w:rPr>
        <w:t>to % of the total number of shares of our common stock outstanding after this offering, and the number of shares of common stock held by new investors participating in this offering would be increased to % of the total number of shares of our common stock outstanding after this offering.</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number of shares of our common stock to be outstanding after this offering is based on 18,063,132 shares of our common stock outstanding as of March 31, 2021, assuming the conversion of all outstanding shares of our preferred stock, including 4,296,550 shares of Series C preferred stock issued in April 2021, into an aggregate of 16,944,484 shares of common stock upon the closing of this offering, and excludes:</w:t>
      </w:r>
    </w:p>
    <w:p>
      <w:pPr>
        <w:spacing w:after="0" w:line="71" w:lineRule="exact"/>
        <w:rPr>
          <w:sz w:val="20"/>
          <w:szCs w:val="20"/>
          <w:color w:val="auto"/>
        </w:rPr>
      </w:pPr>
    </w:p>
    <w:p>
      <w:pPr>
        <w:jc w:val="both"/>
        <w:ind w:left="1080" w:right="20" w:hanging="532"/>
        <w:spacing w:after="0" w:line="311"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1,073,214 shares of our common stock issuable upon the exercise of options outstanding as of March 31, 2021 under the 2020 Plan, at a weighted-average exercise price of $12.45 per share (which does not include options to purchase an aggregate of 2,285,404 shares of our common stock, at a weighted-average exercise price of $54.28 per share, that were granted subsequent to March 31, 2021);</w:t>
      </w:r>
    </w:p>
    <w:p>
      <w:pPr>
        <w:spacing w:after="0" w:line="54" w:lineRule="exact"/>
        <w:rPr>
          <w:rFonts w:ascii="Arial" w:cs="Arial" w:eastAsia="Arial" w:hAnsi="Arial"/>
          <w:sz w:val="16"/>
          <w:szCs w:val="16"/>
          <w:color w:val="auto"/>
        </w:rPr>
      </w:pPr>
    </w:p>
    <w:p>
      <w:pPr>
        <w:jc w:val="both"/>
        <w:ind w:left="1080" w:hanging="532"/>
        <w:spacing w:after="0" w:line="263"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2,372,199 shares of our common stock available for future issuance as of March 31, 2021 under the 2020 Plan, which such shares will cease to be available for issuance under the 2020 Plan at the time our 2021 Equity Incentive Plan, or the 2021 Plan, becomes effective and will be added to, and become available for issuance under, the 2021 Plan;</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Plan, which will become effective one day prior to the effectiveness of the registration statement of which this prospectus forms a part, as well as any automatic increases in the number of shares of common stock reserved for future issuance under the 2021 Plan; and</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7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shares of our common stock that will become available for future issuance under the 2021 ESPP, which will become effective one day prior to the effectiveness of the registration statement of which this prospectus forms a part, as well as any automatic increases in the number of shares of common stock reserved for future issuance under the 2021 ESPP.</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To the extent that outstanding stock options are exercised, new stock options or warrants are issued, or we issue additional shares of common stock, other equity securities or convertible debt securities in the future, there will be further dilution to our stockholders, including new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 including new investors participating in this offering.</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i w:val="1"/>
          <w:iCs w:val="1"/>
          <w:color w:val="auto"/>
        </w:rPr>
        <w:t>You should read the following selected consolidated financial data together with our consolidated financial statements and the related notes appearing at the end of this prospectus and the “Management’s Discussion and Analysis of Financial Condition and Results of Operations” section of this prospectus. We have derived the consolidated statement of operations data for the period from June 3, 2020 (inception) to December 31, 2020 and the consolidated balance sheet data as of December 31, 2020 from our audited consolidated financial statements appearing at the end of this prospectus. The consolidated statement of operations data for the three months ended March 31, 2021 and the consolidated balance sheet data as of March 31, 2021 have been derived from our unaudited consolidated financial statements appearing at the end of this prospectus and have been prepared on the same basis as the audited consolidated financial statements. In the opinion of management, the unaudited data reflect all adjustments, consisting only of normal recurring adjustments, necessary for a fair statement of the financial information in those statements. Our historical results are not necessarily indicative of the results that may be expected in any future period.</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6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5"/>
          </w:tcPr>
          <w:p>
            <w:pPr>
              <w:jc w:val="right"/>
              <w:ind w:right="251"/>
              <w:spacing w:after="0" w:line="142" w:lineRule="exact"/>
              <w:rPr>
                <w:sz w:val="20"/>
                <w:szCs w:val="20"/>
                <w:color w:val="auto"/>
              </w:rPr>
            </w:pPr>
            <w:r>
              <w:rPr>
                <w:rFonts w:ascii="Arial" w:cs="Arial" w:eastAsia="Arial" w:hAnsi="Arial"/>
                <w:sz w:val="14"/>
                <w:szCs w:val="14"/>
                <w:b w:val="1"/>
                <w:bCs w:val="1"/>
                <w:color w:val="auto"/>
                <w:w w:val="98"/>
              </w:rPr>
              <w:t>(in thousands, except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21,992</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7520" w:type="dxa"/>
            <w:vAlign w:val="bottom"/>
            <w:gridSpan w:val="2"/>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40,125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(65,327)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7520" w:type="dxa"/>
            <w:vAlign w:val="bottom"/>
            <w:gridSpan w:val="2"/>
          </w:tcPr>
          <w:p>
            <w:pPr>
              <w:ind w:left="720"/>
              <w:spacing w:after="0"/>
              <w:rPr>
                <w:sz w:val="20"/>
                <w:szCs w:val="20"/>
                <w:color w:val="auto"/>
              </w:rPr>
            </w:pPr>
            <w:r>
              <w:rPr>
                <w:rFonts w:ascii="Arial" w:cs="Arial" w:eastAsia="Arial" w:hAnsi="Arial"/>
                <w:sz w:val="18"/>
                <w:szCs w:val="18"/>
                <w:color w:val="auto"/>
              </w:rPr>
              <w:t>Total other income</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(65,319)</w:t>
            </w: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 basic and diluted</w:t>
            </w:r>
            <w:r>
              <w:rPr>
                <w:rFonts w:ascii="Arial" w:cs="Arial" w:eastAsia="Arial" w:hAnsi="Arial"/>
                <w:sz w:val="15"/>
                <w:szCs w:val="15"/>
                <w:color w:val="auto"/>
              </w:rPr>
              <w:t>(3)</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(90.51)</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r>
              <w:rPr>
                <w:rFonts w:ascii="Arial" w:cs="Arial" w:eastAsia="Arial" w:hAnsi="Arial"/>
                <w:sz w:val="15"/>
                <w:szCs w:val="15"/>
                <w:color w:val="auto"/>
              </w:rPr>
              <w:t>(3)</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w w:val="96"/>
              </w:rPr>
              <w:t>Pro forma net loss per share attributable to common stockholders, basic and diluted (unaudited)</w:t>
            </w:r>
            <w:r>
              <w:rPr>
                <w:rFonts w:ascii="Arial" w:cs="Arial" w:eastAsia="Arial" w:hAnsi="Arial"/>
                <w:sz w:val="15"/>
                <w:szCs w:val="15"/>
                <w:color w:val="auto"/>
                <w:w w:val="96"/>
              </w:rPr>
              <w:t>(4)</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weighted-average common shares outstanding, basic and diluted (unaudited)</w:t>
            </w:r>
            <w:r>
              <w:rPr>
                <w:rFonts w:ascii="Arial" w:cs="Arial" w:eastAsia="Arial" w:hAnsi="Arial"/>
                <w:sz w:val="15"/>
                <w:szCs w:val="15"/>
                <w:color w:val="auto"/>
              </w:rPr>
              <w:t>(4)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10,433</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12,648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74"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related-party amounts of $0.6 million for the period from June 3, 2020 (inception) to December 31, 2020 and $0.2 million for the three months ended March 31, 2021. See Note 6 to our consolidated financial statements appearing at the end of this prospectus.</w:t>
      </w:r>
    </w:p>
    <w:p>
      <w:pPr>
        <w:ind w:left="540" w:hanging="424"/>
        <w:spacing w:after="0" w:line="265" w:lineRule="auto"/>
        <w:tabs>
          <w:tab w:leader="none" w:pos="5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Includes related-party amounts of $39.9 million for the period from June 3, 2020 (inception) to December 31, 2020 and $1.0 million for the three months ended March 31, 2021. See Note 6 to our consolidated financial statements appearing at the end of this prospectus.</w:t>
      </w:r>
    </w:p>
    <w:p>
      <w:pPr>
        <w:ind w:left="540" w:right="2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 Note 13 to our consolidated financial statements appearing at the end of this prospectus for details on the calculation of basic and diluted net loss per share attributable to common stockholders.</w:t>
      </w:r>
    </w:p>
    <w:p>
      <w:pPr>
        <w:jc w:val="both"/>
        <w:ind w:left="540" w:right="20" w:hanging="424"/>
        <w:spacing w:after="0" w:line="255"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 forma basic and diluted net loss per share attributable to common stockholders has been prepared to give effect to adjustments to our capital structure arising in connection with the completion of this offering and is calculated by dividing the pro forma net loss attributable to common stockholders by the pro forma</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spacing w:after="0" w:line="254" w:lineRule="auto"/>
        <w:rPr>
          <w:sz w:val="20"/>
          <w:szCs w:val="20"/>
          <w:color w:val="auto"/>
        </w:rPr>
      </w:pPr>
      <w:r>
        <w:rPr>
          <w:rFonts w:ascii="Arial" w:cs="Arial" w:eastAsia="Arial" w:hAnsi="Arial"/>
          <w:sz w:val="18"/>
          <w:szCs w:val="18"/>
          <w:color w:val="auto"/>
        </w:rPr>
        <w:t>weighted-average common shares outstanding for the period. Pro forma net loss attributable to common stockholders is the same as the amount of net loss attributable to common stockholders for each period presented. Pro forma weighted-average common shares outstanding is computed by adjusting the weighted-average common shares outstanding to give pro forma effect to the automatic conversion of all shares of our preferred stock outstanding as of December 31, 2020 and March 31, 2021 into shares of common stock as if this offering had occurred on the later of June 3, 2020 (inception) or the issuance date of the preferred stock. Pro forma basic and diluted net loss per share attributable to common stockholders does not include the effect of the shares of Series C preferred stock we issued and sold in April 2021 and the shares expected to be sold in this offering.</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1175"/>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of</w:t>
            </w:r>
          </w:p>
        </w:tc>
      </w:tr>
      <w:tr>
        <w:trPr>
          <w:trHeight w:val="171"/>
        </w:trPr>
        <w:tc>
          <w:tcPr>
            <w:tcW w:w="7880" w:type="dxa"/>
            <w:vAlign w:val="bottom"/>
          </w:tcPr>
          <w:p>
            <w:pPr>
              <w:spacing w:after="0"/>
              <w:rPr>
                <w:sz w:val="14"/>
                <w:szCs w:val="14"/>
                <w:color w:val="auto"/>
              </w:rPr>
            </w:pPr>
          </w:p>
        </w:tc>
        <w:tc>
          <w:tcPr>
            <w:tcW w:w="20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 2021</w:t>
            </w:r>
          </w:p>
        </w:tc>
      </w:tr>
      <w:tr>
        <w:trPr>
          <w:trHeight w:val="142"/>
        </w:trPr>
        <w:tc>
          <w:tcPr>
            <w:tcW w:w="78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114,988</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91,247</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104,310</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66,197</w:t>
            </w: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18"/>
                <w:szCs w:val="18"/>
                <w:color w:val="auto"/>
              </w:rPr>
            </w:pPr>
          </w:p>
        </w:tc>
        <w:tc>
          <w:tcPr>
            <w:tcW w:w="1740" w:type="dxa"/>
            <w:vAlign w:val="bottom"/>
          </w:tcPr>
          <w:p>
            <w:pPr>
              <w:jc w:val="right"/>
              <w:ind w:right="755"/>
              <w:spacing w:after="0"/>
              <w:rPr>
                <w:sz w:val="20"/>
                <w:szCs w:val="20"/>
                <w:color w:val="auto"/>
              </w:rPr>
            </w:pPr>
            <w:r>
              <w:rPr>
                <w:rFonts w:ascii="Arial" w:cs="Arial" w:eastAsia="Arial" w:hAnsi="Arial"/>
                <w:sz w:val="18"/>
                <w:szCs w:val="18"/>
                <w:color w:val="auto"/>
              </w:rPr>
              <w:t>117,382</w:t>
            </w:r>
          </w:p>
        </w:tc>
        <w:tc>
          <w:tcPr>
            <w:tcW w:w="2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94,874</w:t>
            </w:r>
          </w:p>
        </w:tc>
      </w:tr>
      <w:tr>
        <w:trPr>
          <w:trHeight w:val="216"/>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26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755"/>
              <w:spacing w:after="0"/>
              <w:rPr>
                <w:sz w:val="20"/>
                <w:szCs w:val="20"/>
                <w:color w:val="auto"/>
              </w:rPr>
            </w:pPr>
            <w:r>
              <w:rPr>
                <w:rFonts w:ascii="Arial" w:cs="Arial" w:eastAsia="Arial" w:hAnsi="Arial"/>
                <w:sz w:val="18"/>
                <w:szCs w:val="18"/>
                <w:color w:val="auto"/>
              </w:rPr>
              <w:t>169,548</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169,548</w:t>
            </w:r>
          </w:p>
        </w:tc>
      </w:tr>
      <w:tr>
        <w:trPr>
          <w:trHeight w:val="230"/>
        </w:trPr>
        <w:tc>
          <w:tcPr>
            <w:tcW w:w="78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60" w:type="dxa"/>
            <w:vAlign w:val="bottom"/>
          </w:tcPr>
          <w:p>
            <w:pPr>
              <w:spacing w:after="0"/>
              <w:rPr>
                <w:sz w:val="20"/>
                <w:szCs w:val="20"/>
                <w:color w:val="auto"/>
              </w:rPr>
            </w:pPr>
          </w:p>
        </w:tc>
        <w:tc>
          <w:tcPr>
            <w:tcW w:w="1740" w:type="dxa"/>
            <w:vAlign w:val="bottom"/>
          </w:tcPr>
          <w:p>
            <w:pPr>
              <w:jc w:val="right"/>
              <w:ind w:right="695"/>
              <w:spacing w:after="0"/>
              <w:rPr>
                <w:sz w:val="20"/>
                <w:szCs w:val="20"/>
                <w:color w:val="auto"/>
              </w:rPr>
            </w:pPr>
            <w:r>
              <w:rPr>
                <w:rFonts w:ascii="Arial" w:cs="Arial" w:eastAsia="Arial" w:hAnsi="Arial"/>
                <w:sz w:val="18"/>
                <w:szCs w:val="18"/>
                <w:color w:val="auto"/>
              </w:rPr>
              <w:t>(65,249)</w:t>
            </w:r>
          </w:p>
        </w:tc>
        <w:tc>
          <w:tcPr>
            <w:tcW w:w="26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(103,362)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the “Selected Consolidated Financial Data” section of this prospectus and our consolidated financial statements and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an ability in non-clinical studies to neutralize SARS-CoV-2, including variants of concern, as well as a broad range of SARS-like 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We were formed in June 2020. In July 2020, we entered into an assignment and license agreement, or the Adimab Assignment Agreement, with Adimab, pursuant to which we acquired certain rights to Adimab’s antibodies relating to COVID-19 and severe acute respiratory syndrome, or SARS, as well as related provisional patent applications, know-how and data generated with respect to the associated antibodies. In addition, Adimab granted to us a non-exclusive, worldwide license to certain of Adimab’s platform patents and technology for use in research and development. In connection with the rights and license acquired, we issued 5,000,000 shares of our Series A preferred stock to Adimab.</w:t>
      </w:r>
    </w:p>
    <w:p>
      <w:pPr>
        <w:spacing w:after="0" w:line="17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Since our inception, we have devoted substantially all of our resources to organizing and staffing, building an intellectual property portfolio, business planning, conducting research and development,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9" w:lineRule="auto"/>
        <w:rPr>
          <w:sz w:val="20"/>
          <w:szCs w:val="20"/>
          <w:color w:val="auto"/>
        </w:rPr>
      </w:pPr>
      <w:r>
        <w:rPr>
          <w:rFonts w:ascii="Arial" w:cs="Arial" w:eastAsia="Arial" w:hAnsi="Arial"/>
          <w:sz w:val="17"/>
          <w:szCs w:val="17"/>
          <w:color w:val="auto"/>
        </w:rPr>
        <w:t>arrangements with third parties for the manufacture of our product candidates and raising capital. We rely heavily on external consultants and contract research organizations, or CROs, to conduct our non-clinical, preclinical and clinical activities. Additionally, we are currently dependent on WuXi Biologics (Hong Kong) Limited, or WuXi, a contract development and manufacturing organization, or CDMO, for the manufacture of our product candidates for clinical and commercial use. We expect to continue to rely on third parties for clinical trials and the manufacture of our product candidates. Since our inception, we have financed our operations with proceeds from sales of our preferred stock. Through March 31, 2021, we had received net proceeds of $129.5 million from the sales of our preferred stock. In addition, in April 2021, we received gross proceeds of $335.5 million from sales of our Series C preferred stock. To date, we have not generated any revenue from any sources, including product sales. In February 2021, we advanced ADG20 into a Phase 1 clinical trial. We have not yet commenced significant development activities with respect to other product candidates. Our ability to generate product revenue sufficient to achieve profitability will depend heavily on the successful development and eventual commercialization of one or more of our product candidates, if approved.</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Since our inception, we have incurred significant losses, including net losses of $65.3 million for the period from June 3, 2020 (inception) to December 31, 2020 and of $38.7 million for the three months ended March 31, 2021. As of March 31, 2021, we had an accumulated deficit of $104.0 million. We expect to continue to incur significant expenses and recognize substantial losses in the foreseeable future as we expand and progress our research and development activities as well as the associated manufacturing activities and commercialization efforts. In addition, our losses from operations may fluctuate significantly from period to period depending on the timing of our clinical trials and our expenditures on other research and development activities, including any associated manufacturing activities, and potential commercialization efforts. We anticipate that our expenses will increase significantly in connection with our ongoing activities, as we:</w:t>
      </w:r>
    </w:p>
    <w:p>
      <w:pPr>
        <w:spacing w:after="0" w:line="83" w:lineRule="exact"/>
        <w:rPr>
          <w:sz w:val="20"/>
          <w:szCs w:val="20"/>
          <w:color w:val="auto"/>
        </w:rPr>
      </w:pPr>
    </w:p>
    <w:p>
      <w:pPr>
        <w:ind w:left="1080" w:hanging="532"/>
        <w:spacing w:after="0" w:line="342" w:lineRule="auto"/>
        <w:tabs>
          <w:tab w:leader="none" w:pos="108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continue to conduct our ongoing clinical trials of ADG20, including advancement into late-stage global clinical trials, as well as initiate and complete additional clinical trials of future product candidates or current product candidates in new indications or patient populations;</w:t>
      </w:r>
    </w:p>
    <w:p>
      <w:pPr>
        <w:spacing w:after="0" w:line="29" w:lineRule="exact"/>
        <w:rPr>
          <w:rFonts w:ascii="Arial" w:cs="Arial" w:eastAsia="Arial" w:hAnsi="Arial"/>
          <w:sz w:val="16"/>
          <w:szCs w:val="16"/>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continue to advance the preclinical development of our other product candidates and our preclinical and discovery programs;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pursue marketing approvals or EUA and reimbursement for our product candidates;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acquire or in-license other product candidates, intellectual property and/or technologies;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manufacture material under current good manufacturing practices, or cGMP, for clinical trials and potential commercial sales at our contracted manufacturing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maintain, expand, enforce, defend and protect our intellectual property portfolio;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comply with regulatory requirements established by the applicable regulatory authorities;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establish and validate our commercial-scale cGMP manufacturing process;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manufacturing capabilities to commercialize any product candidates for which we may obtain regulatory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hire and retain additional personnel, including research, clinical, development, manufacturing, quality control, quality assurance, regulatory and scientific personnel;</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 operational, financial, corporate development, management information systems and administrative personnel, including personnel to support our product development and planned future commercialization efforts;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do not anticipate generating revenue from product sales, including government supply contracts, unless and until we successfully complete clinical development and obtain marketing approvals or EUA for one or more of our product candidates. We are currently establishing our commercial infrastructure to support the anticipated marketing and distribution of our product candidates. Subject to receiving marketing approval or EUA, we expect to enter into arrangements with third parties for the sale, marketing and distribution of our product candidates. Accordingly, if we obtain marketing approval or EUA for any of our product candidates, we will incur significant additional commercialization expenses related to product manufacturing, marketing, sales and distribution.</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government or private-party grants, debt financings, collaborations with other companies and strategic alliances.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or when, or if, we will be able to achieve or maintain profitability. We may never obtain regulatory approval for any of our product candidates.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net proceeds from this offering, together with our existing cash and cash equivalents, will be sufficient to fund our operating</w:t>
      </w:r>
    </w:p>
    <w:p>
      <w:pPr>
        <w:spacing w:after="0" w:line="46"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 See “—Liquidity and Capital Resources.”</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Without giving effect to the anticipated net proceeds from this offering, as of May 21, 2021, we expect that our existing cash and cash equivalents, including the $335.5 million of gross proceeds we received from sales of our Series C preferred stock in April 2021, will be sufficient to fund our operating expenses and capital expenditure requirements through March 31, 2022. Beyond that point, we will need to raise additional capital to finance our operations, which cannot be assured. We concluded as of May 21, 2021, the issuance date of our consolidated financial statements for the period from June 3, 2020 (inception) to December 31, 2020 and of our interim consolidated financial statements for the three months ended March 31, 2021, that this circumstance raised substantial doubt about our ability to continue as a going concern within one year of the issuance date of those consolidated financial statements. See Note 1 to our consolidated financial statements appearing at the end of this prospectus for additional information on our assessment.</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Similarly, in its report on our consolidated financial statements for the period from June 3, 2020 (inception) to December 31, 2020, our independent registered public accounting firm included an explanatory paragraph stating that our recurring losses from operations since inception, expectation of generating operating losses in the foreseeable future and need for additional capital to finance our future operations raise substantial doubt about our ability to continue as a going concern.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COVID-19 on Our Operations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continued emergence of variants of concern, the availability, administration and acceptance of vaccines and monoclonal antibodies and the potential development of “herd immunity” by the global population will affect the design and enrollment of our clinical trials, the potential regulatory authorization or approval of our product candidates and the commercialization of our product candidates, if approved.</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our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global COVID-19 pandemic continues to evolve rapidly, and we will continue to monitor it closely. The ultimate extent of the impact of the COVID-19 pandemic on our business, financial condition, operations and product development timelines and plans remains highly uncertain and will depend on future developments, including the duration and spread of the outbreak and its impact on our clinical trial design and enrollment, trial sites, CROs, CDMOs and other third parties with which we do business, as well as its impact on regulatory authorities and our key scientific and management personnel. To date, we have not experienced significant delays or disruptions in our development activities as a result of the COVID-19 pandemic but may in the future as the outbreak progresses and some of our CROs, CDMOs and other service providers continue to be impacted. We will continue to monitor developments as we address the disruptions, delays and uncertainties relating to the COVID-19 pandemic. These developments and the impact of the COVID-19 pandemic on the financial markets and the overall economy are highly uncertain and cannot be predicted. If the financial markets and/or the overall economy are impacted for an extended period, our results and operations may be materially adversely affected and may affect our ability to raise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date, we have not generated any revenue from product sales, including government supply contracts, or any other sources. If our development efforts for our product candidates are successful and result in regulatory approval or collaboration or license agreements with third parties, we may generate revenue in the future from product sales or payments from collaboration or license agreements that we may enter into with third parties, or any combination thereof.</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 Research and development expenses represent costs incurred by us for:</w:t>
      </w:r>
    </w:p>
    <w:p>
      <w:pPr>
        <w:spacing w:after="0" w:line="76"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non-clinical and preclinical development of our product candidates, including our discovery efforts;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procurement of our product candidates from third-party manufacturers;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global clinical development of our product candidates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Such costs consist of:</w:t>
      </w:r>
    </w:p>
    <w:p>
      <w:pPr>
        <w:spacing w:after="0" w:line="131" w:lineRule="exact"/>
        <w:rPr>
          <w:sz w:val="20"/>
          <w:szCs w:val="20"/>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personnel-related expenses, including salaries, bonuses, benefits and other compensation-related costs, including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contractors and CROs, that conduct the non-clinical and preclinical studies and clinical trials of our product candidates and research programs;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of procuring manufactured product candidates for use in non-clinical studies, preclinical studies and clinical trials from third-party CDMOs;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costs of outside consultants and advisors, including their fees and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expenses incurred as a result of research and development activities.</w:t>
      </w:r>
    </w:p>
    <w:p>
      <w:pPr>
        <w:spacing w:after="0" w:line="22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149"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Our primary focus since inception has been the development of ADG20. Our research and development costs consist primarily of external costs, such as fees paid to CDMOs, CROs and consultants in connection with our non-clinical studies, preclinical studies and clinical trials.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19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We expect that our research and development expenses will increase substantially in the near term as we advance ADG20 through clinical development on a global basis, pursue regulatory approval of ADG20, continue to discover and develop additional product candidates and incur expenses associated with hiring additional personnel to support our research and development efforts, including the associated manufacturing activities.</w:t>
      </w:r>
    </w:p>
    <w:p>
      <w:pPr>
        <w:spacing w:after="0" w:line="16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54"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filing acceptable investigational new drug applications with the U.S. Food and Drug Administration or comparable foreign applications that allow commencement of our planned clinical trials or future clinical trials for our product candidates;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successfully develop, obtain regulatory approval or EUA for our product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successful enrollment and timely completion of clinical trials, including our ability to generate positive data from any such clinical trials;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development programs and product candidates we identify in-house or acquire through collaborations;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prevalence and severity of adverse events experienced with ADG20 or any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maintain compliance with regulatory requirements, including good clinical practices, current good laboratory practices and cGMPs, and to comply effectively with other rules, regulations and procedures applicable to the development and sale of pharmaceutical products;</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potential significant and changing government regulation, regulatory guidance and requirements and evolving treatment guidelines; and</w:t>
      </w:r>
    </w:p>
    <w:p>
      <w:pPr>
        <w:spacing w:after="0" w:line="153"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those of third parties with which we work, particularly in light of the current COVID-19 pandemic.</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 In addition, we may never succeed in obtaining regulatory approval or EUA for any of our product candidates.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Acquired in-process research and development, or IPR&amp;D, expenses consist primarily of the upfront costs we incurred in July 2020, as well as any costs of contingent milestone payments and royalties we incurred in subsequent periods, to acquire rights to Adimab’s antibodies relating to COVID-19 and SARS and related intellectual property and a license to certain of Adimab’s platform patents and technology, or the IPR&amp;D assets, for use in the research and development of our product candidates. We expensed the cost of the IPR&amp;D assets because they had no alternative future use as of the acquisition date. We will recognize additional acquired IPR&amp;D expenses in the future if and when we become obligated to make contingent milestone and royalty payments to Adimab under the terms of the agreement by which we acquired the IPR&amp;D assets.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Selling, general and administrative expenses consist primarily of salaries, bonuses, benefits, third-party fees and other 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17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anticipate that our selling, general and administrative expenses will increase significantly in the future as our business expands and we increase our headcount to support the expected growth in our research and development activities and the potential commercialization of our product candidates. In particular, we expect to incur additional commercialization expenses prior to any regulatory approval or EUA of our product candidates as we continue to expand our commercial function to support potential future product launches. We also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anticipate that we will incur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Through March 31, 2021, we have operated as a virtual company. Therefore, we do not incur material operating expenses for the rent, maintenance and insurance of facilities or for depreciation of fixed assets. We plan to enter into a lease for office space in the near term, which would increase our operating costs.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consists of interest earned from our cash and cash equivalents. We expect our interest income will increase slightly as we invest the cash received from our sales of Series C preferred stock in April 2021 and the net proceeds from this offering.</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not recorded any income tax benefits for the net losses we have incurred or for the research and development tax credits generated in each period as we believe, based upon the weight of available evidence, that it is more likely than not that all of our net operating loss, or NOL, carryforwards and tax credit carryforwards will not be realized.</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As of December 31, 2020, we had U.S. federal NOL carryforwards of $24.4 million, which may be available to reduce future taxable income and have an indefinite carryforward period but are limited in their usage to an annual deduction equal to 80% of annual taxable income. In addition, as of December 31, 2020, we had state NOL carryforwards of $3.7 million, which may be available to reduce future taxable income, of which $0.3 million have an indefinite carryforward period while the remaining $3.4 million begin to expire in 2040. As of December 31, 2020, we also had U.S. federal and state research and development tax credit carryforwards of $0.1 million and $16,000, respectively, which may be available to reduce future tax liabilities and expire at various dates beginning in 2040 and 2035, respectively. We have recorded a full valuation allowance against our net deferred tax assets at each balance sheet date.</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summarizes our results of operations for the period from June 3, 2020 (inception) to December 31, 2020 and for the three months ended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321"/>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ind w:left="9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780"/>
              <w:spacing w:after="0"/>
              <w:rPr>
                <w:sz w:val="20"/>
                <w:szCs w:val="20"/>
                <w:color w:val="auto"/>
              </w:rPr>
            </w:pPr>
            <w:r>
              <w:rPr>
                <w:rFonts w:ascii="Arial" w:cs="Arial" w:eastAsia="Arial" w:hAnsi="Arial"/>
                <w:sz w:val="18"/>
                <w:szCs w:val="18"/>
                <w:color w:val="auto"/>
              </w:rPr>
              <w:t>21,992</w:t>
            </w:r>
          </w:p>
        </w:tc>
        <w:tc>
          <w:tcPr>
            <w:tcW w:w="2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40,125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Loss from operations</w:t>
            </w:r>
          </w:p>
        </w:tc>
        <w:tc>
          <w:tcPr>
            <w:tcW w:w="34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Net loss</w:t>
            </w:r>
          </w:p>
        </w:tc>
        <w:tc>
          <w:tcPr>
            <w:tcW w:w="3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3420" w:type="dxa"/>
            <w:vAlign w:val="bottom"/>
            <w:vMerge w:val="restart"/>
          </w:tcPr>
          <w:p>
            <w:pPr>
              <w:jc w:val="right"/>
              <w:ind w:right="2250"/>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description of material changes from period to period required by Item 303 of Regulation S-K cannot be presented as no company-related activities were performed by any party before our company was formed on June 3, 2020 and there are no comparative earlier periods for purposes of this analysis. Accordingly, the following discussion presents the components of our expenses for the periods presented.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3"/>
          </w:tcPr>
          <w:p>
            <w:pPr>
              <w:jc w:val="center"/>
              <w:ind w:right="940"/>
              <w:spacing w:after="0"/>
              <w:rPr>
                <w:sz w:val="20"/>
                <w:szCs w:val="20"/>
                <w:color w:val="auto"/>
              </w:rPr>
            </w:pPr>
            <w:r>
              <w:rPr>
                <w:rFonts w:ascii="Arial" w:cs="Arial" w:eastAsia="Arial" w:hAnsi="Arial"/>
                <w:sz w:val="14"/>
                <w:szCs w:val="14"/>
                <w:b w:val="1"/>
                <w:bCs w:val="1"/>
                <w:color w:val="auto"/>
                <w:w w:val="94"/>
              </w:rPr>
              <w:t>Period from</w:t>
            </w:r>
          </w:p>
        </w:tc>
        <w:tc>
          <w:tcPr>
            <w:tcW w:w="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June 3, 2020</w:t>
            </w:r>
          </w:p>
        </w:tc>
        <w:tc>
          <w:tcPr>
            <w:tcW w:w="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3"/>
          </w:tcPr>
          <w:p>
            <w:pPr>
              <w:jc w:val="center"/>
              <w:ind w:right="9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1980" w:type="dxa"/>
            <w:vAlign w:val="bottom"/>
            <w:gridSpan w:val="4"/>
          </w:tcPr>
          <w:p>
            <w:pPr>
              <w:jc w:val="center"/>
              <w:ind w:right="820"/>
              <w:spacing w:after="0"/>
              <w:rPr>
                <w:sz w:val="20"/>
                <w:szCs w:val="20"/>
                <w:color w:val="auto"/>
              </w:rPr>
            </w:pPr>
            <w:r>
              <w:rPr>
                <w:rFonts w:ascii="Arial" w:cs="Arial" w:eastAsia="Arial" w:hAnsi="Arial"/>
                <w:sz w:val="14"/>
                <w:szCs w:val="14"/>
                <w:b w:val="1"/>
                <w:bCs w:val="1"/>
                <w:color w:val="auto"/>
                <w:w w:val="91"/>
              </w:rPr>
              <w:t>December 31, 2020</w:t>
            </w:r>
          </w:p>
        </w:tc>
        <w:tc>
          <w:tcPr>
            <w:tcW w:w="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ind w:left="9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research and development expenses by program:</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ADG20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18,523</w:t>
            </w:r>
          </w:p>
        </w:tc>
        <w:tc>
          <w:tcPr>
            <w:tcW w:w="8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30,652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1,743</w:t>
            </w: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External discovery-related costs and other</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w:t>
            </w: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23"/>
        </w:trPr>
        <w:tc>
          <w:tcPr>
            <w:tcW w:w="7980" w:type="dxa"/>
            <w:vAlign w:val="bottom"/>
          </w:tcPr>
          <w:p>
            <w:pPr>
              <w:ind w:left="720"/>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21,992</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Research and development expenses were $22.0 million for the period from June 3, 2020 (inception) to December 31, 2020 and consisted primarily of the following:</w:t>
      </w:r>
    </w:p>
    <w:p>
      <w:pPr>
        <w:spacing w:after="0" w:line="76" w:lineRule="exact"/>
        <w:rPr>
          <w:sz w:val="20"/>
          <w:szCs w:val="20"/>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$14.8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$1.4 million of clinical trial expenses related to start-up activities for our clinical trials for the ADG20 program;</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$1.0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$1.3 million of non-clinical studies expenses associated with the ADG20 program;</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$1.7 million of personnel-related costs, including salaries, bonuses and other compensation-related costs, including stock-based compensation of $0.1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$1.7 million of external discovery-related and other costs.</w:t>
      </w:r>
    </w:p>
    <w:p>
      <w:pPr>
        <w:spacing w:after="0" w:line="225"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contract manufacturing, clinical and other external research and development costs for our ADG20 program were incurred in connection with our first-in-human Phase 1 clinical trial to evaluate ADG20 and our Phase 2/3 STAMP trial of ADG20 for the treatment of COVID-19.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were $34.0 million for the three months ended March 31, 2021 and consisted primarily of the following:</w:t>
      </w:r>
    </w:p>
    <w:p>
      <w:pPr>
        <w:spacing w:after="0" w:line="154" w:lineRule="exact"/>
        <w:rPr>
          <w:sz w:val="20"/>
          <w:szCs w:val="20"/>
          <w:color w:val="auto"/>
        </w:rPr>
      </w:pPr>
    </w:p>
    <w:p>
      <w:pPr>
        <w:ind w:left="1080" w:right="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$20.4 million of contract manufacturing expenses related to the production of materials for use in our preclinical studies and clinical trials for the ADG20 program, procured primarily from WuXi, our sole-source supplier of drug substance;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$7.5 million of clinical trial expenses related to start-up activities for our clinical trials for the ADG20 program, including site initiation and patient enrollment;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$1.8 million of other external research and development costs associated with the ADG20 program, including with respect to consulting services, insurance costs and software expenditures;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$0.9 million of non-clinical studies expenses associated with the ADG20 program;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$2.3 million of personnel-related costs, including salaries, bonuses and other compensation-related costs, including stock-based compensation of $0.3 million;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$1.1 million of external discovery-related and other costs.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contract manufacturing, clinical and other external research and development costs for our ADG20 program were incurred in connection with our first-in-human Phase 1 clinical trial to evaluate ADG20, which was initiated in February 2021, and our Phase 2/3 STAMP trial of ADG20 for the treatment of COVID-19, which was initiated in March 2021.</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Acquired In-Process Research and Development Expenses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Acquired IPR&amp;D expenses of $40.1 million for the period from June 3, 2020 (inception) to December 31, 2020 consisted primarily of the $39.9 million of costs we incurred in July 2020 to acquire rights to Adimab’s antibodies relating to COVID-19 and SARS and related intellectual property and a license to certain of Adimab’s platform patents and technology for use in the research and development of our product candidates. We expensed the cost of the IPR&amp;D assets acquired because they had no alternative future use as of the acquisition date. The $39.9 million of costs to acquire the IPR&amp;D assets was determined as a result of our allocation of the $40.0 million aggregate fair value of the 5,000,000 shares of the Series A preferred stock that we issued to Adimab on the acquisition date in exchange for (i) the IPR&amp;D assets acquired from Adimab and (ii) 4,250,000 shares of our common stock that we repurchased from Adimab on that same date. We allocated the $40.0 million fair value of the 5,000,000 shares of Series A preferred to the IPR&amp;D assets and to the repurchased common stock based on their relative fair values on the acquisition date. We determined the fair value of the 5,000,000 shares of Series A preferred stock based on the $8.00 price per share paid for the stock by new investors in our Series A preferred stock financing, which closed on the same date as the date on which we acquired the intellectual property rights and license from Adimab.</w:t>
      </w:r>
    </w:p>
    <w:p>
      <w:pPr>
        <w:spacing w:after="0" w:line="16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expenses of $1.0 million for the three months ended March 31, 2021 consisted of the cost we incurred in the period under the Adimab Assignment Agreement for a milestone payment that became due to Adimab in February 2021 upon the dosing of the first patient in a Phase 1 clinical trial evaluating ADG20. The amount of this contingent payment was recognized as an IPR&amp;D expense based on the nature of the associated assets acquired from Adimab on the date of the milestone achievement.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3"/>
          </w:tcPr>
          <w:p>
            <w:pPr>
              <w:jc w:val="center"/>
              <w:ind w:right="1000"/>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6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900" w:type="dxa"/>
            <w:vAlign w:val="bottom"/>
          </w:tcPr>
          <w:p>
            <w:pPr>
              <w:spacing w:after="0"/>
              <w:rPr>
                <w:sz w:val="14"/>
                <w:szCs w:val="14"/>
                <w:color w:val="auto"/>
              </w:rPr>
            </w:pPr>
          </w:p>
        </w:tc>
        <w:tc>
          <w:tcPr>
            <w:tcW w:w="2040" w:type="dxa"/>
            <w:vAlign w:val="bottom"/>
            <w:gridSpan w:val="4"/>
          </w:tcPr>
          <w:p>
            <w:pPr>
              <w:jc w:val="center"/>
              <w:ind w:right="880"/>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3"/>
          </w:tcPr>
          <w:p>
            <w:pPr>
              <w:ind w:left="96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 (including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1,239</w:t>
            </w:r>
          </w:p>
        </w:tc>
        <w:tc>
          <w:tcPr>
            <w:tcW w:w="8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Professional and consultant fees</w:t>
            </w:r>
          </w:p>
        </w:tc>
        <w:tc>
          <w:tcPr>
            <w:tcW w:w="1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1,849</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1,969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88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Total selling, general and administrative expenses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Selling, general and administrative expenses were $3.2 million for the period from June 3, 2020 (inception) to December 31, 2020 and consisted primarily of:</w:t>
      </w:r>
    </w:p>
    <w:p>
      <w:pPr>
        <w:spacing w:after="0" w:line="76" w:lineRule="exact"/>
        <w:rPr>
          <w:sz w:val="20"/>
          <w:szCs w:val="20"/>
          <w:color w:val="auto"/>
        </w:rPr>
      </w:pPr>
    </w:p>
    <w:p>
      <w:pPr>
        <w:ind w:left="108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$1.2 million of personnel-related costs, including salaries, bonuses and other compensation-related costs, including stock-based compensation of $30,000;</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$1.2 million of professional service fees, including corporate legal costs as well as costs related to intellectual property, legal and compliance costs;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$0.6 million of market research costs relating to developing our potential commercialization plans and brand-related matters; and</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$0.1 million related to non-capital software and hardware and other office-related expenses.</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Selling, general and administrative expenses were $3.7 million for the three months ended March 31, 2021 and consisted primarily of the following:</w:t>
      </w:r>
    </w:p>
    <w:p>
      <w:pPr>
        <w:spacing w:after="0" w:line="76" w:lineRule="exact"/>
        <w:rPr>
          <w:sz w:val="20"/>
          <w:szCs w:val="20"/>
          <w:color w:val="auto"/>
        </w:rPr>
      </w:pPr>
    </w:p>
    <w:p>
      <w:pPr>
        <w:ind w:left="108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$1.5 million of personnel-related costs, including salaries, bonuses and other compensation-related costs, including stock-based compensation of $0.3 million;</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$1.1 million of professional service fees, including corporate legal costs as well as costs related to intellectual property, legal and compliance costs;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$0.9 million of market research costs relating to developing our potential commercialization plans and consumer brand-related matters;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$0.2 million related to non-capital software and hardware and other office-related expenses.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Interest income for the period from June 3, 2020 (inception) to December 31, 2020 and for the three months ended March 31, 2021 was $8,000 and $9,000, respectively, consisting of interest earned on our cash and cash equivalents.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Since our inception in June 2020, we have not generated any revenue from any sources, including from product sales, and have incurred significant operating losses and negative cash flows from operations. We expect to incur significant expenses and operating losses for the foreseeable future as we advance the clinical development of our product candidates. To date, we have funded our operations with proceeds from sales of our preferred stock. Through March 31, 2021, we had received net proceeds of $129.5 million from sales of our preferred stock. As of March 31, 2021, we had cash and cash equivalents of $91.2 million. In addition, in April 2021, we received gross proceeds of $335.5 million from sales of our Series C preferred stock.</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sources and uses of cash for each of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4"/>
              </w:rPr>
              <w:t>Period from</w:t>
            </w:r>
          </w:p>
        </w:tc>
        <w:tc>
          <w:tcPr>
            <w:tcW w:w="20" w:type="dxa"/>
            <w:vAlign w:val="bottom"/>
          </w:tcPr>
          <w:p>
            <w:pPr>
              <w:spacing w:after="0"/>
              <w:rPr>
                <w:sz w:val="14"/>
                <w:szCs w:val="14"/>
                <w:color w:val="auto"/>
              </w:rPr>
            </w:pPr>
          </w:p>
        </w:tc>
        <w:tc>
          <w:tcPr>
            <w:tcW w:w="10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December 31, 2020</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56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(14,571)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129,559</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and cash equivalents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114,988</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(23,741)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During the period from June 3, 2020 (inception) to December 31, 2020, operating activities used $14.6 million of cash, primarily due to our net loss of $65.3 million, partially offset by non-cash charges of</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$40.1 million and net cash provided by changes in our operating assets and liabilities of $10.7 million. Net cash provided by changes in our operating assets and liabilities consisted of an $8.2 million increase in accounts payable and a $4.9 million increase in accrued expenses, both partially offset by a $2.4 million increase in prepaid expenses and other current assets. The increases in accounts payable and accrued expenses were primarily due to amounts owed to vendors in connection with our research and development activities, including increased external costs associated with clinical trials and manufacturing, as well as increases in accrued employee bonuses. The increase in prepaid expenses and other current assets was primarily due to prepayments for external research and development activities.</w:t>
      </w:r>
    </w:p>
    <w:p>
      <w:pPr>
        <w:spacing w:after="0" w:line="178"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During the three months ended March 31, 2021, operating activities used $23.7 million of cash, primarily resulting from our net loss of $38.7 million, partially offset by non-cash charges of $0.6 million and net cash provided by changes in our operating assets and liabilities of $14.4 million. Net cash provided by changes in our operating assets and liabilities for the three months ended March 31, 2021 consisted primarily of a $12.4 million increase in accrued expenses and a $3.2 million increase in accounts payable, both partially offset by a $1.2 million increase in prepaid expenses and other current assets. The increases in accounts payable, accrued expenses and prepaid expenses were primarily due to increased external costs associated with our research and development activities, including clinical trials and manufacturing.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had no cash used in or provided by investing activities for the period from June 3, 2020 (inception) to December 31, 2020 or for the three months ended March 31, 2021.</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During the period from June 3, 2020 (inception) to December 31, 2020, net cash provided by financing activities was $129.6 million, primarily related to net proceeds of $49.7 million from the issuance of our Series A preferred stock in July 2020 and net proceeds of $79.8 million from the issuance of our Series B preferred stock in October and November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had no cash used in or provided by financing activities for the three months ended March 31, 2021.</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non-clinical and preclinical studies and the current and future clinical trials of our product candidates. Our funding requirements and timing and amount of our operating expenditures will depend on many factors, including:</w:t>
      </w:r>
    </w:p>
    <w:p>
      <w:pPr>
        <w:spacing w:after="0" w:line="8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rate of progress in the development of AGD20 and our other product candidates;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progress, results and costs of non-clinical studies, preclinical development, laboratory testing and clinical trials for ADG20 and future product candidates and associated development programs;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pipeline;</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scope, progress, results and costs as well as timing of process development and manufacturing scale-up and validation activities associated with ADG20 and our future product candidates and other programs as we advance them through preclinical and clinical development;</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timing and costs of securing sufficient capacity for commercial supply of our product candidates, or the raw material components thereof;</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 or EUA;</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continuation of our existing licensing and collaboration arrangements and entry into new collaborations and licensing arrangements, if at all;</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need and ability to hire additional research, clinical, development, scientific and manufacturing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need to implement additional internal systems and infrastructure;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effect of competing technological, product and market developments;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costs of operating as a public company; and</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progression of the COVID-19 pandemic and emergence of potential outbreaks of other coronaviruses, including the impact of any business interruptions to our operations or to those of our contract manufacturers, suppliers or other vendors resulting from the COVID-19 pandemic or other similar public health crises.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that the net proceeds from this offering, together with our existing cash and cash equivalents, will enable us to fund our operating</w:t>
      </w:r>
    </w:p>
    <w:p>
      <w:pPr>
        <w:spacing w:after="0" w:line="35" w:lineRule="exact"/>
        <w:rPr>
          <w:sz w:val="20"/>
          <w:szCs w:val="20"/>
          <w:color w:val="auto"/>
        </w:rPr>
      </w:pPr>
    </w:p>
    <w:p>
      <w:pPr>
        <w:jc w:val="both"/>
        <w:ind w:left="120"/>
        <w:spacing w:after="0" w:line="260" w:lineRule="auto"/>
        <w:rPr>
          <w:sz w:val="20"/>
          <w:szCs w:val="20"/>
          <w:color w:val="auto"/>
        </w:rPr>
      </w:pPr>
      <w:r>
        <w:rPr>
          <w:rFonts w:ascii="Arial" w:cs="Arial" w:eastAsia="Arial" w:hAnsi="Arial"/>
          <w:sz w:val="18"/>
          <w:szCs w:val="18"/>
          <w:color w:val="auto"/>
        </w:rPr>
        <w:t>expenses and capital expenditure requirements through . We have based this estimate on assumptions that may prove to be wrong, and we could exhaust our available capital resources sooner than we expect.</w:t>
      </w:r>
    </w:p>
    <w:p>
      <w:pPr>
        <w:spacing w:after="0" w:line="185"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Until such time, if ever, as we can generate substantial product revenue, we expect to finance our operations through a combination of equity offerings, government or private-party grants, debt financings, collaborations, strategic alliances and licensing arrangements. To the extent that we raise additional capital through the sale of equity or convertible debt securities, your ownership interest will be diluted, and the terms of such securities may include liquidation or other preferences and anti-dilution protections that adversely affect your rights as a common stockholder. Additional debt financing and preferred equity financing, if available, may involve agreements that include covenants limiting or restricting our ability to take specific actions, such as incurring debt, making acquisitions or capital expenditures or declaring dividends, which could adversely constrain our ability to conduct our business, and may require the issuance of warrants, which could potentially dilute your ownership interest.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through other sources, when needed,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may be required to delay, limit, reduce or terminate our product development programs or any future commercialization efforts or grant rights to develop and market product candidates to third parties that we would otherwise prefer to develop and market ourselves.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contractual obligations as of December 31, 2020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Payments Due by Period</w:t>
            </w: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60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5"/>
              </w:rPr>
              <w:t>Less than</w:t>
            </w:r>
          </w:p>
        </w:tc>
        <w:tc>
          <w:tcPr>
            <w:tcW w:w="560" w:type="dxa"/>
            <w:vAlign w:val="bottom"/>
          </w:tcPr>
          <w:p>
            <w:pPr>
              <w:spacing w:after="0"/>
              <w:rPr>
                <w:sz w:val="10"/>
                <w:szCs w:val="10"/>
                <w:color w:val="auto"/>
              </w:rPr>
            </w:pPr>
          </w:p>
        </w:tc>
        <w:tc>
          <w:tcPr>
            <w:tcW w:w="11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1 to 3</w:t>
            </w:r>
          </w:p>
        </w:tc>
        <w:tc>
          <w:tcPr>
            <w:tcW w:w="140" w:type="dxa"/>
            <w:vAlign w:val="bottom"/>
          </w:tcPr>
          <w:p>
            <w:pPr>
              <w:spacing w:after="0"/>
              <w:rPr>
                <w:sz w:val="10"/>
                <w:szCs w:val="10"/>
                <w:color w:val="auto"/>
              </w:rPr>
            </w:pPr>
          </w:p>
        </w:tc>
        <w:tc>
          <w:tcPr>
            <w:tcW w:w="6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4"/>
              </w:rPr>
              <w:t>4 to 5</w:t>
            </w:r>
          </w:p>
        </w:tc>
        <w:tc>
          <w:tcPr>
            <w:tcW w:w="28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00" w:type="dxa"/>
            <w:vAlign w:val="bottom"/>
          </w:tcPr>
          <w:p>
            <w:pPr>
              <w:jc w:val="right"/>
              <w:ind w:right="18"/>
              <w:spacing w:after="0"/>
              <w:rPr>
                <w:sz w:val="20"/>
                <w:szCs w:val="20"/>
                <w:color w:val="auto"/>
              </w:rPr>
            </w:pPr>
            <w:r>
              <w:rPr>
                <w:rFonts w:ascii="Arial" w:cs="Arial" w:eastAsia="Arial" w:hAnsi="Arial"/>
                <w:sz w:val="14"/>
                <w:szCs w:val="14"/>
                <w:b w:val="1"/>
                <w:bCs w:val="1"/>
                <w:color w:val="auto"/>
              </w:rPr>
              <w:t>1 Year</w:t>
            </w:r>
          </w:p>
        </w:tc>
        <w:tc>
          <w:tcPr>
            <w:tcW w:w="560" w:type="dxa"/>
            <w:vAlign w:val="bottom"/>
          </w:tcPr>
          <w:p>
            <w:pPr>
              <w:spacing w:after="0"/>
              <w:rPr>
                <w:sz w:val="14"/>
                <w:szCs w:val="14"/>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Years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Manufacturing agreement</w:t>
            </w:r>
            <w:r>
              <w:rPr>
                <w:rFonts w:ascii="Arial" w:cs="Arial" w:eastAsia="Arial" w:hAnsi="Arial"/>
                <w:sz w:val="15"/>
                <w:szCs w:val="15"/>
                <w:color w:val="auto"/>
              </w:rPr>
              <w:t>(1)</w:t>
            </w:r>
          </w:p>
        </w:tc>
        <w:tc>
          <w:tcPr>
            <w:tcW w:w="18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$142,865</w:t>
            </w: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$21,799</w:t>
            </w:r>
          </w:p>
        </w:tc>
        <w:tc>
          <w:tcPr>
            <w:tcW w:w="5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$121,066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License agreement</w:t>
            </w:r>
          </w:p>
        </w:tc>
        <w:tc>
          <w:tcPr>
            <w:tcW w:w="18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w:t>
            </w:r>
          </w:p>
        </w:tc>
        <w:tc>
          <w:tcPr>
            <w:tcW w:w="5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r>
              <w:rPr>
                <w:rFonts w:ascii="Arial" w:cs="Arial" w:eastAsia="Arial" w:hAnsi="Arial"/>
                <w:sz w:val="15"/>
                <w:szCs w:val="15"/>
                <w:color w:val="auto"/>
              </w:rPr>
              <w:t>(2)</w:t>
            </w:r>
          </w:p>
        </w:tc>
        <w:tc>
          <w:tcPr>
            <w:tcW w:w="18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143,015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21,949</w:t>
            </w: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121,066</w:t>
            </w:r>
          </w:p>
        </w:tc>
        <w:tc>
          <w:tcPr>
            <w:tcW w:w="4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Amounts represent minimum purchase commitments under an arrangement with our CDMO for commercial supply. The table reflects obligations that are non-cancelable as of December 31, 2020, based on the expected due dates for such purchases.</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Through December 31, 2020, we have operated as a virtual company. Therefore, we do not maintain a corporate headquarters or have material leasing arrangements.</w:t>
      </w:r>
    </w:p>
    <w:p>
      <w:pPr>
        <w:spacing w:after="0" w:line="18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a manufacturing agreement with WuXi, which outlines the terms and conditions under which it will manufacture ADG20 drug substance for commercial use. Our requirements for manufacture of ADG20 for the years ending December 31, 2021 and 2022, the payments for which will extend into 2023, are governed by a binding, forecasted schedule and are presented in the preceding table.</w:t>
      </w:r>
    </w:p>
    <w:p>
      <w:pPr>
        <w:spacing w:after="0" w:line="18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a separate cell line license agreement with WuXi, as of December 31, 2020, we were obligated to pay a license fee of $0.2 million to WuXi, which was an accrued expense as of December 31, 2020 and March 31, 2021. Under the agreement, we are obligated to pay royalties in the range of 0.3% to 0.5% to WuXi based on our net sales of any products covered by the license. However, if we use WuXi to manufacture all of our commercial supplies, no royalties would be owed by us to WuXi for net sales of licensed products. We have an option to buy out our royalty obligations by making a one-time payment of $15.0 million to WuXi. These royalty payments are not included in the preceding table as the amount and timing of such payments are not known.</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Under the Adimab Assignment Agreement, we are obligated to pay Adimab up to $16.5 million upon the achievement of specified development and regulatory milestones for the first product licensed under the agreement that achieves specified development and regulatory events and up to $8.1 million upon the achievement of specified development and regulatory milestones for the second product licensed under the agreement that achieves such development and regulatory events. 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 COVID-19, which obligated us to make a $2.5 million payment to Adimab. We made the payment in June 2021. The next potential milestone payment that we may be obligated to make is a $4.0 million milestone payment for the first dosing of the first subject in the first Phase 3 clinical trial of a product licensed under the agreement. In addition, we are obligated to pay Adimab royalties of a mid single-digit percentage based on our net sales of any products covered by the rights assigned. Further, we are obligated to pay Adimab royalties of a specified percentage in the range of 45% to 55% of any compulsory sublicense consideration received by us in lieu of certain royalty payments. These milestone and royalty payments are not included in the preceding table as the amount and timing of such payments are not known. For additional information, see “Business—Licensing, Collaborations and Partnerships—Assignment and License Agreement with Adimab” and “Certain Relationships and Related Party Transactions” appearing elsewhere in this prospectus.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Under the agreement, we are obligated to pay Adimab a quarterly fee of $1.3 million, which obligation may be cancelled at our option at any time.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Under the Adimab Collaboration Agreement, 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 These milestone and royalty payments are not included in the preceding table as the amount and timing of such payments are not known. For additional information, see “Business— Licensing, Collaborations and Partnerships—Collaboration Agreement with Adimab” and “Certain Relationships and Related Party Transactions” appearing elsewhere in this prospectus.</w:t>
      </w:r>
    </w:p>
    <w:p>
      <w:pPr>
        <w:spacing w:after="0" w:line="180"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enter into other contracts in the normal course of business with CROs, contract manufacturing organizations and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 Accordingly, these payments are not included in the preceding table as the amount and timing of such payments are not known.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generally accepted accounting principles in the United States, or GAAP. The preparation of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at the end of this prospectus, we believe the following accounting policies used in the preparation of our consolidated financial statements require the most significant judgments and estimates.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part of the process of preparing our consolidated financial statements, we are required to estimate our accrued research and development expenses. This process involves estimating the level of service performed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the associated costs incurred for the services when we have not yet been invoiced or otherwise notified of the actual costs. The majority of our service providers invoice us in arrears for services performed, on a pre-determined schedule or when contractual milestones are met; 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67"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CROs in connection with performing non-clinical studies, preclinical studies and clinical trials;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CDMOs related to the production of our product candidates for non-clinical studies, preclinical studies and clinical trials;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other providers and vendors in connection with research and development activities.</w:t>
      </w:r>
    </w:p>
    <w:p>
      <w:pPr>
        <w:spacing w:after="0" w:line="225"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CDMOs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measure and recognize asset acquisitions that are not deemed to be business combinations based on the cost to acquire the asset or group of assets, which includes transaction costs. Goodwill is not recognized in asset acquisitions. In an asset acquisition, the cost allocated to acquire IPR&amp;D with no alternative future use is recognized as expense on the acquisition date.</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concluded that the agreement under which we acquired rights to Adimab’s antibodies relating to COVID-19 and SARS and related intellectual property and a license to certain of Adimab’s platform patents and technology in June 2020 represented an asset acquisition of IPR&amp;D assets with no alternative future use. We further concluded that the arrangement did not qualify as a business combination because substantially all of the fair value of the assets acquired was concentrated in a single asset.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91" w:lineRule="auto"/>
        <w:rPr>
          <w:sz w:val="20"/>
          <w:szCs w:val="20"/>
          <w:color w:val="auto"/>
        </w:rPr>
      </w:pPr>
      <w:r>
        <w:rPr>
          <w:rFonts w:ascii="Arial" w:cs="Arial" w:eastAsia="Arial" w:hAnsi="Arial"/>
          <w:sz w:val="16"/>
          <w:szCs w:val="16"/>
          <w:color w:val="auto"/>
        </w:rPr>
        <w:t>option-pricing model. We have issued awards with only service-based vesting conditions.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We have issued awards with only service-based vesting conditions through March 31, 2021.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166"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In future periods, we expect stock-based compensation expense to increase due to our existing unrecognized stock-based compensation expense and to additional stock-based awards we expect to grant to continue to attract new hires and retain our existing employees.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Determination of Fair Value of Common Stock</w:t>
      </w:r>
    </w:p>
    <w:p>
      <w:pPr>
        <w:spacing w:after="0" w:line="117"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prepared in accordance with the guidance outlined in the American Institute of Certified Public Accountants’ Accounting and Valuation Guide</w:t>
      </w:r>
      <w:r>
        <w:rPr>
          <w:rFonts w:ascii="Arial" w:cs="Arial" w:eastAsia="Arial" w:hAnsi="Arial"/>
          <w:sz w:val="16"/>
          <w:szCs w:val="16"/>
          <w:i w:val="1"/>
          <w:iCs w:val="1"/>
          <w:color w:val="auto"/>
        </w:rPr>
        <w:t>, Valuation of Privately-Held Company Equity Securities Issued as Compensation.</w:t>
      </w:r>
      <w:r>
        <w:rPr>
          <w:rFonts w:ascii="Arial" w:cs="Arial" w:eastAsia="Arial" w:hAnsi="Arial"/>
          <w:sz w:val="16"/>
          <w:szCs w:val="16"/>
          <w:color w:val="auto"/>
        </w:rPr>
        <w:t xml:space="preserve"> Our common stock valuations were prepared using either a current value method, or CVM, an option pricing method, or OPM, or a hybrid method. To estimate our enterprise value, the CVM used an asset approach and the OPM and hybrid methods used a market approach. Under the CVM, once the fair value of the enterprise is established based on the balance sheet, the value is allocated to the various series of preferred and common stock based on their respective liquidation preferences or conversion values, whichever is greater.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hybrid method is a probability-weighted expected return method, or PWERM, where the equity value in one or more of the scenarios is calculated using an OPM.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w:t>
      </w:r>
    </w:p>
    <w:p>
      <w:pPr>
        <w:spacing w:after="0" w:line="169"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These third-party valuations were performed at various dates, which resulted in valuations of our common stock of $0.00 per share as of June 19, 2020, $3.90 per share as of July 9, 2020, $23.04 per share as of October 31, 2020, $41.80 as of March 15, 2021, $50.68 as of May 1, 2021 and $64.01 as of June 23, 2021. In addition to considering the results of these third-party valuations, our board of directors considered various objective and subjective factors to determine the fair value of common stock as of each grant date, including:</w:t>
      </w:r>
    </w:p>
    <w:p>
      <w:pPr>
        <w:spacing w:after="0" w:line="92" w:lineRule="exact"/>
        <w:rPr>
          <w:sz w:val="20"/>
          <w:szCs w:val="20"/>
          <w:color w:val="auto"/>
        </w:rPr>
      </w:pPr>
    </w:p>
    <w:p>
      <w:pPr>
        <w:ind w:left="1080" w:right="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prices at which we sold our preferred stock and the superior rights and preferences of our preferred stock relative to those of our common stock at the time of each grant;</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clinical trials for our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stage of development and our business strategy;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competitive landscape for similar products for the treatment and prevention of COVID-19;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given prevailing market conditions;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assumptions underlying these valuations represented management’s best estimate,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84"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based on the quoted market price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Option Grants</w:t>
      </w:r>
    </w:p>
    <w:p>
      <w:pPr>
        <w:spacing w:after="0" w:line="117"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following table summarizes by grant date the number of shares subject to options granted since June 3, 2020 (inception), the per share exercise price of the options, the per share fair value of our common stock on each grant date and the per share estimated fair value of the options: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1"/>
              </w:rPr>
              <w:t>Per Share</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300" w:type="dxa"/>
            <w:vAlign w:val="bottom"/>
          </w:tcPr>
          <w:p>
            <w:pPr>
              <w:spacing w:after="0"/>
              <w:rPr>
                <w:sz w:val="12"/>
                <w:szCs w:val="12"/>
                <w:color w:val="auto"/>
              </w:rPr>
            </w:pPr>
          </w:p>
        </w:tc>
        <w:tc>
          <w:tcPr>
            <w:tcW w:w="9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Exercise</w:t>
            </w:r>
          </w:p>
        </w:tc>
        <w:tc>
          <w:tcPr>
            <w:tcW w:w="300" w:type="dxa"/>
            <w:vAlign w:val="bottom"/>
          </w:tcPr>
          <w:p>
            <w:pPr>
              <w:spacing w:after="0"/>
              <w:rPr>
                <w:sz w:val="12"/>
                <w:szCs w:val="12"/>
                <w:color w:val="auto"/>
              </w:rPr>
            </w:pPr>
          </w:p>
        </w:tc>
        <w:tc>
          <w:tcPr>
            <w:tcW w:w="1440" w:type="dxa"/>
            <w:vAlign w:val="bottom"/>
            <w:gridSpan w:val="3"/>
          </w:tcPr>
          <w:p>
            <w:pPr>
              <w:jc w:val="center"/>
              <w:ind w:right="404"/>
              <w:spacing w:after="0" w:line="149" w:lineRule="exact"/>
              <w:rPr>
                <w:sz w:val="20"/>
                <w:szCs w:val="20"/>
                <w:color w:val="auto"/>
              </w:rPr>
            </w:pPr>
            <w:r>
              <w:rPr>
                <w:rFonts w:ascii="Arial" w:cs="Arial" w:eastAsia="Arial" w:hAnsi="Arial"/>
                <w:sz w:val="14"/>
                <w:szCs w:val="14"/>
                <w:b w:val="1"/>
                <w:bCs w:val="1"/>
                <w:color w:val="auto"/>
                <w:w w:val="95"/>
              </w:rPr>
              <w:t>Fair Value of</w:t>
            </w:r>
          </w:p>
        </w:tc>
        <w:tc>
          <w:tcPr>
            <w:tcW w:w="2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rPr>
              <w:t>Grant Date</w:t>
            </w:r>
          </w:p>
        </w:tc>
        <w:tc>
          <w:tcPr>
            <w:tcW w:w="400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to Options</w:t>
            </w:r>
          </w:p>
        </w:tc>
        <w:tc>
          <w:tcPr>
            <w:tcW w:w="300" w:type="dxa"/>
            <w:vAlign w:val="bottom"/>
          </w:tcPr>
          <w:p>
            <w:pPr>
              <w:spacing w:after="0"/>
              <w:rPr>
                <w:sz w:val="12"/>
                <w:szCs w:val="12"/>
                <w:color w:val="auto"/>
              </w:rPr>
            </w:pPr>
          </w:p>
        </w:tc>
        <w:tc>
          <w:tcPr>
            <w:tcW w:w="9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300" w:type="dxa"/>
            <w:vAlign w:val="bottom"/>
          </w:tcPr>
          <w:p>
            <w:pPr>
              <w:spacing w:after="0"/>
              <w:rPr>
                <w:sz w:val="12"/>
                <w:szCs w:val="12"/>
                <w:color w:val="auto"/>
              </w:rPr>
            </w:pP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78"/>
        </w:trPr>
        <w:tc>
          <w:tcPr>
            <w:tcW w:w="1560" w:type="dxa"/>
            <w:vAlign w:val="bottom"/>
            <w:tcBorders>
              <w:bottom w:val="single" w:sz="8" w:color="auto"/>
            </w:tcBorders>
            <w:vMerge w:val="continue"/>
          </w:tcPr>
          <w:p>
            <w:pPr>
              <w:spacing w:after="0"/>
              <w:rPr>
                <w:sz w:val="15"/>
                <w:szCs w:val="15"/>
                <w:color w:val="auto"/>
              </w:rPr>
            </w:pPr>
          </w:p>
        </w:tc>
        <w:tc>
          <w:tcPr>
            <w:tcW w:w="4000" w:type="dxa"/>
            <w:vAlign w:val="bottom"/>
          </w:tcPr>
          <w:p>
            <w:pPr>
              <w:spacing w:after="0"/>
              <w:rPr>
                <w:sz w:val="15"/>
                <w:szCs w:val="15"/>
                <w:color w:val="auto"/>
              </w:rPr>
            </w:pPr>
          </w:p>
        </w:tc>
        <w:tc>
          <w:tcPr>
            <w:tcW w:w="12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Granted</w:t>
            </w:r>
          </w:p>
        </w:tc>
        <w:tc>
          <w:tcPr>
            <w:tcW w:w="300" w:type="dxa"/>
            <w:vAlign w:val="bottom"/>
          </w:tcPr>
          <w:p>
            <w:pPr>
              <w:spacing w:after="0"/>
              <w:rPr>
                <w:sz w:val="15"/>
                <w:szCs w:val="15"/>
                <w:color w:val="auto"/>
              </w:rPr>
            </w:pPr>
          </w:p>
        </w:tc>
        <w:tc>
          <w:tcPr>
            <w:tcW w:w="92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5"/>
                <w:szCs w:val="15"/>
                <w:color w:val="auto"/>
              </w:rPr>
            </w:pPr>
          </w:p>
        </w:tc>
        <w:tc>
          <w:tcPr>
            <w:tcW w:w="1440" w:type="dxa"/>
            <w:vAlign w:val="bottom"/>
            <w:gridSpan w:val="3"/>
          </w:tcPr>
          <w:p>
            <w:pPr>
              <w:jc w:val="center"/>
              <w:ind w:right="404"/>
              <w:spacing w:after="0" w:line="158" w:lineRule="exact"/>
              <w:rPr>
                <w:sz w:val="20"/>
                <w:szCs w:val="20"/>
                <w:color w:val="auto"/>
              </w:rPr>
            </w:pPr>
            <w:r>
              <w:rPr>
                <w:rFonts w:ascii="Arial" w:cs="Arial" w:eastAsia="Arial" w:hAnsi="Arial"/>
                <w:sz w:val="14"/>
                <w:szCs w:val="14"/>
                <w:b w:val="1"/>
                <w:bCs w:val="1"/>
                <w:color w:val="auto"/>
                <w:w w:val="95"/>
              </w:rPr>
              <w:t>on Grant Date</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June 19, 2020</w:t>
            </w:r>
          </w:p>
        </w:tc>
        <w:tc>
          <w:tcPr>
            <w:tcW w:w="40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1,388,648</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w w:val="84"/>
              </w:rPr>
              <w:t>$0.02</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(1)</w:t>
            </w: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w w:val="94"/>
              </w:rPr>
              <w:t>September 28, 2020</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593,614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$3.90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$5.00</w:t>
            </w:r>
            <w:r>
              <w:rPr>
                <w:rFonts w:ascii="Arial" w:cs="Arial" w:eastAsia="Arial" w:hAnsi="Arial"/>
                <w:sz w:val="15"/>
                <w:szCs w:val="15"/>
                <w:color w:val="auto"/>
              </w:rPr>
              <w:t>(1)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January 13,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502,600</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23.04</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23.04</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April 13,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239,750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41.80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41.80</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May 7,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1,268,348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50.68</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50.68</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June 30, 2021</w:t>
            </w:r>
          </w:p>
        </w:tc>
        <w:tc>
          <w:tcPr>
            <w:tcW w:w="5220" w:type="dxa"/>
            <w:vAlign w:val="bottom"/>
            <w:gridSpan w:val="3"/>
          </w:tcPr>
          <w:p>
            <w:pPr>
              <w:jc w:val="right"/>
              <w:ind w:right="300"/>
              <w:spacing w:after="0"/>
              <w:rPr>
                <w:sz w:val="20"/>
                <w:szCs w:val="20"/>
                <w:color w:val="auto"/>
              </w:rPr>
            </w:pPr>
            <w:r>
              <w:rPr>
                <w:rFonts w:ascii="Arial" w:cs="Arial" w:eastAsia="Arial" w:hAnsi="Arial"/>
                <w:sz w:val="18"/>
                <w:szCs w:val="18"/>
                <w:color w:val="auto"/>
              </w:rPr>
              <w:t>405,014</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64.01</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420"/>
              <w:spacing w:after="0"/>
              <w:rPr>
                <w:sz w:val="20"/>
                <w:szCs w:val="20"/>
                <w:color w:val="auto"/>
              </w:rPr>
            </w:pPr>
            <w:r>
              <w:rPr>
                <w:rFonts w:ascii="Arial" w:cs="Arial" w:eastAsia="Arial" w:hAnsi="Arial"/>
                <w:sz w:val="18"/>
                <w:szCs w:val="18"/>
                <w:color w:val="auto"/>
              </w:rPr>
              <w:t>64.01</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July 4, 2021</w:t>
            </w:r>
          </w:p>
        </w:tc>
        <w:tc>
          <w:tcPr>
            <w:tcW w:w="5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372,292</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64.01</w:t>
            </w: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64.01</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9"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At the time of the option grants on June 19, 2020 and September 28, 2020, our board of directors determined that the fair value of our common stock of $0.01 per share and $3.90 per share reasonably reflected the fair value of our common stock as of each grant date, based on the contemporaneous valuations obtained. However, as described below, the fair value of our common stock at the date of these grants was adjusted in connection with retrospective fair value assessments for accounting purposes.</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the course of preparing for this offering, in April 2021, we performed a retrospective fair value assessment and concluded that the fair value of our common stock underlying stock options that we granted on June 19, 2020 and September 28, 2020 was $0.02 per share as of June 19, 2020 and $5.00 per share as of September 28, 2020 for accounting purposes. These reassessed values were based, in part, upon third-party valuations of our common stock prepared on a retrospective basis as of July 8, 2020 and September 28, 2020. The third-party retrospective valuations were prepared using the CVM or the OPM, which used an asset approach</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or a market approach to determine our enterprise value. We applied the fair values of our common stock from our retrospective fair value assessments to determine the fair value of these awards and calculate stock-based compensation expense for accounting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We identified a material weakness in our internal control over financial reporting that existed as of March 31, 2021. See “Risk Factors—We have identified a material weakness in our internal control over financial reporting. If we are unable to remediate this material weakness, or if we identify additional material weaknesses in the future or otherwise fail to maintain effective internal control over financial reporting, we may not be able to accurately or timely report our financial condition or results of operations, which may adversely affect our business.”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Jumpstart Our Business Startups Act of 2012 permits an “emerging growth company” such as us to take advantage of an extended transition period to comply with new or revised accounting standards applicable to public companies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December 31, 2020, we had cash and cash equivalents of $115.0 million, which consisted of cash and a money market fund. As of March 31, 2021, we had cash and cash equivalents of $91.2 million, which consisted of cash and a money market fund. Interest income is sensitive to changes in the general level of interest rates; however, due to the nature of these investments, an immediate 10% change in interest rates would not have a material impact on the fair value of our investment portfolio. As of December 31, 2020 and March 31, 2021, we had no debt outstanding. Therefore, we are not exposed to interest rate risk with respect to debt.</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Our operations may be subject to fluctuations in foreign currency exchange rates in the future.</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antibody-based solutions for infectious diseases with pandemic potential. We are developing our lead product candidate, ADG20, for the treatment and prevention of coronavirus disease 2019, or COVID-19, the disease caused by the virus SARS-CoV-2 and its variants. COVID-19 has caused the current global pandemic that remains a significant global health crisis and has resulted in millions of deaths and lasting health problems in many survivors. We believe that COVID-19 will become an endemic disease requiring a variety of effective, safe and convenient treatment and prevention options for years to come. We aim to address COVID-19 and future potential viral outbreaks by building a portfolio of antibodies with broadly neutralizing activity against multiple members of the coronavirus family or additional viruses with pandemic potential. Our portfolio of antibodies was discovered by Adimab, LLC, or Adimab, an industry leader in translating target hypotheses into therapeutically relevant antibodies with their proprietary platform, which has resulted in more than 385 antibody discovery programs, over 40 of which have advanced into clinical trials.</w:t>
      </w:r>
    </w:p>
    <w:p>
      <w:pPr>
        <w:spacing w:after="0" w:line="181"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ADG20 is designed to be a potent, long-acting and broadly neutralizing antibody for both the treatment and prevention of COVID-19 as either a single or combination agent. Unlike other antibody-based therapies specifically targeting SARS-CoV-2, ADG20 has demonstrated in non-clinical studies an ability to neutralize SARS-CoV-2, including variants of concern, as well as a broad range of SARS-like 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(half maximal inhibitory concentrations) of approximately 0.01 mcg/mL or less in live-virus cellular assays. We believe this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will translate into the ability to conveniently deliver ADG20 as a single intramuscular, or IM, injection. We believe these and other attributes of ADG20 differentiate it from other antibodies that are either available under Emergency Use Authorization, or EUA, or in development to address COVID-19. We have completed enrollment in our first-in-human Phase 1 clinical trial of ADG20. Interim data demonstrated that ADG20 was well tolerated and displayed a pharmacokinetic profile consistent with an extended half-life monoclonal antibody, or mAb. Serum virus neutralizing antibody titers measured following administration of ADG20 were within the range of peak serum neutralizing antibody titers reported for mRNA COVID-19 vaccine recipients. Based on these data, we are conducting two separate Phase 2/3 clinical trials: our STAMP trial to evaluate ADG20 for the treatment of COVID-19 and our EVADE trial to evaluate ADG20 for the prevention of COVID-19. Additionally, our portfolio includes multiple broadly neutralizing antibodies, including ADG10, for potential use with ADG20 as a combination therapy for the treatment and prevention of COVID-19 and future coronavirus outbreaks.</w:t>
      </w:r>
    </w:p>
    <w:p>
      <w:pPr>
        <w:spacing w:after="0" w:line="18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Over the past 20 years, three pathogenic novel coronaviruses have spilled over into the human population from animal reservoirs to cause outbreaks of deadly pneumonia, including COVID-19, severe acute respiratory syndrome, or SARS, and Middle East respiratory syndrome, or MERS. Most recently, SARS-CoV-2 has given rise to a global pandemic that swept rapidly throughout the world in 2020. Of significant current concern is the emergence of a number of SARS-CoV-2 variants with increased transmissibility and/or the ability to evade neutralizing antibodies. In addition to the emergence of these variants, there are multiple factors that we believe contribute to the likelihood of COVID-19 becoming an endemic threat, including:</w:t>
      </w:r>
    </w:p>
    <w:p>
      <w:pPr>
        <w:spacing w:after="0" w:line="2" w:lineRule="exact"/>
        <w:rPr>
          <w:sz w:val="20"/>
          <w:szCs w:val="20"/>
          <w:color w:val="auto"/>
        </w:rPr>
      </w:pPr>
    </w:p>
    <w:p>
      <w:pPr>
        <w:jc w:val="both"/>
        <w:ind w:left="120" w:hanging="4"/>
        <w:spacing w:after="0" w:line="252" w:lineRule="auto"/>
        <w:tabs>
          <w:tab w:leader="none" w:pos="3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 As a result, our epidemiological modeling has suggested that as much as 50% of the global population may be susceptible to SARS-CoV-2 infection within three years. We also believe that future pandemics similar to the COVID-19 pandemic are likely because, in many parts of the world, humans live in close proximity to animal species harboring SARS-like viruses that are capable of infecting humans.</w:t>
      </w:r>
    </w:p>
    <w:p>
      <w:pPr>
        <w:spacing w:after="0" w:line="19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optimize our candidate molecules to improve breadth, potency, half-life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developability. Key elements that differentiate our approach include: (1) recognition of the importance of broadly neutralizing antibodies;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 industry-leading B-cell mining, protein engineering and developability screening capabilities through our partnership with Adimab; and</w:t>
      </w:r>
    </w:p>
    <w:p>
      <w:pPr>
        <w:spacing w:after="0" w:line="9" w:lineRule="exact"/>
        <w:rPr>
          <w:sz w:val="20"/>
          <w:szCs w:val="20"/>
          <w:color w:val="auto"/>
        </w:rPr>
      </w:pPr>
    </w:p>
    <w:p>
      <w:pPr>
        <w:jc w:val="both"/>
        <w:ind w:left="120" w:right="20" w:hanging="4"/>
        <w:spacing w:after="0" w:line="302" w:lineRule="auto"/>
        <w:tabs>
          <w:tab w:leader="none" w:pos="4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development of antibodies with reduced risk of clinical resistance. We believe that a mAb therapy that provides potent and broad neutralizing activity, convenient outpatient administration and both rapid and durable protection will have the potential to address the limitations of currently available treatment and prevention options for COVID-19 as well as future diseases that may arise from SARS-like viruses with pandemic potential.</w:t>
      </w:r>
    </w:p>
    <w:p>
      <w:pPr>
        <w:spacing w:after="0" w:line="15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known as sarbecoviruses, as opposed to only neutralizing SARS-CoV-2.</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STAMP trial, a combined Phase 2/3 global clinical trial designed to provide a path to authorization, marketing approval and commercial launch in 2022. For the prevention of COVID-19, we are conducting our EVADE trial, a combined Phase 2/3 clinical trial in both post-exposure and pre-exposure populations. If these clinical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as well. In addition, we are developing a clinical plan to support the use of ADG20 in the pediatric population for both the treatment and prevention of COVID-19.</w:t>
      </w:r>
    </w:p>
    <w:p>
      <w:pPr>
        <w:spacing w:after="0" w:line="18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also evaluating additional broadly neutralizing antibodies, such as ADG10, for potential use in combination with ADG20 for COVID-19. We believe the incorporation of a second broadly neutralizing antibody that targets a distinct viral epitope from the epitope targeted by ADG20 will ensure long-lasting product activity against COVID-19 as new variants of SARS-CoV-2 emerge, as well as against future potential outbreaks of disease that may arise from additional SARS-like viruses with pandemic potential. In addition, we plan to leverage the robust antibody discovery and development capabilities that have enabled our expedited advancement of ADG20 into clinical trials to develop therapeutic or preventative options for other respiratory viral infections, such as additional coronaviruses and seasonal and pandemic influenza. In addition to building a portfolio of broadly neutralizing antibodies, we are leveraging our knowledge around broadly neutralizing antibody responses to inform the rational design of coronavirus vaccine antigens.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History and Team</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were founded in June 2020 to develop of a portfolio of anti-coronavirus antibodies discovered by Adimab for both the treatment and prevention of COVID-19 and future coronavirus outbreaks. Our founding scientists discovered ADG20, our lead product candidate, while working at Adimab, an industry leader in translating target hypotheses into therapeutically relevant antibodies. The Adimab platform has been used in more than 385 antibody discovery and optimization programs, more than 40 of which have advanced into clinical trials, including five programs in pivotal clinical trials. In order to maximize ADG20’s potential and to ensure its development and commercialization with appropriate infectious disease resources and development expertise, we were launched as a new biotechnology company. Since our founding, we have assembled a team of industry veterans with substantial experience in discovering, developing and commercializing novel treatments for infectious diseases, including extensive experience discovering and optimizing mAbs. Many of our team members have held senior positions at companies such as Cubist Pharmaceuticals, Inc., Vir Biotechnology Inc., Adimab, Biogen and Ironwood Pharmaceuticals, among others.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Since our inception, we have raised approximately $470 million of capital from leading institutional healthcare investors and our partners. Our leadership team has more than 100 years of combined development and commercialization experience with small and large molecules in infectious disease, as well as decades of domain expertise in B-cell immunology of viral diseases.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goal is to develop and commercialize differentiated antibody-based solutions with broadly neutralizing activity for the treatment and prevention of diseases caused by SARS-CoV-2, its variants and additional SARS-like viruses with pandemic potential. In order to achieve this goal, our strategy involves executing on the following key elements:</w:t>
      </w:r>
    </w:p>
    <w:p>
      <w:pPr>
        <w:spacing w:after="0" w:line="85" w:lineRule="exact"/>
        <w:rPr>
          <w:sz w:val="20"/>
          <w:szCs w:val="20"/>
          <w:color w:val="auto"/>
        </w:rPr>
      </w:pPr>
    </w:p>
    <w:p>
      <w:pPr>
        <w:jc w:val="both"/>
        <w:ind w:left="1080" w:hanging="532"/>
        <w:spacing w:after="0" w:line="298"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Leverage our team’s collective expertise in development, manufacturing and commercialization to efficiently bring ADG20 to patients. Since our inception, we have assembled a team with deep and specific expertise in discovering, developing, manufacturing and commercializing novel treatments for infectious diseases, including extensive experience with developing mAb therapies. Based on our team’s successful track record, collectively, we believe we will be able to execute on the clinical, regulatory, manufacturing and commercialization plan for ADG20, as well as any future programs, in an efficient manner.</w:t>
      </w:r>
    </w:p>
    <w:p>
      <w:pPr>
        <w:spacing w:after="0" w:line="59" w:lineRule="exact"/>
        <w:rPr>
          <w:rFonts w:ascii="Arial" w:cs="Arial" w:eastAsia="Arial" w:hAnsi="Arial"/>
          <w:sz w:val="16"/>
          <w:szCs w:val="16"/>
          <w:color w:val="auto"/>
        </w:rPr>
      </w:pPr>
    </w:p>
    <w:p>
      <w:pPr>
        <w:jc w:val="both"/>
        <w:ind w:left="1080" w:hanging="532"/>
        <w:spacing w:after="0" w:line="268" w:lineRule="auto"/>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b w:val="1"/>
          <w:bCs w:val="1"/>
          <w:color w:val="auto"/>
        </w:rPr>
        <w:t>Complete development and obtain global approval for our lead product candidate, ADG20, for both the treatment and prevention of COVID-19</w:t>
      </w:r>
      <w:r>
        <w:rPr>
          <w:rFonts w:ascii="Arial" w:cs="Arial" w:eastAsia="Arial" w:hAnsi="Arial"/>
          <w:sz w:val="17"/>
          <w:szCs w:val="17"/>
          <w:color w:val="auto"/>
        </w:rPr>
        <w:t>. Our clinical development plan for ADG20 includes two global clinical trials to demonstrate the efficacy and safety of</w:t>
      </w:r>
      <w:r>
        <w:rPr>
          <w:rFonts w:ascii="Arial" w:cs="Arial" w:eastAsia="Arial" w:hAnsi="Arial"/>
          <w:sz w:val="17"/>
          <w:szCs w:val="17"/>
          <w:b w:val="1"/>
          <w:bCs w:val="1"/>
          <w:color w:val="auto"/>
        </w:rPr>
        <w:t xml:space="preserve"> </w:t>
      </w:r>
      <w:r>
        <w:rPr>
          <w:rFonts w:ascii="Arial" w:cs="Arial" w:eastAsia="Arial" w:hAnsi="Arial"/>
          <w:sz w:val="17"/>
          <w:szCs w:val="17"/>
          <w:color w:val="auto"/>
        </w:rPr>
        <w:t>ADG20 for treatment and prevention of COVID-19, respectively. We have completed enrollment in our first-in-human Phase 1 clinical trial in healthy volunteers. Interim data demonstrated that ADG20 was well tolerated and displayed a pharmacokinetic profile consistent with an extended half-life mAb. In addition, the serum virus neutralizing antibody titers measured following administration of ADG20 were within the range of peak serum neutralizing antibody titers reported for mRNA COVID-19 vaccine recipients. We are conducting our Phase 2/3 STAMP trial, which is designed to provide a path to authorization, marketing approval and commercial launch in 2022, for the treatment of mild to moderate COVID-19 in patients at high risk of disease progression. This clinical trial includes an interim analysis for efficacy, which has the potential to support an EUA. The clinical data from the interim analysis will be further supplemented with nonclinical virological data demonstrating broad neutralizing activity against a comprehensive panel of known SARS-CoV-2 variants, including variants that are partially or fully resistant to certain currently available mAb therapies and vaccines. Similarly, we are conducting our Phase 2/3 global clinical trial, EVADE, to evaluate ADG20 in the prevention of symptomatic COVID-19 in two separate populations: (1) individuals with known exposure to a person with laboratory-confirmed SARS-CoV-2 infection, also known as post-exposure prophylaxis, and (2) individuals who are at increased risk for SARS-CoV-2 infection, also known as pre-exposure prophylaxis, including those at increased risk of poor vaccine response.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w:t>
      </w:r>
    </w:p>
    <w:p>
      <w:pPr>
        <w:spacing w:after="0" w:line="8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 xml:space="preserve">Successfully commercialize ADG20, if approved. </w:t>
      </w:r>
      <w:r>
        <w:rPr>
          <w:rFonts w:ascii="Arial" w:cs="Arial" w:eastAsia="Arial" w:hAnsi="Arial"/>
          <w:sz w:val="16"/>
          <w:szCs w:val="16"/>
          <w:color w:val="auto"/>
        </w:rPr>
        <w:t>We believe ADG20 will have several attractive clinical and commercial attributes,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(1) potent and broad neutralizing activity across sarbecoviruses, including against SARS-CoV-2 and known, circulating variants of concern; (2) rapid onset of protection; (3) differentiated durability; (4) convenient, single-dose IM injection for use in the outpatient setting; (5) ability to both complement and supplement currently available COVID-19 vaccines, including for immunocompromised individuals; (6) high titer, high yield manufacturing process; (7) standard refrigeration requirements to facilitate worldwide distribution and storage; and (8) long shelf life to enable stockpiling. Our plan for the commercialization of ADG20 involves direct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7" w:lineRule="auto"/>
        <w:rPr>
          <w:sz w:val="20"/>
          <w:szCs w:val="20"/>
          <w:color w:val="auto"/>
        </w:rPr>
      </w:pPr>
      <w:r>
        <w:rPr>
          <w:rFonts w:ascii="Arial" w:cs="Arial" w:eastAsia="Arial" w:hAnsi="Arial"/>
          <w:sz w:val="18"/>
          <w:szCs w:val="18"/>
          <w:color w:val="auto"/>
        </w:rPr>
        <w:t>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In other markets, such as Latin America, Asia-Pacific, including China, and Middle Eastern and African countries, we intend to commercialize ADG20 through partnerships.</w:t>
      </w:r>
    </w:p>
    <w:p>
      <w:pPr>
        <w:spacing w:after="0" w:line="89" w:lineRule="exact"/>
        <w:rPr>
          <w:sz w:val="20"/>
          <w:szCs w:val="20"/>
          <w:color w:val="auto"/>
        </w:rPr>
      </w:pPr>
    </w:p>
    <w:p>
      <w:pPr>
        <w:jc w:val="both"/>
        <w:ind w:left="1080" w:hanging="532"/>
        <w:spacing w:after="0" w:line="254"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Continue to secure additional manufacturing capacity with trusted CDMO partners to enable a worldwide commercial launch. </w:t>
      </w:r>
      <w:r>
        <w:rPr>
          <w:rFonts w:ascii="Arial" w:cs="Arial" w:eastAsia="Arial" w:hAnsi="Arial"/>
          <w:sz w:val="18"/>
          <w:szCs w:val="18"/>
          <w:color w:val="auto"/>
        </w:rPr>
        <w:t>Due to ongoing worldwide manufacturing capacity constraints, we have identified and secured the necessary manufacturing capabilities and capacity to enable the development and commercialization of ADG20. In partnership with WuXi Biologics (Hong Kong) Limited, or WuXi, we have developed a high titer, high yield manufacturing process and a formulation that enables IM delivery and have manufactured all the required doses for our STAMP and EVADE clinical trials. We have also selected WuXi as our initial commercial manufacturing partner and believe we have secured sufficient capacity for our initial commercial launch, if ADG20 is approved. We are continuing to evaluate access to additional capacity at both WuXi and other CDMOs to ensure we can meet expected long-term commercial demand.</w:t>
      </w:r>
    </w:p>
    <w:p>
      <w:pPr>
        <w:spacing w:after="0" w:line="97" w:lineRule="exact"/>
        <w:rPr>
          <w:rFonts w:ascii="Arial" w:cs="Arial" w:eastAsia="Arial" w:hAnsi="Arial"/>
          <w:sz w:val="18"/>
          <w:szCs w:val="18"/>
          <w:color w:val="auto"/>
        </w:rPr>
      </w:pPr>
    </w:p>
    <w:p>
      <w:pPr>
        <w:jc w:val="both"/>
        <w:ind w:left="1080" w:right="20" w:hanging="532"/>
        <w:spacing w:after="0" w:line="274"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Develop additional antibodies for use in potential combination with ADG20 to address future potential variants of SARS-CoV-2 and other sarbecovirus outbreaks. </w:t>
      </w:r>
      <w:r>
        <w:rPr>
          <w:rFonts w:ascii="Arial" w:cs="Arial" w:eastAsia="Arial" w:hAnsi="Arial"/>
          <w:sz w:val="17"/>
          <w:szCs w:val="17"/>
          <w:color w:val="auto"/>
        </w:rPr>
        <w:t>The current COVID-19 pandemic has been exacerbated by the global emergence and spread of</w:t>
      </w:r>
      <w:r>
        <w:rPr>
          <w:rFonts w:ascii="Arial" w:cs="Arial" w:eastAsia="Arial" w:hAnsi="Arial"/>
          <w:sz w:val="17"/>
          <w:szCs w:val="17"/>
          <w:b w:val="1"/>
          <w:bCs w:val="1"/>
          <w:color w:val="auto"/>
        </w:rPr>
        <w:t xml:space="preserve"> </w:t>
      </w:r>
      <w:r>
        <w:rPr>
          <w:rFonts w:ascii="Arial" w:cs="Arial" w:eastAsia="Arial" w:hAnsi="Arial"/>
          <w:sz w:val="17"/>
          <w:szCs w:val="17"/>
          <w:color w:val="auto"/>
        </w:rPr>
        <w:t>SARS-CoV-2 variants with varying levels of resistance to existing therapies, highlighting the need for proactive planning to allow for a rapid and effective response against future coronavirus outbreaks. We are building a portfolio of broadly neutralizing antibodies that target viral epitopes distinct from that targeted by ADG20. We believe combinations of these antibodies, including with ADG20, have the potential to further enhance the breadth and effectiveness of our products.</w:t>
      </w:r>
    </w:p>
    <w:p>
      <w:pPr>
        <w:spacing w:after="0" w:line="78" w:lineRule="exact"/>
        <w:rPr>
          <w:rFonts w:ascii="Arial" w:cs="Arial" w:eastAsia="Arial" w:hAnsi="Arial"/>
          <w:sz w:val="17"/>
          <w:szCs w:val="17"/>
          <w:color w:val="auto"/>
        </w:rPr>
      </w:pPr>
    </w:p>
    <w:p>
      <w:pPr>
        <w:jc w:val="both"/>
        <w:ind w:left="1080" w:hanging="532"/>
        <w:spacing w:after="0" w:line="277" w:lineRule="auto"/>
        <w:tabs>
          <w:tab w:leader="none" w:pos="108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 xml:space="preserve">Leverage relationships with Adimab and academic institutions to discover additional antibody-based solutions to address coronaviruses and influenza infections. </w:t>
      </w:r>
      <w:r>
        <w:rPr>
          <w:rFonts w:ascii="Arial" w:cs="Arial" w:eastAsia="Arial" w:hAnsi="Arial"/>
          <w:sz w:val="17"/>
          <w:szCs w:val="17"/>
          <w:color w:val="auto"/>
        </w:rPr>
        <w:t>Our ongoing relationship with Adimab provides us with access to Adimab’s unique B-cell</w:t>
      </w:r>
      <w:r>
        <w:rPr>
          <w:rFonts w:ascii="Arial" w:cs="Arial" w:eastAsia="Arial" w:hAnsi="Arial"/>
          <w:sz w:val="17"/>
          <w:szCs w:val="17"/>
          <w:b w:val="1"/>
          <w:bCs w:val="1"/>
          <w:color w:val="auto"/>
        </w:rPr>
        <w:t xml:space="preserve"> </w:t>
      </w:r>
      <w:r>
        <w:rPr>
          <w:rFonts w:ascii="Arial" w:cs="Arial" w:eastAsia="Arial" w:hAnsi="Arial"/>
          <w:sz w:val="17"/>
          <w:szCs w:val="17"/>
          <w:color w:val="auto"/>
        </w:rPr>
        <w:t>mining and protein engineering capabilities. We believe this relationship will allow us to further expand our portfolio with additional uniquely differentiated antibodies for coronaviruses as well as influenza. In addition, we collaborate with academic institutions for the discovery of vaccine immunogens that elicit broadly protective immune responses against influenza and coronaviruses.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on Coronaviruses</w:t>
      </w:r>
    </w:p>
    <w:p>
      <w:pPr>
        <w:spacing w:after="0" w:line="121"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Coronaviruses comprise a large family of viruses that are grouped into four genera: alphacoronavirus, betacoronavirus, gammacoronavirus and deltacoronavirus. Over the past 20 years, three pathogenic novel betacoronaviruses have spilled over into the human population from animal reservoirs to cause outbreaks of deadly pneumonia, including COVID-19, SARS and MERS. In many parts of the world, humans live in close proximity to animal species harboring sarbecoviruses, a lineage of betacoronaviruses that are capable of using human angiotensin-converting enzyme 2, or hACE2, receptors, and enabling infection in humans. In particular, bats are known to host such viruses, and large bat populations exist alongside humans in certain regions across the world, including eastern Europe, East Africa and southern China. Furthermore, bats are capable of carrying multiple sarbecoviruses, allowing for genetic recombination and the emergence of viral variants with higher propensity for transmission to humans. Current estimates suggest that between 6% and 23% of bats harbor viruses with such transmission potential. Not surprisingly, humans living in close proximity to bat populations have been infected by SARS-like coronaviruses. For example, approximately 0.5% to 3% of the rural population in southern China have antibody responses to these viruses, demonstrating past infection. This highlights the zoonotic nature of the sarbecovirus lineage, which includes both SARS-CoV-1 and SARS-CoV-2. Continued human intrusion into previously undeveloped habitats and increased exposure to these viral reservoirs are likely to result in more frequent occurrences of viral spillover, with potentially catastrophic consequences.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the disease caused by SARS-CoV-2 and its variants, has given rise to a global pandemic that swept rapidly throughout the world in 2020. The genome of SARS-CoV-2 encodes a spike, or S, protein, which is the surface protein common to all members of the coronavirus family and mediates attachment and entry into host cells. The S protein is the major antigen target for the host immune response, and neutralizing antibodies to this protein are associated with protection from infection and disease. For this reason, S protein is the primary target for currently available vaccines and therapeutic mAbs.</w:t>
      </w:r>
    </w:p>
    <w:p>
      <w:pPr>
        <w:spacing w:after="0" w:line="18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COVID-19 remains a significant global health crisis and case numbers continue to rise. According to estimates as of May 20, 2021 from the Johns Hopkins University, there have been approximately 165 million cases of laboratory-confirmed COVID-19 and 3.4 million COVID-19-related deaths worldwide, with over 33 million laboratory-confirmed cases of COVID-19 and more than 587,000 COVID-19-related deaths in the United States. Disease modeling conducted by several different organizations have further suggested that these estimates significantly undercount the true number of infections and deaths related to COVID-19.</w:t>
      </w:r>
    </w:p>
    <w:p>
      <w:pPr>
        <w:spacing w:after="0" w:line="188"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Of significant current concern is the emergence of a number of SARS-CoV-2 variants with increased transmissibility and/or the ability to evade neutralizing antibodies. These variants include Alpha (B.1.1.7), which was first detected in the United Kingdom; Beta (B.1.351), which was first detected in South Africa; Gamma (P.1), which was first detected in Brazil and shares phenotypic characteristics with B.1.351, and Delta (B.1.617.2), which was first detected in India. Since their initial detection, all of these variants have spread rapidly worldwide, with confirmed cases in the United States, Canada and several European countries, indicating that these variants may be more contagious than the original SARS-CoV-2. As of the two weeks ended July 7, 2021, the Delta (B.1.617.2) variant accounted for approximately 50% of all new COVID-19 cases in the United States and was rapidly increasing. Emergence of the Delta variant in the United States has been accompanied by an increase in COVID-19 cases and hospitalizations. In addition to these well-known variants, additional novel variants have emerged in the United States, including Epsilon (B.1.429/427) and Iota (B.1.526), which were first detected in California and New York, respectively.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A subset of these variants, notably Beta (B.1.351), Gamma (P.1) and Delta (B.1.617.2), have caused reinfections and breakthrough infections in individuals with pre-existing antibody responses due to prior infection or vaccination, indicating that pre-existing antibodies do not necessarily fully protect against these variants. For example, in the Brazilian city of Manaus, despite a high rate of prior infection as indicated by an estimated seroprevalence of 76% in October 2020, a second wave of COVID-19 cases began in November 2020, which resulted in a significant increase in hospitalizations and deaths. As illustrated in the timeline below, this second COVID-19 wave closely coincided with the emergence of the Gamma (P.1) variant in the city. More recently, we have seen the global emergence and spread of the Delta variant with increases in case loads and hospitalizations, even in countries, such as the United Kingdom and the United States, with relatively high vaccination rates.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Infection Rates in Manaus, Brazil Demonstrate a Surge in Infections Following the Emergence of the P.1 Variant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171450</wp:posOffset>
            </wp:positionV>
            <wp:extent cx="4723130" cy="3900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723130" cy="390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to the emergence of these variants, there are multiple factors that we believe contribute to the likelihood of COVID-19 becoming an endemic threat, including: (1) uneven global rollout of vaccinations; (2) ongoing vaccine hesitancy; (3) unknown duration of immunity and efficacy against current and future viral variants conferred by currently available vaccines; (4) uncertain impact of vaccines on transmission; and (5) variable implementation of virus mitigation behaviors, such as wearing masks and social distancing.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Current Approaches for Treatment and Prevention of COVID-19 and Their Limitations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response to the ongoing pandemic, multiple agents have been discovered, developed and authorized at an unprecedented speed to address COVID-19.</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Vaccines for Prevention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Several vaccines have been authorized for the prevention of COVID-19 under public health emergency guidelines both in the United States and abroad. These include mRNA-based vaccines, such as Moderna’s mRNA-1273 and Pfizer/BioNTech’s BNT162b2, and adenovirus-based vaccines, such as AstraZeneca’s Vaxzevria/Covishield, or AZD1222, and Janssen’s JNJ-78436735. While available COVID-19 vaccines have demonstrated meaningful efficacy in preventing COVID-19, we believe additional solutions for the prevention of COVID-19 are required given considerable uncertainty related to multiple factors, including:</w:t>
      </w:r>
    </w:p>
    <w:p>
      <w:pPr>
        <w:spacing w:after="0" w:line="93" w:lineRule="exact"/>
        <w:rPr>
          <w:sz w:val="20"/>
          <w:szCs w:val="20"/>
          <w:color w:val="auto"/>
        </w:rPr>
      </w:pPr>
    </w:p>
    <w:p>
      <w:pPr>
        <w:jc w:val="both"/>
        <w:ind w:left="1080" w:hanging="532"/>
        <w:spacing w:after="0" w:line="273"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Efficacy against viral variants. </w:t>
      </w:r>
      <w:r>
        <w:rPr>
          <w:rFonts w:ascii="Arial" w:cs="Arial" w:eastAsia="Arial" w:hAnsi="Arial"/>
          <w:sz w:val="17"/>
          <w:szCs w:val="17"/>
          <w:color w:val="auto"/>
        </w:rPr>
        <w:t>While COVID-19 vaccines have demonstrated meaningful efficacy in preventing infection by the original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strain of COVID-19, emerging evidence shows lower levels of protection against certain variants. A recent Israeli study demonstrated that a disproportionate number of breakthrough infections in Pfizer/BioNTech vaccine recipients are caused by the Beta (B.1.351) variant, and more recent real-world use data from Israel suggests lower vaccine effectiveness against the Delta variant. Clinical trials have also shown reduced efficacy against viral variants. For example, a trial conducted in South Africa showed 10.4% efficacy for the AstraZeneca vaccine Vaxzevria against mild to moderate infections caused by the Beta (B.1.351) variant.</w:t>
      </w:r>
    </w:p>
    <w:p>
      <w:pPr>
        <w:spacing w:after="0" w:line="83" w:lineRule="exact"/>
        <w:rPr>
          <w:rFonts w:ascii="Arial" w:cs="Arial" w:eastAsia="Arial" w:hAnsi="Arial"/>
          <w:sz w:val="17"/>
          <w:szCs w:val="17"/>
          <w:color w:val="auto"/>
        </w:rPr>
      </w:pPr>
    </w:p>
    <w:p>
      <w:pPr>
        <w:jc w:val="both"/>
        <w:ind w:left="1080" w:right="20" w:hanging="532"/>
        <w:spacing w:after="0" w:line="27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Delayed onset of protection. </w:t>
      </w:r>
      <w:r>
        <w:rPr>
          <w:rFonts w:ascii="Arial" w:cs="Arial" w:eastAsia="Arial" w:hAnsi="Arial"/>
          <w:sz w:val="17"/>
          <w:szCs w:val="17"/>
          <w:color w:val="auto"/>
        </w:rPr>
        <w:t>The peak neutralizing antibody response conferred by currently available vaccines is usually 10 to 14 days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the final dose of the vaccine, resulting in a period of time during which an individual can be infected with SARS-CoV-2 and develop COVID-19, despite having received the vaccine. Furthermore, given that certain vaccines require two doses, three to four weeks apart, the total time from the first vaccine dose to peak neutralizing antibody response can be several weeks.</w:t>
      </w:r>
    </w:p>
    <w:p>
      <w:pPr>
        <w:spacing w:after="0" w:line="76"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of protection in immunocompromised individuals. </w:t>
      </w:r>
      <w:r>
        <w:rPr>
          <w:rFonts w:ascii="Arial" w:cs="Arial" w:eastAsia="Arial" w:hAnsi="Arial"/>
          <w:sz w:val="18"/>
          <w:szCs w:val="18"/>
          <w:color w:val="auto"/>
        </w:rPr>
        <w:t>Since vaccines leverage an individual’s existing immune system to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protection, vaccines may have little to no effectiveness against infection and disease in those who have compromised immune systems. Preliminary data shows that these individuals mount poor antibody responses to mRNA vaccines, demonstrating the unmet medical need for effective preventative options for immunocompromised populations.</w:t>
      </w:r>
    </w:p>
    <w:p>
      <w:pPr>
        <w:spacing w:after="0" w:line="92"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Perceived tolerability and safety. </w:t>
      </w:r>
      <w:r>
        <w:rPr>
          <w:rFonts w:ascii="Arial" w:cs="Arial" w:eastAsia="Arial" w:hAnsi="Arial"/>
          <w:sz w:val="18"/>
          <w:szCs w:val="18"/>
          <w:color w:val="auto"/>
        </w:rPr>
        <w:t>While currently available vaccines have demonstrated acceptable safety and tolerability profiles,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be negative perceptions of vaccine safety that have been exacerbated by government holds on certain vaccines, as well as widespread publicity regarding rare, but potentially severe, side effects.</w:t>
      </w:r>
    </w:p>
    <w:p>
      <w:pPr>
        <w:spacing w:after="0" w:line="89" w:lineRule="exact"/>
        <w:rPr>
          <w:rFonts w:ascii="Arial" w:cs="Arial" w:eastAsia="Arial" w:hAnsi="Arial"/>
          <w:sz w:val="18"/>
          <w:szCs w:val="18"/>
          <w:color w:val="auto"/>
        </w:rPr>
      </w:pPr>
    </w:p>
    <w:p>
      <w:pPr>
        <w:jc w:val="both"/>
        <w:ind w:left="1080" w:hanging="532"/>
        <w:spacing w:after="0" w:line="25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Vaccine hesitancy. </w:t>
      </w:r>
      <w:r>
        <w:rPr>
          <w:rFonts w:ascii="Arial" w:cs="Arial" w:eastAsia="Arial" w:hAnsi="Arial"/>
          <w:sz w:val="18"/>
          <w:szCs w:val="18"/>
          <w:color w:val="auto"/>
        </w:rPr>
        <w:t>Due to a constellation of perceived safety, side effect and quality concerns, according to an April 2021 survey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conducted by CBS News, approximately 40% of Americans are reluctant to receive a COVID vaccine, including 22% who outright refuse to receive a vaccine. As a result, as of June 20, 2021, 45% of the U.S. population had been fully vaccinated. Globally, vaccine hesitancy is consistent with the U.S. figures. In a Gallup poll conducted in April 2021, in 79 out of 117 countries surveyed, the number of people who said they were willing to be vaccinated was below 70%.</w:t>
      </w:r>
    </w:p>
    <w:p>
      <w:pPr>
        <w:spacing w:after="0" w:line="93"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Durability of response, including the potential need for booster shots. </w:t>
      </w:r>
      <w:r>
        <w:rPr>
          <w:rFonts w:ascii="Arial" w:cs="Arial" w:eastAsia="Arial" w:hAnsi="Arial"/>
          <w:sz w:val="18"/>
          <w:szCs w:val="18"/>
          <w:color w:val="auto"/>
        </w:rPr>
        <w:t>The length of protection conferred by currently available vaccines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uncertain, and recent announcements from the makers of some of these vaccines indicate that periodic administration of booster vaccines will likely be required, similar to the influenza vaccine.</w:t>
      </w:r>
    </w:p>
    <w:p>
      <w:pPr>
        <w:spacing w:after="0" w:line="89" w:lineRule="exact"/>
        <w:rPr>
          <w:rFonts w:ascii="Arial" w:cs="Arial" w:eastAsia="Arial" w:hAnsi="Arial"/>
          <w:sz w:val="18"/>
          <w:szCs w:val="18"/>
          <w:color w:val="auto"/>
        </w:rPr>
      </w:pPr>
    </w:p>
    <w:p>
      <w:pPr>
        <w:jc w:val="both"/>
        <w:ind w:left="1080" w:hanging="532"/>
        <w:spacing w:after="0" w:line="255"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Ability to achieve herd immunity. </w:t>
      </w:r>
      <w:r>
        <w:rPr>
          <w:rFonts w:ascii="Arial" w:cs="Arial" w:eastAsia="Arial" w:hAnsi="Arial"/>
          <w:sz w:val="18"/>
          <w:szCs w:val="18"/>
          <w:color w:val="auto"/>
        </w:rPr>
        <w:t>Many countries, including developed nations, have low vaccination rates due to multiple factors, such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limited vaccine availability as well as vaccine hesitancy. For example, only 33% of available vaccine doses had been purchased by low-and middle-income countries, which constitute over 80% of the global population. As of June 20, 2021, less than 10% of the world’s population had been fully vaccinated. As long as significant numbers of people globally are not vaccinated, COVID-19 and disease caused by SARS-CoV-2 variants can continue to circulate. In addition, vaccination of the pediatric population is believed to be critical to achieving herd immunity.</w:t>
      </w:r>
    </w:p>
    <w:p>
      <w:pPr>
        <w:spacing w:after="0" w:line="97"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Availability and adoption in children. </w:t>
      </w:r>
      <w:r>
        <w:rPr>
          <w:rFonts w:ascii="Arial" w:cs="Arial" w:eastAsia="Arial" w:hAnsi="Arial"/>
          <w:sz w:val="18"/>
          <w:szCs w:val="18"/>
          <w:color w:val="auto"/>
        </w:rPr>
        <w:t>While children generally do not develop the severe consequences of COVID-19 seen in adults,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studies have shown that they are still capable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4" w:lineRule="auto"/>
        <w:rPr>
          <w:sz w:val="20"/>
          <w:szCs w:val="20"/>
          <w:color w:val="auto"/>
        </w:rPr>
      </w:pPr>
      <w:r>
        <w:rPr>
          <w:rFonts w:ascii="Arial" w:cs="Arial" w:eastAsia="Arial" w:hAnsi="Arial"/>
          <w:sz w:val="18"/>
          <w:szCs w:val="18"/>
          <w:color w:val="auto"/>
        </w:rPr>
        <w:t>transmitting SARS-CoV-2. Given that approximately 25% of the global population is under the age of 15, herd immunity is unlikely to be achieved until effective options for prevention are widely adopted in this population. Although an EUA was recently granted for use of the Pfizer/BioNTech vaccine in adolescents aged 12 to 15 years, the timing of vaccine availability for younger school-age children remains fluid. Further, data collected in April 2021 by the Kaiser Family Foundation suggest that only about a third of parents plan to vaccinate their children when vaccines first become available to them. The anticipated delay in widespread childhood vaccination, coupled with the rise in new variants relatively resistant to vaccine-induced immunity, have the potential to further impact the achievement of herd immunity.</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mAbs for Treatment of COVID-19</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Recent approvals of mAbs for the treatment of Ebola Virus Disease and multi-drug resistant human immunodeficiency virus, or HIV, infection demonstrate their promise for the treatment of viral infections. Some SARS-CoV-2 mAb therapies, either as a monotherapy or a combination cocktail, have been granted an EUA in the United States and India and are available for use as unauthorized products in certain EU member states for the treatment of mild to moderate COVID-19 in patients at high risk of disease progression. These available mAbs include bamlanivimab, bamlanivimab/etesevimab, casirivimab/imdevimab, regdanvimab, and sotrovimab.</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Limitations of Currently Available mAbs</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 xml:space="preserve">The recent emergence of SARS-CoV-2 variants has attenuated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neutralization activity of certain currently available mAbs. For example, the U.S. Food and Drug Administration, or the FDA, recently revoked the EUA for bamlanivimab due to its lack of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activity against key variants of concern as a single agent and distribution of a second agent, bamlanvimab/etesevimab, was paused in the United States due to data showing that the combined frequency of two variants resistant to this product, the Gamma (P.1) and Beta (B.1.351) variants, exceeded 11% in the United States. Consistent with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data showing more pronounced loss of neutralization activity for casirivimab and bamlanivimab/etesevimab against the Gamma variant compared to the Alpha variant, preliminary real-world use data from Italy suggest lower clinical efficacy for casirivimab/imdevimab and bamlanivimab/etesevimab against infections due to the Gamma variant. In addition, the use of currently available mAbs for the treatment of COVID-19 has been limited by the inconvenience of their intravenous, or IV, administration, which requires specialized facilities that are properly equipped to accommodate IV infusions in actively infected patients and may lead to a delay in administration. Publications regarding real-world use of these agents under EUA show that large numbers of otherwise eligible patients who were referred for therapy ultimately did not receive it. In Europe, IV administration in outpatient settings by community nurses or general practitioners remains very limited due to lack of appropriate infrastructure and sites of care. Additional factors that have limited use of mAbs include lack of awareness and education on appropriate use as well as perceived difficulty accessing treatment. We anticipate that these same limitations will apply to any IV-administered mAbs that may be authorized or approved for the prevention of COVID-19. Furthermore, in the setting of prevention, mAbs without sufficiently long half-lives will likely require frequent and periodic administration in order to achieve long-lasting protection.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Approach to COVID-19 and Development of Coronavirus mAbs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vision is to discover, develop and commercialize antibody-based solutions not only for the current COVID-19 pandemic but also to address future potential coronavirus outbreaks. To enable this vision, our discovery efforts are focused on broadly neutralizing antibodies that target conserved epitopes across multiple members of the coronavirus family. We believe that a mAb therapy with the following characteristics will have the potential to address the limitations of currently available treatment and prevention options for COVID-19 as well as future diseases that may arise from SARS-like viruses with pandemic potential:</w:t>
      </w:r>
    </w:p>
    <w:p>
      <w:pPr>
        <w:spacing w:after="0" w:line="93" w:lineRule="exact"/>
        <w:rPr>
          <w:sz w:val="20"/>
          <w:szCs w:val="20"/>
          <w:color w:val="auto"/>
        </w:rPr>
      </w:pPr>
    </w:p>
    <w:p>
      <w:pPr>
        <w:ind w:left="1080" w:hanging="532"/>
        <w:spacing w:after="0"/>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High potency and broad neutralizing activity to address SARS-CoV-2, including variants of concern, and additional SARS-like viruses;</w:t>
      </w:r>
    </w:p>
    <w:p>
      <w:pPr>
        <w:spacing w:after="0" w:line="142" w:lineRule="exact"/>
        <w:rPr>
          <w:rFonts w:ascii="Arial" w:cs="Arial" w:eastAsia="Arial" w:hAnsi="Arial"/>
          <w:sz w:val="17"/>
          <w:szCs w:val="17"/>
          <w:color w:val="auto"/>
        </w:rPr>
      </w:pPr>
    </w:p>
    <w:p>
      <w:pPr>
        <w:ind w:left="1080" w:hanging="532"/>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Multiple mechanisms of action, including direct virus neutralization by blocking viral entry into the host cell and elimination of infected host cells through innate immune effector activity to clear infection;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Convenient outpatient administration as a single-dose IM injection;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Ability to provide both rapid and durable protection with potential protection against COVID-19 for up to one year.</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To develop mAb therapies with these characteristics, we optimize both the antigen-binding fragment, or Fab, and constant fragment, or Fc, regions of candidate molecules to improve breadth, potency, half-life and developability. The Fab region binds to the viral antigen and is a key determinant of specificity and potency. The Fc portion binds to host cell receptors to activate the innate immune system to eliminate infected host cells and is a key determinant of serum half-life. Key elements that differentiate our approach include:</w:t>
      </w:r>
    </w:p>
    <w:p>
      <w:pPr>
        <w:spacing w:after="0" w:line="88" w:lineRule="exact"/>
        <w:rPr>
          <w:sz w:val="20"/>
          <w:szCs w:val="20"/>
          <w:color w:val="auto"/>
        </w:rPr>
      </w:pPr>
    </w:p>
    <w:p>
      <w:pPr>
        <w:jc w:val="both"/>
        <w:ind w:left="1080" w:right="20" w:hanging="532"/>
        <w:spacing w:after="0" w:line="281"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Recognition of the importance of broadly neutralizing antibodies: </w:t>
      </w:r>
      <w:r>
        <w:rPr>
          <w:rFonts w:ascii="Arial" w:cs="Arial" w:eastAsia="Arial" w:hAnsi="Arial"/>
          <w:sz w:val="17"/>
          <w:szCs w:val="17"/>
          <w:color w:val="auto"/>
        </w:rPr>
        <w:t>From the outset, we chose to focus on mAbs capable of broadly</w:t>
      </w:r>
      <w:r>
        <w:rPr>
          <w:rFonts w:ascii="Arial" w:cs="Arial" w:eastAsia="Arial" w:hAnsi="Arial"/>
          <w:sz w:val="17"/>
          <w:szCs w:val="17"/>
          <w:b w:val="1"/>
          <w:bCs w:val="1"/>
          <w:color w:val="auto"/>
        </w:rPr>
        <w:t xml:space="preserve"> </w:t>
      </w:r>
      <w:r>
        <w:rPr>
          <w:rFonts w:ascii="Arial" w:cs="Arial" w:eastAsia="Arial" w:hAnsi="Arial"/>
          <w:sz w:val="17"/>
          <w:szCs w:val="17"/>
          <w:color w:val="auto"/>
        </w:rPr>
        <w:t>neutralizing not only SARS-CoV-2 and its variants, but also the entire viral class of sarbecoviruses that target the hACE2 receptor. Our rationale was driven by the recognition that COVID-19 is a continuation of previous human coronavirus outbreaks, including SARS and MERS, and the likelihood that future variants and other viral outbreaks will continue to emerge.</w:t>
      </w:r>
    </w:p>
    <w:p>
      <w:pPr>
        <w:spacing w:after="0" w:line="70" w:lineRule="exact"/>
        <w:rPr>
          <w:rFonts w:ascii="Arial" w:cs="Arial" w:eastAsia="Arial" w:hAnsi="Arial"/>
          <w:sz w:val="17"/>
          <w:szCs w:val="17"/>
          <w:color w:val="auto"/>
        </w:rPr>
      </w:pPr>
    </w:p>
    <w:p>
      <w:pPr>
        <w:jc w:val="both"/>
        <w:ind w:left="1080" w:hanging="532"/>
        <w:spacing w:after="0" w:line="294"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Industry-leading B-cell mining, protein engineering and developability screening capabilities through our partnership with Adimab: </w:t>
      </w:r>
      <w:r>
        <w:rPr>
          <w:rFonts w:ascii="Arial" w:cs="Arial" w:eastAsia="Arial" w:hAnsi="Arial"/>
          <w:sz w:val="16"/>
          <w:szCs w:val="16"/>
          <w:color w:val="auto"/>
        </w:rPr>
        <w:t>We leverage nature’s solutions using Adimab’s deep B-cell mining capabilities to isolate broadly neutralizing antibodies from a</w:t>
      </w:r>
      <w:r>
        <w:rPr>
          <w:rFonts w:ascii="Arial" w:cs="Arial" w:eastAsia="Arial" w:hAnsi="Arial"/>
          <w:sz w:val="16"/>
          <w:szCs w:val="16"/>
          <w:b w:val="1"/>
          <w:bCs w:val="1"/>
          <w:color w:val="auto"/>
        </w:rPr>
        <w:t xml:space="preserve"> </w:t>
      </w:r>
      <w:r>
        <w:rPr>
          <w:rFonts w:ascii="Arial" w:cs="Arial" w:eastAsia="Arial" w:hAnsi="Arial"/>
          <w:sz w:val="16"/>
          <w:szCs w:val="16"/>
          <w:color w:val="auto"/>
        </w:rPr>
        <w:t>disease survivor of an earlier SARS infection. We then utilize Adimab’s leading protein engineering capabilities to improve the potency, breadth and half-life of the antibody candidates we advance into preclinical development. We specifically engineer our antibodies to extend their half-lives without affecting Fc-mediated innate immune effector activity. In addition, we have access to Adimab’s extensive suite of developability assays that allow for selection of lead candidates most likely to be readily manufactured and formulated for use in humans.</w:t>
      </w:r>
    </w:p>
    <w:p>
      <w:pPr>
        <w:spacing w:after="0" w:line="65" w:lineRule="exact"/>
        <w:rPr>
          <w:rFonts w:ascii="Arial" w:cs="Arial" w:eastAsia="Arial" w:hAnsi="Arial"/>
          <w:sz w:val="16"/>
          <w:szCs w:val="16"/>
          <w:color w:val="auto"/>
        </w:rPr>
      </w:pPr>
    </w:p>
    <w:p>
      <w:pPr>
        <w:jc w:val="both"/>
        <w:ind w:left="1080" w:hanging="532"/>
        <w:spacing w:after="0" w:line="269" w:lineRule="auto"/>
        <w:tabs>
          <w:tab w:leader="none" w:pos="108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 xml:space="preserve">Reduced risk of clinical resistance: </w:t>
      </w:r>
      <w:r>
        <w:rPr>
          <w:rFonts w:ascii="Arial" w:cs="Arial" w:eastAsia="Arial" w:hAnsi="Arial"/>
          <w:sz w:val="17"/>
          <w:szCs w:val="17"/>
          <w:color w:val="auto"/>
        </w:rPr>
        <w:t>We are developing antibodies that target conserved residues in the receptor-binding domain, or RBD,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viral S protein. Importantly, these residues are distinct from those recognized by more narrowly targeted SARS-CoV-2-specific antibodies that are currently available or in development. In addition, the residues that our antibodies target are not readily targeted by antibodies induced by natural infection, which are referred to as public antibodies. These two factors suggest that the residues our antibodies target are less likely to mutate, which we believe will reduce the risk of resistance to our antibodies. In contrast, many of the SARS-CoV-2-specific antibodies that are currently available or in development target residues that are both variable and commonly recognized by public antibodies. The combination of variable residues and immune selection pressure exerted by antibodies elicited by vaccination and natural infection has led to the emergence of SARS-CoV-2 variants with reduced susceptibility to some of the mAbs currently available under EUA. In contrast, our broadly neutralizing antibodies, including ADG20, have maintained neutralizing activity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vitro </w:t>
      </w:r>
      <w:r>
        <w:rPr>
          <w:rFonts w:ascii="Arial" w:cs="Arial" w:eastAsia="Arial" w:hAnsi="Arial"/>
          <w:sz w:val="17"/>
          <w:szCs w:val="17"/>
          <w:color w:val="auto"/>
        </w:rPr>
        <w:t>against these known and emerging variants. Furthermore, the frequency of circulating variants with mutations in the residues targeted</w:t>
      </w:r>
      <w:r>
        <w:rPr>
          <w:rFonts w:ascii="Arial" w:cs="Arial" w:eastAsia="Arial" w:hAnsi="Arial"/>
          <w:sz w:val="17"/>
          <w:szCs w:val="17"/>
          <w:i w:val="1"/>
          <w:iCs w:val="1"/>
          <w:color w:val="auto"/>
        </w:rPr>
        <w:t xml:space="preserve"> </w:t>
      </w:r>
      <w:r>
        <w:rPr>
          <w:rFonts w:ascii="Arial" w:cs="Arial" w:eastAsia="Arial" w:hAnsi="Arial"/>
          <w:sz w:val="17"/>
          <w:szCs w:val="17"/>
          <w:color w:val="auto"/>
        </w:rPr>
        <w:t>by our antibodies has been extremely low.</w:t>
      </w:r>
    </w:p>
    <w:p>
      <w:pPr>
        <w:spacing w:after="0" w:line="29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Discovery of ADG20</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founding scientists designed and engineered ADG20 with the goal of creating a highly active and broad mAb-based therapeutic candidate for both the treatment and prevention of COVID-19. They focused on isolating an antibody capable of broadly neutralizing the entire viral class of SARS-like viruses from the sarbecovirus lineage, including diverse family members such as SARS-CoV-1, WIV1, SHC014 and SARS-CoV-2, as opposed to only neutralizing SARS-CoV-2.</w:t>
      </w:r>
    </w:p>
    <w:p>
      <w:pPr>
        <w:spacing w:after="0" w:line="18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To achieve this objective, a blood sample was obtained from a survivor of the 2003 SARS outbreak who had never been exposed to SARS-CoV-2. After purification, the B-cells were sorted based on reactivity to SARS-CoV-2, enabling us to isolate and identify 200 antibodies that bound to the SARS-CoV-2 S protein. These antibodies were then evaluated for their breadth of neutralization against SARS-CoV-1, SARS-CoV-2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WIV1. Out of the 200 antibodies, seven demonstrated broad neutralization potency, as shown in the graphic below.</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Seven Antibodies Isolated from a SARS Survivor Demonstrated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Significant Breadth of Viral Neutralization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77435" cy="33686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77435"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Rather than immediately advancing one of these seven candidates into clinical development, we opted to improve the binding affinities, and thus neutralizing activities, of three of these antibodies using the Adimab protein engineering platform. Affinity maturation allowed us to increase the SARS-CoV-2 S protein binding affinity and neutralization potency of ADI-55688 by as much as 500- and 77-fold, respectively, as shown in the graphic below. Based on this enhanced profile, we selected to evaluate ADG2, the ADI-55688 progeny with the most improved binding affinity and neutralization potency, in additional preclinical studies.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Protein Engineering Substantially Improved Binding to and Neutralization of SARS-CoV-2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171450</wp:posOffset>
            </wp:positionV>
            <wp:extent cx="4783455" cy="22028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78345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 xml:space="preserve">To determine whether ADG2 retained its broad neutralization capability, we evaluated its activity against additional members of the sarbecovirus lineage. Clade 1 of this lineage is of particular concern as it includes members that can infect human cells using the hACE2 receptor. Of the Clade 1 viruses, authentic virus neutralization assays, which represent the relevant assays to evaluate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neutralization activity, are only available for SARS-CoV-1, SARS-CoV-2, WIV1 and SHC014. Among the Clade 1 viruses, SHC014 is the most genetically divergent from SARS-CoV-2, and therefore, the ability to neutralize both SARS-CoV-2 and SHC014 suggests an ability to neutralize the majority of viruses in the clade.</w:t>
      </w:r>
    </w:p>
    <w:p>
      <w:pPr>
        <w:spacing w:after="0" w:line="16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compared the activity of ADG2 with other currently available or clinical-stage mAbs against a subset of Clade 1 sarbecoviruses in authentic virus neutralization assays using transfected HeLa cells that express the hACE2 receptor and non-human primate Vero cells. ADG2 demonstrated high potency, defined as an IC</w:t>
      </w:r>
      <w:r>
        <w:rPr>
          <w:rFonts w:ascii="Arial" w:cs="Arial" w:eastAsia="Arial" w:hAnsi="Arial"/>
          <w:sz w:val="15"/>
          <w:szCs w:val="15"/>
          <w:color w:val="auto"/>
        </w:rPr>
        <w:t>50</w:t>
      </w:r>
      <w:r>
        <w:rPr>
          <w:rFonts w:ascii="Arial" w:cs="Arial" w:eastAsia="Arial" w:hAnsi="Arial"/>
          <w:sz w:val="18"/>
          <w:szCs w:val="18"/>
          <w:color w:val="auto"/>
        </w:rPr>
        <w:t xml:space="preserve"> value of 0.01 mcg/mL or less, against SARS-CoV-2 in the two different assays, whereas the potency of certain other antibodies was observed to vary. Importantly, ADG2 exhibited highly potent activity against the other Clade 1 viruses tested, including SARS-CoV-1, WIV1 and SHC014, whereas the other antibodies demonstrated either limited potency or were non-neutralizing, or N.N., at the highest concentration tested, as shown in the graphic below.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 Shows Broad Neutralization Activity Across Diverse SARS-Related Coronaviruses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171450</wp:posOffset>
            </wp:positionV>
            <wp:extent cx="4894580" cy="2922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94580"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further engineered ADG2 with an Fc region modification designed to extend the half-life to enable the potential for a single-dose administration to provide durable protection against COVID-19 for up to 12 months, which resulted in our lead product candidate, ADG20.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ADG20: Our Solution for the Treatment and Prevention of COVID-19</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ADG20, our lead product candidate, is designed to be a potent, broadly neutralizing antibody for both the treatment and prevention of COVID-19, including disease caused by variants, as either a single or combination agent. Unlike other antibody-based therapies specifically targeting SARS-CoV-2, ADG20 has demonstrated in non-clinical studies an ability to neutralize SARS-CoV-2, including variants of concern, as well as a broad range of sarbecoviruses with neutralization potency at IC</w:t>
      </w:r>
      <w:r>
        <w:rPr>
          <w:rFonts w:ascii="Arial" w:cs="Arial" w:eastAsia="Arial" w:hAnsi="Arial"/>
          <w:sz w:val="14"/>
          <w:szCs w:val="14"/>
          <w:color w:val="auto"/>
        </w:rPr>
        <w:t>50</w:t>
      </w:r>
      <w:r>
        <w:rPr>
          <w:rFonts w:ascii="Arial" w:cs="Arial" w:eastAsia="Arial" w:hAnsi="Arial"/>
          <w:sz w:val="17"/>
          <w:szCs w:val="17"/>
          <w:color w:val="auto"/>
        </w:rPr>
        <w:t xml:space="preserve"> of approximately 0.01 mcg/mL or less in live-virus cellular assays. In addition, ADG20 can be conveniently administered as a single-dose IM injection. We believe these and other attributes of ADG20 differentiate it from other antibodies that are either available under EUA or in development to address COVID-19.</w:t>
      </w:r>
    </w:p>
    <w:p>
      <w:pPr>
        <w:spacing w:after="0" w:line="17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Our clinical development plan for ADG20 includes two global clinical trials designed to demonstrate the safety and efficacy of ADG20 for the treatment and prevention of COVID-19, respectively. We have completed enrollment in our first-in-human Phase 1 clinical trial in healthy volunteers, which demonstrated that a single-dose of ADG20 was well tolerated at doses up to 500 mg IV and 600 mg IM and that the initial pharmacokinetic profile was consistent with an extended half-life mAb. In addition, the serum virus neutralizing antibody titers measured following administration of ADG20 were within the range of peak serum neutralizing antibody titers reported for mRNA COVID-19 vaccine recipients. We are conducting two separate Phase 2/3 clinical trials to evaluate ADG20 for the treatment of COVID-19, which we refer to as our STAMP trial, and for the prevention of symptomatic COVID-19, which we refer to as our EVADE trial. Our STAMP trial is designed to provide a path to authorization, marketing approval and commercial launch of ADG20 for the treatment of mild to moderate COVID-19 in patients at high risk of disease progression in 2022. Our EVADE trial is designed to evaluate the prevention of COVID-19 in both post-exposure and pre-exposure populations. We are also developing a clinical development strategy to support the use of ADG20 in the pediatric population.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Advantages of ADG20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ADG20 will have the following key clinical and commercial advantages:</w:t>
      </w:r>
    </w:p>
    <w:p>
      <w:pPr>
        <w:spacing w:after="0" w:line="131" w:lineRule="exact"/>
        <w:rPr>
          <w:sz w:val="20"/>
          <w:szCs w:val="20"/>
          <w:color w:val="auto"/>
        </w:rPr>
      </w:pPr>
    </w:p>
    <w:p>
      <w:pPr>
        <w:jc w:val="both"/>
        <w:ind w:left="1080" w:right="20" w:hanging="532"/>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Broadly neutralizing activity across sarbecoviruses. </w:t>
      </w:r>
      <w:r>
        <w:rPr>
          <w:rFonts w:ascii="Arial" w:cs="Arial" w:eastAsia="Arial" w:hAnsi="Arial"/>
          <w:sz w:val="18"/>
          <w:szCs w:val="18"/>
          <w:color w:val="auto"/>
        </w:rPr>
        <w:t>From the outset, we selected and engineered the mAb that became ADG20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specifically for its ability to broadly neutralize not only SARS-CoV-2 and its variants, but also additional members of the sarbecovirus lineage.</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Rapid onset of protection. </w:t>
      </w:r>
      <w:r>
        <w:rPr>
          <w:rFonts w:ascii="Arial" w:cs="Arial" w:eastAsia="Arial" w:hAnsi="Arial"/>
          <w:sz w:val="18"/>
          <w:szCs w:val="18"/>
          <w:color w:val="auto"/>
        </w:rPr>
        <w:t>Currently available COVID-19 vaccines can take several weeks, and often require multiple doses, to induce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peak neutralizing antibody response. As a mAb, ADG20 has the potential to confer more rapid protection post-dose against COVID-19 and its complications.</w:t>
      </w:r>
    </w:p>
    <w:p>
      <w:pPr>
        <w:spacing w:after="0" w:line="89"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durability. </w:t>
      </w:r>
      <w:r>
        <w:rPr>
          <w:rFonts w:ascii="Arial" w:cs="Arial" w:eastAsia="Arial" w:hAnsi="Arial"/>
          <w:sz w:val="18"/>
          <w:szCs w:val="18"/>
          <w:color w:val="auto"/>
        </w:rPr>
        <w:t>ADG20 has the potential to provide durable protection by virtue of its potency and half-life extension.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Physiologically based pharmacokinetic modeling has suggested that a single-dose 300 mg IM injection of ADG20 may result in durable serum levels that we believe may provide protection for up to 12 months.</w:t>
      </w:r>
    </w:p>
    <w:p>
      <w:pPr>
        <w:spacing w:after="0" w:line="89" w:lineRule="exact"/>
        <w:rPr>
          <w:rFonts w:ascii="Arial" w:cs="Arial" w:eastAsia="Arial" w:hAnsi="Arial"/>
          <w:sz w:val="18"/>
          <w:szCs w:val="18"/>
          <w:color w:val="auto"/>
        </w:rPr>
      </w:pPr>
    </w:p>
    <w:p>
      <w:pPr>
        <w:jc w:val="both"/>
        <w:ind w:left="1080" w:hanging="532"/>
        <w:spacing w:after="0" w:line="279"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Convenient, single-dose IM injection for use in the outpatient setting. </w:t>
      </w:r>
      <w:r>
        <w:rPr>
          <w:rFonts w:ascii="Arial" w:cs="Arial" w:eastAsia="Arial" w:hAnsi="Arial"/>
          <w:sz w:val="17"/>
          <w:szCs w:val="17"/>
          <w:color w:val="auto"/>
        </w:rPr>
        <w:t>Currently available COVID-19 mAbs are administered via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infusions that require specialized facilities that are properly equipped to accommodate IV infusions in actively infected patients, which may lead to a delay in administration. In contrast, the low viscosity, high concentration formulation and high potency of ADG20 allow it to be delivered as a convenient, single-dose IM injection in traditional outpatient settings.</w:t>
      </w:r>
    </w:p>
    <w:p>
      <w:pPr>
        <w:spacing w:after="0" w:line="76" w:lineRule="exact"/>
        <w:rPr>
          <w:rFonts w:ascii="Arial" w:cs="Arial" w:eastAsia="Arial" w:hAnsi="Arial"/>
          <w:sz w:val="17"/>
          <w:szCs w:val="17"/>
          <w:color w:val="auto"/>
        </w:rPr>
      </w:pPr>
    </w:p>
    <w:p>
      <w:pPr>
        <w:jc w:val="both"/>
        <w:ind w:left="1080" w:hanging="532"/>
        <w:spacing w:after="0" w:line="275"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Ability to both complement and supplement currently available COVID-19 vaccines, including for immunocompromised individuals. </w:t>
      </w:r>
      <w:r>
        <w:rPr>
          <w:rFonts w:ascii="Arial" w:cs="Arial" w:eastAsia="Arial" w:hAnsi="Arial"/>
          <w:sz w:val="17"/>
          <w:szCs w:val="17"/>
          <w:color w:val="auto"/>
        </w:rPr>
        <w:t>ADG20 is designed to provide convenient, rapid and durable protection against COVID-19 and its complications, including for vulnerable individuals unlikely to mount a protective immune response to vaccines, such as the immunocompromised population. ADG20 has the potential to be used as either a complement (i.e., an alternative) or supplement (i.e., add-on) to vaccines, as well as a means to provide protection following an exposure to an individual with laboratory-confirmed COVID-19.</w:t>
      </w:r>
    </w:p>
    <w:p>
      <w:pPr>
        <w:spacing w:after="0" w:line="8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High titer, high yield manufacturing process. </w:t>
      </w:r>
      <w:r>
        <w:rPr>
          <w:rFonts w:ascii="Arial" w:cs="Arial" w:eastAsia="Arial" w:hAnsi="Arial"/>
          <w:sz w:val="18"/>
          <w:szCs w:val="18"/>
          <w:color w:val="auto"/>
        </w:rPr>
        <w:t>We have developed a proprietary process to manufacture ADG20 at a large scale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suitable for broad commercialization and enables a relatively low cost of goods.</w:t>
      </w:r>
    </w:p>
    <w:p>
      <w:pPr>
        <w:spacing w:after="0" w:line="71" w:lineRule="exact"/>
        <w:rPr>
          <w:rFonts w:ascii="Arial" w:cs="Arial" w:eastAsia="Arial" w:hAnsi="Arial"/>
          <w:sz w:val="18"/>
          <w:szCs w:val="18"/>
          <w:color w:val="auto"/>
        </w:rPr>
      </w:pPr>
    </w:p>
    <w:p>
      <w:pPr>
        <w:jc w:val="both"/>
        <w:ind w:left="1080" w:hanging="532"/>
        <w:spacing w:after="0" w:line="274"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b w:val="1"/>
          <w:bCs w:val="1"/>
          <w:i w:val="1"/>
          <w:iCs w:val="1"/>
          <w:color w:val="auto"/>
        </w:rPr>
        <w:t>Potential for affordability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 antibody therapy with a low cost of goods that is administered as a single IM injection with potential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durability for up to 12 months has the potential to offer payors, providers and patients an affordable option to treat and prevent COVID-19. Recent initiatives by the Centers for Medicare &amp; Medicaid Services to decrease out-of-pocket costs to patients and increase reimbursement for COVID-19 antibody therapies to providers underscore the importance of ensuring affordable access to COVID-19 antibodies. We believe ADG20’s potential for affordability may allow for greater pricing flexibility to encourage broader access to ADG20 and appropriate use by government and private payors, physicians and patients.</w:t>
      </w:r>
    </w:p>
    <w:p>
      <w:pPr>
        <w:spacing w:after="0" w:line="82" w:lineRule="exact"/>
        <w:rPr>
          <w:rFonts w:ascii="Arial" w:cs="Arial" w:eastAsia="Arial" w:hAnsi="Arial"/>
          <w:sz w:val="17"/>
          <w:szCs w:val="17"/>
          <w:color w:val="auto"/>
        </w:rPr>
      </w:pPr>
    </w:p>
    <w:p>
      <w:pPr>
        <w:jc w:val="both"/>
        <w:ind w:left="1080" w:right="20" w:hanging="532"/>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 refrigeration requirements to facilitate worldwide distribution and storage. </w:t>
      </w:r>
      <w:r>
        <w:rPr>
          <w:rFonts w:ascii="Arial" w:cs="Arial" w:eastAsia="Arial" w:hAnsi="Arial"/>
          <w:sz w:val="18"/>
          <w:szCs w:val="18"/>
          <w:color w:val="auto"/>
        </w:rPr>
        <w:t>ADG20 may be conveniently stored under standard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refrigerated conditions during distribution and prior to administration. We are in the process of confirming the long-term stability of ADG20 in sterile liquid form under refrigerated conditions.</w:t>
      </w:r>
    </w:p>
    <w:p>
      <w:pPr>
        <w:spacing w:after="0" w:line="89" w:lineRule="exact"/>
        <w:rPr>
          <w:rFonts w:ascii="Arial" w:cs="Arial" w:eastAsia="Arial" w:hAnsi="Arial"/>
          <w:sz w:val="18"/>
          <w:szCs w:val="18"/>
          <w:color w:val="auto"/>
        </w:rPr>
      </w:pPr>
    </w:p>
    <w:p>
      <w:pPr>
        <w:jc w:val="both"/>
        <w:ind w:left="1080" w:right="20" w:hanging="532"/>
        <w:spacing w:after="0" w:line="259"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Long shelf life to enable stockpiling. </w:t>
      </w:r>
      <w:r>
        <w:rPr>
          <w:rFonts w:ascii="Arial" w:cs="Arial" w:eastAsia="Arial" w:hAnsi="Arial"/>
          <w:sz w:val="18"/>
          <w:szCs w:val="18"/>
          <w:color w:val="auto"/>
        </w:rPr>
        <w:t>ADG20 has the potential to be developed as a lyophilized formulation to further extend the shelf life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drug product under refrigerated conditions. Through a combination of the lyophilized form and the long-term frozen storage of the drug substance intermediate, we believe the shelf life of ADG20 can be further extended to enable stockpiling initiatives to address future potential coronavirus pandemics.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ADG20 has the potential to impact viral replication and subsequent disease through multiple mechanisms of action, including direct blocking of viral entry into the host cell, or neutralization, and elimination of infected host cells through Fc-mediated innate immune effector activity. The majority of antibodies, including ADG20, that neutralize SARS-CoV-2 target the S protein, and more specifically, target the surface that overlaps with the hACE2 receptor binding site.</w:t>
      </w:r>
    </w:p>
    <w:p>
      <w:pPr>
        <w:spacing w:after="0" w:line="18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Public antibodies that are commonly elicited by natural SARS-CoV-2 infection have been categorized into three classes based on their shared epitopes and escape mutations. These public antibodies target variable amino acid residues that are likely not important for viral fitness, and thus are susceptible to mutation. A subset of the mutations, including those at the E484K, L452R and K417N/T residues that are present in multiple variants of concern, confers resistance to class 1 and class 2 antibodies, which likely emerged in response to immune pressure exerted on these amino acid residues by the commonly induced public antibodies.</w:t>
      </w:r>
    </w:p>
    <w:p>
      <w:pPr>
        <w:spacing w:after="0" w:line="188"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Class 1 antibodies, such as etesevimab, or LY-CoV016, and casirivimab, or REGN10933, are impacted by escape mutations at amino acid residue K417N/T, which are found in the Beta (B.1.351) and Gamma (P.1) variants. Class 2 antibodies, such as bamlanivimab, or LY-CoV555, and tixagevimab, or COV2-2196, are impacted by escape mutations at amino acid residue E484, which are found in Beta (B.1.351), Gamma (P.1), Iota (B.1.526) and Kappa (B.1.617.1) variants. Class 3 antibodies, such as imdevimab, or REGN10987, bind largely to variable residues and are thus associated with multiple potential routes of escape. As of May 5, 2021, variants containing mutations at key Class 3 residues have been detected in global sequence databases at frequencies exceeding 5.5%.</w:t>
      </w:r>
    </w:p>
    <w:p>
      <w:pPr>
        <w:spacing w:after="0" w:line="192"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graphic below shows the amino acid sequences for RBDs of Clade 1 sarbecoviruses with SARS-CoV-2 in the top row. The graphic also shows the specific amino acid residues targeted by Class 1-3 antibodies and ADG20. When the amino acid residue at a certain position is the same or biochemically similar across viruses, it is considered to be conserved. These conserved residues are highlighted in the graphic below in green and yellow. When the amino acid residue at a certain position changes across viruses, it is considered variable. These variable residues are highlighted in the graphic below in red. Antibodies targeting residues that are conserved are more likely to be broadly neutralizing whereas those that target variable residues are more likely to lose effectiveness against viruses that have a different residue at that position.</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 1-3 Antibodies Target Variable Residues Associated with Viral Escape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808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 xml:space="preserve">In contrast to Class 1-3 antibodies, ADG20 employs a unique binding strategy. The amino acid residues that ADG20 engages are conserved, as highlighted in green and yellow above, which provides it with broadly neutralizing capabilities and suggests that these residues may be important to viral fitness, and thus less likely to mutate in the context of an infection. </w:t>
      </w:r>
      <w:r>
        <w:rPr>
          <w:rFonts w:ascii="Arial" w:cs="Arial" w:eastAsia="Arial" w:hAnsi="Arial"/>
          <w:sz w:val="16"/>
          <w:szCs w:val="16"/>
          <w:i w:val="1"/>
          <w:iCs w:val="1"/>
          <w:color w:val="auto"/>
        </w:rPr>
        <w:t>In vitro</w:t>
      </w:r>
      <w:r>
        <w:rPr>
          <w:rFonts w:ascii="Arial" w:cs="Arial" w:eastAsia="Arial" w:hAnsi="Arial"/>
          <w:sz w:val="16"/>
          <w:szCs w:val="16"/>
          <w:color w:val="auto"/>
        </w:rPr>
        <w:t>, serial viral passaging of virus in the presence of ADG20 leads to the emergence of mutations at position G504. As of June 15, 2021, mutations at this position were present at extremely low frequency (0.004%) among circulating SARS-CoV-2 isolates. In contrast, Class 1-3 antibodies that lack neutralization breadth typically select for multiple mutations in serial viral passage experiments, many of which are present at high frequency among circulating SARS-CoV-2 isolates, such as E484K and K417N. In addition, the binding site engaged by ADG20 is not readily targeted by public antibodies, which significantly limits immune pressure at these residues. A comparison of ADG20’s binding to the RBD of the SARS-CoV-2 S protein with that of Class 1-3 antibodies is illustrated in the molecular model presented below.</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Targets a Unique Site on the RBD of the SARS-CoV-2 S Protein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41573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732020"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 xml:space="preserve">In addition to neutralizing activity, ADG20 displays Fc-mediated innate immune effector activity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including antibody-dependent cellular cytotoxicity, or ADCC, antibody-dependent cellular phagocytosis, or ADCP, and antibody-dependent complement deposition, or ADCD. We believe this mechanism of action may help to clear infected host cells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contribute to the control of SARS-CoV-2 infection.</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 xml:space="preserve">ADG20 has been evaluated in a series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to demonstrate its potency and breadth as well as safety and efficacy in various animal models.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binding studies have demonstrated that ADG20 binds with high affinity to a diverse set of RBD subdomain 1, or RBD SD1, molecules from naturally circulating SARS-CoV-2 variants and related sarbecoviruses. Additional binding studies have indicated that the Fc modifications of ADG20 confer enhanced affinity to non-human primate and human neonatal Fc receptors, or FcRn, at low pH, which has translated into a prolonged serum half-life in non-human primates due to enhanced recycling via FcRn.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ADG20 has demonstrated neutralizing activity against SARS-CoV-2 and the emerging variants that have been associated with lower efficacy rates of certain vaccines and are resistant or partially resistant to a subset of currently available or clinical-stage mAbs. In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ADG20 demonstrated an ability to prevent and treat SARS-CoV-2 infection and associated disease as well as a prolonged serum half-life. Prophylactic administration of ADG2 or ADG20 provided protection against SARS-CoV-2 infection in three different animal models, and treatment with ADG2 reduced disease burden in animals infected with SARS-CoV-2.</w:t>
      </w:r>
    </w:p>
    <w:p>
      <w:pPr>
        <w:spacing w:after="0" w:line="30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Vitro Studies Demonstrated Potency and Broad Neutralization of SARS-CoV-2 and All Known Variants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 xml:space="preserve">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analysis conducted by an independent laboratory using authentic SARS-CoV-2 assays, we evaluated the potency and neutralizing activity of ADG20 against the Victoria virus strain, which is similar to the original Wuhan-Hu-1 virus strain, and the Alpha (B.1.1.7), Beta (B.1.351) and Gamma (P.1) and Delta (B.1.617.2) variants. ADG20 demonstrated robust viral neutralization activity against the original Victoria virus as well as all four variants. As shown in the table below, ADG20 displayed IC</w:t>
      </w:r>
      <w:r>
        <w:rPr>
          <w:rFonts w:ascii="Arial" w:cs="Arial" w:eastAsia="Arial" w:hAnsi="Arial"/>
          <w:sz w:val="14"/>
          <w:szCs w:val="14"/>
          <w:color w:val="auto"/>
        </w:rPr>
        <w:t>50</w:t>
      </w:r>
      <w:r>
        <w:rPr>
          <w:rFonts w:ascii="Arial" w:cs="Arial" w:eastAsia="Arial" w:hAnsi="Arial"/>
          <w:sz w:val="17"/>
          <w:szCs w:val="17"/>
          <w:color w:val="auto"/>
        </w:rPr>
        <w:t xml:space="preserve"> values of 0.01 mcg/mL or less and 99-100% maximum neutralization plateaus, demonstrating near complete neutralization of the total viral population for all five virus strains. In contrast, a subset of SARS-CoV-2-specific antibodies displayed substantial loss of neutralization activity against a subset of variants, with IC</w:t>
      </w:r>
      <w:r>
        <w:rPr>
          <w:rFonts w:ascii="Arial" w:cs="Arial" w:eastAsia="Arial" w:hAnsi="Arial"/>
          <w:sz w:val="14"/>
          <w:szCs w:val="14"/>
          <w:color w:val="auto"/>
        </w:rPr>
        <w:t>50</w:t>
      </w:r>
      <w:r>
        <w:rPr>
          <w:rFonts w:ascii="Arial" w:cs="Arial" w:eastAsia="Arial" w:hAnsi="Arial"/>
          <w:sz w:val="17"/>
          <w:szCs w:val="17"/>
          <w:color w:val="auto"/>
        </w:rPr>
        <w:t xml:space="preserve"> values exceeding 1 mcg/mL. The other antibodies in the table below were selected for inclusion because they represent mAb therapies that are either in late-stage development or have been granted an EUA in the United States and India or are available for use as unauthorized products in certain EU member states for the treatment of mild to moderate COVID-19 in patients at high risk of disease progression.</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ADG20 Displays Neutralizing Activity Against SARS-CoV-2 and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514"/>
              <w:spacing w:after="0"/>
              <w:rPr>
                <w:sz w:val="20"/>
                <w:szCs w:val="20"/>
                <w:color w:val="auto"/>
              </w:rPr>
            </w:pPr>
            <w:r>
              <w:rPr>
                <w:rFonts w:ascii="Arial" w:cs="Arial" w:eastAsia="Arial" w:hAnsi="Arial"/>
                <w:sz w:val="14"/>
                <w:szCs w:val="14"/>
                <w:b w:val="1"/>
                <w:bCs w:val="1"/>
                <w:color w:val="auto"/>
                <w:w w:val="99"/>
              </w:rPr>
              <w:t>IC</w:t>
            </w:r>
            <w:r>
              <w:rPr>
                <w:rFonts w:ascii="Arial" w:cs="Arial" w:eastAsia="Arial" w:hAnsi="Arial"/>
                <w:sz w:val="12"/>
                <w:szCs w:val="12"/>
                <w:b w:val="1"/>
                <w:bCs w:val="1"/>
                <w:color w:val="auto"/>
                <w:w w:val="99"/>
              </w:rPr>
              <w:t>50</w:t>
            </w:r>
            <w:r>
              <w:rPr>
                <w:rFonts w:ascii="Arial" w:cs="Arial" w:eastAsia="Arial" w:hAnsi="Arial"/>
                <w:sz w:val="14"/>
                <w:szCs w:val="14"/>
                <w:b w:val="1"/>
                <w:bCs w:val="1"/>
                <w:color w:val="auto"/>
                <w:w w:val="99"/>
              </w:rPr>
              <w:t xml:space="preserve"> (mcg/mL)</w:t>
            </w:r>
          </w:p>
        </w:tc>
        <w:tc>
          <w:tcPr>
            <w:tcW w:w="8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Neutralization Plateau (%)</w:t>
            </w:r>
          </w:p>
        </w:tc>
        <w:tc>
          <w:tcPr>
            <w:tcW w:w="760" w:type="dxa"/>
            <w:vAlign w:val="bottom"/>
            <w:tcBorders>
              <w:bottom w:val="single" w:sz="8" w:color="auto"/>
            </w:tcBorders>
          </w:tcPr>
          <w:p>
            <w:pPr>
              <w:spacing w:after="0"/>
              <w:rPr>
                <w:sz w:val="14"/>
                <w:szCs w:val="14"/>
                <w:color w:val="auto"/>
              </w:rPr>
            </w:pPr>
          </w:p>
        </w:tc>
      </w:tr>
      <w:tr>
        <w:trPr>
          <w:trHeight w:val="119"/>
        </w:trPr>
        <w:tc>
          <w:tcPr>
            <w:tcW w:w="3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2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Alpha</w:t>
            </w:r>
          </w:p>
        </w:tc>
        <w:tc>
          <w:tcPr>
            <w:tcW w:w="80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820" w:type="dxa"/>
            <w:vAlign w:val="bottom"/>
          </w:tcPr>
          <w:p>
            <w:pPr>
              <w:jc w:val="right"/>
              <w:ind w:right="154"/>
              <w:spacing w:after="0" w:line="119" w:lineRule="exact"/>
              <w:rPr>
                <w:sz w:val="20"/>
                <w:szCs w:val="20"/>
                <w:color w:val="auto"/>
              </w:rPr>
            </w:pPr>
            <w:r>
              <w:rPr>
                <w:rFonts w:ascii="Arial" w:cs="Arial" w:eastAsia="Arial" w:hAnsi="Arial"/>
                <w:sz w:val="13"/>
                <w:szCs w:val="13"/>
                <w:b w:val="1"/>
                <w:bCs w:val="1"/>
                <w:color w:val="auto"/>
              </w:rPr>
              <w:t>Delta</w:t>
            </w:r>
          </w:p>
        </w:tc>
        <w:tc>
          <w:tcPr>
            <w:tcW w:w="760" w:type="dxa"/>
            <w:vAlign w:val="bottom"/>
          </w:tcPr>
          <w:p>
            <w:pPr>
              <w:spacing w:after="0"/>
              <w:rPr>
                <w:sz w:val="10"/>
                <w:szCs w:val="10"/>
                <w:color w:val="auto"/>
              </w:rPr>
            </w:pPr>
          </w:p>
        </w:tc>
        <w:tc>
          <w:tcPr>
            <w:tcW w:w="7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Alpha</w:t>
            </w:r>
          </w:p>
        </w:tc>
        <w:tc>
          <w:tcPr>
            <w:tcW w:w="700" w:type="dxa"/>
            <w:vAlign w:val="bottom"/>
          </w:tcPr>
          <w:p>
            <w:pPr>
              <w:jc w:val="right"/>
              <w:ind w:right="134"/>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tcPr>
          <w:p>
            <w:pPr>
              <w:jc w:val="right"/>
              <w:ind w:right="34"/>
              <w:spacing w:after="0" w:line="119" w:lineRule="exact"/>
              <w:rPr>
                <w:sz w:val="20"/>
                <w:szCs w:val="20"/>
                <w:color w:val="auto"/>
              </w:rPr>
            </w:pPr>
            <w:r>
              <w:rPr>
                <w:rFonts w:ascii="Arial" w:cs="Arial" w:eastAsia="Arial" w:hAnsi="Arial"/>
                <w:sz w:val="13"/>
                <w:szCs w:val="13"/>
                <w:b w:val="1"/>
                <w:bCs w:val="1"/>
                <w:color w:val="auto"/>
              </w:rPr>
              <w:t>Gamma</w:t>
            </w:r>
          </w:p>
        </w:tc>
        <w:tc>
          <w:tcPr>
            <w:tcW w:w="760" w:type="dxa"/>
            <w:vAlign w:val="bottom"/>
          </w:tcPr>
          <w:p>
            <w:pPr>
              <w:jc w:val="right"/>
              <w:ind w:right="94"/>
              <w:spacing w:after="0" w:line="119" w:lineRule="exact"/>
              <w:rPr>
                <w:sz w:val="20"/>
                <w:szCs w:val="20"/>
                <w:color w:val="auto"/>
              </w:rPr>
            </w:pPr>
            <w:r>
              <w:rPr>
                <w:rFonts w:ascii="Arial" w:cs="Arial" w:eastAsia="Arial" w:hAnsi="Arial"/>
                <w:sz w:val="13"/>
                <w:szCs w:val="13"/>
                <w:b w:val="1"/>
                <w:bCs w:val="1"/>
                <w:color w:val="auto"/>
              </w:rPr>
              <w:t>Delta</w:t>
            </w:r>
          </w:p>
        </w:tc>
      </w:tr>
      <w:tr>
        <w:trPr>
          <w:trHeight w:val="185"/>
        </w:trPr>
        <w:tc>
          <w:tcPr>
            <w:tcW w:w="35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Victoria</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B.1.1.7</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B.1.617.2</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Victoria</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B.1.1.7</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B.1.351</w:t>
            </w:r>
          </w:p>
        </w:tc>
        <w:tc>
          <w:tcPr>
            <w:tcW w:w="7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P.1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B.1.617.2</w:t>
            </w:r>
          </w:p>
        </w:tc>
      </w:tr>
      <w:tr>
        <w:trPr>
          <w:trHeight w:val="210"/>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ADG20</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0.006</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0.009</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0.006</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AZD1061</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0.013</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0.012</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0.014</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0.007</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0.038</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AZD8895</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0.005</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0.011</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0.046</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0.046</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REGN10987</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0.032</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0.028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0.007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0.013</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0.017</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95</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REGN10933</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0.004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0.014</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3.284</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6.177</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0.003</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LY-CoV555</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0.006</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0.009</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8.311</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09"/>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LY-CoV016</w:t>
            </w:r>
          </w:p>
        </w:tc>
        <w:tc>
          <w:tcPr>
            <w:tcW w:w="8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0.034</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3"/>
              </w:rPr>
              <w:t>3.225</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&gt;10</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&gt;10</w:t>
            </w:r>
          </w:p>
        </w:tc>
        <w:tc>
          <w:tcPr>
            <w:tcW w:w="8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0.012</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100</w:t>
            </w:r>
          </w:p>
        </w:tc>
        <w:tc>
          <w:tcPr>
            <w:tcW w:w="7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N/A</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N/A</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0"/>
        </w:trPr>
        <w:tc>
          <w:tcPr>
            <w:tcW w:w="3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S309</w:t>
            </w:r>
          </w:p>
        </w:tc>
        <w:tc>
          <w:tcPr>
            <w:tcW w:w="8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0.040</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3"/>
              </w:rPr>
              <w:t>0.078</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0.082</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0.076</w:t>
            </w:r>
          </w:p>
        </w:tc>
        <w:tc>
          <w:tcPr>
            <w:tcW w:w="8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0.113</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80</w:t>
            </w:r>
          </w:p>
        </w:tc>
        <w:tc>
          <w:tcPr>
            <w:tcW w:w="7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89</w:t>
            </w:r>
          </w:p>
        </w:tc>
        <w:tc>
          <w:tcPr>
            <w:tcW w:w="7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95</w:t>
            </w:r>
          </w:p>
        </w:tc>
        <w:tc>
          <w:tcPr>
            <w:tcW w:w="7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r>
    </w:tbl>
    <w:p>
      <w:pPr>
        <w:spacing w:after="0" w:line="20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the neutralization potency and breadth of ADG20 was evaluated by an independent U.S. government laboratory against a panel of 64 SARS-CoV-2 pseudovirus variants, including the Epsilon (B.1.427/429), Iota (B.1.526) and Kappa (B.1.617.1) variants. We utilized the non-clinical and pre-clinical services program offered by the National Institute of Allergy and Infectious Diseases to generate this data. Variants tested included spike proteins incorporating single or double amino acid substitutions and spike proteins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encoding the full sets of mutations observed in emerging variants of concern and variants of interest. As shown in the graphic below, ADG20 maintained neutralization activity across all variants tested to date,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0.4- to 5.1-fold relative to the reference D614G strain. The D614G strain is a variant of the original Wuhan-Hu-1 strain that emerged in the early phases of the pandemic and rapidly outcompeted the original strain to become the globally dominant variant by mid-2020. Moreover, emerging variants, such as Alpha (B.1.1.7) and Beta (B.1.351), all harbor the D614G mutation, making it a suitable reference for comparison.</w:t>
      </w:r>
    </w:p>
    <w:p>
      <w:pPr>
        <w:spacing w:after="0" w:line="29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1259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 Vivo Studies of ADG2 and ADG20 Demonstrated Efficacy in Treatment and Prevention of SARS-CoV-2 Infection</w:t>
      </w:r>
    </w:p>
    <w:p>
      <w:pPr>
        <w:spacing w:after="0" w:line="117"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To determine whether ADG2, the parent molecule of ADG20, could prevent SARS-CoV-1 and SARS-CoV-2 infection and associated disease in mice, we conducted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study where Balb/c mice were administered 200 µg of ADG2 or placebo, or sham, via intraperitoneal injection and then challenged 12 hours later with either mouse-adapted, or MA, SARS-CoV-1 or SARS-CoV-2 via the intranasal route. Body weight, respiratory function and lung histopathology were evaluated. In this preclinical study, ADG2 administered prophylactically protected healthy adult mice from weight loss, respiratory distress and pulmonary hemorrhage associated with infection due to MA SARS-CoV-1 or SARS-CoV-2, as shown below. Prophylactic treatment with ADG2 also prevented viral replication in the lungs post-infection. In contrast, prophylactic sham treatment resulted in deteriorations across all four parameters.</w:t>
      </w:r>
    </w:p>
    <w:p>
      <w:pPr>
        <w:spacing w:after="0" w:line="299"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ADG2 Provides Complete Protection Against Severe SARS-CoV-2 and SARS-CoV-1 Disease in a Mouse Model</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SARS-CoV-2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573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8604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SARS-CoV-1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14655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8604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To determine whether a low dose of ADG2 could provide therapeutic benefit against SARS-CoV-2-associated disease in mice, we conducted an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preclinical study where Balb/c mice were challenged intranasally with MA SARS-CoV-2 and then treated with either 200 µg of ADG2 or placebo</w:t>
      </w:r>
      <w:r>
        <w:rPr>
          <w:rFonts w:ascii="Arial" w:cs="Arial" w:eastAsia="Arial" w:hAnsi="Arial"/>
          <w:sz w:val="18"/>
          <w:szCs w:val="18"/>
          <w:i w:val="1"/>
          <w:iCs w:val="1"/>
          <w:color w:val="auto"/>
        </w:rPr>
        <w:t xml:space="preserve"> </w:t>
      </w:r>
      <w:r>
        <w:rPr>
          <w:rFonts w:ascii="Arial" w:cs="Arial" w:eastAsia="Arial" w:hAnsi="Arial"/>
          <w:sz w:val="18"/>
          <w:szCs w:val="18"/>
          <w:color w:val="auto"/>
        </w:rPr>
        <w:t>via intraperitoneal injection 12 hours following challenge. Compared to placebo, ADG2 resulted in less weight loss and was associated with improved respiratory function and histological signs of hemorrhage. In addition, treatment with ADG2 also resulted in a significant reduction in lung viral loads at four days post-infection relative to treatment with placebo.</w:t>
      </w:r>
    </w:p>
    <w:p>
      <w:pPr>
        <w:spacing w:after="0" w:line="188"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 xml:space="preserve">In conjunction with the United States Army Medical Research Institute for Infectious Diseases, or USAMRIID, we conducted two preclinical studies to investigate the efficacy of ADG20 in the prevention of SARS-CoV-2 infection in hamsters and non-human primates, or NHPs. A dose ranging study of ADG20 in hamsters was conducted to investigate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efficacy of ADG20 in preventing SARS-CoV-2 infection and to evaluate the potential for antibody-dependent enhancement, or ADE, of infection at sub-neutralizing, or sub-efficacious, concentrations of ADG20. The preclinical study included six cohorts, with four cohorts administered differing doses of ADG20 and two cohorts administered a control antibody. The antibodies were administered 24 hours prior to an intranasal viral challenge and viral load was measured in lungs harvested on days three or six post-challenge. This preclinical study demonstrated that ADG20 inhibits viral replication in a dose-dependent manner with no evidence of ADE of viral replication at sub-efficacious serum concentrations.</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We also conducted a preclinical study with USAMRIID to investigate the efficacy of ADG20 in the prevention of SARS-CoV-2 infection in NHPs. Three cohorts were dosed with 5 mg/kg of ADG20, 25 mg/kg of ADG20 or an irrelevant control antibody through IV infusion three days prior to combined intranasal and intratracheal challenge with SARS-CoV-2/WA-1, a strain similar to the original Wuhan-Hu-1 strain. Swabs of the nasopharyngeal cavities were taken daily on days one through six post-challenge to assess viral load by both viral plaque assay, which measures levels of infectious virus, and RT-PCR of subgenomic viral RNA, which measures active viral replication. Viral replication in the lungs was also evaluated by subgenomic RT-PCR on bronchioalveolar lavage, or BAL, fluid collected on days one, three and five. As shown in the graphic below, persistent viral replication was detected through day six in the nasopharyngeal cavities of all control-treated animals. In contrast, complete protection against viral replication was observed in all respiratory compartments at the 25 mg/kg dose level. Substantial protection was also observed at the 5 mg/kg dose level, as demonstrated by reduced viral loads and accelerated viral clearance compared to control-treated animals.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Provides Prophylactic Protection in an NHP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4178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541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Clinical Development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As shown in the graphic below, we believe that intervention with an antiviral neutralizing antibody before exposure to SARS-CoV-2, post-exposure but prior to the onset of symptoms or early in the course of symptomatic disease when viral replication is high but before the onset of significant immune pathology is likely to provide the greatest benefit to patients. This belief is supported by recent clinical experience with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SARS-CoV-2 mAbs as well as prior experience with the use of neutralizing antibodies for the treatment and prevention of other respiratory virus infections such as influenza and respiratory syncytial virus, or RSV. For these reasons, our clinical development strategy is focused on prevention and early treatment of COVID-19 with the goal of preventing severe disease and its sequelae.</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ADG20 for Treatment and Prevention of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wp:posOffset>
            </wp:positionV>
            <wp:extent cx="5186045" cy="1808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As shown below, our clinical development plan for ADG20 includes a series of clinical trials to demonstrate the potential of ADG20 for both the treatment and prevention of COVID-19 in adults and adolescents. We have completed enrollment in our first-in-human Phase 1 clinical trial in healthy volunteers, which demonstrated that ADG20 was well tolerated and displayed a pharmacokinetic profile consistent with an extended half-life mAb. In addition, serum virus neutralizing antibody titers measured following administration of ADG20 were within the range of peak serum neutralizing antibody titers reported for mRNA COVID-19 vaccine recipients. For the treatment of mild to moderate COVID-19 in patients at high risk of disease progression, we are conducting our combined Phase 2/3 STAMP trial that is designed to provide a path to authorization, marketing approval and commercial launch in 2022. For the prevention of symptomatic COVID-19, we are conducting our combined Phase 2/3 EVADE clinical trial in both post-exposure and pre-exposure populations. If our STAMP and EVADE trials are successful, we believe ADG20 has the potential to be approved for both the treatment and prevention of COVID-19 in the United States, potentially preceded by an EUA for the treatment of mild to moderate COVID-19 in patients at high risk of disease progression. Importantly, given the global impact of COVID-19, we also plan to seek approvals outside the United States. In addition, we are developing a clinical plan to support the use of ADG20 in the pediatric population for both the treatment and prevention of COVID-19.</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Our Clinical Development Program for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28632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8604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First-in-Human Phase 1 Dose Escalation Clinical Trial</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February 2021, we initiated a Phase 1 single ascending-dose escalation clinical trial of ADG20, which is designed to evaluate the safety, tolerability and pharmacokinetic properties of ADG20, along with serum virus neutralizing antibody titers. We have completed enrollment of 30 healthy volunteers across three cohorts, with ten participants per cohort randomized 8 to 2 to ADG20 or placebo, respectively. Each participant received a single IM or IV administration of either 300 mg IM, 500 mg IV or 600 mg IM of ADG20 or placebo. As of June 14, 2021, no serious adverse events, study drug-related adverse events, hypersensitivity reactions, infusion-related reactions or injection site reactions were reported in any study participant. All reported adverse events were mild in severity and resolved.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The preliminary pharmacokinetic profile approximately 3 months following administration of a single 300 mg IM dose is shown in the illustration below. The observed data are consistent with the pharmacokinetic profile predicted by a physiologically based pharmacokinetic model used to guide dose selection and project a prolonged serum half-life of approximately 60 to 100 days. Based on the model predicted pharmacokinetic profile, the median ADG20 serum concentration at 52 weeks, or approximately 12 months, is projected to exceed the ADG20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IC</w:t>
      </w:r>
      <w:r>
        <w:rPr>
          <w:rFonts w:ascii="Arial" w:cs="Arial" w:eastAsia="Arial" w:hAnsi="Arial"/>
          <w:sz w:val="13"/>
          <w:szCs w:val="13"/>
          <w:color w:val="auto"/>
        </w:rPr>
        <w:t>90</w:t>
      </w:r>
      <w:r>
        <w:rPr>
          <w:rFonts w:ascii="Arial" w:cs="Arial" w:eastAsia="Arial" w:hAnsi="Arial"/>
          <w:sz w:val="16"/>
          <w:szCs w:val="16"/>
          <w:color w:val="auto"/>
        </w:rPr>
        <w:t xml:space="preserve"> by approximately 100-fold, supporting the potential for a single IM injection to provide protection from COVID-19 for up to 12 months. Preliminary observed ADG20 pharmacokinetic profiles were dose proportional across the other dose levels tested and were also well predicted by the model.</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Preliminary Pharmacokinetic Profile of a Single 300 mg IM Dose of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171450</wp:posOffset>
            </wp:positionV>
            <wp:extent cx="4732020" cy="2991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3202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Serum virus neutralizing antibody titers are believed to be a key correlate of protection against COVID-19. By approximately two weeks following administration of a single 300 mg IM dose of ADG20, measured serum neutralizing antibody titers were within the range of peak serum neutralizing antibody titers reported for mRNA COVID-19 vaccine recipients. Using the quantitative pharmacology model, median serum neutralizing antibody titers at 6 months were projected to remain within the range reported for mRNA vaccine recipients in a similar timeframe. At 52 weeks, or approximately 12 months, post-dosing median titers were projected to remain above a threshold associated with protection from SARS-CoV-2 infection in non-human primates administered purified IgG from previously infected animals. These data further support the potential for a single 300 mg IM injection of ADG20 to provide protection against COVID-19 for up to 12 months.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STAMP Trial of ADG20 for the Treatment of COVID-19</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Emerging evidence has shown that for high-risk patients, intervention with a mAb therapy early in the course of infection can prevent disease progression, hospitalization and death. Based on this evidence, we are conducting our STAMP trial, a combined Phase 2/3 clinical trial of ADG20 for the treatment of COVID-19 in ambulatory adult patients with mild to moderate disease who are at high risk of disease progression. Our STAMP trial is designed to be a double-blind, randomized, placebo-controlled clinical trial comparing the efficacy of a single IM dose of ADG20 to placebo, with a target enrollment of approximately 1,100 patients, all of which will be enrolled outside of the United States. After evaluation of safety data from the Phase 2 portion of the trial, we may expand enrollment to adolescents and pregnant women in the Phase 3 portion. In addition, an independent data monitoring committee, or iDMC, meeting is anticipated in the fourth quarter of 2021 to evaluate futility at the Phase 2 to Phase 3 transition. The primary objectives of this clinical trial are to assess the safety and efficacy of ADG20 compared to placebo in the prevention of COVID-19-related hospitalization or death through Day 29.</w:t>
      </w:r>
    </w:p>
    <w:p>
      <w:pPr>
        <w:spacing w:after="0" w:line="18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designed our STAMP trial to have a pre-specified interim analysis to support the potential to demonstrate early evidence of efficacy and to submit an EUA. If the interim analysis is positive and the public health emergency is still in effect, we plan to submit an EUA to the FDA. We anticipate that the interim analysis and subsequent EUA submission may occur as early as the first quarter of 2022. Our EUA submission will be based on clinical and virology endpoints and will be supplemented with non-clinical virological data</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demonstrating ADG20 activity against known SARS-CoV-2 variants of concern. Our EUA plan is supported by recently issued FDA guidance. If the Phase 3 data are positive, either at the interim analysis or at the completion of the trial, we expect to submit a biologics license application, or BLA, to the FDA as early as the second half of 2022 for full approval of ADG20 for the treatment of mild to moderate COVID-19 in patients at high risk of progressing to severe COVID-19 and/or hospitalization. Our BLA for the treatment indication will be further supported by clinical data from the EVADE trial.</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order to demonstrate clinical efficacy of ADG20 in patients where other mAb therapies are expected to have more limited success, we are prioritizing enrollment of the STAMP trial in countries with high rates of SARS-CoV-2 variants that have been associated with lower efficacy rates of certain vaccines and are resistant or partially resistant to a subset of currently available or clinical-stage mAbs.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Combined Phase 2/3 EVADE Trial of ADG20 for the Prevention of COVID-19</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We have initiated our combined Phase 2/3 EVADE clinical trial of ADG20 to evaluate the safety and efficacy of ADG20 in the prevention of symptomatic COVID-19 in two separate populations: (1) individuals with known exposure to a person with laboratory-confirmed SARS-CoV-2 infection, which we refer to as post-exposure prophylaxis, and (2) individuals who are at increased risk for SARS-CoV-2 infection, which we refer to as pre-exposure prophylaxis. The eligible trial population also includes individuals at risk of generating poor vaccine response, such as those who are immunocompromised. Our EVADE trial is designed as a randomized, double-blind, placebo-controlled clinical trial to evaluate the efficacy of a single IM dose of ADG20 in preventing COVID-19, with a target enrollment of approximately 6,400 individuals in the United States and other countries. The primary endpoint is the proportion of participants with laboratory-confirmed symptomatic COVID-19 through Day 28 for the post-exposure cohort and through six months for the pre-exposure cohort. In addition, we will follow participants for 12 months to assess the proportion of participants who develop symptomatic COVID-19 through this time period in both cohorts. For those participants who do get infected with SARS-CoV-2, we will evaluate the impact of ADG20 on viral load as a surrogate for transmission potential. After evaluation of data from the first 200 adult participants across both cohorts in the Phase 2 portion of the trial, we may expand enrollment to adolescents and pregnant women in the Phase 3 portion.</w:t>
      </w:r>
    </w:p>
    <w:p>
      <w:pPr>
        <w:spacing w:after="0" w:line="172"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initiated enrollment in our EVADE trial on April 27, 2021 and have completed enrollment of the planned 200 Phase 2 participants. The Phase 3 portion of the EVADE trial is ongoing with a planned iDMC meeting in the third quarter of 2021 to provide recommendations regarding inclusion of adolescents and pregnant and lactating women in the Phase 3 portion of the trial. As of July 15, 2021, over 300 participants have been randomized to the EVADE study. To date, two Grade 3 serious adverse events have been reported, both of which were considered unrelated to study drug upon Investigator and Sponsor review. Because these events were assessed as unrelated to study drug, they remain blinded and are not subject to expedited reporting to the FDA.</w:t>
      </w:r>
    </w:p>
    <w:p>
      <w:pPr>
        <w:spacing w:after="0" w:line="192"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If the Phase 3 data are positive in the post-exposure cohort, we plan to submit a BLA to the FDA as early as the second half of 2022 for both the treatment and post-exposure prophylaxis indications. An interim analysis of futility for the pre-exposure cohort is planned for the first half of 2022 with topline data anticipated as early as the second half of 2022. Assuming favorable results, we are planning to file a supplemental BLA in the first half of 2023 for this indication. Similar to our STAMP trial, we are prioritizing enrollment in countries, including the United States, with high rates of SARS-CoV-2 variants, including variants that have been associated with lower efficacy rates of certain vaccines and are resistant or partially resistant to a subset of currently available or clinical-stage mAbs.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Pediatric Clinical Development Plan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Although children are at lower risk of developing severe COVID-19 compared to adults, a subset of children experience poor outcomes, including severe acute disease, such as the multisystem inflammatory syndrome, or MIS-C, and long-term sequelae of disease, also known as long COVID. Safe and effective therapies are needed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4" w:lineRule="auto"/>
        <w:rPr>
          <w:sz w:val="20"/>
          <w:szCs w:val="20"/>
          <w:color w:val="auto"/>
        </w:rPr>
      </w:pPr>
      <w:r>
        <w:rPr>
          <w:rFonts w:ascii="Arial" w:cs="Arial" w:eastAsia="Arial" w:hAnsi="Arial"/>
          <w:sz w:val="18"/>
          <w:szCs w:val="18"/>
          <w:color w:val="auto"/>
        </w:rPr>
        <w:t>to prevent severe disease and hospitalization in high-risk children as well as complications of COVID-19 such as MIS-C and long COVID. In addition, children of all ages are infectious and capable of transmission, regardless of symptom status, and the contribution of children to ongoing disease transmission is likely underappreciated. The secondary impacts of the COVID-19 pandemic on children due to widespread school closure, including a burgeoning mental health crisis, food insecurity and loss of gains in literacy, further attest to the need for safe and effective agents to prevent COVID-19 in children to support widespread school re-opening. Prevention efforts in children are also important for protection of high-risk adults who have contact with children and may not be fully protected by vaccination, as well as for the achievement of global herd immunity given that 25% of the world’s population are under the age of 14.</w:t>
      </w:r>
    </w:p>
    <w:p>
      <w:pPr>
        <w:spacing w:after="0" w:line="195"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Similar to our strategy for the adult and adolescent populations, we anticipate generating data to support the use of ADG20 for both the treatment and prevention of COVID-19 in the pediatric population. We believe ADG20 has the potential to provide a treatment option for children at high risk of severe disease, a viable prevention option for children with household or other high-risk exposures and an alternative to vaccines for certain high-risk children. Based on decades of experience using Synagis, an antibody administered to high-risk infants and toddlers for the prevention of severe lower respiratory tract disease due to RSV, we believe the pediatric use of ADG20 could become well-accepted for certain subsets of the pediatric population.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Commercial Opportunity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Market Opportunity</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that three core assumptions underpin the robust commercial opportunity inherent in ADG20 as both a treatment and preventative option for COVID-19:</w:t>
      </w:r>
    </w:p>
    <w:p>
      <w:pPr>
        <w:spacing w:after="0" w:line="72" w:lineRule="exact"/>
        <w:rPr>
          <w:sz w:val="20"/>
          <w:szCs w:val="20"/>
          <w:color w:val="auto"/>
        </w:rPr>
      </w:pPr>
    </w:p>
    <w:p>
      <w:pPr>
        <w:jc w:val="both"/>
        <w:ind w:left="1080" w:hanging="532"/>
        <w:spacing w:after="0" w:line="270" w:lineRule="auto"/>
        <w:tabs>
          <w:tab w:leader="none" w:pos="1080" w:val="left"/>
        </w:tabs>
        <w:numPr>
          <w:ilvl w:val="0"/>
          <w:numId w:val="93"/>
        </w:numPr>
        <w:rPr>
          <w:rFonts w:ascii="Arial" w:cs="Arial" w:eastAsia="Arial" w:hAnsi="Arial"/>
          <w:sz w:val="17"/>
          <w:szCs w:val="17"/>
          <w:color w:val="auto"/>
        </w:rPr>
      </w:pPr>
      <w:r>
        <w:rPr>
          <w:rFonts w:ascii="Arial" w:cs="Arial" w:eastAsia="Arial" w:hAnsi="Arial"/>
          <w:sz w:val="17"/>
          <w:szCs w:val="17"/>
          <w:b w:val="1"/>
          <w:bCs w:val="1"/>
          <w:color w:val="auto"/>
        </w:rPr>
        <w:t xml:space="preserve">Vaccines alone are not expected to adequately address the COVID-19 pandemic. </w:t>
      </w:r>
      <w:r>
        <w:rPr>
          <w:rFonts w:ascii="Arial" w:cs="Arial" w:eastAsia="Arial" w:hAnsi="Arial"/>
          <w:sz w:val="17"/>
          <w:szCs w:val="17"/>
          <w:color w:val="auto"/>
        </w:rPr>
        <w:t>We believe high levels of vaccine hesitancy may</w:t>
      </w:r>
      <w:r>
        <w:rPr>
          <w:rFonts w:ascii="Arial" w:cs="Arial" w:eastAsia="Arial" w:hAnsi="Arial"/>
          <w:sz w:val="17"/>
          <w:szCs w:val="17"/>
          <w:b w:val="1"/>
          <w:bCs w:val="1"/>
          <w:color w:val="auto"/>
        </w:rPr>
        <w:t xml:space="preserve"> </w:t>
      </w:r>
      <w:r>
        <w:rPr>
          <w:rFonts w:ascii="Arial" w:cs="Arial" w:eastAsia="Arial" w:hAnsi="Arial"/>
          <w:sz w:val="17"/>
          <w:szCs w:val="17"/>
          <w:color w:val="auto"/>
        </w:rPr>
        <w:t>leave as many as 100 million people in the United States and 2 billion people worldwide susceptible to COVID-19, assuming that less than 70% of the population will take a full course of a vaccine. We also believe there is a significant portion of the population that will choose not to receive the second vaccine dose or a potential future booster, which will make the duration of their protection uncertain. We also believe the challenges around the distribution and storage of certain vaccines will make widespread administration difficult in less developed or remote parts of the world. As a result, our epidemiological modeling has suggested that as much as 50% of the global population may be susceptible to infection within three years based on current assumptions of viral transmissibility as well as vaccine adoption, availability and length of protection, even when assuming that vaccine boosters are readily available. We believe these predictive assessments are indicative of the significant opportunity that may be available for a mAb therapy like ADG20 that has the potential to offer both treatment and preventative benefit.</w:t>
      </w:r>
    </w:p>
    <w:p>
      <w:pPr>
        <w:spacing w:after="0" w:line="82" w:lineRule="exact"/>
        <w:rPr>
          <w:rFonts w:ascii="Arial" w:cs="Arial" w:eastAsia="Arial" w:hAnsi="Arial"/>
          <w:sz w:val="17"/>
          <w:szCs w:val="17"/>
          <w:color w:val="auto"/>
        </w:rPr>
      </w:pPr>
    </w:p>
    <w:p>
      <w:pPr>
        <w:jc w:val="both"/>
        <w:ind w:left="1080" w:hanging="532"/>
        <w:spacing w:after="0" w:line="254"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ADG20 will find clinical application as both a complement to and supplement for vaccine use. </w:t>
      </w:r>
      <w:r>
        <w:rPr>
          <w:rFonts w:ascii="Arial" w:cs="Arial" w:eastAsia="Arial" w:hAnsi="Arial"/>
          <w:sz w:val="18"/>
          <w:szCs w:val="18"/>
          <w:color w:val="auto"/>
        </w:rPr>
        <w:t>We conducted market research with</w:t>
      </w:r>
      <w:r>
        <w:rPr>
          <w:rFonts w:ascii="Arial" w:cs="Arial" w:eastAsia="Arial" w:hAnsi="Arial"/>
          <w:sz w:val="18"/>
          <w:szCs w:val="18"/>
          <w:b w:val="1"/>
          <w:bCs w:val="1"/>
          <w:color w:val="auto"/>
        </w:rPr>
        <w:t xml:space="preserve"> </w:t>
      </w:r>
      <w:r>
        <w:rPr>
          <w:rFonts w:ascii="Arial" w:cs="Arial" w:eastAsia="Arial" w:hAnsi="Arial"/>
          <w:sz w:val="18"/>
          <w:szCs w:val="18"/>
          <w:color w:val="auto"/>
        </w:rPr>
        <w:t>physicians in the United States and Europe to better understand their perceptions of the potential profile of ADG20 and its likely applications. When shown the product profile of ADG20 versus four other mAbs in development, casirivimab/imdevimab (REGEN-COV), bamlanivimab/etesevimab (LY-CoV555/016), cilgavimab/tixagevimab (AZ7442) and sotrovimab (VIR-7831), both groups of physicians preferred ADG20 as a potential preventative for all types of individuals, including those unvaccinated, as well as a supplement for high-risk individuals, such as the elderly and the immunocompromised. For treatment, both groups of physicians also preferred ADG20 for all patient types, including low- and high-risk patients as well as pre-symptomatic, but infected, patients. We believe the results of our market research support the potential acceptance of ADG20 as both a complement to and supplement for vaccines across a wide variety of individuals.</w:t>
      </w:r>
    </w:p>
    <w:p>
      <w:pPr>
        <w:spacing w:after="0" w:line="93" w:lineRule="exact"/>
        <w:rPr>
          <w:rFonts w:ascii="Arial" w:cs="Arial" w:eastAsia="Arial" w:hAnsi="Arial"/>
          <w:sz w:val="18"/>
          <w:szCs w:val="18"/>
          <w:color w:val="auto"/>
        </w:rPr>
      </w:pPr>
    </w:p>
    <w:p>
      <w:pPr>
        <w:jc w:val="both"/>
        <w:ind w:left="1080" w:right="20" w:hanging="532"/>
        <w:spacing w:after="0" w:line="266"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 xml:space="preserve">ADG20 can both address COVID-19 and be a stockpiling product of choice for COVID-2X, the next SARS-like coronavirus. </w:t>
      </w:r>
      <w:r>
        <w:rPr>
          <w:rFonts w:ascii="Arial" w:cs="Arial" w:eastAsia="Arial" w:hAnsi="Arial"/>
          <w:sz w:val="18"/>
          <w:szCs w:val="18"/>
          <w:color w:val="auto"/>
        </w:rPr>
        <w:t>We</w:t>
      </w:r>
      <w:r>
        <w:rPr>
          <w:rFonts w:ascii="Arial" w:cs="Arial" w:eastAsia="Arial" w:hAnsi="Arial"/>
          <w:sz w:val="18"/>
          <w:szCs w:val="18"/>
          <w:b w:val="1"/>
          <w:bCs w:val="1"/>
          <w:color w:val="auto"/>
        </w:rPr>
        <w:t xml:space="preserve"> </w:t>
      </w:r>
      <w:r>
        <w:rPr>
          <w:rFonts w:ascii="Arial" w:cs="Arial" w:eastAsia="Arial" w:hAnsi="Arial"/>
          <w:sz w:val="18"/>
          <w:szCs w:val="18"/>
          <w:color w:val="auto"/>
        </w:rPr>
        <w:t>believe that the aggregate of ADG20’s potential advantages, including its dosing convenience, the potential durability of its efficacy and its utility against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5" w:lineRule="auto"/>
        <w:rPr>
          <w:sz w:val="20"/>
          <w:szCs w:val="20"/>
          <w:color w:val="auto"/>
        </w:rPr>
      </w:pPr>
      <w:r>
        <w:rPr>
          <w:rFonts w:ascii="Arial" w:cs="Arial" w:eastAsia="Arial" w:hAnsi="Arial"/>
          <w:sz w:val="18"/>
          <w:szCs w:val="18"/>
          <w:color w:val="auto"/>
        </w:rPr>
        <w:t>SARS-CoV-2 variants, position ADG20 as a compelling option to address the current COVID-19 pandemic. In addition, ADG20’s broad activity against a diverse group of SARS-related viruses make ADG20 an attractive option to enable stockpiling purchases to address future potential pandemics due to SARS-like viruses. To further enhance ADG20’s stockpiling profile, we are developing a lyophilized formulation of the API of ADG20 to further extend the shelf life of the drug product under refrigerated conditions. Through a combination of the lyophilized form and the long-term frozen storage of the drug substance intermediate, we believe the shelf life can be even further extended.</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Addressable Markets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have identified four distinct patient segments for those 12 years old and older, which represents approximately 285 million people in the United States. In April 2021, we conducted a market research analysis of 156 physicians in the United States and 236 physicians in Europe to understand their perspectives and preferences for the treatment and prevention of SARS-CoV-2 infection.</w:t>
      </w:r>
    </w:p>
    <w:p>
      <w:pPr>
        <w:spacing w:after="0" w:line="85" w:lineRule="exact"/>
        <w:rPr>
          <w:sz w:val="20"/>
          <w:szCs w:val="20"/>
          <w:color w:val="auto"/>
        </w:rPr>
      </w:pPr>
    </w:p>
    <w:p>
      <w:pPr>
        <w:jc w:val="both"/>
        <w:ind w:left="108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Treatment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Patients recently diagnosed with COVID-19</w:t>
      </w:r>
      <w:r>
        <w:rPr>
          <w:rFonts w:ascii="Arial" w:cs="Arial" w:eastAsia="Arial" w:hAnsi="Arial"/>
          <w:sz w:val="18"/>
          <w:szCs w:val="18"/>
          <w:color w:val="auto"/>
        </w:rPr>
        <w:t>. In 2022 and beyond, we estimate that approximately 2.6% of the U.S. population</w:t>
      </w:r>
      <w:r>
        <w:rPr>
          <w:rFonts w:ascii="Arial" w:cs="Arial" w:eastAsia="Arial" w:hAnsi="Arial"/>
          <w:sz w:val="18"/>
          <w:szCs w:val="18"/>
          <w:b w:val="1"/>
          <w:bCs w:val="1"/>
          <w:color w:val="auto"/>
        </w:rPr>
        <w:t xml:space="preserve"> </w:t>
      </w:r>
      <w:r>
        <w:rPr>
          <w:rFonts w:ascii="Arial" w:cs="Arial" w:eastAsia="Arial" w:hAnsi="Arial"/>
          <w:sz w:val="18"/>
          <w:szCs w:val="18"/>
          <w:color w:val="auto"/>
        </w:rPr>
        <w:t>12 years old and older will be infected with SARS-CoV-2. This infection rate is consistent with the annual incidence of influenza, which, according to the CDC, on an annual basis is between 3% and 11% of the U.S. population. A SARS-CoV-2 infection rate of approximately 2.6% would result in approximately 7.4 million infected individuals annually in the United States, or approximately 20,000 cases per day. In our market research, 26% of U.S. physicians selected mAbs as their primary treatment choice for patients infected with SARS-CoV-2 who are at moderate risk and within seven days of diagnosis. For high-risk patients, 47% of U.S. physicians selected mAbs as their primary treatment choice.</w:t>
      </w:r>
    </w:p>
    <w:p>
      <w:pPr>
        <w:spacing w:after="0" w:line="94" w:lineRule="exact"/>
        <w:rPr>
          <w:rFonts w:ascii="Arial" w:cs="Arial" w:eastAsia="Arial" w:hAnsi="Arial"/>
          <w:sz w:val="18"/>
          <w:szCs w:val="18"/>
          <w:color w:val="auto"/>
        </w:rPr>
      </w:pPr>
    </w:p>
    <w:p>
      <w:pPr>
        <w:jc w:val="both"/>
        <w:ind w:left="1080" w:right="20" w:hanging="532"/>
        <w:spacing w:after="0" w:line="298"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Post-Exposure Prophylaxis: </w:t>
      </w:r>
      <w:r>
        <w:rPr>
          <w:rFonts w:ascii="Arial" w:cs="Arial" w:eastAsia="Arial" w:hAnsi="Arial"/>
          <w:sz w:val="16"/>
          <w:szCs w:val="16"/>
          <w:i w:val="1"/>
          <w:iCs w:val="1"/>
          <w:color w:val="auto"/>
        </w:rPr>
        <w:t>Non-vaccinated patients with close exposure to a SARS-CoV-2-infected patient.</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Determining the number of</w:t>
      </w:r>
      <w:r>
        <w:rPr>
          <w:rFonts w:ascii="Arial" w:cs="Arial" w:eastAsia="Arial" w:hAnsi="Arial"/>
          <w:sz w:val="16"/>
          <w:szCs w:val="16"/>
          <w:b w:val="1"/>
          <w:bCs w:val="1"/>
          <w:color w:val="auto"/>
        </w:rPr>
        <w:t xml:space="preserve"> </w:t>
      </w:r>
      <w:r>
        <w:rPr>
          <w:rFonts w:ascii="Arial" w:cs="Arial" w:eastAsia="Arial" w:hAnsi="Arial"/>
          <w:sz w:val="16"/>
          <w:szCs w:val="16"/>
          <w:color w:val="auto"/>
        </w:rPr>
        <w:t>people exposed by one infected person is difficult to estimate. As a proxy, we estimate that each infected person will expose at least one non-vaccinated person, on average. Therefore, the estimated 7.4 million infected patients would expose approximately 7.4 million non-vaccinated people annually. Our market research showed that 28% of U.S. physicians would recommend a mAb therapy for post-exposure prophylaxis compared to vaccines, antivirals, corticosteroids, other therapies or no therapy.</w:t>
      </w:r>
    </w:p>
    <w:p>
      <w:pPr>
        <w:spacing w:after="0" w:line="59" w:lineRule="exact"/>
        <w:rPr>
          <w:rFonts w:ascii="Arial" w:cs="Arial" w:eastAsia="Arial" w:hAnsi="Arial"/>
          <w:sz w:val="16"/>
          <w:szCs w:val="16"/>
          <w:color w:val="auto"/>
        </w:rPr>
      </w:pPr>
    </w:p>
    <w:p>
      <w:pPr>
        <w:jc w:val="both"/>
        <w:ind w:left="1080" w:hanging="532"/>
        <w:spacing w:after="0" w:line="272"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b w:val="1"/>
          <w:bCs w:val="1"/>
          <w:color w:val="auto"/>
        </w:rPr>
        <w:t>Vaccine Supplement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Patients seeking to supplement their vaccine protection against SARS-CoV-2 and/or who are deterred by potential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 xml:space="preserve">booster doses due to vaccine side effects. </w:t>
      </w:r>
      <w:r>
        <w:rPr>
          <w:rFonts w:ascii="Arial" w:cs="Arial" w:eastAsia="Arial" w:hAnsi="Arial"/>
          <w:sz w:val="17"/>
          <w:szCs w:val="17"/>
          <w:color w:val="auto"/>
        </w:rPr>
        <w:t>In our market research, U.S. physicians clearly indicated that they would consider using a</w:t>
      </w:r>
      <w:r>
        <w:rPr>
          <w:rFonts w:ascii="Arial" w:cs="Arial" w:eastAsia="Arial" w:hAnsi="Arial"/>
          <w:sz w:val="17"/>
          <w:szCs w:val="17"/>
          <w:i w:val="1"/>
          <w:iCs w:val="1"/>
          <w:color w:val="auto"/>
        </w:rPr>
        <w:t xml:space="preserve"> </w:t>
      </w:r>
      <w:r>
        <w:rPr>
          <w:rFonts w:ascii="Arial" w:cs="Arial" w:eastAsia="Arial" w:hAnsi="Arial"/>
          <w:sz w:val="17"/>
          <w:szCs w:val="17"/>
          <w:color w:val="auto"/>
        </w:rPr>
        <w:t>combination of vaccines and a mAb therapy in a variety of patient types, including in 28% to 68% of moderate- to high-risk patients with medium exposure risk and 49% to 81% of moderate- to high-risk patients with high exposure risk. Additionally, patients who experienced side effects during their initial vaccine series may choose a mAb therapy instead of a vaccine booster for waning immunity or protection against potential variants. To estimate the size of this segment, we assume that approximately 65% of patients would be fully vaccinated by the end of 2022 and that these vaccines are approximately 80% effective, which yields a vaccine protection rate of approximately 52% and an addressable market of almost 150 million individuals in the United States.</w:t>
      </w:r>
    </w:p>
    <w:p>
      <w:pPr>
        <w:spacing w:after="0" w:line="77" w:lineRule="exact"/>
        <w:rPr>
          <w:rFonts w:ascii="Arial" w:cs="Arial" w:eastAsia="Arial" w:hAnsi="Arial"/>
          <w:sz w:val="17"/>
          <w:szCs w:val="17"/>
          <w:color w:val="auto"/>
        </w:rPr>
      </w:pPr>
    </w:p>
    <w:p>
      <w:pPr>
        <w:jc w:val="both"/>
        <w:ind w:left="1080" w:hanging="532"/>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Pre-Exposure Prophylaxis: </w:t>
      </w:r>
      <w:r>
        <w:rPr>
          <w:rFonts w:ascii="Arial" w:cs="Arial" w:eastAsia="Arial" w:hAnsi="Arial"/>
          <w:sz w:val="18"/>
          <w:szCs w:val="18"/>
          <w:i w:val="1"/>
          <w:iCs w:val="1"/>
          <w:color w:val="auto"/>
        </w:rPr>
        <w:t>This group represents the remainder of the population (i.e., those that were not counted in the three patient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 xml:space="preserve">segments described above). </w:t>
      </w:r>
      <w:r>
        <w:rPr>
          <w:rFonts w:ascii="Arial" w:cs="Arial" w:eastAsia="Arial" w:hAnsi="Arial"/>
          <w:sz w:val="18"/>
          <w:szCs w:val="18"/>
          <w:color w:val="auto"/>
        </w:rPr>
        <w:t>In particular, this group includes non-vaccinated individuals as well certain vaccinated individuals for whom</w:t>
      </w:r>
      <w:r>
        <w:rPr>
          <w:rFonts w:ascii="Arial" w:cs="Arial" w:eastAsia="Arial" w:hAnsi="Arial"/>
          <w:sz w:val="18"/>
          <w:szCs w:val="18"/>
          <w:i w:val="1"/>
          <w:iCs w:val="1"/>
          <w:color w:val="auto"/>
        </w:rPr>
        <w:t xml:space="preserve"> </w:t>
      </w:r>
      <w:r>
        <w:rPr>
          <w:rFonts w:ascii="Arial" w:cs="Arial" w:eastAsia="Arial" w:hAnsi="Arial"/>
          <w:sz w:val="18"/>
          <w:szCs w:val="18"/>
          <w:color w:val="auto"/>
        </w:rPr>
        <w:t>vaccines are likely to provide suboptimal protection, such as those who are immunocompromised. In the United States, we estimate that this segment includes approximately 120 million individuals, of whom approximately eight million are immunocompromised. Immunocompromised individuals are considered high risk, and in our market research, U.S. physicians indicated that they would consider using a mAb therapy or a combination of a vaccine and a mAb therapy in 45% to 87% of high-risk patients, depending on their exposure risk.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Although we believe that COVID-19 will be marked by variant-driven oscillating waves of infections, our addressable market estimates assume a stable endemic year over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Competitive mAbs</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believe ADG20 has a unique combination of attributes that positions ADG20 to be a differentiated mAb for both the treatment and prevention of COVID-19.</w:t>
      </w:r>
    </w:p>
    <w:p>
      <w:pPr>
        <w:spacing w:after="0" w:line="170"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b w:val="1"/>
          <w:bCs w:val="1"/>
          <w:i w:val="1"/>
          <w:iCs w:val="1"/>
          <w:color w:val="auto"/>
        </w:rPr>
        <w:t xml:space="preserve">Low Risk of Clinical Resistance. </w:t>
      </w:r>
      <w:r>
        <w:rPr>
          <w:rFonts w:ascii="Arial" w:cs="Arial" w:eastAsia="Arial" w:hAnsi="Arial"/>
          <w:sz w:val="16"/>
          <w:szCs w:val="16"/>
          <w:color w:val="auto"/>
        </w:rPr>
        <w:t>The currently known SARS-CoV-2 variants of concern likely emerged in response to immune pressure exerted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on variable amino acid residues such as K417 and E484, which are targeted by public antibodies commonly induced by natural infection. Because most of the mAbs currently in development were isolated from COVID-19 survivors and belong to one of the three classes of public RBD-directed antibodies, many of the clinical-stage mAbs show significant loss of potency against variants of concern. For example, casirivimab, bamlanivimab, etesevimab and regandivimab all show significant loss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neutralizing potency against the Beta (B1.351), Gamma (P.1), Iota (B.1.526) and/or Epsilon (B.1.429) variants, which contain mutations at the key amino acid residues recognized by these antibodies. Furthermore, the EUA for bamlanivimab was recently revoked by the FDA due to the increase in SARS-CoV-2 variants resistant to this antibody, raising concerns of increased risk of treatment failure and distribution of a second agent, bamlanvimab/etesevimab, has been paused in the United States due to data showing that the combined frequency of two variants resistant to this product, the Gamma (P.1) and Beta (B.1.351) variants, now exceeds 11% in the United States and is trending upward. In contrast, ADG20 binds to conserved residues that are not readily targeted by public antibodies. This suggests that these residues are less likely to mutate than those recognized by other antibodies, which is supported by preliminary data demonstrating that mutations in the ADG20 binding site are currently present at extremely low frequency in circulating SARS-CoV-2 viruses and none of the variants of concern described to date contain mutations in the ADG20 binding site. Thus, ADG20 demonstrates neutralizing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against common circulating SARS-CoV-2 variants, including the Alpha (B.1.1.7), Beta (B1.351), Gamma (P.1) and Delta (B.1.617.2) variants of concern and additional variants of interest.</w:t>
      </w:r>
    </w:p>
    <w:p>
      <w:pPr>
        <w:spacing w:after="0" w:line="17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b w:val="1"/>
          <w:bCs w:val="1"/>
          <w:i w:val="1"/>
          <w:iCs w:val="1"/>
          <w:color w:val="auto"/>
        </w:rPr>
        <w:t xml:space="preserve">Half-Life Extension. </w:t>
      </w:r>
      <w:r>
        <w:rPr>
          <w:rFonts w:ascii="Arial" w:cs="Arial" w:eastAsia="Arial" w:hAnsi="Arial"/>
          <w:sz w:val="17"/>
          <w:szCs w:val="17"/>
          <w:color w:val="auto"/>
        </w:rPr>
        <w:t>ADG20 was engineered from its parent antibody, ADG2, with a modification in the Fc region that results in enhanced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binding to FcRn at low pH levels. Enhanced binding to FcRn receptors at low pH levels improves FcRn-mediated antibody recycling, leading to an extended serum half-life in humans. The prolonged half-life for ADG20 is supported by preliminary pharmacokinetic data from the Phase 1 healthy volunteer study. Other antibodies that do not include half-life extensions, such as casirivimab/imdevimab, bamlanivimab/etesevimab and regdanvimab, will likely require frequent periodic administration to provide an extended duration of protection.</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b w:val="1"/>
          <w:bCs w:val="1"/>
          <w:i w:val="1"/>
          <w:iCs w:val="1"/>
          <w:color w:val="auto"/>
        </w:rPr>
        <w:t xml:space="preserve">Effector Function. </w:t>
      </w:r>
      <w:r>
        <w:rPr>
          <w:rFonts w:ascii="Arial" w:cs="Arial" w:eastAsia="Arial" w:hAnsi="Arial"/>
          <w:sz w:val="16"/>
          <w:szCs w:val="16"/>
          <w:color w:val="auto"/>
        </w:rPr>
        <w:t>Antibodies with Fc-mediated immune effector function summon immune cells and other immune mediators to the site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infection to help destroy infected cells and clear the infection. Preclinical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studies for other SARS-CoV-2 mAbs also suggest that Fc effector functions help to modulate protective immune responses. Notably, etesevimab and cilgavimab/tixagevimab include Fc modifications that reduce innate immune effector functions. In contrast, ADG20 was engineered to retain Fc-mediated innate immune effector activity, including ADCC and ADCP.</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Potency. </w:t>
      </w:r>
      <w:r>
        <w:rPr>
          <w:rFonts w:ascii="Arial" w:cs="Arial" w:eastAsia="Arial" w:hAnsi="Arial"/>
          <w:sz w:val="18"/>
          <w:szCs w:val="18"/>
          <w:color w:val="auto"/>
        </w:rPr>
        <w:t>Our definition for potent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neutralization of SARS-CoV-2 is demonstration of an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IC</w:t>
      </w:r>
      <w:r>
        <w:rPr>
          <w:rFonts w:ascii="Arial" w:cs="Arial" w:eastAsia="Arial" w:hAnsi="Arial"/>
          <w:sz w:val="15"/>
          <w:szCs w:val="15"/>
          <w:color w:val="auto"/>
        </w:rPr>
        <w:t>50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equal to 0.01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mcg/mL or less against a range of authentic SARS-CoV-2 variants, including Alpha (B.1.1.7), Beta (B1.351), Gamma (P.1) and Delta (B.1.617.2). Of the clinical-stage and authorized mAbs, only ADG20 and AZD1061 have this characteristic.</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Convenient Dosing Regimen. </w:t>
      </w:r>
      <w:r>
        <w:rPr>
          <w:rFonts w:ascii="Arial" w:cs="Arial" w:eastAsia="Arial" w:hAnsi="Arial"/>
          <w:sz w:val="18"/>
          <w:szCs w:val="18"/>
          <w:color w:val="auto"/>
        </w:rPr>
        <w:t>Given the high potency, low viscosity and high concentration formulation of ADG20, we are developing ADG20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single-dose IM injection for both the treatment and prevention of COVID-19. To our knowledge, the dosing regimens for currently available or clinical-stage SARS-CoV-2 mAbs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 either IV infusion or multiple subcutaneous or intramuscular injections for the treatment and/or prevention of COVID-19.</w:t>
      </w:r>
    </w:p>
    <w:p>
      <w:pPr>
        <w:spacing w:after="0" w:line="22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b w:val="1"/>
          <w:bCs w:val="1"/>
          <w:i w:val="1"/>
          <w:iCs w:val="1"/>
          <w:color w:val="auto"/>
        </w:rPr>
        <w:t xml:space="preserve">Breadth. </w:t>
      </w:r>
      <w:r>
        <w:rPr>
          <w:rFonts w:ascii="Arial" w:cs="Arial" w:eastAsia="Arial" w:hAnsi="Arial"/>
          <w:sz w:val="17"/>
          <w:szCs w:val="17"/>
          <w:color w:val="auto"/>
        </w:rPr>
        <w:t>ADG20 has demonstrated broad neutralizing activity against SARS-CoV-2 and other SARS-like viruses that infect human cells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hACE2 receptor pathway as SARS-CoV-2. To our knowledge, the only other mAb in late-stage clinical development that has demonstrated activity against additional SARS-like viruses is sotrovimab, but with lower potency compared to ADG20.</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ADG20 Attributes vs. COVID Oral Antivirals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believe ADG20 has several advantages over COVID oral antivirals in development for treatment and post-exposure prophylaxis settings. Oral antivirals require patients to take several doses over several days, whereas ADG20 has the potential to provide clinical benefit with a single IM injection in both the treatment and post-exposure prophylaxis settings. Oral antivirals require the patient to receive, fill and pay for the prescription via a retail or specialty pharmacy, whereas ADG20 is not expected to require a prescription if given in a physician’s office, minimizing delays in administration of therapy.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Go-to-Market Strategy</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We believe the commercialization of ADG20 will involve direct sales to governments, including relevant health agencies and national health systems, and in the United States, health insurers, integrated delivery networks and large employers. We intend to establish our own commercial organization in the United States and Europe, where we believe a focused commercial infrastructure will be able to successfully commercialize ADG20. We have begun discussions with some of these entities and will continue to do so as we progress ADG20 through a potential EUA and commercialization. In other markets, such as Latin America, Asia-Pacific, including China, and Middle Eastern and African countries, we intend to commercialize ADG20 through partnerships.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Product Candidates Beyond ADG20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94615</wp:posOffset>
            </wp:positionV>
            <wp:extent cx="5186045" cy="2297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illustrated in the graphic above, we are developing additional product candidates, such as ADG10, for potential use in combination with ADG20 for the treatment and prevention of COVID-19 and have initiated discovery programs focused on preventative agents for additional coronaviruses as well as seasonal and pandemic influenza, which are discussed in greater detail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Broadly Neutralizing Antibodies in Development</w:t>
      </w:r>
    </w:p>
    <w:p>
      <w:pPr>
        <w:spacing w:after="0" w:line="121"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envision additional product development opportunities emerging from our development of ADG20 for the treatment and prevention of COVID-19. We are initiating IND-enabling studies with ADG10, an additional broadly neutralizing antibody for potential use in combination with ADG20 for COVID-19. We believe the incorporation of a second broadly neutralizing antibody that targets a distinct viral epitope from the epitope targeted by ADG20 will ensure long-lasting product activity for COVID-19 as new variants of SARS-CoV-2 arise as well as for future outbreaks of disease that may arise from additional SARS-like viruses with pandemic potential. We anticipate submitting an IND to the FDA in the fourth quarter of 2021. If cleared, we anticipate initiating first-in-human clinical development in the first quarter of 2022.</w:t>
      </w:r>
    </w:p>
    <w:p>
      <w:pPr>
        <w:spacing w:after="0" w:line="178"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A number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including assessments of binding affinity and neutralization potency, have been conducted with ADG10 and ADG1, the parent molecule of ADG10. ADG1 is an affinity-matured progeny of ADI-55689, an antibody that was isolated from a survivor of the 2003 SARS outbreak along with the parent molecule of ADG2/ADG20. Affinity maturation increased ADG1 binding affinity to the SARS-CoV-2 S protein and neutralization potency against SARS-CoV-2 by as much as 85-fold and 40-fold, respectively. ADG1 binds with high affinity to the RBD of the spike proteins of multiple ACE-2 targeting sarbecoviruses and has been shown to neutralize multiple members of this group of SARS-like viruses </w:t>
      </w:r>
      <w:r>
        <w:rPr>
          <w:rFonts w:ascii="Arial" w:cs="Arial" w:eastAsia="Arial" w:hAnsi="Arial"/>
          <w:sz w:val="16"/>
          <w:szCs w:val="16"/>
          <w:i w:val="1"/>
          <w:iCs w:val="1"/>
          <w:color w:val="auto"/>
        </w:rPr>
        <w:t>in vitro</w:t>
      </w:r>
      <w:r>
        <w:rPr>
          <w:rFonts w:ascii="Arial" w:cs="Arial" w:eastAsia="Arial" w:hAnsi="Arial"/>
          <w:sz w:val="16"/>
          <w:szCs w:val="16"/>
          <w:color w:val="auto"/>
        </w:rPr>
        <w:t>. To create ADG10, the same Fc region modification included in ADG20 that was designed to extend half-life was introduced into ADG1.</w:t>
      </w:r>
    </w:p>
    <w:p>
      <w:pPr>
        <w:spacing w:after="0" w:line="16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7"/>
          <w:szCs w:val="17"/>
          <w:color w:val="auto"/>
        </w:rPr>
        <w:t>Similar to ADG2, ADG1 possesses broad activity and binds with high affinity to a diverse set of RBD molecules from naturally circulating SARS-CoV-2 variants and related sarbecoviruses. ADG10 has demonstrated broad neutralizing activity against authentic SARS-CoV-2 viruses, including the Victoria virus strain and the Alpha (B.1.1.7), Beta (B.1.351), Gamma (P.I) and Delta (B.1.617.2) variants. As shown in the table below, ADG10 neutralized all five viruses tested, as demonstrated by the low IC</w:t>
      </w:r>
      <w:r>
        <w:rPr>
          <w:rFonts w:ascii="Arial" w:cs="Arial" w:eastAsia="Arial" w:hAnsi="Arial"/>
          <w:sz w:val="14"/>
          <w:szCs w:val="14"/>
          <w:color w:val="auto"/>
        </w:rPr>
        <w:t>50</w:t>
      </w:r>
      <w:r>
        <w:rPr>
          <w:rFonts w:ascii="Arial" w:cs="Arial" w:eastAsia="Arial" w:hAnsi="Arial"/>
          <w:sz w:val="17"/>
          <w:szCs w:val="17"/>
          <w:color w:val="auto"/>
        </w:rPr>
        <w:t xml:space="preserve"> values and 100% neutralization plateaus achieved.</w:t>
      </w:r>
    </w:p>
    <w:p>
      <w:pPr>
        <w:spacing w:after="0" w:line="35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ADG10 Displays Neutralizing Activity Against SARS-CoV-2 Variants of Concern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IC</w:t>
            </w:r>
            <w:r>
              <w:rPr>
                <w:rFonts w:ascii="Arial" w:cs="Arial" w:eastAsia="Arial" w:hAnsi="Arial"/>
                <w:sz w:val="12"/>
                <w:szCs w:val="12"/>
                <w:b w:val="1"/>
                <w:bCs w:val="1"/>
                <w:color w:val="auto"/>
              </w:rPr>
              <w:t>50</w:t>
            </w:r>
            <w:r>
              <w:rPr>
                <w:rFonts w:ascii="Arial" w:cs="Arial" w:eastAsia="Arial" w:hAnsi="Arial"/>
                <w:sz w:val="14"/>
                <w:szCs w:val="14"/>
                <w:b w:val="1"/>
                <w:bCs w:val="1"/>
                <w:color w:val="auto"/>
              </w:rPr>
              <w:t xml:space="preserve"> (mcg/mL)</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Neutralization Plateau (%)</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Victoria</w:t>
            </w:r>
          </w:p>
        </w:tc>
        <w:tc>
          <w:tcPr>
            <w:tcW w:w="5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220" w:type="dxa"/>
            <w:vAlign w:val="bottom"/>
          </w:tcPr>
          <w:p>
            <w:pPr>
              <w:spacing w:after="0"/>
              <w:rPr>
                <w:sz w:val="10"/>
                <w:szCs w:val="10"/>
                <w:color w:val="auto"/>
              </w:rPr>
            </w:pPr>
          </w:p>
        </w:tc>
        <w:tc>
          <w:tcPr>
            <w:tcW w:w="74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Beta</w:t>
            </w:r>
          </w:p>
        </w:tc>
        <w:tc>
          <w:tcPr>
            <w:tcW w:w="7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Gamma</w:t>
            </w:r>
          </w:p>
        </w:tc>
        <w:tc>
          <w:tcPr>
            <w:tcW w:w="560" w:type="dxa"/>
            <w:vAlign w:val="bottom"/>
          </w:tcPr>
          <w:p>
            <w:pPr>
              <w:jc w:val="right"/>
              <w:ind w:right="24"/>
              <w:spacing w:after="0" w:line="119" w:lineRule="exact"/>
              <w:rPr>
                <w:sz w:val="20"/>
                <w:szCs w:val="20"/>
                <w:color w:val="auto"/>
              </w:rPr>
            </w:pPr>
            <w:r>
              <w:rPr>
                <w:rFonts w:ascii="Arial" w:cs="Arial" w:eastAsia="Arial" w:hAnsi="Arial"/>
                <w:sz w:val="13"/>
                <w:szCs w:val="13"/>
                <w:b w:val="1"/>
                <w:bCs w:val="1"/>
                <w:color w:val="auto"/>
              </w:rPr>
              <w:t>Delta</w:t>
            </w:r>
          </w:p>
        </w:tc>
        <w:tc>
          <w:tcPr>
            <w:tcW w:w="280" w:type="dxa"/>
            <w:vAlign w:val="bottom"/>
          </w:tcPr>
          <w:p>
            <w:pPr>
              <w:spacing w:after="0"/>
              <w:rPr>
                <w:sz w:val="10"/>
                <w:szCs w:val="10"/>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Victoria</w:t>
            </w: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Alpha</w:t>
            </w:r>
          </w:p>
        </w:tc>
        <w:tc>
          <w:tcPr>
            <w:tcW w:w="74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Beta</w:t>
            </w:r>
          </w:p>
        </w:tc>
        <w:tc>
          <w:tcPr>
            <w:tcW w:w="80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Gamma</w:t>
            </w:r>
          </w:p>
        </w:tc>
        <w:tc>
          <w:tcPr>
            <w:tcW w:w="580" w:type="dxa"/>
            <w:vAlign w:val="bottom"/>
          </w:tcPr>
          <w:p>
            <w:pPr>
              <w:jc w:val="right"/>
              <w:ind w:right="44"/>
              <w:spacing w:after="0" w:line="119" w:lineRule="exact"/>
              <w:rPr>
                <w:sz w:val="20"/>
                <w:szCs w:val="20"/>
                <w:color w:val="auto"/>
              </w:rPr>
            </w:pPr>
            <w:r>
              <w:rPr>
                <w:rFonts w:ascii="Arial" w:cs="Arial" w:eastAsia="Arial" w:hAnsi="Arial"/>
                <w:sz w:val="13"/>
                <w:szCs w:val="13"/>
                <w:b w:val="1"/>
                <w:bCs w:val="1"/>
                <w:color w:val="auto"/>
              </w:rPr>
              <w:t>Delta</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B.1.1.7</w:t>
            </w:r>
          </w:p>
        </w:tc>
        <w:tc>
          <w:tcPr>
            <w:tcW w:w="220" w:type="dxa"/>
            <w:vAlign w:val="bottom"/>
          </w:tcPr>
          <w:p>
            <w:pPr>
              <w:spacing w:after="0"/>
              <w:rPr>
                <w:sz w:val="14"/>
                <w:szCs w:val="14"/>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P.1</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8"/>
              </w:rPr>
              <w:t>B.1.617.2</w:t>
            </w:r>
          </w:p>
        </w:tc>
        <w:tc>
          <w:tcPr>
            <w:tcW w:w="760" w:type="dxa"/>
            <w:vAlign w:val="bottom"/>
            <w:gridSpan w:val="2"/>
            <w:vMerge w:val="continue"/>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B.1.1.7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B.1.351</w:t>
            </w: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P.1</w:t>
            </w: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B.1.617.2</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ADG10</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0.006</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0.010</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0.011</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0.026</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neutralization potency and breadth of ADG10 was further evaluated against a panel of 64 SARS-CoV-2 pseudovirus variants incorporating single or double amino acid spike substitutions or spike proteins encoding the full sets of mutations observed in emerging variants of concern and variants of interest, including the Epsilon (B.1.427/429), Iota (B.1.526) and Kappa (B.1.617.1) variants. We utilized the non-clinical and pre-clinical services program offered by the National Institute of Allergy and Infectious Disease to generate these data. Similar to ADG20, ADG10 maintained neutralization activity across all variants tested with IC</w:t>
      </w:r>
      <w:r>
        <w:rPr>
          <w:rFonts w:ascii="Arial" w:cs="Arial" w:eastAsia="Arial" w:hAnsi="Arial"/>
          <w:sz w:val="15"/>
          <w:szCs w:val="15"/>
          <w:color w:val="auto"/>
        </w:rPr>
        <w:t>50</w:t>
      </w:r>
      <w:r>
        <w:rPr>
          <w:rFonts w:ascii="Arial" w:cs="Arial" w:eastAsia="Arial" w:hAnsi="Arial"/>
          <w:sz w:val="18"/>
          <w:szCs w:val="18"/>
          <w:color w:val="auto"/>
        </w:rPr>
        <w:t xml:space="preserve"> values within approximately 0.3- to 4-fold relative to the D614G reference strain, as shown in the graphic below.</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ADG10 Displayed Neutralization Activity Against a Broad Panel of SARS-CoV-2 Variants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248920</wp:posOffset>
            </wp:positionV>
            <wp:extent cx="5186045" cy="21170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860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Programs in Discovery</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We believe that the robust antibody discovery and development capabilities that have enabled our expedited advancement of ADG20 into clinical trials may also be used to develop therapeutic or preventative options for other respiratory viral infections, such as seasonal and pandemic influenza. Broadly neutralizing antibodies with extended half-life have the potential to be used directly for the prevention of respiratory viral infection and disease.</w:t>
      </w:r>
    </w:p>
    <w:p>
      <w:pPr>
        <w:spacing w:after="0" w:line="149"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addition, the epitopes targeted by broadly neutralizing antibodies can be used as templates for the rational design of vaccine immunogens that elicit similar types of antibodies. In collaboration with an academic partner, we have initiated work on the design of coronavirus vaccine antigens that focus the antibody response on highly conserved epitopes defined by ADG10, ADG20 and other broadly neutralizing antibodies discovered by us and others. We have formulated a strategy to discover and engineer potent, broadly neutralizing antibodies targeting certain regions of the influenza virus surface protein, with the goal of generating product candidates with the potential to provide protection against both seasonal and pandemic influenza.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Strategy</w:t>
      </w:r>
    </w:p>
    <w:p>
      <w:pPr>
        <w:spacing w:after="0" w:line="121"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color w:val="auto"/>
        </w:rPr>
        <w:t>We do not currently own or operate any manufacturing facilities and have invested significant resources to develop and scale up a suitable manufacturing process for ADG20 in partnership with a contract manufacturer, WuXi, with whom we have been working since our inception. With WuXi, we have developed a high yield, industry standard mAb drug substance manufacturing process suitable for large-scale manufacturing, as well as an industry standard sterile liquid drug product manufacturing process and formulation that enables IM delivery of ADG20. Currently, the ADG20 drug substance is produced using a recombinant Chinese Hamster Ovary, or CHO, commercial cell line, fed-batch suspension cell culture and a chromatography column-based purification process. ADG20 drug substance has been successfully manufactured at commercial scale and with acceptable yields in the planned launch facility at WuXi. We plan to implement the industry standard sterile liquid drug product manufacturing process in a WuXi commercial facility prior to the submission of our EUA application.</w:t>
      </w:r>
    </w:p>
    <w:p>
      <w:pPr>
        <w:spacing w:after="0" w:line="17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established long-term master services agreements with WuXi, pursuant to which we purchase drug substance for both clinical and commercial supply. We may terminate the master services agreements at any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3" w:lineRule="auto"/>
        <w:rPr>
          <w:sz w:val="20"/>
          <w:szCs w:val="20"/>
          <w:color w:val="auto"/>
        </w:rPr>
      </w:pPr>
      <w:r>
        <w:rPr>
          <w:rFonts w:ascii="Arial" w:cs="Arial" w:eastAsia="Arial" w:hAnsi="Arial"/>
          <w:sz w:val="18"/>
          <w:szCs w:val="18"/>
          <w:color w:val="auto"/>
        </w:rPr>
        <w:t>for convenience in accordance with the terms of the agreements, including fulfilling our obligation to make full payment for all committed purchases. Either party may also terminate the master services agreements with respect to an uncured breach by the other party in accordance with the terms of the agreements. The agreements include confidentiality and intellectual property provisions to protect our proprietary rights related to our product candidates. We have also established a cell license agreement with WuXi that allows for the transfer and use of the commercial cell line currently used in the manufacture of ADG20 drug substance at WuXi. This license enables cell line and manufacturing process transfer to additional contract manufacturers. We are obligated to pay WuXi royalties in the range of 0.3% to 0.5% based on our net sales of any products covered by the license, unless we use WuXi to manufacture all of our commercial supplies, and we may buy out our royalty obligations by making a one-time payment of $15.0 million to WuXi at our option. Royalties are due on a licensed product-by-licensed product basis commencing on the date of the first commercial sale of the applicable product and continue for so long as we commercialize licensed products or until we exercise our option to buy out the royalty obligations.</w:t>
      </w:r>
    </w:p>
    <w:p>
      <w:pPr>
        <w:spacing w:after="0" w:line="19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While we expect to continue to devote significant resources to the process development and optimization of the manufacture of ADG20 and its scale up, we believe the manufacturing processes for mAbs such as ADG20 are well established and should not create meaningful impediments to either clinical development or commercial launch. However, within the context of the global pandemic, sufficient capacity for commercial scale manufacturing has been constrained on a worldwide basis. We continue to identify additional drug substance and drug product contract manufacturers to ensure that we will have sufficient capacity as well as redundancy within our supply chain to avoid product shortages in the future. We are actively pursuing a second source contract manufacturer to add capacity and redundancy and to meet anticipated demand, if ADG20 is authorized or approved. While any reduction or halt in the supply of drug substance or drug product could limit our ability to develop our product candidates until a replacement contract manufacturer is found and qualified, we believe that we have sufficient clinical supply of ADG20 to support our current and planned clinical trials and to fulfill our initial commercial launch needs upon either receipt of an EUA or BLA approval. We will also continue to apply mitigation strategies to ensure minimal disruption to our manufacturing supply due to global raw material supply chain shortages.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Relationship with Adimab</w:t>
      </w:r>
    </w:p>
    <w:p>
      <w:pPr>
        <w:spacing w:after="0" w:line="121"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We were founded in June 2020 by Adimab to focus initially on the development of antibodies for both the treatment and prevention of COVID-19. Adimab is a leading provider of antibody discovery, engineering and optimization services and has established an extensive presence in the drug discovery industry. Since its founding in 2007, Adimab has partnered with over 80 pharmaceutical and biotechnology companies, including Biogen, GlaxoSmithKline, Merck, Regeneron and Takeda, and the Adimab platform has been used in more than 385 antibody discovery and optimization programs, more than 40 of which have advanced into clinical trials, including five programs in pivotal clinical trials. Five percent of all antibodies that entered clinical trials in 2020 originated from Adimab technology. Adimab has extensive domain expertise in B-cell immunology, and its prior discovery initiatives include targeting viral infections such as Ebola, Zika, RSV, hantavirus and yellow fever. We are leveraging this expertise to expedite our discovery and development activities and anticipate continued interaction with Adimab related to antibody discovery services.</w:t>
      </w:r>
    </w:p>
    <w:p>
      <w:pPr>
        <w:spacing w:after="0" w:line="16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We are party to an assignment and license agreement with Adimab under which Adimab assigned to us its rights to all existing coronavirus antibodies controlled by it and their derivatives, including ADG20. See “—Licensing, Collaborations and Partnerships—Assignment and License Agreement with Adimab.” In addition, in May 2021, we entered into a funded discovery agreement with Adimab focused on discovery efforts for new antibodies that may be effective against other coronaviruses and influenza, both of which have the potential to cause pandemics. In the event that Adimab discovers an antibody that is expected to meet certain product profiles developed by Adagio, Adagio will have the exclusive option to require Adimab to assign us its rights in any such antibody and to grant us certain licenses. See “—Licensing, Collaborations and Partnerships—Collaboration Agreement with Adimab.”</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Collaborations and Partnerships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 with Adimab</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July 2020, we entered into an assignment and license agreement with Adimab, or the Adimab Assignment Agreement, with respect to discovery and optimization of coronavirus-specific antibodies, including COVID-19 and SARS. Under the Adimab Assignment Agreement, Adimab assigned to us its rights to all existing coronavirus antibodies controlled by it and their derivatives, patents claiming such antibodies, know-how related to such antibodies, and biological and chemical materials specifically related to such antibodies. Adimab also granted us a non-exclusive, worldwide, royalty-bearing, sublicensable license to certain of its antibody discovery and optimization platform technology to research, develop, make, use, and sell coronavirus antibodies and products containing or comprising coronavirus antibodies, provided that we may not use such licensed rights to discover or optimize antibodies. Adimab cannot grant any third party any license or right under any patent claiming our coronavirus antibodies and cannot deliver our coronavirus antibodies to third parties; however, we have limited recourse in the event of accidental disclosures.</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use commercially reasonable efforts to achieve specified development and regulatory milestones for products in certain major markets and to commercialize a product in any country in which we obtain marketing approval. We are obligated to pay Adimab quarterly for its services performed under the agreement at a specified full-time equivalent rate.</w:t>
      </w:r>
    </w:p>
    <w:p>
      <w:pPr>
        <w:spacing w:after="0" w:line="184"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Through July 16, 2021, we had made aggregate milestone payments of $3.5 million to Adimab under the Adimab Assignment Agreement. We are also obligated to pay Adimab royalties of a mid single-digit percentage based on annual aggregate worldwide net sales of any Products, subject to reductions for third-party licenses, biosimilar competition, compulsory licensing and a royalty floor. The royalty term expires for each Product on a country-by-country basis beginning upon the first commercial sale of each Product and ending on the later of (i) 12 years after the first commercial sale of such Product in such country and (ii) the expiration of the last valid claim of any patent in such country that was assigned to us under the Adimab Assignment Agreement or that claims priority to any such patent. If we commercialize any products as a diagnostic device (other than a companion diagnostic device) or as a research reagent, we must negotiate reasonable financial terms for such products.</w:t>
      </w:r>
    </w:p>
    <w:p>
      <w:pPr>
        <w:spacing w:after="0" w:line="172" w:lineRule="exact"/>
        <w:rPr>
          <w:sz w:val="20"/>
          <w:szCs w:val="20"/>
          <w:color w:val="auto"/>
        </w:rPr>
      </w:pPr>
    </w:p>
    <w:p>
      <w:pPr>
        <w:jc w:val="both"/>
        <w:ind w:left="120" w:right="20" w:firstLine="440"/>
        <w:spacing w:after="0" w:line="290" w:lineRule="auto"/>
        <w:rPr>
          <w:sz w:val="20"/>
          <w:szCs w:val="20"/>
          <w:color w:val="auto"/>
        </w:rPr>
      </w:pPr>
      <w:r>
        <w:rPr>
          <w:rFonts w:ascii="Arial" w:cs="Arial" w:eastAsia="Arial" w:hAnsi="Arial"/>
          <w:sz w:val="16"/>
          <w:szCs w:val="16"/>
          <w:color w:val="auto"/>
        </w:rPr>
        <w:t>The Adimab Assignment Agreement will expire, unless earlier terminated, on the expiration of the last-to-expire royalty term. We have the right to terminate the Adimab Assignment Agreement at any time upon advance written notice to Adimab. In addition, subject to certain conditions, either we or Adimab may terminate the Adimab Assignment Agreement if the other party commits a material breach of the agreement and fails to cure such breach within a specified cure period after written notice is provided, except that after the initiation of the first clinical trial of a Product, Adimab may only terminate the agreement if we materially breach, and do not cure, our diligence obligation or a payment obligation. Upon expiration of the Adimab Assignment Agreement, the license becomes royalty-free, irrevocable and perpetual. Upon termination of the Adimab Assignment Agreement, all licenses and rights granted by either party will terminate and, in the case of our termination for convenience or Adimab’s termination for our material breach, we are required to assign to Adimab all right, title and interest to the patents assigned by Adimab to us or that claim priority to such patents.</w:t>
      </w:r>
    </w:p>
    <w:p>
      <w:pPr>
        <w:spacing w:after="0" w:line="16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July 16, 2021, we had made aggregate payments of $4.3 million to Adimab under the Adimab Assignment Agreement, inclusive of the milestone payments.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 with Adimab</w:t>
      </w:r>
    </w:p>
    <w:p>
      <w:pPr>
        <w:spacing w:after="0" w:line="1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May 2021, we entered into a collaboration agreement with Adimab, or the Adimab Collaboration Agreement, for the discovery and optimization of proprietary antibodies as potential therapeutic product candidates. Under the Adimab Collaboration Agreement, we and Adimab will collaborate on research programs for a specified number of targets selected by us within a specified time period. If Adimab is unable to generate antibodies directed against a target selected by us, then we may replace such target.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or the Evaluation Term. We granted Adimab a non-exclusive, non-sublicensable license to certain of our patents and intellectual property solely to perform Adimab’s responsibilities under the research plans. Under the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Adimab will assign to us all right, title and interest in the antibodies of the optioned research program and will grant us a worldwide, royalty-free, fully paid-up, non-exclusive, sublicensable license under the Adimab platform technology to research, develop, make, use, and sell the antibodies for which we have exercised our options and products containing or comprising those antibodies.</w:t>
      </w:r>
    </w:p>
    <w:p>
      <w:pPr>
        <w:spacing w:after="0" w:line="16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the Adimab Collaboration Agreement, we are obligated to use commercially reasonable efforts to develop, seek marketing approval for, and commercialize one product that contains an antibody discovered in each research program for which we exercise our option to obtain licenses and assignments.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We are obligated to pay Adimab a quarterly fee of $1.3 million, which obligation may be cancelled at our option at any time. For so long as we are paying such quarterly fee (or earlier (i) if we experience a change of control after the third anniversary of the Adimab Collaboration Agreement or</w:t>
      </w:r>
    </w:p>
    <w:p>
      <w:pPr>
        <w:jc w:val="both"/>
        <w:ind w:left="120" w:right="20" w:hanging="4"/>
        <w:spacing w:after="0" w:line="252" w:lineRule="auto"/>
        <w:tabs>
          <w:tab w:leader="none" w:pos="39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Adimab owns less than a specified percentage of our equity), Adimab and its affiliates will not assist or direct certain third parties to discover or optimize antibodies that are intended to bind to coronaviruses or influenza viruses. We may also elect to decrease the scope of Adimab’s exclusivity obligations and obtain a corresponding decrease in the quarterly fee.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9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 The royalty term will expire for each product on a country-by-country basis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Adimab Collaboration Agreement will expire (i) if we do not exercise any option, upon the conclusion of the last Evaluation Term for the research programs, or (ii) if we exercise an option, on the expiration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6"/>
          <w:szCs w:val="16"/>
          <w:color w:val="auto"/>
        </w:rPr>
        <w:t>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cure periods. Following termination, we are prohibited from (i) researching, developing, manufacturing or commercializing, any products containing antibodies discovered under the agreement,</w:t>
      </w:r>
    </w:p>
    <w:p>
      <w:pPr>
        <w:spacing w:after="0" w:line="1" w:lineRule="exact"/>
        <w:rPr>
          <w:sz w:val="20"/>
          <w:szCs w:val="20"/>
          <w:color w:val="auto"/>
        </w:rPr>
      </w:pPr>
    </w:p>
    <w:p>
      <w:pPr>
        <w:ind w:left="120" w:right="20" w:hanging="4"/>
        <w:spacing w:after="0" w:line="260" w:lineRule="auto"/>
        <w:tabs>
          <w:tab w:leader="none" w:pos="391"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practicing, licensing, assigning, granting options to, or otherwise covenanting away rights to the foregoing products, and (iii) licensing or otherwise granting covenants not to sue third parties for the foregoing products.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Through July 16, 2021, we had made no payments to Adimab under the Adimab Collaboration Agreement.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Cell Line License Agreement with WuXi</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We are also party to a Cell Line License Agreement with WuXi, entered into as of December 2, 2020. See “Management’s Discussion and Analysis of Financial Condition and Results of Operations—Contractual Obligations and Commitments” and “—Manufacturing Strategy.”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we expect substantial competition from multiple sources, including major pharmaceutical, specialty pharmaceutical and existing or emerging biotechnology companies, academic research institutions, governmental agencies and public and private research institutions worldwide. Many of our competitors, either alone or through collaborations, have significantly greater financial resources and expertise in research and development, preclinical testing, conducting clinical trials, manufacturing, obtaining regulatory approvals and marketing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18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face competition from segments of the pharmaceutical, biotechnology and other related markets that pursue the development of antibody and small molecule antivirals targeting COVID-19. Companies that have authorized or late-stage COVID-19 antibody-based programs include AstraZeneca plc, Brii Biosciences Limited, Celltrion Healthcare Co, Ltd., Eli Lilly and Co, Regeneron Pharmaceuticals, Inc., SAb Biotherapeutics, Inc. and Vir Biotechnology, Inc. in collaboration with GlaxoSmithKline. In addition, we may face competition from many established pharmaceutical companies focused on developing oral antivirals for the treatment of COVID-19. Beyond antibody and small molecule antiviral treatments, we also face competition from SARS-CoV-2 vaccines that are either available under EUA, approved or in development for the prevention of COVID-19.</w:t>
      </w:r>
    </w:p>
    <w:p>
      <w:pPr>
        <w:spacing w:after="0" w:line="164"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our product candidates. Some of our competitors have already obtained EUAs from the FDA for the treatment of mild to moderate COVID-19 in high risk patients, and others in the future may obtain FDA or other regulatory approval or authorization more rapidly than we may, which could result in our competitors establishing a strong market position before we are able to enter the market. The key competitive factors affecting the success of our product candidates, if approved, are likely to be their efficacy, safety, convenience, price and the availability of reimbursement from government and other third-party payors.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20" w:firstLine="440"/>
        <w:spacing w:after="0" w:line="285" w:lineRule="auto"/>
        <w:rPr>
          <w:sz w:val="20"/>
          <w:szCs w:val="20"/>
          <w:color w:val="auto"/>
        </w:rPr>
      </w:pPr>
      <w:r>
        <w:rPr>
          <w:rFonts w:ascii="Arial" w:cs="Arial" w:eastAsia="Arial" w:hAnsi="Arial"/>
          <w:sz w:val="16"/>
          <w:szCs w:val="16"/>
          <w:color w:val="auto"/>
        </w:rPr>
        <w:t>Our commercial success depends in part on our ability to obtain and maintain patent and other proprietary protection for commercially important technology,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Although we own a number of pending patent applications that have not yet issued as patents, we do not own or license any issued patents with claims directed to our product candidates, including ADG20, and we may not be successful in prosecuting our filed patent applications or obtaining patent protection for our product candidates. Our pending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76"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field of cell therapy that may be important for the development of our business. We also intend to seek patent protection or rely upon trade secret rights to protect other technologies that may be used to discover and validate targets, as well as to manufacture and develop novel cell therapy products. Additional regulatory protection may also be afforded through data exclusivity, market exclusivity and patent term extensions where available.</w:t>
      </w:r>
    </w:p>
    <w:p>
      <w:pPr>
        <w:spacing w:after="0" w:line="17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ADG20 and ADG10</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As of July 16, 2021, we own one patent family for which we have filed one PCT patent application, one U.S. non-provisional patent application and two foreign patent applications in Argentina and Taiwan. This patent family is directed to broadly neutralizing anti-coronavirus antibodies, including ADG20 and ADG10, and uses thereof. These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of July 16, 2021, we own two additional patent families for which we have filed provisional U.S. patent applications. The first patent family is directed to methods of treating and preventing disease based on data obtained from ADG20 clinical trials and includes four U.S. provisional patent applications. The second patent family is directed to additional broadly neutralizing anti-coronavirus antibodies, combination therapies, and uses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thereof and includes four U.S. provisional patent applications. Any U.S. non-provisional patent applications timely filed based upon these U.S.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provisional patent applications, if issued, are expected to expire in 2042, without taking into account any possible patent term adjustment or extension.</w:t>
      </w:r>
    </w:p>
    <w:p>
      <w:pPr>
        <w:spacing w:after="0" w:line="3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Trade Secrets and Proprietary Information</w:t>
      </w:r>
    </w:p>
    <w:p>
      <w:pPr>
        <w:spacing w:after="0" w:line="117" w:lineRule="exact"/>
        <w:rPr>
          <w:sz w:val="20"/>
          <w:szCs w:val="20"/>
          <w:color w:val="auto"/>
        </w:rPr>
      </w:pPr>
    </w:p>
    <w:p>
      <w:pPr>
        <w:jc w:val="both"/>
        <w:ind w:left="120" w:right="20" w:firstLine="440"/>
        <w:spacing w:after="0" w:line="288" w:lineRule="auto"/>
        <w:rPr>
          <w:sz w:val="20"/>
          <w:szCs w:val="20"/>
          <w:color w:val="auto"/>
        </w:rPr>
      </w:pPr>
      <w:r>
        <w:rPr>
          <w:rFonts w:ascii="Arial" w:cs="Arial" w:eastAsia="Arial" w:hAnsi="Arial"/>
          <w:sz w:val="16"/>
          <w:szCs w:val="16"/>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 the United States, biologic products are licensed by the FDA for marketing under the Public Health Service Act, or the PHS Act, and regulated under the Federal Food, Drug, and Cosmetic Act, or the FDCA. Both the FDCA and the PHS Act and their corresponding regulations govern, among other things, the testing, manufacturing, safety, purity, potency, efficacy, labeling, packaging, storage, record keeping, distribution, marketing, sales, import, export, reporting, advertising and other promotional practices involving biologic products. FDA clearance must be obtained before clinical testing of biologic products. FDA licensure also must be obtained before marketing of biologic products. The process of obtaining regulatory approvals and the subsequent compliance with appropriate federal, state, local and foreign statutes and regulations require the expenditure of substantial time and financial resources.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process required by the FDA before a biologic product may be marketed in the United States generally involves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Good Manufacturing Practices, or GMPs;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submission to the FDA of an application for an Investigational New Drug Application, or IND, which must become effective before human clinical trials may begin;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approval by an institutional review board, or IRB, reviewing each clinical site before each clinical trial may be initiated;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Good Clinical Practices, or GCPs, and any additional requirements for the protection of human research subjects and their health information to establish the safety, purity, potency and efficacy of the proposed biologic product for its intended use;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submission to the FDA of a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BLA approval of the manufacturing facility or facilities where the biologic product is produced to assess compliance with GMPs to assure that the facilities, methods and controls are adequate to preserve the biologic’s identity, strength, quality and purity;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potential FDA Advisory Committee meeting to elicit expert input on critical issues, including a vote by external committee members;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FDA review and approval, or licensure, of the BLA and payment of associated user fees, when applicable; and</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compliance with any post-approval requirements, including the potential requirement to implement a Risk Evaluation and Mitigation Strategy, or REMS, and the potential requirement to conduct post-approval studies.</w:t>
      </w:r>
    </w:p>
    <w:p>
      <w:pPr>
        <w:spacing w:after="0" w:line="170"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Before testing any biologic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65"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Clinical trials may involve the administration of the biologic product candidate to healthy volunteers or subjects under the supervision of qualified investigators, generally physicians not employed by or under the study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540" w:right="20" w:hanging="424"/>
        <w:spacing w:after="0" w:line="277" w:lineRule="auto"/>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Phase 1</w:t>
      </w:r>
      <w:r>
        <w:rPr>
          <w:rFonts w:ascii="Arial" w:cs="Arial" w:eastAsia="Arial" w:hAnsi="Arial"/>
          <w:sz w:val="18"/>
          <w:szCs w:val="18"/>
          <w:color w:val="auto"/>
        </w:rPr>
        <w:t>. The biologic product is initially introduced into healthy human subjects and tested for safety. In the case of some biologic products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rare diseases, the initial human testing is often conducted in patients.</w:t>
      </w:r>
    </w:p>
    <w:p>
      <w:pPr>
        <w:spacing w:after="0" w:line="75" w:lineRule="exact"/>
        <w:rPr>
          <w:rFonts w:ascii="Arial" w:cs="Arial" w:eastAsia="Arial" w:hAnsi="Arial"/>
          <w:sz w:val="18"/>
          <w:szCs w:val="18"/>
          <w:color w:val="auto"/>
        </w:rPr>
      </w:pPr>
    </w:p>
    <w:p>
      <w:pPr>
        <w:jc w:val="both"/>
        <w:ind w:left="540" w:right="20" w:hanging="424"/>
        <w:spacing w:after="0" w:line="342"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Phase 2</w:t>
      </w:r>
      <w:r>
        <w:rPr>
          <w:rFonts w:ascii="Arial" w:cs="Arial" w:eastAsia="Arial" w:hAnsi="Arial"/>
          <w:sz w:val="16"/>
          <w:szCs w:val="16"/>
          <w:color w:val="auto"/>
        </w:rPr>
        <w:t>. The biologic product is evaluated in a limited patient population to identify possible adverse effects and safety risks, to preliminarily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evaluate the efficacy of the biologic product for specific targeted diseases and to determine dosage tolerance, optimal dosage and dosing schedule.</w:t>
      </w:r>
    </w:p>
    <w:p>
      <w:pPr>
        <w:spacing w:after="0" w:line="29" w:lineRule="exact"/>
        <w:rPr>
          <w:rFonts w:ascii="Arial" w:cs="Arial" w:eastAsia="Arial" w:hAnsi="Arial"/>
          <w:sz w:val="16"/>
          <w:szCs w:val="16"/>
          <w:color w:val="auto"/>
        </w:rPr>
      </w:pPr>
    </w:p>
    <w:p>
      <w:pPr>
        <w:jc w:val="both"/>
        <w:ind w:left="540" w:right="20" w:hanging="424"/>
        <w:spacing w:after="0" w:line="279" w:lineRule="auto"/>
        <w:tabs>
          <w:tab w:leader="none" w:pos="540" w:val="left"/>
        </w:tabs>
        <w:numPr>
          <w:ilvl w:val="0"/>
          <w:numId w:val="99"/>
        </w:numPr>
        <w:rPr>
          <w:rFonts w:ascii="Arial" w:cs="Arial" w:eastAsia="Arial" w:hAnsi="Arial"/>
          <w:sz w:val="17"/>
          <w:szCs w:val="17"/>
          <w:color w:val="auto"/>
        </w:rPr>
      </w:pPr>
      <w:r>
        <w:rPr>
          <w:rFonts w:ascii="Arial" w:cs="Arial" w:eastAsia="Arial" w:hAnsi="Arial"/>
          <w:sz w:val="17"/>
          <w:szCs w:val="17"/>
          <w:b w:val="1"/>
          <w:bCs w:val="1"/>
          <w:i w:val="1"/>
          <w:iCs w:val="1"/>
          <w:color w:val="auto"/>
        </w:rPr>
        <w:t>Phase 3</w:t>
      </w:r>
      <w:r>
        <w:rPr>
          <w:rFonts w:ascii="Arial" w:cs="Arial" w:eastAsia="Arial" w:hAnsi="Arial"/>
          <w:sz w:val="17"/>
          <w:szCs w:val="17"/>
          <w:color w:val="auto"/>
        </w:rPr>
        <w:t>. Clinical trials are undertaken to further evaluate dosage, clinical efficacy, potency and safety in an expanded patient population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geographically dispersed clinical trial sites. These clinical trials are intended to establish the overall risk/benefit ratio of the biologic product and provide an adequate basis for product labeling. In biologics for rare diseases where patient populations are small and there is an urgent need for treatment, Phase 3 trials might not be required if an adequate risk/benefit can be demonstrated from the Phase 2 trial.</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unexpected serious harm to patients.</w:t>
      </w:r>
    </w:p>
    <w:p>
      <w:pPr>
        <w:spacing w:after="0" w:line="182"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Concurrent with clinical trials, companies usually complete additional animal studies and must also develop additional information about the physical characteristics of the biologic as well as finalize a process for manufacturing the product in commercial quantities in accordance with GMP requirements. To help reduce the risk of the introduction of adventitious agents with the use of biologics, the PHS Act emphasizes the importance of manufacturing control for biologic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After the completion of clinical trials of a biological product, FDA approval of a BLA must be obtained before commercial marketing of the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5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Under the Prescription Drug User Fee Act, as amended, or the PDUFA, each BLA may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18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FDA reviews the BLA to determine, among other things, whether the proposed product is safe, potent and effective for its intended use, has an acceptable purity profile and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REMS is necessary to assure the safe use of the biological product. If the FDA concludes a REMS is needed, the sponsor of the BLA must submit a proposed REMS; the FDA will not approve the BLA without a REMS, if required.</w:t>
      </w:r>
    </w:p>
    <w:p>
      <w:pPr>
        <w:spacing w:after="0" w:line="184"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Before approving a BLA, the FDA may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trials are not always conclusive, and the FDA may interpret data differently than the sponsor interprets the same data. If the agency decides not to approve the BLA in its present form, the FDA will issue a complete response letter that usually describes all of the specific deficiencies in the BLA identified by the FDA. The deficiencies identified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4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post-marketing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9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One of the performance goals agreed to by the FDA under the PDUFA is to review and render a decision on standard BLAs within 10 months of filing and priority BLAs within six months of filing. The FDA does not always meet its PDUFA goal dates for standard and priority BLAs, and its review goals are subject to change from time to time. The review process and the PDUFA goal date may be extended by three months if the FDA requests or if the BLA sponsor provides additional information or clarification regarding information already provided in the submission within the three months preceding the PDUFA goal date.</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GMP. We will rely, and expect to continue to rely, on third parties for the production of clinical and commercial quantities of any products that we may commercialize. Manufacturers of our products are required to comply with applicable requirements in the GMP regulations, including quality control and quality assurance and maintenance of records and documentation.</w:t>
      </w:r>
    </w:p>
    <w:p>
      <w:pPr>
        <w:spacing w:after="0" w:line="18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 and such inspections may result in an issuance of FDA Form 483 deficiency observations, an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We also must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applicable regulatory requirements may result in restrictions on the marketing of a product or withdrawal of the product from the market, as well as possible civil or criminal sanctions. Failure to comply with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8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Expedited Review and Approval Programs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FDA has various programs, including fast track designation, priority review, accelerated approval and breakthrough therapy designation, that are intended to expedite or simplify the process for the development and FDA review of biological products that are intended for the treatment of serious or life-threatening diseases or conditions and demonstrate the potential to address unmet medical needs. The purpose of these programs is to provide important new biological products to patients earlier than under standard FDA review procedures.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BLA before the application is complete, a process known as rolling review.</w:t>
      </w:r>
    </w:p>
    <w:p>
      <w:pPr>
        <w:spacing w:after="0" w:line="181"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color w:val="auto"/>
        </w:rPr>
        <w:t>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rather than the standard goal of ten months under current PDUFA guidelines. Most products that are eligible for fast track designation may also be considered appropriate to receive a priority review. In addition,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of the condition and the availability or lack of alternative treatments. As a condition of approval, the FDA may require a sponsor of a biological product receiving accelerated approval to perform post-marketing studies to verify and describe the predicted effect on irreversible morbidity or mortality or other clinical endpoints, and the biological product may be subject to accelerated withdrawal procedures.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Biologics Price Competition and Innovation Act</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 xml:space="preserve">The Biologics Price Competition and Innovation Act of 2009, or BPCIA, which was enacted as part of the Patient Protection and Affordable Care Act of 2010, as amended by the Health Care and Education Reconciliation Act of 2010, or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studies and generally at least one clinical study, absent a waiver from the Secretary of the Department of Health and Human Services, or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or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96" w:lineRule="auto"/>
        <w:rPr>
          <w:sz w:val="20"/>
          <w:szCs w:val="20"/>
          <w:color w:val="auto"/>
        </w:rPr>
      </w:pPr>
      <w:r>
        <w:rPr>
          <w:rFonts w:ascii="Arial" w:cs="Arial" w:eastAsia="Arial" w:hAnsi="Arial"/>
          <w:sz w:val="16"/>
          <w:szCs w:val="16"/>
          <w:color w:val="auto"/>
        </w:rPr>
        <w:t>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Regulation Outside of the United States</w:t>
      </w:r>
    </w:p>
    <w:p>
      <w:pPr>
        <w:spacing w:after="0" w:line="11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 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w:t>
      </w:r>
    </w:p>
    <w:p>
      <w:pPr>
        <w:spacing w:after="0" w:line="19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the European Union, for example, a clinical trial application, or CTA, must be submitted to each country’s national health authority and an independent ethics committee, much like the FDA and the IRB, respectively. Once the CTA is approved in accordance with the applicable requirements, clinical study development may proceed. The requirements and process governing the conduct of clinical studies are to a significant extent harmonized at the European Union level but could vary from country to country. In all cases, the clinical studies are conducted in accordance with GCP and the applicable regulatory requirements and the ethical principles that have their origin in the Declaration of Helsinki. The way clinical trials are conducted in the European Union will undergo a major change when the Clinical Trial Regulation (Regulation (EU) No 536/2014) comes into application, probably in 2022. The Regulation harmonizes the assessment and supervision processes for clinical trials throughout the European Union via a Clinical Trials Information System, which will contain a centralized European Union portal and database.</w:t>
      </w:r>
    </w:p>
    <w:p>
      <w:pPr>
        <w:spacing w:after="0" w:line="178"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To obtain regulatory approval of an investigational biological product under European Union regulatory systems, we must submit a marketing authorization application. The application used to file the BLA in the United States is similar to that required in the European Union, with the exception of, among other things, country-specific document requirements. Innovative products that target an unmet medical need may be eligible for a number of expedited development and review programs in the European Union, such as The Priority Medicines, or PRIME, scheme, which provides incentives similar to the breakthrough therapy designation in the United States. Such products are generally eligible for accelerated assessment and may also benefit from different types of fast 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165"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European Union also provides opportunities for market exclusivity. For example, in the European Union, upon receiving marketing authorization, new chemical entities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 new chemical entity, and products may not qualify for data exclusivity. A Pediatric Investigation Plan, or PIP, in the European Union is aimed at ensuring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9" w:lineRule="auto"/>
        <w:rPr>
          <w:sz w:val="20"/>
          <w:szCs w:val="20"/>
          <w:color w:val="auto"/>
        </w:rPr>
      </w:pPr>
      <w:r>
        <w:rPr>
          <w:rFonts w:ascii="Arial" w:cs="Arial" w:eastAsia="Arial" w:hAnsi="Arial"/>
          <w:sz w:val="16"/>
          <w:szCs w:val="16"/>
          <w:color w:val="auto"/>
        </w:rPr>
        <w:t>that the necessary data are obtained to support the authorization of a medicine for children, through studies in children. All applications for marketing authorization for new medicines have to include the results of studies as described in an agreed PIP, unless the medicine is exempt because of a deferral or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European Union. Medicines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medicines. Medicines developed specifically for children that are already authorized but are not protected by a patent or supplementary protection certificate are eligible for a pediatric-use marketing authorization, which if granted, provides 10 years of market protection.</w:t>
      </w:r>
    </w:p>
    <w:p>
      <w:pPr>
        <w:spacing w:after="0" w:line="166"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The United Kingdom left the European Union on January 31, 2020, following which existing EU medicinal product legislation continued to apply in the United Kingdom during the transition period under the terms of the EU-UK Withdrawal Agreement. A transition period, which ended on December 31, 2020, maintained the United Kingdom’s access to the EU single market and to the global trade deals negotiated by the European Union on behalf of its members. The transition period provided time for the United Kingdom and European Union to negotiate a framework for partnership for the future, which was crystallized in the Trade and Cooperation Agreement, or TCA, that became effective on January 1, 2021.</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As a result of the Northern Ireland Protocol, different rules apply in Northern Ireland than in England, Wales and Scotland, or collectively Great Britain. In general, Northern Ireland continues to follow the EU regulatory regime, but its national medicines and medical devices authority remains the Medicines and Healthcare Products Regulatory Agency, or MHRA. Following the effectiveness of the Human Medicines (Amendment etc.) (EU Exit) Regulations 2019 on January 31, 2020, the UK regulatory regime for clinical trials, marketing authorizations, importing, exporting and pharmacovigilance largely mirrors that of the European Union.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Significant uncertainty exits as to obtaining and maintaining coverage and adequate reimbursement for our product candidates, including ADG20, and the extent to which patients will be willing to pay out-of-pocket for such products in the absence of reimbursement for all or part of the cost.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also provide coverage or adequate reimbursement. The principal decisions about reimbursement for new medicines are typically made by the Centers for Medicare &amp; Medicaid Services, or CMS, an agency within HHS. CMS decides whether and to what extent products will be covered and reimbursed under Medicare, and private payors tend to follow CMS to a substantial degree.</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Patients who are treated in-office for a medical condition generally rely on third-party payors to reimburse all or part of the costs associated with the procedure, including costs associated with products used during the procedure, and may be unwilling to undergo such procedures in the absence of such coverage and adequate reimbursement. Physicians may be unlikely to offer procedures for such treatment if they are not covered by insurance and may be unlikely to purchase and use our product candidates, if approved, for our stated indications unless coverage is provided and reimbursement is adequate. In addition, for products administered under the supervision of a physician, obtaining coverage and adequate reimbursement may be particularly difficult because of the higher prices often associated with such drugs.</w:t>
      </w:r>
    </w:p>
    <w:p>
      <w:pPr>
        <w:spacing w:after="0" w:line="192"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Reimbursement by a third-party payor may depend upon a number of factors, including the third-party payor’s determination that a procedure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18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Foreign governments also have their own healthcare reimbursement systems, which vary significantly by country and region, and coverage and adequate reimbursement may not be available with respect to the treatments in which our product candidates, if approved, are used under any foreign reimbursement system.</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Laws and Regulations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9" w:lineRule="exact"/>
        <w:rPr>
          <w:sz w:val="20"/>
          <w:szCs w:val="20"/>
          <w:color w:val="auto"/>
        </w:rPr>
      </w:pPr>
    </w:p>
    <w:p>
      <w:pPr>
        <w:jc w:val="both"/>
        <w:ind w:left="1080" w:right="20" w:hanging="532"/>
        <w:spacing w:after="0" w:line="259"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277" w:lineRule="auto"/>
        <w:rPr>
          <w:sz w:val="20"/>
          <w:szCs w:val="20"/>
          <w:color w:val="auto"/>
        </w:rPr>
      </w:pPr>
      <w:r>
        <w:rPr>
          <w:rFonts w:ascii="Arial" w:cs="Arial" w:eastAsia="Arial" w:hAnsi="Arial"/>
          <w:sz w:val="18"/>
          <w:szCs w:val="18"/>
          <w:color w:val="auto"/>
        </w:rPr>
        <w:t>payment to, or approval by, federal programs, including Medicare and Medicaid, claims for items or services, including drugs and biologics, that are false or fraudulent;</w:t>
      </w:r>
    </w:p>
    <w:p>
      <w:pPr>
        <w:spacing w:after="0" w:line="76" w:lineRule="exact"/>
        <w:rPr>
          <w:sz w:val="20"/>
          <w:szCs w:val="20"/>
          <w:color w:val="auto"/>
        </w:rPr>
      </w:pPr>
    </w:p>
    <w:p>
      <w:pPr>
        <w:jc w:val="both"/>
        <w:ind w:left="1080" w:hanging="532"/>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2" w:lineRule="exact"/>
        <w:rPr>
          <w:rFonts w:ascii="Arial" w:cs="Arial" w:eastAsia="Arial" w:hAnsi="Arial"/>
          <w:sz w:val="18"/>
          <w:szCs w:val="18"/>
          <w:color w:val="auto"/>
        </w:rPr>
      </w:pPr>
    </w:p>
    <w:p>
      <w:pPr>
        <w:jc w:val="both"/>
        <w:ind w:left="1080" w:hanging="532"/>
        <w:spacing w:after="0" w:line="311" w:lineRule="auto"/>
        <w:tabs>
          <w:tab w:leader="none" w:pos="108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implementing regulations, impose obligations on certain types of individuals and entities regarding the electronic exchange of information in common healthcare transactions, as well as standards relating to the privacy and security of individually identifiable health information;</w:t>
      </w:r>
    </w:p>
    <w:p>
      <w:pPr>
        <w:spacing w:after="0" w:line="54" w:lineRule="exact"/>
        <w:rPr>
          <w:rFonts w:ascii="Arial" w:cs="Arial" w:eastAsia="Arial" w:hAnsi="Arial"/>
          <w:sz w:val="16"/>
          <w:szCs w:val="16"/>
          <w:color w:val="auto"/>
        </w:rPr>
      </w:pPr>
    </w:p>
    <w:p>
      <w:pPr>
        <w:jc w:val="both"/>
        <w:ind w:left="1080" w:hanging="532"/>
        <w:spacing w:after="0" w:line="272"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such information regarding payments and transfers of value provided during the previous year to physician assistants, nurse practitioners, clinical nurse specialists, anesthesiologist assistants, certified nurse anesthetists and certified nurse-midwives; and</w:t>
      </w:r>
    </w:p>
    <w:p>
      <w:pPr>
        <w:spacing w:after="0" w:line="82" w:lineRule="exact"/>
        <w:rPr>
          <w:rFonts w:ascii="Arial" w:cs="Arial" w:eastAsia="Arial" w:hAnsi="Arial"/>
          <w:sz w:val="17"/>
          <w:szCs w:val="17"/>
          <w:color w:val="auto"/>
        </w:rPr>
      </w:pPr>
    </w:p>
    <w:p>
      <w:pPr>
        <w:jc w:val="both"/>
        <w:ind w:left="1080" w:hanging="532"/>
        <w:spacing w:after="0" w:line="286"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Foreign Corrupt Practices Act, or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65"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any of our products, if approved, are sold in a foreign country, we may be subject to similar foreign laws.</w:t>
      </w:r>
    </w:p>
    <w:p>
      <w:pPr>
        <w:spacing w:after="0" w:line="17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55" w:lineRule="auto"/>
        <w:rPr>
          <w:sz w:val="20"/>
          <w:szCs w:val="20"/>
          <w:color w:val="auto"/>
        </w:rPr>
      </w:pPr>
      <w:r>
        <w:rPr>
          <w:rFonts w:ascii="Arial" w:cs="Arial" w:eastAsia="Arial" w:hAnsi="Arial"/>
          <w:sz w:val="18"/>
          <w:szCs w:val="18"/>
          <w:color w:val="auto"/>
        </w:rPr>
        <w:t>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pacing w:after="0" w:line="192"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and biologics, expanded the 340B program, and revised the definition of average manufacturer price, or AMP,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On February 1, 2016, CMS issued final regulations to implement the changes to the Medicaid Drug Rebate program under the ACA. These regulations became effective on April 1, 2016. Since that time, there have been significant efforts to modify or eliminate the ACA. For example, the Tax Cuts and Jobs Act, or the Tax Act, enacted on December 22, 2017, repealed the shared responsibility payment for individuals who fail to maintain minimum essential coverage under section 5000A of the Internal Revenue Code of 1986, as amended, or the Code, commonly referred to as the individual mandate.</w:t>
      </w:r>
    </w:p>
    <w:p>
      <w:pPr>
        <w:spacing w:after="0" w:line="174"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Other legislative changes have been proposed and adopted since passage of the ACA. The Budget Control Act of 2011, among other things, created the Joint Select Committee on Deficit Reduction to recommend proposals in spending reductions to Congress. The Joint Select Committee did not achieve its targeted deficit reduction of an amount greater than $1.2 trillion for the fiscal years 2012 through 2021, triggering the legislation’s automatic reductions to several government programs. These reductions included aggregate reductions to Medicare payments to healthcare providers of up to 2.0% per fiscal year, which went into effect in April 2013. Subsequent litigation extended the 2% reduction, on average, to 2030 unless additional congressional action is taken. However, pursuant to COVID-19 relief legislation, the 2% Medicare sequester reductions have been suspended from May 1, 2020 through December 31, 2021.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66"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Further legislative and regulatory changes under the ACA remain possible, although the new administration under President Biden has signaled that it plans to build on the ACA and expand the number of people who are eligible for subsidies under it. President Biden indicated that he intends to use executive orders to undo changes to the ACA made by the Trump administration and would advocate for legislation to expand the ACA. For example, on January 28, 2021, President Biden issued an executive order that initiated a special enrollment period for purposes of obtaining health insurance coverage through the ACA marketplace, which began on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unknown what form any other such changes or law would take and how or whether it may affect our business in the future. We expect that changes or additions to the ACA or the Medicare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184"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has been subject to challenges in the courts. On December 14, 2018, the U.S. District Court for the Northern District of Texas ruled that the ACA is unconstitutional in its entirety because the “individual mandate” was repealed by Congress. On December 18, 2019, the U.S. Court of Appeals for the Fifth Circuit held that the individual mandate is unconstitutional and remanded the case to the District Court to reconsider its earlier invalidation of the entire ACA. An appeal was taken to the U.S. Supreme Court, which heard oral arguments in the case on November 10, 2020. A ruling is expected in 2021. On February 10, 2021, the Biden administration withdrew the federal government’s support for overturning the ACA. It is unclear how the Supreme Court ruling, other such litigation and the healthcare reform measures of the Biden administration will impact the ACA and our business.</w:t>
      </w:r>
    </w:p>
    <w:p>
      <w:pPr>
        <w:spacing w:after="0" w:line="195"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 ACA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Furthermore, the law requires manufacturers to provide a 50% discount off the negotiated price of prescriptions filled by beneficiaries in the Medicare Part D coverage gap, referred to as the “donut hole.” The Bipartisan Budget Act of 2018, or the BBA, among other things, amended the ACA, effective January 1, 2019, to close the coverage gap in most Medicare drug plans by increasing from 50 percent to 70 percent the point-of-sale discount that is owed by pharmaceutical manufacturers who participate in Medicare Part D.</w:t>
      </w:r>
    </w:p>
    <w:p>
      <w:pPr>
        <w:spacing w:after="0" w:line="195" w:lineRule="exact"/>
        <w:rPr>
          <w:sz w:val="20"/>
          <w:szCs w:val="20"/>
          <w:color w:val="auto"/>
        </w:rPr>
      </w:pPr>
    </w:p>
    <w:p>
      <w:pPr>
        <w:jc w:val="both"/>
        <w:ind w:left="120" w:right="20" w:firstLine="440"/>
        <w:spacing w:after="0" w:line="269" w:lineRule="auto"/>
        <w:rPr>
          <w:sz w:val="20"/>
          <w:szCs w:val="20"/>
          <w:color w:val="auto"/>
        </w:rPr>
      </w:pPr>
      <w:r>
        <w:rPr>
          <w:rFonts w:ascii="Arial" w:cs="Arial" w:eastAsia="Arial" w:hAnsi="Arial"/>
          <w:sz w:val="17"/>
          <w:szCs w:val="17"/>
          <w:color w:val="auto"/>
        </w:rPr>
        <w:t>The ACA also expanded the Public Health Service’s 340B drug pricing program. The 340B drug pricing program requires participating manufacturers to agree to charge statutorily defined covered entities no more than the 340B “ceiling price” for the manufacturer’s covered outpatient drugs. The ACA expanded the 340B program to include additional types of covered entities: certain free-standing cancer hospitals, critical access hospitals, rural referral centers and sole community hospitals, each as defined by the ACA. Because the 340B ceiling price is determined based on AMP and Medicaid drug rebate data, revisions to the Medicaid rebate formula and AMP definition could cause the required 340B discounts to increase. Payment methodologies may be subject to changes in healthcare legislation and regulatory initiatives as well. For example, CMS may develop new payment and delivery models, such as bundled payment models. Recently, there has been heightened governmental scrutiny over the manner in which manufacturers set prices for their marketed products. Such scrutiny has resulted in several recent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pharmaceutical products.</w:t>
      </w:r>
    </w:p>
    <w:p>
      <w:pPr>
        <w:spacing w:after="0" w:line="18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July 16, 2021, we had 68 full-time employees and one part-time employee. Of our 69 full- and part-time employees, approximately 20 have Ph.D. or M.D. degrees and 49 are engaged in research and development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activities. We have a remote workforce, with approximately 42% of our employees based in Massachusetts, 17% based in California, 9% based in New Jersey, and the remaining 32% in various additional states. None of our employees are represented by labor unions or covered by collective bargaining agreements. We consider our relationship with our employees to be good.</w:t>
      </w:r>
    </w:p>
    <w:p>
      <w:pPr>
        <w:spacing w:after="0" w:line="184"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Our human capital resources objectives include, as applicable, identifying, recruiting, retaining, incentivizing and integrating our existing and new employees, advisors and consultants, and maintaining and enhancing our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Since our inception, we have been a virtual company with our employees working from their homes. We rent an office in a short-term office space building in Waltham, Massachusetts for general and administrative purposes. We do not own or lease any laboratory or manufacturing facilities, and we plan to enter into a lease for office space in the near term. We believe that our remote working approach is adequate to meet our ongoing needs, and that, if we require physical facilities, we will be able to obtain additional facilities on commercially reasonable terms.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are not currently a party to any material legal proceedings. From time to time, we may become involved in other litigation or legal proceedings relating to claims arising from the ordinary course of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regarding our current executive officers and directors, including their ages as of July 16, 2021:</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ind w:left="720"/>
              <w:spacing w:after="0"/>
              <w:rPr>
                <w:sz w:val="20"/>
                <w:szCs w:val="20"/>
                <w:color w:val="auto"/>
              </w:rPr>
            </w:pPr>
            <w:r>
              <w:rPr>
                <w:rFonts w:ascii="Arial" w:cs="Arial" w:eastAsia="Arial" w:hAnsi="Arial"/>
                <w:sz w:val="14"/>
                <w:szCs w:val="14"/>
                <w:b w:val="1"/>
                <w:bCs w:val="1"/>
                <w:color w:val="auto"/>
                <w:w w:val="90"/>
              </w:rPr>
              <w:t>Age</w:t>
            </w:r>
          </w:p>
        </w:tc>
        <w:tc>
          <w:tcPr>
            <w:tcW w:w="6600" w:type="dxa"/>
            <w:vAlign w:val="bottom"/>
            <w:gridSpan w:val="3"/>
          </w:tcPr>
          <w:p>
            <w:pPr>
              <w:ind w:left="100"/>
              <w:spacing w:after="0"/>
              <w:rPr>
                <w:sz w:val="20"/>
                <w:szCs w:val="20"/>
                <w:color w:val="auto"/>
              </w:rPr>
            </w:pPr>
            <w:r>
              <w:rPr>
                <w:rFonts w:ascii="Arial" w:cs="Arial" w:eastAsia="Arial" w:hAnsi="Arial"/>
                <w:sz w:val="14"/>
                <w:szCs w:val="14"/>
                <w:b w:val="1"/>
                <w:bCs w:val="1"/>
                <w:color w:val="auto"/>
              </w:rPr>
              <w:t>Position(s)</w:t>
            </w:r>
          </w:p>
        </w:tc>
      </w:tr>
      <w:tr>
        <w:trPr>
          <w:trHeight w:val="61"/>
        </w:trPr>
        <w:tc>
          <w:tcPr>
            <w:tcW w:w="360" w:type="dxa"/>
            <w:vAlign w:val="bottom"/>
            <w:tcBorders>
              <w:top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Tillman U. Gerngross,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57</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Chief Executive Officer and Director</w:t>
            </w: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Lynn Connolly, M.D.,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54</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Medical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Rebecca Dabora, Ph.D.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62</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Technology &amp; Manufacturing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Jane Pritchett Henderson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David Hering</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Operating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Elham (Ellie) Hershberger, Pharm. 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53</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Chief Development Officer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Key Employees</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60" w:type="dxa"/>
            <w:vAlign w:val="bottom"/>
          </w:tcPr>
          <w:p>
            <w:pPr>
              <w:spacing w:after="0"/>
              <w:rPr>
                <w:sz w:val="24"/>
                <w:szCs w:val="24"/>
                <w:color w:val="auto"/>
              </w:rPr>
            </w:pPr>
          </w:p>
        </w:tc>
      </w:tr>
      <w:tr>
        <w:trPr>
          <w:trHeight w:val="67"/>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Laura Walker, Ph.D.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36</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Co-Founder &amp; Chief Scientific Officer</w:t>
            </w: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Eric Kimble, M.B.A.</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54</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Chief Commercial Officer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60" w:type="dxa"/>
            <w:vAlign w:val="bottom"/>
            <w:shd w:val="clear" w:color="auto" w:fill="CCEEFF"/>
          </w:tcPr>
          <w:p>
            <w:pPr>
              <w:spacing w:after="0"/>
              <w:rPr>
                <w:sz w:val="18"/>
                <w:szCs w:val="18"/>
                <w:color w:val="auto"/>
              </w:rPr>
            </w:pPr>
          </w:p>
        </w:tc>
      </w:tr>
      <w:tr>
        <w:trPr>
          <w:trHeight w:val="283"/>
        </w:trPr>
        <w:tc>
          <w:tcPr>
            <w:tcW w:w="3440" w:type="dxa"/>
            <w:vAlign w:val="bottom"/>
            <w:gridSpan w:val="3"/>
          </w:tcPr>
          <w:p>
            <w:pPr>
              <w:spacing w:after="0"/>
              <w:rPr>
                <w:sz w:val="20"/>
                <w:szCs w:val="20"/>
                <w:color w:val="auto"/>
              </w:rPr>
            </w:pPr>
            <w:r>
              <w:rPr>
                <w:rFonts w:ascii="Arial" w:cs="Arial" w:eastAsia="Arial" w:hAnsi="Arial"/>
                <w:sz w:val="18"/>
                <w:szCs w:val="18"/>
                <w:color w:val="auto"/>
              </w:rPr>
              <w:t>René Russo, Pharm. 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46</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Co-Founder, Director and Chair of the Board</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Terrance McGuire</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Ajay Royan</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58</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284"/>
        </w:trPr>
        <w:tc>
          <w:tcPr>
            <w:tcW w:w="3440" w:type="dxa"/>
            <w:vAlign w:val="bottom"/>
            <w:gridSpan w:val="3"/>
          </w:tcPr>
          <w:p>
            <w:pPr>
              <w:spacing w:after="0"/>
              <w:rPr>
                <w:sz w:val="20"/>
                <w:szCs w:val="20"/>
                <w:color w:val="auto"/>
              </w:rPr>
            </w:pPr>
            <w:r>
              <w:rPr>
                <w:rFonts w:ascii="Arial" w:cs="Arial" w:eastAsia="Arial" w:hAnsi="Arial"/>
                <w:sz w:val="18"/>
                <w:szCs w:val="18"/>
                <w:color w:val="auto"/>
              </w:rPr>
              <w:t>Anand Shah, M.D.</w:t>
            </w:r>
          </w:p>
        </w:tc>
        <w:tc>
          <w:tcPr>
            <w:tcW w:w="980" w:type="dxa"/>
            <w:vAlign w:val="bottom"/>
            <w:gridSpan w:val="2"/>
          </w:tcPr>
          <w:p>
            <w:pPr>
              <w:ind w:left="720"/>
              <w:spacing w:after="0"/>
              <w:rPr>
                <w:sz w:val="20"/>
                <w:szCs w:val="20"/>
                <w:color w:val="auto"/>
              </w:rPr>
            </w:pPr>
            <w:r>
              <w:rPr>
                <w:rFonts w:ascii="Arial" w:cs="Arial" w:eastAsia="Arial" w:hAnsi="Arial"/>
                <w:sz w:val="18"/>
                <w:szCs w:val="18"/>
                <w:color w:val="auto"/>
              </w:rPr>
              <w:t>41</w:t>
            </w:r>
          </w:p>
        </w:tc>
        <w:tc>
          <w:tcPr>
            <w:tcW w:w="66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r>
      <w:tr>
        <w:trPr>
          <w:trHeight w:val="68"/>
        </w:trPr>
        <w:tc>
          <w:tcPr>
            <w:tcW w:w="36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60" w:type="dxa"/>
            <w:vAlign w:val="bottom"/>
          </w:tcPr>
          <w:p>
            <w:pPr>
              <w:spacing w:after="0"/>
              <w:rPr>
                <w:sz w:val="5"/>
                <w:szCs w:val="5"/>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Tom Heyman</w:t>
            </w:r>
          </w:p>
        </w:tc>
        <w:tc>
          <w:tcPr>
            <w:tcW w:w="9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65</w:t>
            </w:r>
          </w:p>
        </w:tc>
        <w:tc>
          <w:tcPr>
            <w:tcW w:w="660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Director</w:t>
            </w: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60" w:type="dxa"/>
            <w:vAlign w:val="bottom"/>
          </w:tcPr>
          <w:p>
            <w:pPr>
              <w:spacing w:after="0"/>
              <w:rPr>
                <w:sz w:val="11"/>
                <w:szCs w:val="1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Tillman U. Gerngross, Ph.D. </w:t>
      </w:r>
      <w:r>
        <w:rPr>
          <w:rFonts w:ascii="Arial" w:cs="Arial" w:eastAsia="Arial" w:hAnsi="Arial"/>
          <w:sz w:val="17"/>
          <w:szCs w:val="17"/>
          <w:color w:val="auto"/>
        </w:rPr>
        <w:t>is our co-founder and has served as a member of our board of directors and as our Chief Executive Officer since</w:t>
      </w:r>
      <w:r>
        <w:rPr>
          <w:rFonts w:ascii="Arial" w:cs="Arial" w:eastAsia="Arial" w:hAnsi="Arial"/>
          <w:sz w:val="17"/>
          <w:szCs w:val="17"/>
          <w:b w:val="1"/>
          <w:bCs w:val="1"/>
          <w:color w:val="auto"/>
        </w:rPr>
        <w:t xml:space="preserve"> </w:t>
      </w:r>
      <w:r>
        <w:rPr>
          <w:rFonts w:ascii="Arial" w:cs="Arial" w:eastAsia="Arial" w:hAnsi="Arial"/>
          <w:sz w:val="17"/>
          <w:szCs w:val="17"/>
          <w:color w:val="auto"/>
        </w:rPr>
        <w:t>June 2020. Dr. Gerngross is a founder, director and executive officer of numerous biotechnology companies. He is a co-founder of Adimab, LLC and has served as its Chief Executive Officer and as a director since 2007. He is also a co-founder and Chairman of Avitide, Inc. since August 2012, a co-founder and Chairman of Alector, Inc. since September 2017, a co-founder, President and Chairman of Amagma, Inc. since August 2019 and a co-founder, President and Chairman of Ankyra Therapeutics, Inc. since November 2019. Dr. Gerngross is currently a Venture Partner at SV Life Sciences Advisors, LLC, which he joined in 2006. Dr. Gerngross co-founded GlycoFi, Inc. and served as its Chief Scientific Officer from 2000 to 2006 until it was acquired by Merck &amp; Company, Inc. Dr. Gerngross currently teaches at the Thayer School of Engineering, at Dartmouth College, where he has taught since 1998. Dr. Gerngross received a B.S. and M.S. in Chemical Engineering and a Ph.D. in Molecular Biology from Technical University of Vienna. We believe Dr. Gerngross is qualified to serve as a member of our board of directors because of his knowledge of Adagio as a co-founder and his expertise as an executive officer and director in the biotechnology industry.</w:t>
      </w:r>
    </w:p>
    <w:p>
      <w:pPr>
        <w:spacing w:after="0" w:line="17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7"/>
          <w:szCs w:val="17"/>
          <w:b w:val="1"/>
          <w:bCs w:val="1"/>
          <w:color w:val="auto"/>
        </w:rPr>
        <w:t xml:space="preserve">Lynn Connolly, M.D., Ph.D. </w:t>
      </w:r>
      <w:r>
        <w:rPr>
          <w:rFonts w:ascii="Arial" w:cs="Arial" w:eastAsia="Arial" w:hAnsi="Arial"/>
          <w:sz w:val="17"/>
          <w:szCs w:val="17"/>
          <w:color w:val="auto"/>
        </w:rPr>
        <w:t>has served as our Chief Medical Officer since July 2020. Prior to joining Adagio, Dr. Connolly served as Senior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Clinical Research from March 2020 to July 2020 and Vice President, Clinical Research from March 2018 to February 2020 of Vir Biotechnology, Inc. Dr. Connolly served as Vice President and Head of Late Development from January 2017 to March 2018 and Senior Medical</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Director from January 2016 to January 2017 of Achaogen, Inc. Dr. Connolly received a B.A. in Molecular Biology from University of California, Berkeley and a M.D. and Ph.D. in Cell Biology from University of California, San Francisco.</w:t>
      </w:r>
    </w:p>
    <w:p>
      <w:pPr>
        <w:spacing w:after="0" w:line="166" w:lineRule="exact"/>
        <w:rPr>
          <w:sz w:val="20"/>
          <w:szCs w:val="20"/>
          <w:color w:val="auto"/>
        </w:rPr>
      </w:pPr>
    </w:p>
    <w:p>
      <w:pPr>
        <w:jc w:val="both"/>
        <w:ind w:left="120" w:firstLine="440"/>
        <w:spacing w:after="0" w:line="258" w:lineRule="auto"/>
        <w:rPr>
          <w:sz w:val="20"/>
          <w:szCs w:val="20"/>
          <w:color w:val="auto"/>
        </w:rPr>
      </w:pPr>
      <w:r>
        <w:rPr>
          <w:rFonts w:ascii="Arial" w:cs="Arial" w:eastAsia="Arial" w:hAnsi="Arial"/>
          <w:sz w:val="18"/>
          <w:szCs w:val="18"/>
          <w:b w:val="1"/>
          <w:bCs w:val="1"/>
          <w:color w:val="auto"/>
        </w:rPr>
        <w:t xml:space="preserve">Rebecca Dabora, Ph.D. </w:t>
      </w:r>
      <w:r>
        <w:rPr>
          <w:rFonts w:ascii="Arial" w:cs="Arial" w:eastAsia="Arial" w:hAnsi="Arial"/>
          <w:sz w:val="18"/>
          <w:szCs w:val="18"/>
          <w:color w:val="auto"/>
        </w:rPr>
        <w:t>has served as our Chief Technology &amp; Manufacturing Officer since July 2020. In addition, Dr. Dabora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serving as Principal for RDBio Consulting LLC since July 2005. Prior to joining Adagio, Dr. Dabora served as Interim Chief Technology Officer of SwanBio Therapeutics, Inc. from July 2019 to July 2020 and Chief Technology Officer of Aspyrian Therapeutics, Inc. from March 2016 to March 2017. Dr. Dabora received a B.A. in Biochemistry from Bowdoin College and a Ph.D. in Applied Biological Sciences and Biochemical Engineering from the Massachusetts Institute of Technology.</w:t>
      </w:r>
    </w:p>
    <w:p>
      <w:pPr>
        <w:spacing w:after="0" w:line="183"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b w:val="1"/>
          <w:bCs w:val="1"/>
          <w:color w:val="auto"/>
        </w:rPr>
        <w:t xml:space="preserve">Jane Pritchett Henderson </w:t>
      </w:r>
      <w:r>
        <w:rPr>
          <w:rFonts w:ascii="Arial" w:cs="Arial" w:eastAsia="Arial" w:hAnsi="Arial"/>
          <w:sz w:val="17"/>
          <w:szCs w:val="17"/>
          <w:color w:val="auto"/>
        </w:rPr>
        <w:t>has served as our Chief Financial Officer since December 2020. In addition, Ms. Henderson serves as a director and</w:t>
      </w:r>
      <w:r>
        <w:rPr>
          <w:rFonts w:ascii="Arial" w:cs="Arial" w:eastAsia="Arial" w:hAnsi="Arial"/>
          <w:sz w:val="17"/>
          <w:szCs w:val="17"/>
          <w:b w:val="1"/>
          <w:bCs w:val="1"/>
          <w:color w:val="auto"/>
        </w:rPr>
        <w:t xml:space="preserve"> </w:t>
      </w:r>
      <w:r>
        <w:rPr>
          <w:rFonts w:ascii="Arial" w:cs="Arial" w:eastAsia="Arial" w:hAnsi="Arial"/>
          <w:sz w:val="17"/>
          <w:szCs w:val="17"/>
          <w:color w:val="auto"/>
        </w:rPr>
        <w:t>chair of the audit committee of Akero Therapeutics, Inc. since April 2019, of IVERIC bio, Inc. since January 2018 and of Sesen Bio, Inc., formerly Eleven Biotherapeutics, Inc., since October 2013. Prior to joining Adagio, Ms. Henderson served as Chief Financial Officer of Turnstone Biologics from June 2018 to December 2020, Chief Financial Officer and Senior Vice President, Corporate Development of Voyager Therapeutics, Inc. from January 2017 to June 2018 and Senior Vice President and Chief Financial &amp; Business Officer of Kolltan Pharmaceuticals, Inc. from February 2013 to November 2016. Ms. Henderson received a B.S. in Psychology from Duke University.</w:t>
      </w:r>
    </w:p>
    <w:p>
      <w:pPr>
        <w:spacing w:after="0" w:line="17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7"/>
          <w:szCs w:val="17"/>
          <w:b w:val="1"/>
          <w:bCs w:val="1"/>
          <w:color w:val="auto"/>
        </w:rPr>
        <w:t xml:space="preserve">David Hering, M.B.A. </w:t>
      </w:r>
      <w:r>
        <w:rPr>
          <w:rFonts w:ascii="Arial" w:cs="Arial" w:eastAsia="Arial" w:hAnsi="Arial"/>
          <w:sz w:val="17"/>
          <w:szCs w:val="17"/>
          <w:color w:val="auto"/>
        </w:rPr>
        <w:t>has served as our Chief Operating Officer since June 2021. Prior to joining Adagio, Mr. Hering served as the Head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mRNA Global Franchise Business of Pfizer, Inc. from April 2021 to June 2021, the President of North America Vaccines of Pfizer, Inc. from December 2018 to April 2021 and the Vaccines Commercial Officer of Pfizer, Inc. from June 2015 to December 2018. Before joining Pfizer in 2015, Mr. Hering spent seven years at Novartis Vaccines, where he held the position of Head of the North America Region. Mr. Hering received an M.B.A. from Harvard Business School and a B.S. in Operations Research and Industrial Engineering from Cornell University.</w:t>
      </w:r>
    </w:p>
    <w:p>
      <w:pPr>
        <w:spacing w:after="0" w:line="168" w:lineRule="exact"/>
        <w:rPr>
          <w:sz w:val="20"/>
          <w:szCs w:val="20"/>
          <w:color w:val="auto"/>
        </w:rPr>
      </w:pPr>
    </w:p>
    <w:p>
      <w:pPr>
        <w:jc w:val="both"/>
        <w:ind w:left="120" w:firstLine="440"/>
        <w:spacing w:after="0" w:line="314" w:lineRule="auto"/>
        <w:rPr>
          <w:sz w:val="20"/>
          <w:szCs w:val="20"/>
          <w:color w:val="auto"/>
        </w:rPr>
      </w:pPr>
      <w:r>
        <w:rPr>
          <w:rFonts w:ascii="Arial" w:cs="Arial" w:eastAsia="Arial" w:hAnsi="Arial"/>
          <w:sz w:val="16"/>
          <w:szCs w:val="16"/>
          <w:b w:val="1"/>
          <w:bCs w:val="1"/>
          <w:color w:val="auto"/>
        </w:rPr>
        <w:t xml:space="preserve">Elham (Ellie) Hershberger, Pharm.D. </w:t>
      </w:r>
      <w:r>
        <w:rPr>
          <w:rFonts w:ascii="Arial" w:cs="Arial" w:eastAsia="Arial" w:hAnsi="Arial"/>
          <w:sz w:val="16"/>
          <w:szCs w:val="16"/>
          <w:color w:val="auto"/>
        </w:rPr>
        <w:t>has served as our Chief Development Officer since June 2020. Prior to joining Adagio, Dr. Hershberger</w:t>
      </w:r>
      <w:r>
        <w:rPr>
          <w:rFonts w:ascii="Arial" w:cs="Arial" w:eastAsia="Arial" w:hAnsi="Arial"/>
          <w:sz w:val="16"/>
          <w:szCs w:val="16"/>
          <w:b w:val="1"/>
          <w:bCs w:val="1"/>
          <w:color w:val="auto"/>
        </w:rPr>
        <w:t xml:space="preserve"> </w:t>
      </w:r>
      <w:r>
        <w:rPr>
          <w:rFonts w:ascii="Arial" w:cs="Arial" w:eastAsia="Arial" w:hAnsi="Arial"/>
          <w:sz w:val="16"/>
          <w:szCs w:val="16"/>
          <w:color w:val="auto"/>
        </w:rPr>
        <w:t>served as President of EMH Consulting Group, Inc. from July 2017 to October 2020 and as Head of Clinical Development of Visterra, Inc. from January 2016 to July 2017. Dr. Hershberger received a B.S. in Chemistry from University of Minnesota and a Pharm.D. from Ferris State University.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Employees</w:t>
      </w:r>
    </w:p>
    <w:p>
      <w:pPr>
        <w:spacing w:after="0" w:line="11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Laura Walker, Ph.D. </w:t>
      </w:r>
      <w:r>
        <w:rPr>
          <w:rFonts w:ascii="Arial" w:cs="Arial" w:eastAsia="Arial" w:hAnsi="Arial"/>
          <w:sz w:val="18"/>
          <w:szCs w:val="18"/>
          <w:color w:val="auto"/>
        </w:rPr>
        <w:t>is our co-founder and has served as our Chief Scientific Officer since June 2020. In addition, Dr. Walker has served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roles at Adimab, LLC, including Group Leader, since May 2012 and has served as Senior Director of Antibody Sciences since October 2019. Dr. Walker received a B.S. in Biochemistry from University of Wisconsin-Madison and a Ph.D. in Microbiology and Immunology from The Scripps Research Institute.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8"/>
          <w:szCs w:val="18"/>
          <w:b w:val="1"/>
          <w:bCs w:val="1"/>
          <w:color w:val="auto"/>
        </w:rPr>
        <w:t xml:space="preserve">Eric Kimble, M.B.A. </w:t>
      </w:r>
      <w:r>
        <w:rPr>
          <w:rFonts w:ascii="Arial" w:cs="Arial" w:eastAsia="Arial" w:hAnsi="Arial"/>
          <w:sz w:val="18"/>
          <w:szCs w:val="18"/>
          <w:color w:val="auto"/>
        </w:rPr>
        <w:t>has served as Chief Commercial Officer since September 2020. Prior to joining Adagio, Mr. Kimble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Officer for Entasis Therapeutics, Inc. from April 2019 to September 2020 and as a consultant for various emerging biotechnology companies from June 2013 to April 2019. Mr. Kimble received an A.B. in English Literature and Business Economics from Brown University and an M.B.A. from the Harvard Business School.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17" w:lineRule="exact"/>
        <w:rPr>
          <w:sz w:val="20"/>
          <w:szCs w:val="20"/>
          <w:color w:val="auto"/>
        </w:rPr>
      </w:pPr>
    </w:p>
    <w:p>
      <w:pPr>
        <w:jc w:val="both"/>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René Russo, Pharm.D. </w:t>
      </w:r>
      <w:r>
        <w:rPr>
          <w:rFonts w:ascii="Arial" w:cs="Arial" w:eastAsia="Arial" w:hAnsi="Arial"/>
          <w:sz w:val="18"/>
          <w:szCs w:val="18"/>
          <w:color w:val="auto"/>
        </w:rPr>
        <w:t>is our co-founder and has served as the chair of our board of directors since October 2020. Dr. Russo has served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Xilio Therapeutics, Inc since May 2019. Prior to her position at Xilio, Dr. Russo served as President and Chief Executive Officer of Arsanis, Inc. from April 2016</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7"/>
          <w:szCs w:val="17"/>
          <w:color w:val="auto"/>
        </w:rPr>
        <w:t>to November 2018, and as its Chief Development Officer from July 2015 to April 2016. In addition, Dr. Russo has served as a director of Celsius Therapeutics, Inc. since May 2020 and X4 Pharmaceuticals, Inc. since March 2019. Dr. Russo received a B.S. in Pharmacy and a Pharm.D. from Rutgers University. We believe Dr. Russo is qualified to serve as a member of our board of directors because of her experience as an executive at public and private pharmaceutical companies and her expertise in clinical development and commercialization of therapeutics.</w:t>
      </w:r>
    </w:p>
    <w:p>
      <w:pPr>
        <w:spacing w:after="0" w:line="16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b w:val="1"/>
          <w:bCs w:val="1"/>
          <w:color w:val="auto"/>
        </w:rPr>
        <w:t xml:space="preserve">Terrance McGuire </w:t>
      </w:r>
      <w:r>
        <w:rPr>
          <w:rFonts w:ascii="Arial" w:cs="Arial" w:eastAsia="Arial" w:hAnsi="Arial"/>
          <w:sz w:val="17"/>
          <w:szCs w:val="17"/>
          <w:color w:val="auto"/>
        </w:rPr>
        <w:t>has served as a member of our board of directors since October 2020. Mr. McGuire is a Founding Partner of Polaris Partners,</w:t>
      </w:r>
      <w:r>
        <w:rPr>
          <w:rFonts w:ascii="Arial" w:cs="Arial" w:eastAsia="Arial" w:hAnsi="Arial"/>
          <w:sz w:val="17"/>
          <w:szCs w:val="17"/>
          <w:b w:val="1"/>
          <w:bCs w:val="1"/>
          <w:color w:val="auto"/>
        </w:rPr>
        <w:t xml:space="preserve"> </w:t>
      </w:r>
      <w:r>
        <w:rPr>
          <w:rFonts w:ascii="Arial" w:cs="Arial" w:eastAsia="Arial" w:hAnsi="Arial"/>
          <w:sz w:val="17"/>
          <w:szCs w:val="17"/>
          <w:color w:val="auto"/>
        </w:rPr>
        <w:t>a venture capital firm investing in technology and healthcare companies, since 1996. In addition, Mr. McGuire serves as chairman of the board of directors of Ironwood Pharmaceuticals, Inc. and has served as a director since 1998. Mr. McGuire also currently serves on the boards of directors of Acceleron Pharma, Inc. since 2005, Pulmatrix, Inc. since May 2016 and Adimab, LLC since August 2007. Mr. McGuire received a B.S. in physics and economics from Hobart College, an M.B.A. from Harvard Business School and an M.S. in Engineering from the Thayer School at Dartmouth College. We believe Mr. McGuire is qualified to serve as a member of our board of directors because of his expertise in the biotechnology industry through his career in venture capital as well as his experience as a director of several biotechnology companies.</w:t>
      </w:r>
    </w:p>
    <w:p>
      <w:pPr>
        <w:spacing w:after="0" w:line="172"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b w:val="1"/>
          <w:bCs w:val="1"/>
          <w:color w:val="auto"/>
        </w:rPr>
        <w:t xml:space="preserve">Ajay Royan </w:t>
      </w:r>
      <w:r>
        <w:rPr>
          <w:rFonts w:ascii="Arial" w:cs="Arial" w:eastAsia="Arial" w:hAnsi="Arial"/>
          <w:sz w:val="18"/>
          <w:szCs w:val="18"/>
          <w:color w:val="auto"/>
        </w:rPr>
        <w:t>has served as a member of our board of directors since October 2020. Mr. Royan has served as Managing General Partner and</w:t>
      </w:r>
      <w:r>
        <w:rPr>
          <w:rFonts w:ascii="Arial" w:cs="Arial" w:eastAsia="Arial" w:hAnsi="Arial"/>
          <w:sz w:val="18"/>
          <w:szCs w:val="18"/>
          <w:b w:val="1"/>
          <w:bCs w:val="1"/>
          <w:color w:val="auto"/>
        </w:rPr>
        <w:t xml:space="preserve"> </w:t>
      </w:r>
      <w:r>
        <w:rPr>
          <w:rFonts w:ascii="Arial" w:cs="Arial" w:eastAsia="Arial" w:hAnsi="Arial"/>
          <w:sz w:val="18"/>
          <w:szCs w:val="18"/>
          <w:color w:val="auto"/>
        </w:rPr>
        <w:t>Founder of Mithril Capital Management LLC, a venture capital firm investing in technology companies, since June 2012 and on the board of directors of several private companies in which Mithril Capital Management LLC or its affiliates have invested. In addition, Mr. Royan has served as a director of Adimab, LLC since September 2014 and has served as a director of Blacksky Holdings, Inc. since June 2016. Mr. Royan serves on the Science Advisory Board of the Oak Ridge National Laboratory, the board of directors of Fulbright Canada, and the Presidents’ Circle of the National Academies of Science, Engineering, and Medicine. Mr. Royan received a B.A. from Yale University. We believe Mr. Royan is qualified to serve as a member of our board of directors because of his expertise in the technology industry through his career in venture capital and his experience as a director of several technology companies.</w:t>
      </w:r>
    </w:p>
    <w:p>
      <w:pPr>
        <w:spacing w:after="0" w:line="192" w:lineRule="exact"/>
        <w:rPr>
          <w:sz w:val="20"/>
          <w:szCs w:val="20"/>
          <w:color w:val="auto"/>
        </w:rPr>
      </w:pPr>
    </w:p>
    <w:p>
      <w:pPr>
        <w:jc w:val="both"/>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Howard Mayer, M.D. </w:t>
      </w:r>
      <w:r>
        <w:rPr>
          <w:rFonts w:ascii="Arial" w:cs="Arial" w:eastAsia="Arial" w:hAnsi="Arial"/>
          <w:sz w:val="17"/>
          <w:szCs w:val="17"/>
          <w:color w:val="auto"/>
        </w:rPr>
        <w:t>has served as a member of our board of directors since August 2020. In addition, Dr. Mayer has served on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of Entasis Therapeutics Holdings Inc. since August 2019. Dr. Mayer has served as the Executive Vice President, Head of Research and Development for Ipsen Biopharmaceuticals, Inc. since December 2019. Prior to joining Ipsen, Dr. Mayer served as the Senior Vice President, Chief Medical Officer and Global Head of Research &amp; Development, Neuroscience Division at Shire Pharmaceuticals, Inc., or Shire, from April 2018 to November 2019 until it was acquired by Takeda Pharmaceutical Company in 2019. Prior to that position, Dr. Mayer served as a Senior Vice President and Head of Global Research and Development at Shire from August 2017 to January 2018, and as a Senior Vice President and Head of Global Clinical Development at Shire from August 2013 to August 2017. Dr. Mayer received a B.A. from the University of Pennsylvania and an M.D. from Albert Einstein College of Medicine. We believe that Dr. Mayer is qualified to serve as a member of our board of directors because of his extensive experience in the biopharmaceutical industry and his scientific background.</w:t>
      </w:r>
    </w:p>
    <w:p>
      <w:pPr>
        <w:spacing w:after="0" w:line="17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b w:val="1"/>
          <w:bCs w:val="1"/>
          <w:color w:val="auto"/>
        </w:rPr>
        <w:t xml:space="preserve">Anand Shah, M.D. </w:t>
      </w:r>
      <w:r>
        <w:rPr>
          <w:rFonts w:ascii="Arial" w:cs="Arial" w:eastAsia="Arial" w:hAnsi="Arial"/>
          <w:sz w:val="16"/>
          <w:szCs w:val="16"/>
          <w:color w:val="auto"/>
        </w:rPr>
        <w:t>has served as a member of our board of directors since June 2021. Dr. Shah served as the Deputy Commissioner for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and Scientific Affairs at the U.S. Food and Drug Administration from January 2020 to January 2021. Dr. Shah has served as a senior advisor to Morgan Stanley since January 2021. Dr. Shah previously served as Chief Medical Officer of the Center for Medicare and Medicaid Innovation from October 2017 to January 2019 and Senior Medical Advisor from January 2019 to January 2020, both at the Centers for Medicare and Medicaid Services. Dr. Shah served as an Adjunct Senior Fellow at the Leonard David Institute of Health Economics at the University of Pennsylvania from March 2017 to January 2020. Dr. Shah received an M.D. from University of Pennsylvania, an M.P.H. in Health Care Management and Policy from the Harvard School of Public Health and a B.S. in Economics from Duke University. We believe Dr. Shah is qualified to serve as a member of our board of directors because of his expertise in health policy, the biotechnology field and bringing new technologies to market.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9"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294" w:lineRule="auto"/>
        <w:rPr>
          <w:sz w:val="20"/>
          <w:szCs w:val="20"/>
          <w:color w:val="auto"/>
        </w:rPr>
      </w:pPr>
      <w:r>
        <w:rPr>
          <w:rFonts w:ascii="Arial" w:cs="Arial" w:eastAsia="Arial" w:hAnsi="Arial"/>
          <w:sz w:val="16"/>
          <w:szCs w:val="16"/>
          <w:b w:val="1"/>
          <w:bCs w:val="1"/>
          <w:color w:val="auto"/>
        </w:rPr>
        <w:t xml:space="preserve">Tom Heyman </w:t>
      </w:r>
      <w:r>
        <w:rPr>
          <w:rFonts w:ascii="Arial" w:cs="Arial" w:eastAsia="Arial" w:hAnsi="Arial"/>
          <w:sz w:val="16"/>
          <w:szCs w:val="16"/>
          <w:color w:val="auto"/>
        </w:rPr>
        <w:t>has served as a member of our board of directors since June 2021. Mr. Heyman previously served as the President of Johnson &amp;</w:t>
      </w:r>
      <w:r>
        <w:rPr>
          <w:rFonts w:ascii="Arial" w:cs="Arial" w:eastAsia="Arial" w:hAnsi="Arial"/>
          <w:sz w:val="16"/>
          <w:szCs w:val="16"/>
          <w:b w:val="1"/>
          <w:bCs w:val="1"/>
          <w:color w:val="auto"/>
        </w:rPr>
        <w:t xml:space="preserve"> </w:t>
      </w:r>
      <w:r>
        <w:rPr>
          <w:rFonts w:ascii="Arial" w:cs="Arial" w:eastAsia="Arial" w:hAnsi="Arial"/>
          <w:sz w:val="16"/>
          <w:szCs w:val="16"/>
          <w:color w:val="auto"/>
        </w:rPr>
        <w:t>Johnson’s Corporate Venture Capital Group from April 2015 to September 2019 and as the Global Head of Business Development for Johnson &amp; Johnson’s Pharmaceutical Group from March 1992 to March 2015. In addition, Mr. Heyman previously served as Chief Executive Officer of Janssen Pharmaceuticals from November 2008 to November 2016. Mr. Heyman has served as a director of OptiNose, Inc. since December 2020 and a director of Akero Therapeutics, Inc. since June 2020. Mr. Heyman received his Master of Laws from Katholieke Universiteit Leuven. We believe Mr. Heyman is qualified to serve as a member of our board of directors because of his expertise in the biotechnology industry through his career in venture capital.</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six members. Our directors were elected to, and currently serve on, the board pursuant to a voting agreement among us and all of our stockholders and voting rights granted by our current amended and restated certificate of incorporation. The voting agreement will terminate upon the closing of this offering, after which there will be no further contractual obligations regarding the election of our directors.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accordance with our amended and restated certificate of incorporation and amended and restated bylaws that will be in effect upon the closing of this offering, our board of directors will be divided into three classes, each of which will consist, as nearly as possible, of one-third of the total number of directors constituting our entire board and which will serve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3" w:lineRule="exact"/>
        <w:rPr>
          <w:sz w:val="20"/>
          <w:szCs w:val="20"/>
          <w:color w:val="auto"/>
        </w:rPr>
      </w:pPr>
    </w:p>
    <w:p>
      <w:pPr>
        <w:ind w:left="108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Class I, which will consist of Dr. Russo and Mr. Royan, and their terms will expire at our first annual meeting of stockholders to be held after the closing of this offering;</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Class II, which will consist of Messrs. Heyman and McGuire and Dr. Mayer, and their terms will expire at our second annual meeting of stockholders to be held after the closing of this offering;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Class III, which will consist of Drs. Gerngross and Shah, and their terms will expire at our third annual meeting of stockholders to be held after the closing of this offering.</w:t>
      </w:r>
    </w:p>
    <w:p>
      <w:pPr>
        <w:spacing w:after="0" w:line="170"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amended and restated bylaws, which will become effective upon the closing of this offering, will provide that the authorized number of directors may be changed only by resolution approved by a majority of our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Applicable Nasdaq rules, or the Nasdaq Listing Rules, require a majority of a listed company’s board of directors to be composed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of 1934, as amended, or the Exchange Act. The Nasdaq independence definition includes a series of objective tests, such as that the director is not, and has not been for at least three years, one of our employees, that neither the director nor any of his family members has engaged in various types of business dealings with us and that the director is not associated with the holders of more than 5% of our common stock. In addition, 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Our board of directors has determined that all of our directors other than Dr. Gerngross and Messrs. McGuire and Royan, representing three of our directors, are “independent directors” as defined under applicable Nasdaq rules. In making such determination, our board of directors considered the current and prior relationships that each such director has with our company and all other facts and circumstances that our board of directors deemed relevant in determining his or her independence, including the beneficial ownership of our capital stock by each director and the transactions described in the section titled “Certain Relationships and Related Party Transactions.”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121"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One of the key functions of our board of directors is informed oversight of our risk management process. Our board of directors does not have a standing risk management committee, but rather administers this oversight function directly through the board of directors as a whole, as well as through various standing committees of our board of directors that address risks inherent in their respective areas of oversight. In particular, our board of directors is responsible for monitoring and assessing strategic risk exposure. Following the completion of this offering, we intend for our audit committee to have the responsibility to consider and discuss our major financial risk exposures and the steps our management has taken to monitor and control these exposures, including guidelines and policies to govern the process by which risk assessment and management is undertaken. The audit committee will also monitor compliance with legal and regulatory requirements.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board of directors has established an audit committee, compensation committee and a nominating and corporate governance committee, each of which operate pursuant to a committee charter. Our board of directors may establish other committees to facilitate the management of our business. The composition and functions of each committee are described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333"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committee. Our board of directors has determined that each of these individuals meets the independence requirements of Rule 10A-3 under the Securities Exchange Act of 1934, or the Exchange Act, and the applicable listing standards of Nasdaq. Each member of our audit committee can read and understand fundamental financial statements in accordance with Nasdaq audit committee requirements. Our board of directors has also determined</w:t>
      </w:r>
    </w:p>
    <w:p>
      <w:pPr>
        <w:spacing w:after="0" w:line="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that qualifies as an audit committee financial expert within the meaning of SEC regulations and meets the financial sophistication requirements of the Nasdaq Listing Rules. In arriving at these determinations, the board has examined each audit committee member’s scope of experience and the nature of their prior and/or current employment.</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31" w:lineRule="exact"/>
        <w:rPr>
          <w:sz w:val="20"/>
          <w:szCs w:val="20"/>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jc w:val="both"/>
        <w:ind w:left="1080" w:hanging="532"/>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believe that the composition and functioning of our audit committee will comply with all applicable SEC and Nasdaq rules and regulations.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intend to comply with future requirements to the extent they become applicable to us.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tabs>
          <w:tab w:leader="none" w:pos="8720" w:val="left"/>
        </w:tabs>
        <w:rPr>
          <w:sz w:val="20"/>
          <w:szCs w:val="20"/>
          <w:color w:val="auto"/>
        </w:rPr>
      </w:pPr>
      <w:r>
        <w:rPr>
          <w:rFonts w:ascii="Arial" w:cs="Arial" w:eastAsia="Arial" w:hAnsi="Arial"/>
          <w:sz w:val="18"/>
          <w:szCs w:val="18"/>
          <w:color w:val="auto"/>
        </w:rPr>
        <w:t>Upon the completion of this offering, our compensation committee will consist of Drs. Mayer and Shah and</w:t>
      </w:r>
      <w:r>
        <w:rPr>
          <w:sz w:val="20"/>
          <w:szCs w:val="20"/>
          <w:color w:val="auto"/>
        </w:rPr>
        <w:tab/>
      </w:r>
      <w:r>
        <w:rPr>
          <w:rFonts w:ascii="Arial" w:cs="Arial" w:eastAsia="Arial" w:hAnsi="Arial"/>
          <w:sz w:val="16"/>
          <w:szCs w:val="16"/>
          <w:color w:val="auto"/>
        </w:rPr>
        <w:t>, with Dr. Mayer serving as chair</w:t>
      </w:r>
    </w:p>
    <w:p>
      <w:pPr>
        <w:spacing w:after="0" w:line="23" w:lineRule="exact"/>
        <w:rPr>
          <w:sz w:val="20"/>
          <w:szCs w:val="20"/>
          <w:color w:val="auto"/>
        </w:rPr>
      </w:pPr>
    </w:p>
    <w:p>
      <w:pPr>
        <w:jc w:val="both"/>
        <w:ind w:left="120"/>
        <w:spacing w:after="0" w:line="277" w:lineRule="auto"/>
        <w:rPr>
          <w:sz w:val="20"/>
          <w:szCs w:val="20"/>
          <w:color w:val="auto"/>
        </w:rPr>
      </w:pPr>
      <w:r>
        <w:rPr>
          <w:rFonts w:ascii="Arial" w:cs="Arial" w:eastAsia="Arial" w:hAnsi="Arial"/>
          <w:sz w:val="17"/>
          <w:szCs w:val="17"/>
          <w:color w:val="auto"/>
        </w:rPr>
        <w:t>of the compensation committee. Each of these individuals is a non-employee director, as defined in Rule 16b-3 promulgated under the Exchange Act. Our board of directors has determined that each of these individuals is ‘‘independent’’ as defined under the applicable listing standards of Nasdaq, including the standards specific to members of a compensation committee. The functions of this committee include, among other things:</w:t>
      </w:r>
    </w:p>
    <w:p>
      <w:pPr>
        <w:spacing w:after="0" w:line="78" w:lineRule="exact"/>
        <w:rPr>
          <w:sz w:val="20"/>
          <w:szCs w:val="20"/>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modifying and approving (or if it deems appropriate, making recommendations to the full board of directors regarding) our overall compensation strategy and policies;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making recommendations to the full board of directors regarding the compensation and other terms of employment of our executive officers;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performance goals and objectives relevant to the compensation of our executive officers and assessing their performance against these goals and objectives;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and approving (or if it deems it appropriate, making recommendations to the full board of directors regarding) the equity incentive plans, compensation plans and similar programs advisable for us, as well as modifying, amending or terminating existing plans and programs;</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evaluating risks associated with our compensation policies and practices and assessing whether risks arising from our compensation policies and practices for our employees are reasonably likely to have a material adverse effect on us;</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type and amount of compensation to be paid or awarded to our non-employee board members;</w:t>
      </w:r>
    </w:p>
    <w:p>
      <w:pPr>
        <w:spacing w:after="0" w:line="75"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establishing policies with respect to votes by our stockholders to approve executive compensation to the extent required by Section 14A of the Exchange Act and, if applicable, determining our recommendations regarding the frequency of advisory votes on executive compensation;</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and assessing the independence of compensation consultants, legal counsel and other advisors as required by Section 10C of the Exchange Act;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administering our equity incentive plans;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establishing policies with respect to equity compensation arrangements;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reviewing the competitiveness of our executive compensation programs and evaluating the effectiveness of our compensation policy and strategy in achieving expected benefits to us;</w:t>
      </w: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59"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reviewing and making recommendations to the full board of directors regarding the terms of any employment agreements, severance arrangements, change in control protections and any other compensatory arrangements for our executive officers;</w:t>
      </w:r>
    </w:p>
    <w:p>
      <w:pPr>
        <w:spacing w:after="0" w:line="75"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reviewing with management and approving our disclosures under the caption “Compensation Discussion and Analysis” in our periodic reports or proxy statements to be filed with the SEC, to the extent such caption is included in any such report or proxy statement;</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preparing the report that the SEC requires in our annual proxy statement;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reviewing and evaluating on an annual basis the performance of the compensation committee and the compensation committee charter.</w:t>
      </w:r>
    </w:p>
    <w:p>
      <w:pPr>
        <w:spacing w:after="0" w:line="24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We believe that the composition and functioning of our compensation committee will comply with all applicable SEC and Nasdaq rules and regulations. We intend to comply with future requirements to the extent they become applicable to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Upon the completion of this offering, our nominating and corporate governance committee will consist of Mr. Heyman and Drs. Mayer and Shah, with Mr. Heyman serving as chair of the nominating and corporate governance committee. Our board of directors has determined that each of these individuals is “independent’’ as defined under the applicable listing standards of Nasdaq and SEC rules and regulations. The functions of this committee include, among other things:</w:t>
      </w:r>
    </w:p>
    <w:p>
      <w:pPr>
        <w:spacing w:after="0" w:line="92" w:lineRule="exact"/>
        <w:rPr>
          <w:sz w:val="20"/>
          <w:szCs w:val="20"/>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identifying, reviewing and evaluating candidates to serve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determining the minimum qualifications for service on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evaluating director performance on the board and applicable committees of the board and determining whether continued service on our board is appropriate;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evaluating, nominating and recommending individuals for membership on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evaluating nominations by stockholders of candidates for election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considering and assessing the independence of members of our board of directors;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developing a set of corporate governance policies and principles and recommending to our board of directors any changes to such policies and principles;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and making recommendations to the board of directors with respect to management succession planning;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considering questions of possible conflicts of interest of directors as such questions arise; and</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reviewing and evaluating on an annual basis the performance of the nominating and corporate governance committee and the nominating and corporate governance committee charter.</w:t>
      </w:r>
    </w:p>
    <w:p>
      <w:pPr>
        <w:spacing w:after="0" w:line="170"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color w:val="auto"/>
        </w:rPr>
        <w:t>We believe that the composition and functioning of our nominating and corporate governance committee will comply with all applicable SEC and Nasdaq rules and regulations. We intend to comply with future requirements to the extent they become applicable to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our directors who serve as a member of our compensation committee is, or has at any time during the past year been, one of our officers or employees. None of our executive officers currently serves, or in the past year has served, as a member of the board of directors or compensation committee of any other entity that has one or more executive officers serving on our board of directors or compensation committee.</w:t>
      </w: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Effective upon the closing of this offering, we will adopt a Code of Business Conduct and Ethics, or the Code of Conduct, applicable to all of our employees, executive officers and directors. This includes our principal executive officer, principal financial officer and principal accounting officer or controller, or persons performing similar functions. Following the closing of this offering, the full text of the Code of Conduct will be available on our website at adagiotx.com. We intend to post on our website all disclosures that are required by law or the listing standards of the Nasdaq Global Market concerning any amendments to, or waivers from, any provision of the Code of Conduct. Information contained on, or that can be accessed through, our website is not incorporated by reference into this prospectus. We have included our website in this prospectus solely as an inactive textual reference.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With the exception of the payments provided pursuant the independent director compensation policy adopted in the fourth quarter of 2020, as described below, we have not historically paid cash retainers or other compensation with respect to service on our board of directors, except for reimbursement of direct expenses incurred in connection with attending meetings of the board or committees.</w:t>
      </w:r>
    </w:p>
    <w:p>
      <w:pPr>
        <w:spacing w:after="0" w:line="184"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In October 2020, we adopted an independent director compensation policy pursuant to which our independent directors are entitled to receive an annual cash retainer of $35,000 for serving on our board of directors, payable in arrears on a quarterly basis. In addition, each independent director who is appointed or elected following the policy’s adoption will be entitled to be granted an option to purchase 0.25% of our outstanding shares issuable at the start of the director’s term at an exercise price equal to the fair market value of our common stock on the date of grant, with 25% of the underlying shares vesting on the first anniversary of the grant date and the remainder vesting in 36 equal monthly installments thereafter, subject to the director’s continued service through the applicable vesting date. While Dr. Russo and Dr. Howard Mayer are both independent directors, only Dr. Mayer has received compensation pursuant to this policy because Dr. Russo received compensation pursuant to the consulting agreement described below and received an option award as a co-founder of the Company.</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intend to adopt a non-employee director compensation policy effective upon the completion of this offering and on terms to be determined at a later date by our board of directors. Under the non-employee director policy, our non-employee directors will be eligible to receive compensation for service on our board of directors and committees of our board of directors.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Director Compensation Table</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compensation earned for service on our board of directors in 2020 by our non-employee directors. Tillman U. Gerngross, Ph.D., our Chief Executive Officer, is also a member of our board of directors but did not receive any additional compensation for service as a director.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6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87"/>
              </w:rPr>
              <w:t>Fees</w:t>
            </w: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4"/>
              </w:rPr>
              <w:t>Earned or</w:t>
            </w: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Option</w:t>
            </w:r>
          </w:p>
        </w:tc>
        <w:tc>
          <w:tcPr>
            <w:tcW w:w="134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All Other</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5"/>
              </w:rPr>
              <w:t>Paid in</w:t>
            </w:r>
          </w:p>
        </w:tc>
        <w:tc>
          <w:tcPr>
            <w:tcW w:w="9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40" w:type="dxa"/>
            <w:vAlign w:val="bottom"/>
            <w:gridSpan w:val="2"/>
            <w:vMerge w:val="restart"/>
          </w:tcPr>
          <w:p>
            <w:pPr>
              <w:spacing w:after="0"/>
              <w:rPr>
                <w:sz w:val="12"/>
                <w:szCs w:val="12"/>
                <w:color w:val="auto"/>
              </w:rPr>
            </w:pPr>
          </w:p>
        </w:tc>
        <w:tc>
          <w:tcPr>
            <w:tcW w:w="3360" w:type="dxa"/>
            <w:vAlign w:val="bottom"/>
          </w:tcPr>
          <w:p>
            <w:pPr>
              <w:spacing w:after="0"/>
              <w:rPr>
                <w:sz w:val="12"/>
                <w:szCs w:val="12"/>
                <w:color w:val="auto"/>
              </w:rPr>
            </w:pPr>
          </w:p>
        </w:tc>
        <w:tc>
          <w:tcPr>
            <w:tcW w:w="126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Cash</w:t>
            </w: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Awards</w:t>
            </w:r>
          </w:p>
        </w:tc>
        <w:tc>
          <w:tcPr>
            <w:tcW w:w="13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40" w:type="dxa"/>
            <w:vAlign w:val="bottom"/>
            <w:gridSpan w:val="2"/>
            <w:vMerge w:val="continue"/>
          </w:tcPr>
          <w:p>
            <w:pPr>
              <w:spacing w:after="0"/>
              <w:rPr>
                <w:sz w:val="15"/>
                <w:szCs w:val="15"/>
                <w:color w:val="auto"/>
              </w:rPr>
            </w:pPr>
          </w:p>
        </w:tc>
        <w:tc>
          <w:tcPr>
            <w:tcW w:w="4000" w:type="dxa"/>
            <w:vAlign w:val="bottom"/>
            <w:gridSpan w:val="2"/>
          </w:tcPr>
          <w:p>
            <w:pPr>
              <w:jc w:val="center"/>
              <w:ind w:left="3276"/>
              <w:spacing w:after="0" w:line="158"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5"/>
                <w:szCs w:val="15"/>
                <w:color w:val="auto"/>
              </w:rPr>
            </w:pPr>
          </w:p>
        </w:tc>
        <w:tc>
          <w:tcPr>
            <w:tcW w:w="480" w:type="dxa"/>
            <w:vAlign w:val="bottom"/>
          </w:tcPr>
          <w:p>
            <w:pPr>
              <w:ind w:left="20"/>
              <w:spacing w:after="0" w:line="158"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(1)(2)</w:t>
            </w:r>
          </w:p>
        </w:tc>
        <w:tc>
          <w:tcPr>
            <w:tcW w:w="460" w:type="dxa"/>
            <w:vAlign w:val="bottom"/>
          </w:tcPr>
          <w:p>
            <w:pPr>
              <w:spacing w:after="0"/>
              <w:rPr>
                <w:sz w:val="15"/>
                <w:szCs w:val="15"/>
                <w:color w:val="auto"/>
              </w:rPr>
            </w:pPr>
          </w:p>
        </w:tc>
        <w:tc>
          <w:tcPr>
            <w:tcW w:w="8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560" w:type="dxa"/>
            <w:vAlign w:val="bottom"/>
          </w:tcPr>
          <w:p>
            <w:pPr>
              <w:jc w:val="right"/>
              <w:ind w:right="11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René Russo, Pharm.D.</w:t>
            </w:r>
          </w:p>
        </w:tc>
        <w:tc>
          <w:tcPr>
            <w:tcW w:w="3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78,343</w:t>
            </w:r>
          </w:p>
        </w:tc>
        <w:tc>
          <w:tcPr>
            <w:tcW w:w="620" w:type="dxa"/>
            <w:vAlign w:val="bottom"/>
            <w:tcBorders>
              <w:top w:val="single" w:sz="8" w:color="CCEEFF"/>
            </w:tcBorders>
            <w:shd w:val="clear" w:color="auto" w:fill="CCEEFF"/>
          </w:tcPr>
          <w:p>
            <w:pPr>
              <w:jc w:val="right"/>
              <w:ind w:right="364"/>
              <w:spacing w:after="0"/>
              <w:rPr>
                <w:sz w:val="20"/>
                <w:szCs w:val="20"/>
                <w:color w:val="auto"/>
              </w:rPr>
            </w:pPr>
            <w:r>
              <w:rPr>
                <w:rFonts w:ascii="Arial" w:cs="Arial" w:eastAsia="Arial" w:hAnsi="Arial"/>
                <w:sz w:val="15"/>
                <w:szCs w:val="15"/>
                <w:color w:val="auto"/>
                <w:w w:val="87"/>
              </w:rPr>
              <w:t>(3)</w:t>
            </w: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5,941</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84,284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Terrance McGuire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Ajay Royan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Philip Chase</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Howard Mayer, M.D.</w:t>
            </w:r>
          </w:p>
        </w:tc>
        <w:tc>
          <w:tcPr>
            <w:tcW w:w="4620" w:type="dxa"/>
            <w:vAlign w:val="bottom"/>
            <w:gridSpan w:val="3"/>
            <w:shd w:val="clear" w:color="auto" w:fill="CCEEFF"/>
          </w:tcPr>
          <w:p>
            <w:pPr>
              <w:jc w:val="right"/>
              <w:ind w:right="544"/>
              <w:spacing w:after="0"/>
              <w:rPr>
                <w:sz w:val="20"/>
                <w:szCs w:val="20"/>
                <w:color w:val="auto"/>
              </w:rPr>
            </w:pPr>
            <w:r>
              <w:rPr>
                <w:rFonts w:ascii="Arial" w:cs="Arial" w:eastAsia="Arial" w:hAnsi="Arial"/>
                <w:sz w:val="18"/>
                <w:szCs w:val="18"/>
                <w:color w:val="auto"/>
              </w:rPr>
              <w:t>14,138</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14,138</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Anand Shah, M.D.</w:t>
            </w:r>
          </w:p>
        </w:tc>
        <w:tc>
          <w:tcPr>
            <w:tcW w:w="3360" w:type="dxa"/>
            <w:vAlign w:val="bottom"/>
          </w:tcPr>
          <w:p>
            <w:pPr>
              <w:spacing w:after="0"/>
              <w:rPr>
                <w:sz w:val="18"/>
                <w:szCs w:val="18"/>
                <w:color w:val="auto"/>
              </w:rPr>
            </w:pPr>
          </w:p>
        </w:tc>
        <w:tc>
          <w:tcPr>
            <w:tcW w:w="126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Tom Heyman</w:t>
            </w:r>
          </w:p>
        </w:tc>
        <w:tc>
          <w:tcPr>
            <w:tcW w:w="3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3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3360" w:type="dxa"/>
            <w:vAlign w:val="bottom"/>
            <w:vMerge w:val="restart"/>
          </w:tcPr>
          <w:p>
            <w:pPr>
              <w:jc w:val="right"/>
              <w:ind w:right="1136"/>
              <w:spacing w:after="0"/>
              <w:rPr>
                <w:sz w:val="20"/>
                <w:szCs w:val="20"/>
                <w:color w:val="auto"/>
              </w:rPr>
            </w:pPr>
            <w:r>
              <w:rPr>
                <w:rFonts w:ascii="Arial" w:cs="Arial" w:eastAsia="Arial" w:hAnsi="Arial"/>
                <w:sz w:val="18"/>
                <w:szCs w:val="18"/>
                <w:color w:val="auto"/>
              </w:rPr>
              <w:t>168</w:t>
            </w: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8"/>
        </w:trPr>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53" w:lineRule="auto"/>
        <w:tabs>
          <w:tab w:leader="none" w:pos="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amounts disclosed represent the aggregate grant-date fair value of the stock options granted under our 2020 Plan, computed in accordance with ASC Topic 718. The assumptions used in calculating the grant-date fair value of the stock options are set forth in the notes to our audited consolidated financial statements included elsewhere in this prospectus. These amounts do not reflect the actual economic value that will be realized by the non-employee director upon vesting of the stock options, the exercise of the stock options or the sale of the common stock underlying such stock options.</w:t>
      </w:r>
    </w:p>
    <w:p>
      <w:pPr>
        <w:spacing w:after="0" w:line="3"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Dr. Russo’s consulting agreement (referred to below) acknowledges that, in consideration of her consulting services, she was granted an option to purchase 397,059 shares of our common stock, which option vests as to 25% of the underlying share on June 15, 2021, and the remainder of the underlying shares vest in 36 substantially equal monthly installments, subject to her continued service through each vesting date. The terms of Dr. Russo’s option also include the ability for Dr. Russo to exercise the option in full on the date of grant. Dr. Russo exercised her stock option prior to December 31, 2020 and received unvested shares of our common stock. In the event of a “change in control” (as defined our 2020 Plan), the vesting of Dr. Russo’s option will accelerate in full, subject to her continued service as of immediately prior to such change in control. Such shares are subject to a right of repurchase in favor of us at the original option exercise price that lapses in accordance with such vesting schedule. As a result, none of our non-employee directors held option awards as of December 31, 2020, and none of our non-employee directors held stock awards as of December 31, 2020, other than Dr. Russo.</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This amount represents cash consulting fees paid during 2020 pursuant to Dr. Russo’s consulting agreement with us, as described below.</w:t>
      </w:r>
    </w:p>
    <w:p>
      <w:pPr>
        <w:spacing w:after="0" w:line="330"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to become effective on the effective date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Each eligible director will receive an annual cash retainer of $40,000 for serving on our board of directors and the independent chairperson of the board of directors will receive an additional annual cash retainer of $30,000 for his or her service. The chairperson of the audit committee will be entitled to an additional annual cash retainer of $15,000, the chairperson of the compensation committee will be entitled to an additional annual cash retainer of $10,000 and the chairperson of the nominating and corporate governance committee will be entitled to an additional annual cash retainer of $8,000. The members of the audit committee will be entitled to an additional annual cash retainer of $7,500, the members of the compensation committee will be entitled to an additional annual cash retainer of $5,000 and the members of the nominating and corporate governance committee will be entitled to an additional annual cash retainer of $4,000; however, in each case such cash retainer is payable only to members who are not the chairperson of such committee. All annual cash compensation amounts will be payable in equal quarterly installments in arrears, on the last day of each fiscal quarter in which the service occurred, pro-rated for any partial service in the applicable fiscal quarter.</w:t>
      </w:r>
    </w:p>
    <w:p>
      <w:pPr>
        <w:spacing w:after="0" w:line="18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Each new eligible director who joins our board of directors after this offering will be granted a non-statutory stock option to purchase a number of shares of our common stock with an aggregate Black-Scholes grant-date fair value of $800,000 under our 2021 Plan, provided that in no event shall the</w:t>
      </w:r>
    </w:p>
    <w:p>
      <w:pPr>
        <w:jc w:val="both"/>
        <w:ind w:left="120" w:right="20"/>
        <w:spacing w:after="0" w:line="255" w:lineRule="auto"/>
        <w:rPr>
          <w:sz w:val="20"/>
          <w:szCs w:val="20"/>
          <w:color w:val="auto"/>
        </w:rPr>
      </w:pPr>
      <w:r>
        <w:rPr>
          <w:rFonts w:ascii="Arial" w:cs="Arial" w:eastAsia="Arial" w:hAnsi="Arial"/>
          <w:sz w:val="18"/>
          <w:szCs w:val="18"/>
          <w:color w:val="auto"/>
        </w:rPr>
        <w:t>number of shares granted exceed shares. The shares subject to this grant will vest over a three-year period, with one-third of the shares vesting on the first anniversary of the grant date, and 1/36</w:t>
      </w:r>
      <w:r>
        <w:rPr>
          <w:rFonts w:ascii="Arial" w:cs="Arial" w:eastAsia="Arial" w:hAnsi="Arial"/>
          <w:sz w:val="15"/>
          <w:szCs w:val="15"/>
          <w:color w:val="auto"/>
        </w:rPr>
        <w:t>th</w:t>
      </w:r>
      <w:r>
        <w:rPr>
          <w:rFonts w:ascii="Arial" w:cs="Arial" w:eastAsia="Arial" w:hAnsi="Arial"/>
          <w:sz w:val="18"/>
          <w:szCs w:val="18"/>
          <w:color w:val="auto"/>
        </w:rPr>
        <w:t xml:space="preserve"> of the shares vesting in equal monthly installments thereafter, subject to continued service as a director through each such vesting date.</w:t>
      </w:r>
    </w:p>
    <w:p>
      <w:pPr>
        <w:spacing w:after="0" w:line="19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On the date of each annual meeting of our stockholders, each eligible director who continues to serve as a director of our company following the meeting will be granted a non-statutory stock option to purchase shares of our common stock with an aggregate Black-Scholes grant-date fair value of $400,000 under our 2021 Plan,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40"/>
          </w:cols>
          <w:pgMar w:left="32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800" w:val="left"/>
        </w:tabs>
        <w:rPr>
          <w:sz w:val="20"/>
          <w:szCs w:val="20"/>
          <w:color w:val="auto"/>
        </w:rPr>
      </w:pPr>
      <w:r>
        <w:rPr>
          <w:rFonts w:ascii="Arial" w:cs="Arial" w:eastAsia="Arial" w:hAnsi="Arial"/>
          <w:sz w:val="18"/>
          <w:szCs w:val="18"/>
          <w:color w:val="auto"/>
        </w:rPr>
        <w:t>provided that in no event shall the number of shares granted exceed</w:t>
      </w:r>
      <w:r>
        <w:rPr>
          <w:sz w:val="20"/>
          <w:szCs w:val="20"/>
          <w:color w:val="auto"/>
        </w:rPr>
        <w:tab/>
      </w:r>
      <w:r>
        <w:rPr>
          <w:rFonts w:ascii="Arial" w:cs="Arial" w:eastAsia="Arial" w:hAnsi="Arial"/>
          <w:sz w:val="16"/>
          <w:szCs w:val="16"/>
          <w:color w:val="auto"/>
        </w:rPr>
        <w:t>shares. Following the effective date, if an eligible director joins our board</w:t>
      </w:r>
    </w:p>
    <w:p>
      <w:pPr>
        <w:spacing w:after="0" w:line="23"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of directors on a date other than the date of our annual stockholder meeting, upon the first annual stockholder meeting following such eligible director’s appointment of election to the board of directors, such eligible director’s annual grant will be pro-rated to reflect the time between the eligible director’s appointment or election date and the date of such first annual stockholder meeting. The shares shall vest in full on the earlier of the first anniversary of the grant date or the date of the next annual stockholder meeting, subject to continued service as a director through such vesting date.</w:t>
      </w:r>
    </w:p>
    <w:p>
      <w:pPr>
        <w:spacing w:after="0" w:line="16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Each option awarded to eligible directors under the non-employee director compensation policy will be subject to accelerated vesting upon a Change in Control (as defined in the 2021 Plan).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exercise price per share of each stock option granted under the non-employee director compensation policy will be equal to the closing price of our common stock on the Nasdaq Global Market on the date of grant. Each stock option will have a term of ten years from the date of grant, subject to earlier termination in connection with a termination of the eligible director’s continuous service with us.</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addition, we will reimburse eligible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IPO Grants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On the effective date of the registration statement of which this prospectus forms a part, each eligible director serving on our board of directors as of June 15, 2021 will be granted a non-statutory stock option to purchase a number of shares of our common stock with an aggregate Black-Scholes grant-date fair value of $400,000 under our 2021 Plan, subject to continued service as a director through such grant date.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Consulting Agreement with Dr. Russo</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June 2020, we entered into a consulting agreement with Dr. René Russo, a current non-employee member of our board of directors, pursuant to which Dr. Russo is entitled to receive $7,500 per month, with payment for any partial months prorated. In addition, Dr. Russo’s consulting agreement provides that she is eligible for an annual additional consulting fee at the discretion of our board of directors. Such annual additional consulting fee has a target amount of $40,500, but the actual amount of the annual additional consulting fee is determined by our board of directors in its discretion. This consulting agreement will be terminated in connection with this offering.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named executive officers for the period from June 3, 2020 (inception) to December 31, 2020, which consisted of our Chief Executive Officer and our two most highly compensated executive officers other than our Chief Executive Officer, were:</w:t>
      </w:r>
    </w:p>
    <w:p>
      <w:pPr>
        <w:spacing w:after="0" w:line="197" w:lineRule="exact"/>
        <w:rPr>
          <w:sz w:val="20"/>
          <w:szCs w:val="20"/>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Tillman U. Gerngross, Ph.D., our Co-Founder, Chief Executive Officer and President;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Lynn Connolly, M.D., Ph.D., our Chief Medical Officer;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Rebecca Dabora, Ph.D., our Chief Technology &amp; Manufacturing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and paid to our named executive officers with respect to the period from June 3, 2020 (inception) to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5"/>
              </w:rPr>
              <w:t>Salary</w:t>
            </w: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Option</w:t>
            </w: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All Other</w:t>
            </w: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920" w:type="dxa"/>
            <w:vAlign w:val="bottom"/>
            <w:vMerge w:val="restart"/>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Bonus</w:t>
            </w: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Awards</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64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34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660" w:type="dxa"/>
            <w:vAlign w:val="bottom"/>
          </w:tcPr>
          <w:p>
            <w:pPr>
              <w:jc w:val="right"/>
              <w:ind w:right="157"/>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(2)</w:t>
            </w:r>
          </w:p>
        </w:tc>
        <w:tc>
          <w:tcPr>
            <w:tcW w:w="6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Co-Founder, Chief Executive Officer and President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5,941</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5,941</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Lynn Connolly, M.D., Ph.D.</w:t>
            </w: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169,154</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88,820</w:t>
            </w:r>
            <w:r>
              <w:rPr>
                <w:rFonts w:ascii="Arial" w:cs="Arial" w:eastAsia="Arial" w:hAnsi="Arial"/>
                <w:sz w:val="15"/>
                <w:szCs w:val="15"/>
                <w:color w:val="auto"/>
                <w:w w:val="98"/>
              </w:rPr>
              <w:t>(4)</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584,095</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3,767</w:t>
            </w:r>
            <w:r>
              <w:rPr>
                <w:rFonts w:ascii="Arial" w:cs="Arial" w:eastAsia="Arial" w:hAnsi="Arial"/>
                <w:sz w:val="15"/>
                <w:szCs w:val="15"/>
                <w:color w:val="auto"/>
              </w:rPr>
              <w:t>(5)</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845,836</w:t>
            </w:r>
          </w:p>
        </w:tc>
        <w:tc>
          <w:tcPr>
            <w:tcW w:w="0" w:type="dxa"/>
            <w:vAlign w:val="bottom"/>
          </w:tcPr>
          <w:p>
            <w:pPr>
              <w:spacing w:after="0"/>
              <w:rPr>
                <w:sz w:val="1"/>
                <w:szCs w:val="1"/>
                <w:color w:val="auto"/>
              </w:rPr>
            </w:pP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Rebecca Dabora, Ph.D.</w:t>
            </w:r>
          </w:p>
        </w:tc>
        <w:tc>
          <w:tcPr>
            <w:tcW w:w="6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Technology &amp; Manufacturing Officer</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357,838</w:t>
            </w:r>
            <w:r>
              <w:rPr>
                <w:rFonts w:ascii="Arial" w:cs="Arial" w:eastAsia="Arial" w:hAnsi="Arial"/>
                <w:sz w:val="15"/>
                <w:szCs w:val="15"/>
                <w:color w:val="auto"/>
                <w:w w:val="95"/>
              </w:rPr>
              <w:t>(3)</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225,292</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583,129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2"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amounts reported reflect the aggregate grant-date fair value of option awards granted during the year measured pursuant to Financial Accounting Standard Board Accounting Standards Codification Topic 718, or ASC 718, the basis for computing stock-based compensation in our consolidated financial statements. This calculation assumes that the named executive officer will perform the requisite service for the award to vest in full as required by SEC rules. The assumptions we used in valuing options are described in Note 10 to our audited consolidated financial statements appearing at the end of this prospectus. These amounts do not reflect the actual economic value that will be realized by the named executive officer upon vesting of the stock options, the exercise of the stock options or the sale of the common stock underlying such stock options.</w:t>
      </w:r>
    </w:p>
    <w:p>
      <w:pPr>
        <w:spacing w:after="0" w:line="5" w:lineRule="exact"/>
        <w:rPr>
          <w:rFonts w:ascii="Arial" w:cs="Arial" w:eastAsia="Arial" w:hAnsi="Arial"/>
          <w:sz w:val="18"/>
          <w:szCs w:val="18"/>
          <w:color w:val="auto"/>
        </w:rPr>
      </w:pPr>
    </w:p>
    <w:p>
      <w:pPr>
        <w:ind w:left="540" w:hanging="424"/>
        <w:spacing w:after="0"/>
        <w:tabs>
          <w:tab w:leader="none" w:pos="5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Dr. Gerngross is also a member of our board of directors, but he did not receive any additional compensation in his capacity as a director in 2020.</w:t>
      </w:r>
    </w:p>
    <w:p>
      <w:pPr>
        <w:spacing w:after="0" w:line="32" w:lineRule="exact"/>
        <w:rPr>
          <w:rFonts w:ascii="Arial" w:cs="Arial" w:eastAsia="Arial" w:hAnsi="Arial"/>
          <w:sz w:val="16"/>
          <w:szCs w:val="16"/>
          <w:color w:val="auto"/>
        </w:rPr>
      </w:pPr>
    </w:p>
    <w:p>
      <w:pPr>
        <w:jc w:val="both"/>
        <w:ind w:left="540" w:hanging="424"/>
        <w:spacing w:after="0" w:line="250"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total hourly compensation paid in 2020 under the terms of the consulting agreement pursuant to which Dr. Dabora provided services to us before her conversion to a full-time employee. See “—Agreements with our Named Executive Officers and Potential Payments Upon Termination of Employment—Rebecca Dabora, Ph.D.”</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Represents the prorated 2020 annual bonus paid to Dr. Connolly pursuant to the terms of her employment agreement with us. See “—Agreements with our Named Executive Officers and Potential Payments Upon Termination of Employment—Lynn Connolly, M.D., Ph.D.”</w:t>
      </w:r>
    </w:p>
    <w:p>
      <w:pPr>
        <w:ind w:left="540" w:right="20" w:hanging="424"/>
        <w:spacing w:after="0" w:line="260"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Represents employer contributions to Dr. Connolly’s 401(k) plan account and life insurance premiums. See “—Retirement Benefits and Other Compensation.”</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2020 Period-End</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sets forth certain information about outstanding equity awards granted to our named executive officers that were outstanding as of December 31, 2020.</w:t>
      </w:r>
    </w:p>
    <w:p>
      <w:pPr>
        <w:spacing w:after="0" w:line="104" w:lineRule="exact"/>
        <w:rPr>
          <w:sz w:val="20"/>
          <w:szCs w:val="20"/>
          <w:color w:val="auto"/>
        </w:rPr>
      </w:pPr>
    </w:p>
    <w:tbl>
      <w:tblPr>
        <w:tblLayout w:type="fixed"/>
        <w:tblInd w:w="120" w:type="dxa"/>
        <w:tblCellMar>
          <w:top w:w="0" w:type="dxa"/>
          <w:left w:w="0" w:type="dxa"/>
          <w:bottom w:w="0" w:type="dxa"/>
          <w:right w:w="0" w:type="dxa"/>
        </w:tblCellMar>
      </w:tblPr>
      <w:tr>
        <w:trPr>
          <w:trHeight w:val="310"/>
        </w:trPr>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2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1"/>
              </w:rPr>
              <w:t xml:space="preserve">Option Awards </w:t>
            </w:r>
            <w:r>
              <w:rPr>
                <w:rFonts w:ascii="Arial" w:cs="Arial" w:eastAsia="Arial" w:hAnsi="Arial"/>
                <w:sz w:val="27"/>
                <w:szCs w:val="27"/>
                <w:b w:val="1"/>
                <w:bCs w:val="1"/>
                <w:color w:val="auto"/>
                <w:w w:val="91"/>
                <w:vertAlign w:val="superscript"/>
              </w:rPr>
              <w:t>(1)</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gridSpan w:val="4"/>
          </w:tcPr>
          <w:p>
            <w:pPr>
              <w:ind w:left="420"/>
              <w:spacing w:after="0"/>
              <w:rPr>
                <w:sz w:val="20"/>
                <w:szCs w:val="20"/>
                <w:color w:val="auto"/>
              </w:rPr>
            </w:pPr>
            <w:r>
              <w:rPr>
                <w:rFonts w:ascii="Arial" w:cs="Arial" w:eastAsia="Arial" w:hAnsi="Arial"/>
                <w:sz w:val="16"/>
                <w:szCs w:val="16"/>
                <w:b w:val="1"/>
                <w:bCs w:val="1"/>
                <w:color w:val="auto"/>
              </w:rPr>
              <w:t>Stock Awards</w:t>
            </w: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rPr>
              <w:t>Market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Number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Value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Number of</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Number of</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shares or</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6"/>
              </w:rPr>
              <w:t>shares or</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Securities</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Securities</w:t>
            </w: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units of</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units of</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Vesting</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3"/>
              </w:rPr>
              <w:t>Underlying</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Underlying</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Option</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stock that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stock that</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Commence-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Unexercised</w:t>
            </w:r>
          </w:p>
        </w:tc>
        <w:tc>
          <w:tcPr>
            <w:tcW w:w="18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8"/>
              </w:rPr>
              <w:t>Unexercised</w:t>
            </w:r>
          </w:p>
        </w:tc>
        <w:tc>
          <w:tcPr>
            <w:tcW w:w="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Exercise</w:t>
            </w:r>
          </w:p>
        </w:tc>
        <w:tc>
          <w:tcPr>
            <w:tcW w:w="9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Option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have not</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have not</w:t>
            </w:r>
          </w:p>
        </w:tc>
        <w:tc>
          <w:tcPr>
            <w:tcW w:w="0" w:type="dxa"/>
            <w:vAlign w:val="bottom"/>
          </w:tcPr>
          <w:p>
            <w:pPr>
              <w:spacing w:after="0"/>
              <w:rPr>
                <w:sz w:val="1"/>
                <w:szCs w:val="1"/>
                <w:color w:val="auto"/>
              </w:rPr>
            </w:pPr>
          </w:p>
        </w:tc>
      </w:tr>
      <w:tr>
        <w:trPr>
          <w:trHeight w:val="199"/>
        </w:trPr>
        <w:tc>
          <w:tcPr>
            <w:tcW w:w="26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Name</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ment</w:t>
            </w:r>
          </w:p>
        </w:tc>
        <w:tc>
          <w:tcPr>
            <w:tcW w:w="90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92"/>
              </w:rPr>
              <w:t>Options (#)</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Options (#)</w:t>
            </w:r>
          </w:p>
        </w:tc>
        <w:tc>
          <w:tcPr>
            <w:tcW w:w="8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94"/>
              </w:rPr>
              <w:t>Expiration</w:t>
            </w:r>
          </w:p>
        </w:tc>
        <w:tc>
          <w:tcPr>
            <w:tcW w:w="10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2"/>
              </w:rPr>
              <w:t>vested</w:t>
            </w:r>
          </w:p>
        </w:tc>
        <w:tc>
          <w:tcPr>
            <w:tcW w:w="84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2"/>
              </w:rPr>
              <w:t>vested</w:t>
            </w:r>
          </w:p>
        </w:tc>
        <w:tc>
          <w:tcPr>
            <w:tcW w:w="0" w:type="dxa"/>
            <w:vAlign w:val="bottom"/>
          </w:tcPr>
          <w:p>
            <w:pPr>
              <w:spacing w:after="0"/>
              <w:rPr>
                <w:sz w:val="1"/>
                <w:szCs w:val="1"/>
                <w:color w:val="auto"/>
              </w:rPr>
            </w:pPr>
          </w:p>
        </w:tc>
      </w:tr>
      <w:tr>
        <w:trPr>
          <w:trHeight w:val="206"/>
        </w:trPr>
        <w:tc>
          <w:tcPr>
            <w:tcW w:w="2660" w:type="dxa"/>
            <w:vAlign w:val="bottom"/>
            <w:gridSpan w:val="2"/>
            <w:vMerge w:val="continue"/>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5"/>
              </w:rPr>
              <w:t>Grant Date</w:t>
            </w: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Date</w:t>
            </w:r>
          </w:p>
        </w:tc>
        <w:tc>
          <w:tcPr>
            <w:tcW w:w="9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Exercisable</w:t>
            </w:r>
          </w:p>
        </w:tc>
        <w:tc>
          <w:tcPr>
            <w:tcW w:w="180" w:type="dxa"/>
            <w:vAlign w:val="bottom"/>
          </w:tcPr>
          <w:p>
            <w:pPr>
              <w:spacing w:after="0"/>
              <w:rPr>
                <w:sz w:val="17"/>
                <w:szCs w:val="17"/>
                <w:color w:val="auto"/>
              </w:rPr>
            </w:pPr>
          </w:p>
        </w:tc>
        <w:tc>
          <w:tcPr>
            <w:tcW w:w="1540" w:type="dxa"/>
            <w:vAlign w:val="bottom"/>
            <w:gridSpan w:val="2"/>
          </w:tcPr>
          <w:p>
            <w:pPr>
              <w:jc w:val="center"/>
              <w:ind w:right="400"/>
              <w:spacing w:after="0" w:line="207" w:lineRule="exact"/>
              <w:rPr>
                <w:sz w:val="20"/>
                <w:szCs w:val="20"/>
                <w:color w:val="auto"/>
              </w:rPr>
            </w:pPr>
            <w:r>
              <w:rPr>
                <w:rFonts w:ascii="Arial" w:cs="Arial" w:eastAsia="Arial" w:hAnsi="Arial"/>
                <w:sz w:val="14"/>
                <w:szCs w:val="14"/>
                <w:b w:val="1"/>
                <w:bCs w:val="1"/>
                <w:color w:val="auto"/>
              </w:rPr>
              <w:t>Unexercisable</w:t>
            </w:r>
            <w:r>
              <w:rPr>
                <w:rFonts w:ascii="Arial" w:cs="Arial" w:eastAsia="Arial" w:hAnsi="Arial"/>
                <w:sz w:val="23"/>
                <w:szCs w:val="23"/>
                <w:b w:val="1"/>
                <w:bCs w:val="1"/>
                <w:color w:val="auto"/>
                <w:vertAlign w:val="superscript"/>
              </w:rPr>
              <w:t>(2)</w:t>
            </w:r>
          </w:p>
        </w:tc>
        <w:tc>
          <w:tcPr>
            <w:tcW w:w="600" w:type="dxa"/>
            <w:vAlign w:val="bottom"/>
          </w:tcPr>
          <w:p>
            <w:pPr>
              <w:jc w:val="center"/>
              <w:spacing w:after="0" w:line="207"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(3)</w:t>
            </w:r>
          </w:p>
        </w:tc>
        <w:tc>
          <w:tcPr>
            <w:tcW w:w="220" w:type="dxa"/>
            <w:vAlign w:val="bottom"/>
          </w:tcPr>
          <w:p>
            <w:pPr>
              <w:spacing w:after="0"/>
              <w:rPr>
                <w:sz w:val="17"/>
                <w:szCs w:val="17"/>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240" w:type="dxa"/>
            <w:vAlign w:val="bottom"/>
          </w:tcPr>
          <w:p>
            <w:pPr>
              <w:spacing w:after="0"/>
              <w:rPr>
                <w:sz w:val="17"/>
                <w:szCs w:val="17"/>
                <w:color w:val="auto"/>
              </w:rPr>
            </w:pP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shd w:val="clear" w:color="auto" w:fill="000000"/>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6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Tillman U. Gerngross, Ph.D.</w:t>
            </w:r>
            <w:r>
              <w:rPr>
                <w:rFonts w:ascii="Arial" w:cs="Arial" w:eastAsia="Arial" w:hAnsi="Arial"/>
                <w:sz w:val="15"/>
                <w:szCs w:val="15"/>
                <w:color w:val="auto"/>
              </w:rPr>
              <w:t>(4)</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ind w:left="680"/>
              <w:spacing w:after="0" w:line="203" w:lineRule="exact"/>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397,059</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9,148,239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60" w:type="dxa"/>
            <w:vAlign w:val="bottom"/>
            <w:gridSpan w:val="2"/>
          </w:tcPr>
          <w:p>
            <w:pPr>
              <w:spacing w:after="0"/>
              <w:rPr>
                <w:sz w:val="20"/>
                <w:szCs w:val="20"/>
                <w:color w:val="auto"/>
              </w:rPr>
            </w:pPr>
            <w:r>
              <w:rPr>
                <w:rFonts w:ascii="Arial" w:cs="Arial" w:eastAsia="Arial" w:hAnsi="Arial"/>
                <w:sz w:val="18"/>
                <w:szCs w:val="18"/>
                <w:color w:val="auto"/>
              </w:rPr>
              <w:t>Lynn Connolly, M.D., Ph.D.</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7/13/2020</w:t>
            </w:r>
          </w:p>
        </w:tc>
        <w:tc>
          <w:tcPr>
            <w:tcW w:w="90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220"/>
              <w:spacing w:after="0"/>
              <w:rPr>
                <w:sz w:val="20"/>
                <w:szCs w:val="20"/>
                <w:color w:val="auto"/>
              </w:rPr>
            </w:pPr>
            <w:r>
              <w:rPr>
                <w:rFonts w:ascii="Arial" w:cs="Arial" w:eastAsia="Arial" w:hAnsi="Arial"/>
                <w:sz w:val="18"/>
                <w:szCs w:val="18"/>
                <w:color w:val="auto"/>
              </w:rPr>
              <w:t>172,058</w:t>
            </w:r>
            <w:r>
              <w:rPr>
                <w:rFonts w:ascii="Arial" w:cs="Arial" w:eastAsia="Arial" w:hAnsi="Arial"/>
                <w:sz w:val="15"/>
                <w:szCs w:val="15"/>
                <w:color w:val="auto"/>
              </w:rPr>
              <w:t>(5)</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Rebecca Dabora, Ph.D.</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9/28/2020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9/28/2020</w:t>
            </w:r>
          </w:p>
        </w:tc>
        <w:tc>
          <w:tcPr>
            <w:tcW w:w="9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66,176</w:t>
            </w:r>
            <w:r>
              <w:rPr>
                <w:rFonts w:ascii="Arial" w:cs="Arial" w:eastAsia="Arial" w:hAnsi="Arial"/>
                <w:sz w:val="15"/>
                <w:szCs w:val="15"/>
                <w:color w:val="auto"/>
              </w:rPr>
              <w:t>(5)</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258"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the awards listed in this table were granted under our 2020 Plan. See the section titled “—Equity Incentive Plans—2020 Equity Incentive Plan” below for additional information.</w:t>
      </w:r>
    </w:p>
    <w:p>
      <w:pPr>
        <w:spacing w:after="0" w:line="1"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 Accordingly, the columns and footnotes below reflect the extent to which stock options held by our named executive officers were vested (as opposed to exercisable) as of December 31, 2020.</w:t>
      </w:r>
    </w:p>
    <w:p>
      <w:pPr>
        <w:spacing w:after="0" w:line="1"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 per share exercise price equal to or above the estimated fair value of our common stock on the date of grant, as determined in good faith by our board of directors.</w:t>
      </w:r>
    </w:p>
    <w:p>
      <w:pPr>
        <w:jc w:val="both"/>
        <w:ind w:left="540" w:hanging="424"/>
        <w:spacing w:after="0" w:line="265" w:lineRule="auto"/>
        <w:tabs>
          <w:tab w:leader="none" w:pos="5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Dr. Gerngross’ consulting agreement (referred to below) acknowledges that, in consideration of his consulting services, he was granted an option to purchase 397,059 shares of our common stock, which option vests as to 25% of the underlying shares on June 15, 2021 and the remainder of the underlying shares vest in 36 substantially equal monthly installments, subject to his continued service through each vesting date. In the event of a “change in control” (as defined our 2020 Plan), the vesting of Dr. Gerngross’s option will accelerate in full, subject to his continued service as of immediately prior to such change in control. The terms of Dr. Gerngross’s option also include the ability for Dr. Gerngross to exercise the option in full on the date of grant. Dr. Gerngross exercised his stock option prior to December 31, 2020 and received unvested shares of our common stock. After exercising his stock option, Dr. Gerngross transferred the unvested shares to Adimab, in exchange for no consideration. Dr. Gerngross is a co-founder and currently serving as Chief Executive Officer and as a director of Adimab. The unvested shares held by Adimab remain subject to the same vesting conditions applicable to Dr. Gerngross’s original option award, including the requirement that Dr. Gerngross continue providing services to us through each vesting date, and such shares are subject to a right of repurchase in favor of us at the original option exercise price that lapses in accordance with such vesting schedule.</w:t>
      </w:r>
    </w:p>
    <w:p>
      <w:pPr>
        <w:spacing w:after="0" w:line="1" w:lineRule="exact"/>
        <w:rPr>
          <w:rFonts w:ascii="Arial" w:cs="Arial" w:eastAsia="Arial" w:hAnsi="Arial"/>
          <w:sz w:val="17"/>
          <w:szCs w:val="17"/>
          <w:color w:val="auto"/>
        </w:rPr>
      </w:pPr>
    </w:p>
    <w:p>
      <w:pPr>
        <w:jc w:val="both"/>
        <w:ind w:left="540" w:right="20" w:hanging="424"/>
        <w:spacing w:after="0" w:line="253"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25% of the shares subject to this award will vest on the first anniversary of the vesting commencement date, with the remaining shares vesting in equal monthly installments over the three years thereafter, in each case subject to the named executive officer’s continued service. Notwithstanding the foregoing, 100% of the shares subject to this award will vest immediately prior to a change in control, subject to the named executive officer’s continued service until immediately prior to such change in control.</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We have entered into employment or consulting agreements with each of our named executive officers. The key terms of the agreements are described below. For a discussion of the severance pay and other benefits to be provided in connection with a termination of employment or a change in control under the arrangements with our named executive officers, please see “—Potential Payments Upon Termination or Change in Control” below. We plan to enter into amended employment agreements with each of our named executive officers in connection with this offering.</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Tillman U. Gerngross, Ph.D.</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In July 2020, we entered into a consulting agreement with Dr. Gerngross. This agreement governs the current terms of Dr. Gerngross’s consulting arrangement with us. Dr. Gerngross’s consulting agreement does not provide for the payment of consulting fees but acknowledges that, in consideration of his consulting services, he was granted an option to purchase 397,059 shares of our common stock.</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Lynn Connolly, M.D., Ph.D.</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November 2020, we entered into an employment agreement with Dr. Connolly. This agreement governs the current terms of Dr. Connolly’s employment with us. Pursuant to her employment agreement, Dr. Connolly is entitled to an annual base salary of $360,000, and is eligible to receive an annual target bonus equal to 35% of her annual base salary, with the actual payout determined in the discretion our board of directors and any bonus payable in respect of calendar year 2020 prorated from the commencement of her employment. Dr. Connolly is also eligible for standard benefits such as paid time off, for reimbursement of business expenses, and to participate in our employee benefit plans and programs.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Rebecca Dabora, Ph.D.</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In June 2020, we entered into a consulting agreement with RDBio Consulting LLC, a limited liability company owned by Dr. Dabora, pursuant to which RDBio Consulting LLC agreed to make Dr. Dabora available to provide services to us. The agreement had an initial term of one year and governed the terms of Dr. Dabora’s service relationship with us before she was converted to a full-time employee. The agreement provided that we pay RDBio Consulting, LLC an amount of $400 per hour that Dr. Dabora provided services to us (but not to exceed $3,200 per day). The agreement also provided for reimbursement of business expenses and could be terminated by either party upon 30 days’ prior written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Dr. Connolly is entitled to certain severance and change in control benefits pursuant to her employment agreement. In the event that Dr. Connolly’s employment is terminated, other than during the period commencing three months prior to or ending 12 months following a “change in control,” or the change in control period, by us without “cause” or by Dr. Connolly for “good reason” (each, as defined in Dr. Connolly employment agreement), and subject to her delivery to us of a separation agreement that includes a general release of claims, she will be entitled to continued payment of her base salary for nine months after her termination or resignation date and our continued payment of the employer portion of the cost of group health insurance coverage for a period of up to nine months following her termination or resignation date (provided that she properly elects to receive COBRA continuation coverage). In the event that Dr. Connolly’s employment is terminated by us without cause or by Dr. Connolly for good reason, in either case, during the change in control period, and subject to her delivery to us of a separation agreement that includes a general release of claims, Dr. Connolly will be entitled to continued payment of her base salary for 12 months after her termination or resignation date, an amount equal to her target annual bonus for the year in which her termination or resignation date occurs, accelerated vesting of all equity awards granted to Dr. Connolly as of her termination or resignation date, and our continued payment of the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employer portion of the cost of group health insurance coverage for a period of up to 12 months following her termination or resignation date (provided that she properly elects to receive COBRA continuation coverage). Dr. Connolly’s employment agreement also provides that if any benefits payable to her thereunder or otherwise would result in adverse tax consequences under Section 4999 of the Internal Revenue Code of 1986, as amended, or the Code, then such benefits will be reduced if such reduction would provide Dr. Connolly with a greater net after-tax benefit than would no reduction.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 and Other Compensation</w:t>
      </w:r>
    </w:p>
    <w:p>
      <w:pPr>
        <w:spacing w:after="0" w:line="121"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named executive officers were eligible to participate in our employee benefits, including health insurance and group life insurance benefits, on the same basis as our other employees. We maintain a safe harbor 401(k) plan that provides eligible employees with an opportunity to save for retirement on a tax advantaged basis. Eligible employees are able to defer eligible compensation up to certain limits of the Code, which are updated annually. The 401(k) plan also provides that we will make non-elective contributions each participant’s account totaling to 3% of the participant’s eligible compensation. We generally do not provide other perquisites or personal benefits except in limited circumstances, and we did not provide any such perquisites or personal benefits to our named executive officers in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Our board of directors adopted, and our stockholders approved, our 2021 Equity Incentive Plan, or the 2021 Plan, in , 2021. Our 2021 Plan provides for the grant of incentive stock options, or ISOs, to employees, including employees of any parent or subsidiary, and for the grant of nonstatutory stock options, or NSOs, stock appreciation rights, restricted stock awards, restricted stock unit awards, performance awards and other forms of stock awards to employees, directors, and consultants, including employees and consultants of our affiliates. Our 2021 Plan is a successor to the 2020 Plan and will become effective one day prior to the effective date of the registration statement of which this prospectus forms a part.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common stock that may be issued under our 2021 Plan after it becomes</w:t>
      </w:r>
    </w:p>
    <w:p>
      <w:pPr>
        <w:spacing w:after="0" w:line="35" w:lineRule="exact"/>
        <w:rPr>
          <w:sz w:val="20"/>
          <w:szCs w:val="20"/>
          <w:color w:val="auto"/>
        </w:rPr>
      </w:pPr>
    </w:p>
    <w:p>
      <w:pPr>
        <w:jc w:val="both"/>
        <w:ind w:left="120" w:right="20"/>
        <w:spacing w:after="0" w:line="281" w:lineRule="auto"/>
        <w:rPr>
          <w:sz w:val="20"/>
          <w:szCs w:val="20"/>
          <w:color w:val="auto"/>
        </w:rPr>
      </w:pPr>
      <w:r>
        <w:rPr>
          <w:rFonts w:ascii="Arial" w:cs="Arial" w:eastAsia="Arial" w:hAnsi="Arial"/>
          <w:sz w:val="16"/>
          <w:szCs w:val="16"/>
          <w:color w:val="auto"/>
        </w:rPr>
        <w:t>effective will be shares, which is the sum of (i) new shares; plus (ii) the number of shares that remain available for issuance under the 2020 Plan at the time our 2021 Plan becomes effective; and (iii) any shares subject to outstanding stock options or other stock awards that were granted under the 2020 Plan that are forfeited, terminate, expire or are otherwise not issued. In addition, the number of shares of our common stock reserved for issuance under our 2021 Plan will automatically increase on January 1 of each calendar year, starting on January 1, 2022 and continuing</w:t>
      </w:r>
    </w:p>
    <w:p>
      <w:pPr>
        <w:spacing w:after="0" w:line="2" w:lineRule="exact"/>
        <w:rPr>
          <w:sz w:val="20"/>
          <w:szCs w:val="20"/>
          <w:color w:val="auto"/>
        </w:rPr>
      </w:pPr>
    </w:p>
    <w:p>
      <w:pPr>
        <w:jc w:val="both"/>
        <w:ind w:left="120"/>
        <w:spacing w:after="0" w:line="281" w:lineRule="auto"/>
        <w:rPr>
          <w:sz w:val="20"/>
          <w:szCs w:val="20"/>
          <w:color w:val="auto"/>
        </w:rPr>
      </w:pPr>
      <w:r>
        <w:rPr>
          <w:rFonts w:ascii="Arial" w:cs="Arial" w:eastAsia="Arial" w:hAnsi="Arial"/>
          <w:sz w:val="16"/>
          <w:szCs w:val="16"/>
          <w:color w:val="auto"/>
        </w:rPr>
        <w:t>through January 1, 2031, in an amount equal to % of the total number of shares of our capital stock outstanding on the last day of the calendar month before the date of each automatic increase, or a lesser number of shares determined by our board of directors. The maximum number of shares of</w:t>
      </w:r>
    </w:p>
    <w:p>
      <w:pPr>
        <w:spacing w:after="0" w:line="1" w:lineRule="exact"/>
        <w:rPr>
          <w:sz w:val="20"/>
          <w:szCs w:val="20"/>
          <w:color w:val="auto"/>
        </w:rPr>
      </w:pPr>
    </w:p>
    <w:p>
      <w:pPr>
        <w:ind w:left="120"/>
        <w:spacing w:after="0"/>
        <w:tabs>
          <w:tab w:leader="none" w:pos="6580" w:val="left"/>
        </w:tabs>
        <w:rPr>
          <w:sz w:val="20"/>
          <w:szCs w:val="20"/>
          <w:color w:val="auto"/>
        </w:rPr>
      </w:pPr>
      <w:r>
        <w:rPr>
          <w:rFonts w:ascii="Arial" w:cs="Arial" w:eastAsia="Arial" w:hAnsi="Arial"/>
          <w:sz w:val="17"/>
          <w:szCs w:val="17"/>
          <w:color w:val="auto"/>
        </w:rPr>
        <w:t>our common stock that may be issued on the exercise of ISOs under our 2021 Plan is</w:t>
      </w:r>
      <w:r>
        <w:rPr>
          <w:sz w:val="20"/>
          <w:szCs w:val="20"/>
          <w:color w:val="auto"/>
        </w:rPr>
        <w:tab/>
      </w:r>
      <w:r>
        <w:rPr>
          <w:rFonts w:ascii="Arial" w:cs="Arial" w:eastAsia="Arial" w:hAnsi="Arial"/>
          <w:sz w:val="13"/>
          <w:szCs w:val="13"/>
          <w:color w:val="auto"/>
        </w:rPr>
        <w:t>.</w:t>
      </w:r>
    </w:p>
    <w:p>
      <w:pPr>
        <w:spacing w:after="0" w:line="22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do not reduce the number of shares available for issuance under our 2021 Plan. Additionally, shares become available for future grant under our 2021 Plan if they were issued under stock awards under our 2021 Plan if we repurchase them or they are forfeited. This includes shares used to pay the exercise price of a stock award or to satisfy the tax withholding obligations related to a stock award.</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2021 Plan. Our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also delegate to one or more of our officers the authority to (i) designate employees (other than officers) to receive specified stock awards and (ii) determine the number of shares subject to such stock awards. Under our 2021 Plan, our board of directors has the authority to determine and amend the terms of awards and underlying agreements, including:</w:t>
      </w:r>
    </w:p>
    <w:p>
      <w:pPr>
        <w:spacing w:after="0" w:line="92"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recipients;</w:t>
      </w:r>
    </w:p>
    <w:p>
      <w:pPr>
        <w:spacing w:after="0" w:line="130" w:lineRule="exact"/>
        <w:rPr>
          <w:rFonts w:ascii="Arial" w:cs="Arial" w:eastAsia="Arial" w:hAnsi="Arial"/>
          <w:sz w:val="18"/>
          <w:szCs w:val="18"/>
          <w:color w:val="auto"/>
        </w:rPr>
      </w:pPr>
    </w:p>
    <w:p>
      <w:pPr>
        <w:ind w:left="5480" w:right="2080" w:hanging="4932"/>
        <w:spacing w:after="0" w:line="449" w:lineRule="auto"/>
        <w:tabs>
          <w:tab w:leader="none" w:pos="10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exercise, purchase or strike price of stock awards, if any; the number of shares subject to each stock award; 174</w:t>
      </w:r>
    </w:p>
    <w:p>
      <w:pPr>
        <w:sectPr>
          <w:pgSz w:w="11900" w:h="16838" w:orient="portrait"/>
          <w:cols w:equalWidth="0" w:num="1">
            <w:col w:w="11140"/>
          </w:cols>
          <w:pgMar w:left="32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vesting schedule applicable to the awards, together with any vesting acceleration;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form of consideration, if any, payable on exercise or settlement of the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Under the 2021 Plan, the board of directors also generally has the authority to effect, with the consent of any adversely affected participant:</w:t>
      </w:r>
    </w:p>
    <w:p>
      <w:pPr>
        <w:spacing w:after="0" w:line="13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reduction of the exercise, purchase, or strike price of any outstanding award;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cancellation of any outstanding award and the grant in substitution therefore of other awards, cash, or other consideration; or</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other action that is treated as a repricing under generally accepted accounting principles.</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2021 Plan, provided that the exercise price of a stock option generally cannot be less than 100% of the fair market value of our common stock on the date of grant. Options granted under the 2021 Plan vest at the rate specified in the stock option agreement as determined by the plan administrator.</w:t>
      </w:r>
    </w:p>
    <w:p>
      <w:pPr>
        <w:spacing w:after="0" w:line="18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(i) the option exercise price is at least 110% of the fair market value of the stock subject to the option on the date of grant; and (ii) the option is not exercisable after the expiration of five years from the date of grant.</w:t>
      </w:r>
    </w:p>
    <w:p>
      <w:pPr>
        <w:spacing w:after="0" w:line="192"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Restricted stock units are granted under restricted stock unit award agreements adopted by the plan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may be granted in consideration for any form of legal consideration that may be acceptable to our board of directors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178"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i w:val="1"/>
          <w:iCs w:val="1"/>
          <w:color w:val="auto"/>
        </w:rPr>
        <w:t xml:space="preserve">Restricted Stock Awards. </w:t>
      </w:r>
      <w:r>
        <w:rPr>
          <w:rFonts w:ascii="Arial" w:cs="Arial" w:eastAsia="Arial" w:hAnsi="Arial"/>
          <w:sz w:val="18"/>
          <w:szCs w:val="18"/>
          <w:color w:val="auto"/>
        </w:rPr>
        <w:t>Restricted stock awards are granted under restricted stock award agreements adopted by the plan administrator. A</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award may be awarded in consideration for cash, check, bank draft or money order, past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92"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under stock appreciation grant agreements adopted by the plan administrator.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administrator determines the purchase price or strike price for a stock appreciation right, which generally cannot be less than 100% of the fair market value of our common stock on the date of grant. A stock appreciation right granted under the 2021 Plan vests at the rate specified in the stock appreciation right agreement as determined by the plan administrator.</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4" w:lineRule="auto"/>
        <w:rPr>
          <w:sz w:val="20"/>
          <w:szCs w:val="20"/>
          <w:color w:val="auto"/>
        </w:rPr>
      </w:pPr>
      <w:r>
        <w:rPr>
          <w:rFonts w:ascii="Arial" w:cs="Arial" w:eastAsia="Arial" w:hAnsi="Arial"/>
          <w:sz w:val="16"/>
          <w:szCs w:val="16"/>
          <w:i w:val="1"/>
          <w:iCs w:val="1"/>
          <w:color w:val="auto"/>
        </w:rPr>
        <w:t xml:space="preserve">Performance Awards. </w:t>
      </w:r>
      <w:r>
        <w:rPr>
          <w:rFonts w:ascii="Arial" w:cs="Arial" w:eastAsia="Arial" w:hAnsi="Arial"/>
          <w:sz w:val="16"/>
          <w:szCs w:val="16"/>
          <w:color w:val="auto"/>
        </w:rPr>
        <w:t>The 2021 Plan permits the grant of performance-based stock and cash awards. The plan administrator may structure awards</w:t>
      </w:r>
      <w:r>
        <w:rPr>
          <w:rFonts w:ascii="Arial" w:cs="Arial" w:eastAsia="Arial" w:hAnsi="Arial"/>
          <w:sz w:val="16"/>
          <w:szCs w:val="16"/>
          <w:i w:val="1"/>
          <w:iCs w:val="1"/>
          <w:color w:val="auto"/>
        </w:rPr>
        <w:t xml:space="preserve"> </w:t>
      </w:r>
      <w:r>
        <w:rPr>
          <w:rFonts w:ascii="Arial" w:cs="Arial" w:eastAsia="Arial" w:hAnsi="Arial"/>
          <w:sz w:val="16"/>
          <w:szCs w:val="16"/>
          <w:color w:val="auto"/>
        </w:rPr>
        <w:t>so that the shares of our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w:t>
      </w:r>
    </w:p>
    <w:p>
      <w:pPr>
        <w:spacing w:after="0" w:line="1" w:lineRule="exact"/>
        <w:rPr>
          <w:sz w:val="20"/>
          <w:szCs w:val="20"/>
          <w:color w:val="auto"/>
        </w:rPr>
      </w:pPr>
    </w:p>
    <w:p>
      <w:pPr>
        <w:jc w:val="both"/>
        <w:ind w:left="120" w:hanging="4"/>
        <w:spacing w:after="0" w:line="281" w:lineRule="auto"/>
        <w:tabs>
          <w:tab w:leader="none" w:pos="37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 (10) to exclude costs incurred in connection with potential acquisitions or divestitures that are required to be expensed under generally accepted accounting principles; (11) to exclude the goodwill and intangible asset impairment charges that are required to be recorded under generally accepted accounting principles; and</w:t>
      </w:r>
    </w:p>
    <w:p>
      <w:pPr>
        <w:spacing w:after="0" w:line="5" w:lineRule="exact"/>
        <w:rPr>
          <w:rFonts w:ascii="Arial" w:cs="Arial" w:eastAsia="Arial" w:hAnsi="Arial"/>
          <w:sz w:val="16"/>
          <w:szCs w:val="16"/>
          <w:color w:val="auto"/>
        </w:rPr>
      </w:pPr>
    </w:p>
    <w:p>
      <w:pPr>
        <w:jc w:val="both"/>
        <w:ind w:left="120" w:hanging="4"/>
        <w:spacing w:after="0" w:line="255" w:lineRule="auto"/>
        <w:tabs>
          <w:tab w:leader="none" w:pos="47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to exclude the effects of the timing of acceptance for review and/or approval of submissions to the FDA or any other regulatory body. In addition, we retain the discretion to reduce or eliminate the compensation or economic benefit due upon attainment of the goals. The performance goals may differ from participant to participant and from award to award.</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Other Stock Awards. </w:t>
      </w:r>
      <w:r>
        <w:rPr>
          <w:rFonts w:ascii="Arial" w:cs="Arial" w:eastAsia="Arial" w:hAnsi="Arial"/>
          <w:sz w:val="18"/>
          <w:szCs w:val="18"/>
          <w:color w:val="auto"/>
        </w:rPr>
        <w:t>The plan administrator may grant other awards based in whole or in part by reference to our common stock.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will set the number of shares under the stock award and all other terms and conditions of such awards.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Non-Employee Director Compensation Limit</w:t>
      </w:r>
      <w:r>
        <w:rPr>
          <w:rFonts w:ascii="Arial" w:cs="Arial" w:eastAsia="Arial" w:hAnsi="Arial"/>
          <w:sz w:val="16"/>
          <w:szCs w:val="16"/>
          <w:color w:val="auto"/>
        </w:rPr>
        <w:t>. The aggregate value of all compensation granted or paid to any non-employee director with respect</w:t>
      </w:r>
    </w:p>
    <w:p>
      <w:pPr>
        <w:spacing w:after="0" w:line="46" w:lineRule="exact"/>
        <w:rPr>
          <w:sz w:val="20"/>
          <w:szCs w:val="20"/>
          <w:color w:val="auto"/>
        </w:rPr>
      </w:pPr>
    </w:p>
    <w:p>
      <w:pPr>
        <w:ind w:left="120"/>
        <w:spacing w:after="0" w:line="277" w:lineRule="auto"/>
        <w:rPr>
          <w:sz w:val="20"/>
          <w:szCs w:val="20"/>
          <w:color w:val="auto"/>
        </w:rPr>
      </w:pPr>
      <w:r>
        <w:rPr>
          <w:rFonts w:ascii="Arial" w:cs="Arial" w:eastAsia="Arial" w:hAnsi="Arial"/>
          <w:sz w:val="17"/>
          <w:szCs w:val="17"/>
          <w:color w:val="auto"/>
        </w:rPr>
        <w:t>to any calendar year, including stock awards granted and cash fees paid by us to such non-employee director, will not exceed $ in total value, or in the event such non-employee director is first appointed or elected to the board during such annual period, $ in total value (in each case, calculating the value of any such stock awards based on the grant-date fair value of such stock awards for financial reporting purposes).</w:t>
      </w:r>
    </w:p>
    <w:p>
      <w:pPr>
        <w:spacing w:after="0" w:line="173"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(i) the class and maximum number of shares reserved for issuance under the 2021 Plan, (ii) the class and maximum number of shares by which the share reserve may increase automatically each year, (iii) the class and maximum number of shares that may be issued on the exercise of incentive stock options, and (iv) the class and number of shares and exercise price, strike price, or purchase price, if applicable, of all outstanding stock awards.</w:t>
      </w:r>
    </w:p>
    <w:p>
      <w:pPr>
        <w:spacing w:after="0" w:line="18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Corporate Transactions. </w:t>
      </w:r>
      <w:r>
        <w:rPr>
          <w:rFonts w:ascii="Arial" w:cs="Arial" w:eastAsia="Arial" w:hAnsi="Arial"/>
          <w:sz w:val="18"/>
          <w:szCs w:val="18"/>
          <w:color w:val="auto"/>
        </w:rPr>
        <w:t>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plan administrator at the time of grant.</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the event of a corporate transaction, any stock awards outstanding under the 2021 Plan may be assumed, continued or substituted for by any surviving or acquiring corporation (or its parent company), and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8" w:lineRule="auto"/>
        <w:rPr>
          <w:sz w:val="20"/>
          <w:szCs w:val="20"/>
          <w:color w:val="auto"/>
        </w:rPr>
      </w:pPr>
      <w:r>
        <w:rPr>
          <w:rFonts w:ascii="Arial" w:cs="Arial" w:eastAsia="Arial" w:hAnsi="Arial"/>
          <w:sz w:val="17"/>
          <w:szCs w:val="17"/>
          <w:color w:val="auto"/>
        </w:rPr>
        <w:t>reacquisition or repurchase rights held by us with respect to the stock award may be assigned to the successor (or its parent company). If the surviving or acquiring corporation (or its parent company) does not assume, continue or substitute for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administrator, the award will accelerate at 100% of target. If the surviving or acquiring corporation (or its parent company) does not assume, continue or substitute for such stock awards, then with respect to any such stock awards that are held by persons other than current participants, such awards will terminate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w:t>
      </w:r>
    </w:p>
    <w:p>
      <w:pPr>
        <w:spacing w:after="0" w:line="18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exercise price payable by such holder in connection with such exercise.</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In the event of a change in control, as defined under our 2021 Plan, awards granted under our 2021 Plan will not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automatic acceleration of vesting and exercisability, although this treatment may be provided for in an award agreement.</w:t>
      </w:r>
    </w:p>
    <w:p>
      <w:pPr>
        <w:spacing w:after="0" w:line="170"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Under our 2021 Plan, a corporate transaction is defined to include: (i) a sale of all or substantially all of our assets; (ii) 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before such transaction are converted or exchanged into other property by virtue of the transaction, unless otherwise provided in an award agreement or other written agreement between us and the award holder. Under the 2021 Plan, a change in control is defined to include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(3) the approval by the stockholders or the board of directors of a plan of complete dissolution or liquidation of the company, or the occurrence of a complete dissolution or liquidation of the company, except for a liquidation into a parent corporation; (4) a sale, lease, exclusive license or other disposition of all or substantially all of our assets other than to an entity more than 50% of the combined voting power of which is owned by our stockholders; and (5) an unapproved change in the majority of the board of directors.</w:t>
      </w:r>
    </w:p>
    <w:p>
      <w:pPr>
        <w:spacing w:after="0" w:line="17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i w:val="1"/>
          <w:iCs w:val="1"/>
          <w:color w:val="auto"/>
        </w:rPr>
        <w:t xml:space="preserve">Transferability. </w:t>
      </w:r>
      <w:r>
        <w:rPr>
          <w:rFonts w:ascii="Arial" w:cs="Arial" w:eastAsia="Arial" w:hAnsi="Arial"/>
          <w:sz w:val="18"/>
          <w:szCs w:val="18"/>
          <w:color w:val="auto"/>
        </w:rPr>
        <w:t>A participant may not transfer stock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i w:val="1"/>
          <w:iCs w:val="1"/>
          <w:color w:val="auto"/>
        </w:rPr>
        <w:t xml:space="preserve">Plan Amendment or Termination. </w:t>
      </w:r>
      <w:r>
        <w:rPr>
          <w:rFonts w:ascii="Arial" w:cs="Arial" w:eastAsia="Arial" w:hAnsi="Arial"/>
          <w:sz w:val="17"/>
          <w:szCs w:val="17"/>
          <w:color w:val="auto"/>
        </w:rPr>
        <w:t>Our board of directors has the authority to amend, suspend, or terminate our 2021 Plan, provided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action does not materially impair the existing rights of any participant without such participant’s written consent. Certain material amendments also require the approval of our stockholders. No incentive stock options may be granted after the tenth anniversary of the date our board of directors adopted our 2021 Plan. No stock awards may be granted under our 2021 Plan while it is suspended or after it is terminated.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Our 2020 Equity Incentive Plan, or the 2020 Plan, was originally adopted by our board of directors on June 19, 2020 and approved by our stockholders on June 22, 2020. The 2020 Plan allows for the grant of ISOs to employees, including employees of any parent or subsidiary, and for the grant of NSOs, restricted stock awards, restricted stock units and other forms of stock awards to employees, directors, and consultants. Once our 2021 Plan becomes effective, no further grants will be made under the 2020 Plan. Any outstanding awards granted under the 2020 Plan will remain subject to the terms of the 2020 Plan and applicable award agreements.</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The maximum number of shares of our common stock that may be issued under the 2020 Plan is 5,850,958 shares. Shares</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stock awards granted under the 2020 Plan that are cancelled, forfeited, settled in cash or that expire by their terms do not reduce the number of shares available for issuance under the 2020 Plan. Additionally, shares used to pay the exercise price of a stock award or to satisfy the tax withholding obligations related to a stock award become available for future grant under the 2020 Plan.</w:t>
      </w:r>
    </w:p>
    <w:p>
      <w:pPr>
        <w:spacing w:after="0" w:line="171" w:lineRule="exact"/>
        <w:rPr>
          <w:sz w:val="20"/>
          <w:szCs w:val="20"/>
          <w:color w:val="auto"/>
        </w:rPr>
      </w:pPr>
    </w:p>
    <w:p>
      <w:pPr>
        <w:jc w:val="both"/>
        <w:ind w:left="120" w:firstLine="440"/>
        <w:spacing w:after="0" w:line="30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administers the 2020 Plan. Under the 2020 Plan,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full authority and discretion to take any actions it deems necessary or advisable for the 2020 Plan’s administration.</w:t>
      </w:r>
    </w:p>
    <w:p>
      <w:pPr>
        <w:spacing w:after="0" w:line="146"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ISOs and NSOs are granted pursuant to award agreements adopted by the plan administrator. Each award agreement specifies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shares subject to the option and the exercise price, provided that the exercise price of a stock option generally cannot be less than 100% (or 110% in the case of ISOs granted to certain stockholders) of the fair market value of our common stock on the date of grant. Options granted under the 2020 Plan vest at the rate specified in the applicable award agreement. Payment for the purchase of common stock issued upon the exercise of a stock option may be made in cash or cash equivalents. However, the plan administrator may also allow for other forms of consideration, including</w:t>
      </w:r>
    </w:p>
    <w:p>
      <w:pPr>
        <w:spacing w:after="0" w:line="2" w:lineRule="exact"/>
        <w:rPr>
          <w:sz w:val="20"/>
          <w:szCs w:val="20"/>
          <w:color w:val="auto"/>
        </w:rPr>
      </w:pPr>
    </w:p>
    <w:p>
      <w:pPr>
        <w:ind w:left="360" w:hanging="244"/>
        <w:spacing w:after="0"/>
        <w:tabs>
          <w:tab w:leader="none" w:pos="3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surrendering shares of common stock already owned by a participant, (ii) delivery of a promissory note, (iii) a broker-assisted cashless exercise,</w:t>
      </w:r>
    </w:p>
    <w:p>
      <w:pPr>
        <w:spacing w:after="0" w:line="32" w:lineRule="exact"/>
        <w:rPr>
          <w:rFonts w:ascii="Arial" w:cs="Arial" w:eastAsia="Arial" w:hAnsi="Arial"/>
          <w:sz w:val="16"/>
          <w:szCs w:val="16"/>
          <w:color w:val="auto"/>
        </w:rPr>
      </w:pPr>
    </w:p>
    <w:p>
      <w:pPr>
        <w:jc w:val="both"/>
        <w:ind w:left="120" w:right="20" w:hanging="4"/>
        <w:spacing w:after="0" w:line="253" w:lineRule="auto"/>
        <w:tabs>
          <w:tab w:leader="none" w:pos="4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by a “net exercise” arrangement, or (v) by other forms consistent with applicable law. The award agreements specify the term of stock options granted under the 2020 Plan, up to a maximum of 10 years (or five years in the case of ISOs granted to certain stockholders). The plan administrator shall determine the effect on a stock award of the disability, death, retirement, authorized leave of absence, or any other change or purported change in a holder’s status. Unless the plan administrator provides otherwise, stock options generally are not transferable except by will, the laws of descent and distribution.</w:t>
      </w:r>
    </w:p>
    <w:p>
      <w:pPr>
        <w:spacing w:after="0" w:line="191"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Changes to Capital Structure. </w:t>
      </w:r>
      <w:r>
        <w:rPr>
          <w:rFonts w:ascii="Arial" w:cs="Arial" w:eastAsia="Arial" w:hAnsi="Arial"/>
          <w:sz w:val="16"/>
          <w:szCs w:val="16"/>
          <w:color w:val="auto"/>
        </w:rPr>
        <w:t>In the event that the plan administrator determines that any dividend or other distribution, reorganization,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combination, repurchase, recapitalization, liquidation, dissolution, or sale, transfer, exchange or other disposition of our assets, or sale or exchange of common stock or other securities, issuance of warrants or other rights to purchase common stock or other securities, or other similar corporate transaction or event, affects the common stock such that an adjustment is determined by the administrator to be appropriate, the plan administrator will make appropriate adjustments to the following: (i) the number and kind of shares available for future stock awards, (ii) the number and kind of shares covered by each outstanding stock award, (iii) the grant or exercise price with respect to any award, and (iv) the terms and conditions of any awards (including, without limitation, any applicable financial or other performance “targets” specified in an award agreement.</w:t>
      </w:r>
    </w:p>
    <w:p>
      <w:pPr>
        <w:spacing w:after="0" w:line="166"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2020 Plan provides that in the event of a specified corporate transaction, including without limitation a merger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consolidation, or the sale or other disposition of all or substantially all of our stock or assets, or in the event of such other corporate transaction, such as a separation or reorganization, the plan administrator will determine how to treat each outstanding stock award. The plan administrator may provide for the:</w:t>
      </w:r>
    </w:p>
    <w:p>
      <w:pPr>
        <w:spacing w:after="0" w:line="92" w:lineRule="exact"/>
        <w:rPr>
          <w:sz w:val="20"/>
          <w:szCs w:val="20"/>
          <w:color w:val="auto"/>
        </w:rPr>
      </w:pPr>
    </w:p>
    <w:p>
      <w:pPr>
        <w:ind w:left="1080" w:right="20" w:hanging="532"/>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settlement of the intrinsic value of stock awards to the extent vested and exercisable awards, with payment made in cash, cash equivalents or property, followed by the cancellation of such stock awards (whether or not then vested or exercisable);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532"/>
        <w:spacing w:after="0" w:line="308"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exercisability and settlement, in whole or in part, of stock awards to the extent vested and exercisable followed by the cancellation of such stock awards (whether or not then vested or exercisable) upon or immediately prior to the effectiveness of the transaction;</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assumption or substitution, in whole or in part, of a stock award by a successor corporation;</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adjustment in the number and type of shares of common stock subject to outstanding awards and/or in the terms and conditions of (including, without limitation, the grant or exercise price), and the criteria included in, outstanding awards;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replacement of such award with other rights or property selected by the plan administrator; and/or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termination of such award.</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The plan administrator has the authority to amend, suspend, or terminate the 2020 Plan or any portion thereof at any</w:t>
      </w:r>
      <w:r>
        <w:rPr>
          <w:rFonts w:ascii="Arial" w:cs="Arial" w:eastAsia="Arial" w:hAnsi="Arial"/>
          <w:sz w:val="18"/>
          <w:szCs w:val="18"/>
          <w:i w:val="1"/>
          <w:iCs w:val="1"/>
          <w:color w:val="auto"/>
        </w:rPr>
        <w:t xml:space="preserve"> </w:t>
      </w:r>
      <w:r>
        <w:rPr>
          <w:rFonts w:ascii="Arial" w:cs="Arial" w:eastAsia="Arial" w:hAnsi="Arial"/>
          <w:sz w:val="18"/>
          <w:szCs w:val="18"/>
          <w:color w:val="auto"/>
        </w:rPr>
        <w:t>time, provided that no amendment of the 2020 Plan shall materially and adversely affect (as determined by the plan administrator) any award outstanding at the time of such amendment without the participant’s consent. Our board shall obtain stockholder approval of any amendment to the extent necessary to comply with applicable laws.</w:t>
      </w:r>
    </w:p>
    <w:p>
      <w:pPr>
        <w:spacing w:after="0" w:line="29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9520" w:type="dxa"/>
            <w:vAlign w:val="bottom"/>
          </w:tcPr>
          <w:p>
            <w:pPr>
              <w:spacing w:after="0"/>
              <w:rPr>
                <w:sz w:val="20"/>
                <w:szCs w:val="20"/>
                <w:color w:val="auto"/>
              </w:rPr>
            </w:pPr>
            <w:r>
              <w:rPr>
                <w:rFonts w:ascii="Arial" w:cs="Arial" w:eastAsia="Arial" w:hAnsi="Arial"/>
                <w:sz w:val="18"/>
                <w:szCs w:val="18"/>
                <w:b w:val="1"/>
                <w:bCs w:val="1"/>
                <w:i w:val="1"/>
                <w:iCs w:val="1"/>
                <w:color w:val="auto"/>
              </w:rPr>
              <w:t>2021 Employee Stock Purchase Plan</w:t>
            </w:r>
          </w:p>
        </w:tc>
        <w:tc>
          <w:tcPr>
            <w:tcW w:w="1040" w:type="dxa"/>
            <w:vAlign w:val="bottom"/>
          </w:tcPr>
          <w:p>
            <w:pPr>
              <w:spacing w:after="0"/>
              <w:rPr>
                <w:sz w:val="20"/>
                <w:szCs w:val="20"/>
                <w:color w:val="auto"/>
              </w:rPr>
            </w:pPr>
          </w:p>
        </w:tc>
      </w:tr>
      <w:tr>
        <w:trPr>
          <w:trHeight w:val="324"/>
        </w:trPr>
        <w:tc>
          <w:tcPr>
            <w:tcW w:w="9520" w:type="dxa"/>
            <w:vAlign w:val="bottom"/>
          </w:tcPr>
          <w:p>
            <w:pPr>
              <w:spacing w:after="0"/>
              <w:rPr>
                <w:sz w:val="20"/>
                <w:szCs w:val="20"/>
                <w:color w:val="auto"/>
              </w:rPr>
            </w:pPr>
            <w:r>
              <w:rPr>
                <w:rFonts w:ascii="Arial" w:cs="Arial" w:eastAsia="Arial" w:hAnsi="Arial"/>
                <w:sz w:val="18"/>
                <w:szCs w:val="18"/>
                <w:color w:val="auto"/>
                <w:w w:val="93"/>
              </w:rPr>
              <w:t>Our board of directors adopted, and our stockholders approved, our 2021 Employee Stock Purchase Plan, or the 2021 ESPP, in</w:t>
            </w:r>
          </w:p>
        </w:tc>
        <w:tc>
          <w:tcPr>
            <w:tcW w:w="1040" w:type="dxa"/>
            <w:vAlign w:val="bottom"/>
          </w:tcPr>
          <w:p>
            <w:pPr>
              <w:ind w:left="200"/>
              <w:spacing w:after="0"/>
              <w:rPr>
                <w:sz w:val="20"/>
                <w:szCs w:val="20"/>
                <w:color w:val="auto"/>
              </w:rPr>
            </w:pPr>
            <w:r>
              <w:rPr>
                <w:rFonts w:ascii="Arial" w:cs="Arial" w:eastAsia="Arial" w:hAnsi="Arial"/>
                <w:sz w:val="18"/>
                <w:szCs w:val="18"/>
                <w:color w:val="auto"/>
                <w:w w:val="89"/>
              </w:rPr>
              <w:t>, 2021. The</w:t>
            </w:r>
          </w:p>
        </w:tc>
      </w:tr>
    </w:tbl>
    <w:p>
      <w:pPr>
        <w:jc w:val="both"/>
        <w:ind w:left="120" w:right="20"/>
        <w:spacing w:after="0" w:line="253" w:lineRule="auto"/>
        <w:rPr>
          <w:sz w:val="20"/>
          <w:szCs w:val="20"/>
          <w:color w:val="auto"/>
        </w:rPr>
      </w:pPr>
      <w:r>
        <w:rPr>
          <w:rFonts w:ascii="Arial" w:cs="Arial" w:eastAsia="Arial" w:hAnsi="Arial"/>
          <w:sz w:val="18"/>
          <w:szCs w:val="18"/>
          <w:color w:val="auto"/>
        </w:rPr>
        <w:t>2021 ESPP will become effective one day prior to the effective date of the registration statement of which this prospectus forms a part. The purpose of the 2021 ESPP is to secure the services of new employees, to retain the services of existing employees, and to provide incentives for such individuals to exert maximum efforts toward our success and that of our affiliates. The 2021 ESPP is intended to qualify as an “employee stock purchase plan” within the meaning of Section 423 of the Code for U.S. employees.</w:t>
      </w:r>
    </w:p>
    <w:p>
      <w:pPr>
        <w:spacing w:after="0" w:line="193"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i w:val="1"/>
          <w:iCs w:val="1"/>
          <w:color w:val="auto"/>
        </w:rPr>
        <w:t xml:space="preserve">Share Reserve. </w:t>
      </w:r>
      <w:r>
        <w:rPr>
          <w:rFonts w:ascii="Arial" w:cs="Arial" w:eastAsia="Arial" w:hAnsi="Arial"/>
          <w:sz w:val="16"/>
          <w:szCs w:val="16"/>
          <w:color w:val="auto"/>
        </w:rPr>
        <w:t>Following this offering, the 2021 ESPP authorizes the issuance of shares of our common stock under purchase rights granted to our</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or to employees of any of our designated affiliates. The 2021 ESPP will initially provide participating employees with the opportunity to</w:t>
      </w:r>
    </w:p>
    <w:p>
      <w:pPr>
        <w:jc w:val="both"/>
        <w:ind w:left="120" w:right="20"/>
        <w:spacing w:after="0" w:line="281" w:lineRule="auto"/>
        <w:rPr>
          <w:sz w:val="20"/>
          <w:szCs w:val="20"/>
          <w:color w:val="auto"/>
        </w:rPr>
      </w:pPr>
      <w:r>
        <w:rPr>
          <w:rFonts w:ascii="Arial" w:cs="Arial" w:eastAsia="Arial" w:hAnsi="Arial"/>
          <w:sz w:val="16"/>
          <w:szCs w:val="16"/>
          <w:color w:val="auto"/>
        </w:rPr>
        <w:t>purchase up to an aggregate of shares of our common stock. The number of shares of our common stock reserved for issuance will automatically increase on January 1 of each calendar year, starting on January 1, 2022 and continuing through January 1, 2031, by the lesser of (i) % of the total</w:t>
      </w:r>
    </w:p>
    <w:p>
      <w:pPr>
        <w:spacing w:after="0" w:line="1"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7"/>
          <w:szCs w:val="17"/>
          <w:color w:val="auto"/>
        </w:rPr>
        <w:t>number of shares of our common stock outstanding on the last day of the calendar month before the date of the automatic increase; and (ii) shares; provided that before the date of any such increase, our board of directors may determine that such increase will be less than the amount set forth in clauses (i) and (ii). As of the date hereof, no shares of our common stock have been purchased under the 2021 ESPP.</w:t>
      </w:r>
    </w:p>
    <w:p>
      <w:pPr>
        <w:spacing w:after="0" w:line="173"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board of directors intends to delegate concurrent authority to administer the 2021 ESPP to our compensation committee. The</w:t>
      </w:r>
      <w:r>
        <w:rPr>
          <w:rFonts w:ascii="Arial" w:cs="Arial" w:eastAsia="Arial" w:hAnsi="Arial"/>
          <w:sz w:val="16"/>
          <w:szCs w:val="16"/>
          <w:i w:val="1"/>
          <w:iCs w:val="1"/>
          <w:color w:val="auto"/>
        </w:rPr>
        <w:t xml:space="preserve"> </w:t>
      </w:r>
      <w:r>
        <w:rPr>
          <w:rFonts w:ascii="Arial" w:cs="Arial" w:eastAsia="Arial" w:hAnsi="Arial"/>
          <w:sz w:val="16"/>
          <w:szCs w:val="16"/>
          <w:color w:val="auto"/>
        </w:rPr>
        <w:t>2021 ESPP is implemented through a series of offerings under which eligible employees are granted purchase rights to purchase shares of our common stock on specified dates during such offerings. Under the 2021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2021 ESPP may be terminated under certain circumstances.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Payroll Deductions. </w:t>
      </w:r>
      <w:r>
        <w:rPr>
          <w:rFonts w:ascii="Arial" w:cs="Arial" w:eastAsia="Arial" w:hAnsi="Arial"/>
          <w:sz w:val="17"/>
          <w:szCs w:val="17"/>
          <w:color w:val="auto"/>
        </w:rPr>
        <w:t>Generally, all regular employees, including executive officers, employed by us or by any of our designated affiliates, may</w:t>
      </w:r>
    </w:p>
    <w:p>
      <w:pPr>
        <w:spacing w:after="0" w:line="35"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6"/>
          <w:szCs w:val="16"/>
          <w:color w:val="auto"/>
        </w:rPr>
        <w:t>participate in the 2021 ESPP and may contribute, normally through payroll deductions, up to % of their earnings (as defined in the 2021 ESPP) for the purchase of our common stock under the 2021 ESPP. Unless otherwise determined by our board of directors, common stock will be purchased for the accounts of employees participating in the 2021 ESPP at a price per share that is at least the lesser of (i) 85% of the fair market value of a share of our common stock on the first date of an offering; or (ii) 85% of the fair market value of a share of our common stock on the date of purchase.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the 2021 ESPP, as</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by our board of directors, including (i) being customarily employed for more than 20 hours per week; (ii) being customarily employed for more than five months per calendar year; or (iii) continuous employment with us or one of our affiliates for a period of time (not to exceed two years). No employee may purchase shares under the 2021 ESPP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2021 ESPP if immediately after such rights are granted, such employee has voting power over 5% or more of our outstanding capital stock measured by vote or value under Section 424(d) of the Code.</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i w:val="1"/>
          <w:iCs w:val="1"/>
          <w:color w:val="auto"/>
        </w:rPr>
        <w:t xml:space="preserve">Changes to Capital Structure. </w:t>
      </w:r>
      <w:r>
        <w:rPr>
          <w:rFonts w:ascii="Arial" w:cs="Arial" w:eastAsia="Arial" w:hAnsi="Arial"/>
          <w:sz w:val="18"/>
          <w:szCs w:val="18"/>
          <w:color w:val="auto"/>
        </w:rPr>
        <w:t>In the event there is a change in our capital structure through such actions as a stock split, merger, consolidation,</w:t>
      </w:r>
      <w:r>
        <w:rPr>
          <w:rFonts w:ascii="Arial" w:cs="Arial" w:eastAsia="Arial" w:hAnsi="Arial"/>
          <w:sz w:val="18"/>
          <w:szCs w:val="18"/>
          <w:i w:val="1"/>
          <w:iCs w:val="1"/>
          <w:color w:val="auto"/>
        </w:rPr>
        <w:t xml:space="preserve"> </w:t>
      </w:r>
      <w:r>
        <w:rPr>
          <w:rFonts w:ascii="Arial" w:cs="Arial" w:eastAsia="Arial" w:hAnsi="Arial"/>
          <w:sz w:val="18"/>
          <w:szCs w:val="18"/>
          <w:color w:val="auto"/>
        </w:rPr>
        <w:t>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(i) the number of shares reserved under the 2021 ESPP; (ii) the maximum number of shares by which the share reserve may increase automatically each year; (iii) the number of shares and purchase price of all outstanding purchase rights; and (iv) the number of shares that are subject to purchase limits under ongoing offerings.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In the event of certain significant corporate transactions, including (i) a sale of all or substantially all of our assets;</w:t>
      </w:r>
    </w:p>
    <w:p>
      <w:pPr>
        <w:spacing w:after="0" w:line="35" w:lineRule="exact"/>
        <w:rPr>
          <w:sz w:val="20"/>
          <w:szCs w:val="20"/>
          <w:color w:val="auto"/>
        </w:rPr>
      </w:pPr>
    </w:p>
    <w:p>
      <w:pPr>
        <w:jc w:val="both"/>
        <w:ind w:left="120" w:hanging="4"/>
        <w:spacing w:after="0" w:line="252" w:lineRule="auto"/>
        <w:tabs>
          <w:tab w:leader="none" w:pos="38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sale or disposition of more than 50% of our outstanding securities; (iii) the consummation of a merger or consolidation where we do not survive the transaction; and (iv) the consummation of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2021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ten business days before such corporate transaction, and such purchase rights will terminate immediately.</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i w:val="1"/>
          <w:iCs w:val="1"/>
          <w:color w:val="auto"/>
        </w:rPr>
        <w:t>Amendment or Termination</w:t>
      </w:r>
      <w:r>
        <w:rPr>
          <w:rFonts w:ascii="Arial" w:cs="Arial" w:eastAsia="Arial" w:hAnsi="Arial"/>
          <w:sz w:val="18"/>
          <w:szCs w:val="18"/>
          <w:color w:val="auto"/>
        </w:rPr>
        <w:t>. Our board of directors has the authority to amend or terminate our 2021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2021 ESPP, as required by applicable law or listing requirements.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Matters</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Upon the closing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limitation of liability does not apply to liabilities arising under federal securities laws and does not affect the availability of equitable remedies such as injunctive relief or rescission.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directors to the fullest extent permitted by Delaware law. Our amended and restated bylaws will also provide that, upon satisfaction of certain conditions, we are required to advance expenses incurred by a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bylaws will also provide our board of directors with discretion to indemnify our officers and employees when determined appropriate by the board.</w:t>
      </w:r>
    </w:p>
    <w:p>
      <w:pPr>
        <w:spacing w:after="0" w:line="178"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have entered into indemnification agreements with each of our directors and expect to enter into indemnification agreements with each of our executive officers prior to the closing of this offering.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executive officers. We also maintain customary directors’ and officers’ liability insurance.</w:t>
      </w:r>
    </w:p>
    <w:p>
      <w:pPr>
        <w:spacing w:after="0" w:line="176"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16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for our directors, executive officers or persons controlling us, we have been informed that, in the opinion of the SEC, such indemnification is against public policy as expressed in the Securities Act and is therefore unenforceable.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them. The director or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Prior to 180 days after the date of this offering, subject to early termination, the sale of any shares under such plan would be prohibited by the lock-up agreement that the director or officer has entered into with the underwriters.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40"/>
          </w:cols>
          <w:pgMar w:left="320" w:top="459" w:right="4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following is a description of transactions since our inception in June 2020 to which we have been a participant in which the amount involved exceeded or will exceed $120,000, and in which any of our directors, executive officers or holders of more than 5% of our voting securities, or any members of their immediate family, had or will have a direct or indirect material interest, other than compensation arrangements that are described under “Management—Non-Employee Director Compensation” and “Executive Compensation.”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Placements of Our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July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6,237,500 shares of our Series A preferred stock at a purchase price of $8.00 per share for aggregate gross proceeds of $49.9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A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440" w:type="dxa"/>
            <w:vAlign w:val="bottom"/>
            <w:vMerge w:val="restart"/>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5"/>
                <w:szCs w:val="15"/>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Mithril II LP</w:t>
            </w:r>
            <w:r>
              <w:rPr>
                <w:rFonts w:ascii="Arial" w:cs="Arial" w:eastAsia="Arial" w:hAnsi="Arial"/>
                <w:sz w:val="15"/>
                <w:szCs w:val="15"/>
                <w:color w:val="auto"/>
              </w:rPr>
              <w:t>(1)</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1,250,000</w:t>
            </w:r>
          </w:p>
        </w:tc>
        <w:tc>
          <w:tcPr>
            <w:tcW w:w="1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OrbiMed Private Investments VII, LP</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812,500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(2)</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1,250,000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687,500</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5,500,000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5"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2"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July 2020, we issued 5,000,000 shares of our Series A preferred stock in connection with entering into an assignment and license agreement, or the Adimab Assignment Agreement, with Adimab, LLC, or Adimab. At the time of issuance, the 5,000,000 shares of our Series A convertible preferred had a fair value of $40.0 million. Tillman U. Gerngross, Ph.D., a member of our board of directors and our Chief Executive Officer, is an officer and member of the board of directors of Adimab, Philip Chase, a former member of our board of directors, is an officer and member of the board of directors of Adimab, Laura Walker, Ph.D., our Chief Scientific Officer, is an employee of Adimab, and Terrance McGuire and Ajay Royan, members of our board of directors, are members of the board of directors of Adimab. For more information regarding the Adimab Assignment Agreement, see the section titled “Business—Licensing, Collaborations and Partnerships—Assignment and License Agreement with Adimab.”</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October and November 2020,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1,410,434 shares of our Series B preferred stock at a purchase price of $56.72 per share for aggregate gross proceeds of $80.0 million.</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B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B</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Adimab, LLC</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44,076</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2,499,991</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176,304</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9,999,963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88,152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4,999,981</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Polaris Partners</w:t>
            </w:r>
            <w:r>
              <w:rPr>
                <w:rFonts w:ascii="Arial" w:cs="Arial" w:eastAsia="Arial" w:hAnsi="Arial"/>
                <w:sz w:val="15"/>
                <w:szCs w:val="15"/>
                <w:color w:val="auto"/>
              </w:rPr>
              <w:t>(3)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132,228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7,499,972</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352,609</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19,999,982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jc w:val="both"/>
        <w:ind w:left="540" w:hanging="424"/>
        <w:spacing w:after="0" w:line="253"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9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C Preferred Stock Financing</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April 2021, we entered into a preferred stock purchase agreement with certain investors, including beneficial owners of greater than 5% of our capital stock, members of our board of directors and affiliates of members of our board of directors, pursuant to which we issued and sold to such investors an aggregate of 4,296,550 shares of our Series C preferred stock at a purchase price of $78.08578 per share for aggregate gross proceeds of $335.5 million.</w:t>
      </w: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the aggregate number of shares of Series C preferred stock issued to our related parties in this financing:</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Series C</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8660" w:type="dxa"/>
            <w:vAlign w:val="bottom"/>
            <w:vMerge w:val="restart"/>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Stock</w:t>
            </w:r>
          </w:p>
        </w:tc>
        <w:tc>
          <w:tcPr>
            <w:tcW w:w="11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8660" w:type="dxa"/>
            <w:vAlign w:val="bottom"/>
            <w:vMerge w:val="continue"/>
          </w:tcPr>
          <w:p>
            <w:pPr>
              <w:spacing w:after="0"/>
              <w:rPr>
                <w:sz w:val="15"/>
                <w:szCs w:val="15"/>
                <w:color w:val="auto"/>
              </w:rPr>
            </w:pP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Adimab, LLC </w:t>
            </w:r>
            <w:r>
              <w:rPr>
                <w:rFonts w:ascii="Arial" w:cs="Arial" w:eastAsia="Arial" w:hAnsi="Arial"/>
                <w:sz w:val="15"/>
                <w:szCs w:val="15"/>
                <w:color w:val="auto"/>
              </w:rPr>
              <w:t>(1)</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128,064</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9,999,977</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 xml:space="preserve">Mithril II LP </w:t>
            </w:r>
            <w:r>
              <w:rPr>
                <w:rFonts w:ascii="Arial" w:cs="Arial" w:eastAsia="Arial" w:hAnsi="Arial"/>
                <w:sz w:val="15"/>
                <w:szCs w:val="15"/>
                <w:color w:val="auto"/>
              </w:rPr>
              <w:t>(2)</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422,612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32,999,988</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OrbiMed Private Investments VII, LP</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RA Capital Management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960,482</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74,999,986</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Entities affiliated with Polaris Partners </w:t>
            </w:r>
            <w:r>
              <w:rPr>
                <w:rFonts w:ascii="Arial" w:cs="Arial" w:eastAsia="Arial" w:hAnsi="Arial"/>
                <w:sz w:val="15"/>
                <w:szCs w:val="15"/>
                <w:color w:val="auto"/>
              </w:rPr>
              <w:t>(3)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224,112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17,499,960</w:t>
            </w:r>
          </w:p>
        </w:tc>
        <w:tc>
          <w:tcPr>
            <w:tcW w:w="0" w:type="dxa"/>
            <w:vAlign w:val="bottom"/>
          </w:tcPr>
          <w:p>
            <w:pPr>
              <w:spacing w:after="0"/>
              <w:rPr>
                <w:sz w:val="1"/>
                <w:szCs w:val="1"/>
                <w:color w:val="auto"/>
              </w:rPr>
            </w:pPr>
          </w:p>
        </w:tc>
      </w:tr>
      <w:tr>
        <w:trPr>
          <w:trHeight w:val="216"/>
        </w:trPr>
        <w:tc>
          <w:tcPr>
            <w:tcW w:w="9020" w:type="dxa"/>
            <w:vAlign w:val="bottom"/>
            <w:gridSpan w:val="2"/>
          </w:tcPr>
          <w:p>
            <w:pPr>
              <w:spacing w:after="0"/>
              <w:rPr>
                <w:sz w:val="20"/>
                <w:szCs w:val="20"/>
                <w:color w:val="auto"/>
              </w:rPr>
            </w:pPr>
            <w:r>
              <w:rPr>
                <w:rFonts w:ascii="Arial" w:cs="Arial" w:eastAsia="Arial" w:hAnsi="Arial"/>
                <w:sz w:val="18"/>
                <w:szCs w:val="18"/>
                <w:color w:val="auto"/>
              </w:rPr>
              <w:t>Entities affiliated with GV</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96,048</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7,499,983</w:t>
            </w:r>
          </w:p>
        </w:tc>
        <w:tc>
          <w:tcPr>
            <w:tcW w:w="0" w:type="dxa"/>
            <w:vAlign w:val="bottom"/>
          </w:tcPr>
          <w:p>
            <w:pPr>
              <w:spacing w:after="0"/>
              <w:rPr>
                <w:sz w:val="1"/>
                <w:szCs w:val="1"/>
                <w:color w:val="auto"/>
              </w:rPr>
            </w:pPr>
          </w:p>
        </w:tc>
      </w:tr>
      <w:tr>
        <w:trPr>
          <w:trHeight w:val="216"/>
        </w:trPr>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FMR, LLC</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640,321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hanging="424"/>
        <w:spacing w:after="0" w:line="253"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Tillman U. Gerngross, Ph.D., a member of our board of directors and our Chief Executive Officer, is an officer and member of the board of directors of Adimab, LLC, (b) Philip Chase, a former member of our board of directors, is an officer and member of the board of directors of Adimab, LLC, (c) Laura Walker, Ph.D., our Chief Scientific Officer, is an employee of Adimab, LLC, and (d) Terrance McGuire and Ajay Royan, members of our board of directors, are members of the board of directors of Adimab, LLC. Adimab, LLC holds more than 5% of our capital stock prior to this offering.</w:t>
      </w:r>
    </w:p>
    <w:p>
      <w:pPr>
        <w:spacing w:after="0" w:line="3"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Ajay Royan, a member of our board of directors, is the Managing General Partner and Founder of Mithril Capital Management LLC (“MCM”). MCM is a management company that manages Mithril II LP and is appointed by Mithril II GP LP, the general partner of Mithril II LP. Mithril II LP holds more than 5% of our capital stock prior to this offering.</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Terrance McGuire, a member of our board of directors, is a Founding Partner of Polaris Partners. Entities affiliated with Polaris Partners collectively hold more than 5% of our capital stock prior to this offering.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Agreements with Adimab</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Assignment and License Agreement</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We have entered into the Adimab Assignment Agreement pursuant to which Adimab assigned to us all coronavirus antibodies controlled by it, patents claiming such antibodies, know-how related to such antibodies, and biological and chemical materials specifically related to such antibodies, and also granted us a non-exclusive, sublicensable, worldwide, royalty-bearing license to certain of its platform technology to research, develop, make, use and sell coronavirus antibodies and products containing or comprising coronavirus antibodies. In connection with the transfer of the rights acquired and license received, we issued to Adimab 5,000,000 shares of our Series A preferred stock, then having a fair value of $40.0 million. Concurrently, Adimab relinquished to us 4,250,000 shares of our common stock, then having a fair value of $85,000. As of July 16, 2021, Adimab held approximately 30.8% of our outstanding capital stock on an as-converted basis.</w:t>
      </w:r>
    </w:p>
    <w:p>
      <w:pPr>
        <w:spacing w:after="0" w:line="177"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Under the Adimab Assignment Agreement, we are obligated to pay Adimab quarterly for its services performed under the agreement at a specified full-time equivalent rate. We are obligated to pay Adimab up to $24.6 million upon the achievement of specified development and regulatory milestones for the first two products that comprise or contain coronavirus antibodies assigned to us, antibodies discovered or optimized under the Adimab Assignment Agreement, or any derivative of such antibody, or the Products. We are also obligated to pay Adimab royalties of a mid single-digit percentage based on annual aggregate worldwide net sales of any Products, subject to reductions for third-party licenses, biosimilar competition and compulsory licensing.</w:t>
      </w:r>
    </w:p>
    <w:p>
      <w:pPr>
        <w:spacing w:after="0" w:line="192"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February 2021, we achieved the first specified milestone under the agreement upon dosing of the first patient in a Phase 1 clinical trial evaluating ADG20, which obligated us to make a $1.0 million payment to Adimab. We made the payment in March 2021. In April 2021, we achieved the second specified milestone under the agreement upon dosing of the first patient in a Phase 2 clinical trial evaluating ADG20 for the prevention of</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COVID-19, which obligated us to make a $2.5 million payment to Adimab. We made the payment in June 2021. In addition, for the period from June 3, 2020 (inception) to December 31, 2020 and for the three months ended March 31, 2021, we paid Adimab $0.6 million and $0.2 million, respectively, in connection with services provided under the Adimab Assignment Agreement. As of December 31, 2020 and March 31, 2021, $0.6 million and $0.2 million, respectively, was due to Adimab by us.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Assignment Agreement, see the section titled “Business—Licensing, Collaborations and Partnerships— Assignment and License Agreement with Adimab.”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Collaboration Agreement</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We have also entered into the Adimab Collaboration Agreement, pursuant to which we and Adimab will collaborate on the discovery and optimization of proprietary antibodies as potential therapeutic product candidates. In the event that Adimab discovers an antibody that is expected to meet certain product profiles developed by us, we will have the exclusive option to require Adimab to assign to us its rights in any such antibody and to grant us certain licenses. We entered into the collaboration agreement in May 2021 and are obligated to pay Adimab a quarterly fee of $1.3 million, which obligation may be cancelled at our option at any time.</w:t>
      </w:r>
    </w:p>
    <w:p>
      <w:pPr>
        <w:spacing w:after="0" w:line="188"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obligated to pay Adimab up to $18.0 million upon the achievement of specified development and regulatory milestones for each product under the agreement that achieves such milestones. We are also obligated to pay Adimab royalties of a mid single-digit percentage based on annual aggregate worldwide net sales of products, subject to reductions for third-party licenses.</w:t>
      </w:r>
    </w:p>
    <w:p>
      <w:pPr>
        <w:spacing w:after="0" w:line="184"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annual aggregate worldwide net sales of products that contain such antigens for the same royalty term as antibody-based products, but we are not obligated to make any milestone payments for such antigen products.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For more information on the Adimab Collaboration Agreement, see the section titled “Business—Licensing, Collaborations and Partnerships— Collaboration Agreement with Adimab.”</w:t>
      </w:r>
    </w:p>
    <w:p>
      <w:pPr>
        <w:spacing w:after="0" w:line="170"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Certain of our directors and officers are affiliated with Adimab. Tillman U. Gerngross, Ph.D., a member of our board of directors, our co-founder and Chief Executive Officer and the beneficial owner of 30.8% of our capital stock as of July 16, 2021, is a co-founder and the currently serving Chief Executive Officer of Adimab. Laura Walker, Ph.D., our co-founder and Chief Scientific Officer and a beneficial owner of approximately 1% of our capital stock as of July 16, 2021, is the Senior Director of Antibody Sciences at Adimab. Terrance McGuire, a beneficial owner of 8.9% of our capital stock as of July 16, 2021, and Ajay Royan, a beneficial owner of 10.2% of our capital stock as of July 16, 2021, are each a member of our board of directors and the board of directors of Adimab. Philip Chase, a beneficial owner of 30.8% of our capital stock as of July 16, 2021, is a former member of our board of directors and a member of the board of directors of Adimab.</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Voting and Right of First Refusal Agreements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connection with the sales of preferred stock described above, we entered into an amended and restated investors’ rights agreement, an amended and restated voting agreement and an amended and restated right of first refusal and co-sale agreement containing registration rights, information rights, voting rights and rights of first refusal, among other things, with the holders of our preferred stock. These agreements will terminate upon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40"/>
          </w:cols>
          <w:pgMar w:left="320" w:top="459"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closing of this offering, except for the registration rights granted under our amended and restated investors’ rights agreement, as more fully described in the section of this prospectus titled “Description of Capital Stock—Registration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consulting agreements with certain of our non-employee directors. For more information regarding our consulting agreements with our non-executive directors, see “Management—Non-Employee Director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We have entered into employment agreements or offer letter agreements with certain of our executive officers. For more information regarding our employment agreements with our named executive officers, see “Executive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closing of this offering will contain provisions limiting the liability of directors, and our amended and restated bylaws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the board.</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we have entered into indemnification agreements with each of our directors, and we expect to enter into indemnification agreements with each of our executive officers prior to the closing of this offering. For more information regarding these agreements, see “Executive Compensation —Limitations on Liability and Indemnification Matters.”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121"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Prior to this offering, we have not had a formal policy regarding approval of transactions with related parties. In connection with this offering, we have adopted a related person transaction policy that sets forth our procedures for the identification, review, consideration and approval or ratification of related person transactions, which policy will become effective immediately upon the execution of the underwriting agreement for this offering. For purposes of our policy only, a related person transaction will be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or director will not be covered by this policy. A related person will be any executive officer, director or beneficial owner of more than 5% of any class of our voting securities, including any of their immediate family members and any entity owned or controlled by such persons.</w:t>
      </w:r>
    </w:p>
    <w:p>
      <w:pPr>
        <w:spacing w:after="0" w:line="17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management must present information regarding the related person transaction to our audit committee, or, if audit committee approval would be inappropriate, to another independent body of our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director, executive officer and, to the extent feasible, significant stockholder to</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301" w:lineRule="auto"/>
        <w:rPr>
          <w:sz w:val="20"/>
          <w:szCs w:val="20"/>
          <w:color w:val="auto"/>
        </w:rPr>
      </w:pPr>
      <w:r>
        <w:rPr>
          <w:rFonts w:ascii="Arial" w:cs="Arial" w:eastAsia="Arial" w:hAnsi="Arial"/>
          <w:sz w:val="16"/>
          <w:szCs w:val="16"/>
          <w:color w:val="auto"/>
        </w:rPr>
        <w:t>enable us to identify any existing or potential related-person transactions and to effectuate the terms of the policy. In addition, under our Code of Conduct that we expect to adopt prior to the closing of this offering, our employees and directors will have an affirmative responsibility to disclose any transaction or relationship that reasonably could be expected to give rise to a conflict of interest. In considering related person transactions, our audit committee, or other independent body of our board of directors, will take into account the relevant available facts and circumstances, including:</w:t>
      </w:r>
    </w:p>
    <w:p>
      <w:pPr>
        <w:spacing w:after="0" w:line="63"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that the related person is a director, immediate family member of a director or an entity with which a director is affiliated;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 or to or from employees generally.</w:t>
      </w:r>
    </w:p>
    <w:p>
      <w:pPr>
        <w:spacing w:after="0" w:line="22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policy will require that, in determining whether to approve, ratify or reject a related person transaction, our audit committee, or other independent body of our board of directors, must consider, in light of known circumstances, whether the transaction is in, or is not inconsistent with, our best interests and those of our stockholders, as our audit committee, or other independent body of our board of directors, determines in the good faith exercise of its discretion.</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in the agreement or transaction were disclosed to our board of directors. Our board of directors took this information into account when evaluating the transaction and in determining whether such transaction was fair to us and in the best interest of all our stockholders.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information regarding beneficial ownership of our capital stock as of July 16, 2021 by:</w:t>
      </w:r>
    </w:p>
    <w:p>
      <w:pPr>
        <w:spacing w:after="0" w:line="131"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We have determined beneficial ownership in accordance with the rules of the SEC. Under these rules, beneficial ownership includes any shares of common stock as to which the individual or entity has sole or shared voting power or investment power. Applicable percentage ownership is based on 18,064,332 shares of common stock outstanding as of July 16, 2021, after giving effect to the conversion of all outstanding shares of our preferred stock. In computing the number of shares beneficially owned by an individual or entity and the percentage ownership of that person, shares of common stock subject to options held by such person that are currently exercisable or will become exercisable within 60 days of July 16, 2021 are considered outstanding, although these shares are not considered outstanding for purposes of computing the percentage ownership of any other person.</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Unless noted otherwise, the address of all listed stockholders is c/o Adagio Therapeutics, Inc., 303 Wyman Street, Suite 300, Waltham, MA 02451.</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indicated by the footnotes below, we believe, based on information furnished to us, that each of the stockholders listed has sole voting and investment power with respect to the shares beneficially owned by the stockholder unless noted otherwise, subject to community property laws where applicable.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Number of</w:t>
            </w:r>
          </w:p>
        </w:tc>
        <w:tc>
          <w:tcPr>
            <w:tcW w:w="18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9"/>
              </w:rPr>
              <w:t>Percentage of Shares</w:t>
            </w:r>
          </w:p>
        </w:tc>
        <w:tc>
          <w:tcPr>
            <w:tcW w:w="0" w:type="dxa"/>
            <w:vAlign w:val="bottom"/>
          </w:tcPr>
          <w:p>
            <w:pPr>
              <w:spacing w:after="0"/>
              <w:rPr>
                <w:sz w:val="1"/>
                <w:szCs w:val="1"/>
                <w:color w:val="auto"/>
              </w:rPr>
            </w:pPr>
          </w:p>
        </w:tc>
      </w:tr>
      <w:tr>
        <w:trPr>
          <w:trHeight w:val="162"/>
        </w:trPr>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Shares</w:t>
            </w:r>
          </w:p>
        </w:tc>
        <w:tc>
          <w:tcPr>
            <w:tcW w:w="18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19"/>
        </w:trPr>
        <w:tc>
          <w:tcPr>
            <w:tcW w:w="16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3620" w:type="dxa"/>
            <w:vAlign w:val="bottom"/>
            <w:vMerge w:val="restart"/>
          </w:tcPr>
          <w:p>
            <w:pPr>
              <w:spacing w:after="0"/>
              <w:rPr>
                <w:sz w:val="10"/>
                <w:szCs w:val="10"/>
                <w:color w:val="auto"/>
              </w:rPr>
            </w:pPr>
          </w:p>
        </w:tc>
        <w:tc>
          <w:tcPr>
            <w:tcW w:w="2820" w:type="dxa"/>
            <w:vAlign w:val="bottom"/>
          </w:tcPr>
          <w:p>
            <w:pPr>
              <w:spacing w:after="0"/>
              <w:rPr>
                <w:sz w:val="10"/>
                <w:szCs w:val="10"/>
                <w:color w:val="auto"/>
              </w:rPr>
            </w:pPr>
          </w:p>
        </w:tc>
        <w:tc>
          <w:tcPr>
            <w:tcW w:w="116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Beneficially</w:t>
            </w:r>
          </w:p>
        </w:tc>
        <w:tc>
          <w:tcPr>
            <w:tcW w:w="104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Before</w:t>
            </w:r>
          </w:p>
        </w:tc>
        <w:tc>
          <w:tcPr>
            <w:tcW w:w="54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gridSpan w:val="3"/>
            <w:vMerge w:val="continue"/>
          </w:tcPr>
          <w:p>
            <w:pPr>
              <w:spacing w:after="0"/>
              <w:rPr>
                <w:sz w:val="15"/>
                <w:szCs w:val="15"/>
                <w:color w:val="auto"/>
              </w:rPr>
            </w:pPr>
          </w:p>
        </w:tc>
        <w:tc>
          <w:tcPr>
            <w:tcW w:w="3620" w:type="dxa"/>
            <w:vAlign w:val="bottom"/>
            <w:vMerge w:val="continue"/>
          </w:tcPr>
          <w:p>
            <w:pPr>
              <w:spacing w:after="0"/>
              <w:rPr>
                <w:sz w:val="15"/>
                <w:szCs w:val="15"/>
                <w:color w:val="auto"/>
              </w:rPr>
            </w:pPr>
          </w:p>
        </w:tc>
        <w:tc>
          <w:tcPr>
            <w:tcW w:w="2820" w:type="dxa"/>
            <w:vAlign w:val="bottom"/>
          </w:tcPr>
          <w:p>
            <w:pPr>
              <w:spacing w:after="0"/>
              <w:rPr>
                <w:sz w:val="15"/>
                <w:szCs w:val="15"/>
                <w:color w:val="auto"/>
              </w:rPr>
            </w:pPr>
          </w:p>
        </w:tc>
        <w:tc>
          <w:tcPr>
            <w:tcW w:w="116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4"/>
              </w:rPr>
              <w:t>Owned</w:t>
            </w:r>
          </w:p>
        </w:tc>
        <w:tc>
          <w:tcPr>
            <w:tcW w:w="104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5"/>
              </w:rPr>
              <w:t>Offering</w:t>
            </w:r>
          </w:p>
        </w:tc>
        <w:tc>
          <w:tcPr>
            <w:tcW w:w="0" w:type="dxa"/>
            <w:vAlign w:val="bottom"/>
          </w:tcPr>
          <w:p>
            <w:pPr>
              <w:spacing w:after="0"/>
              <w:rPr>
                <w:sz w:val="1"/>
                <w:szCs w:val="1"/>
                <w:color w:val="auto"/>
              </w:rPr>
            </w:pPr>
          </w:p>
        </w:tc>
      </w:tr>
      <w:tr>
        <w:trPr>
          <w:trHeight w:val="190"/>
        </w:trPr>
        <w:tc>
          <w:tcPr>
            <w:tcW w:w="5240" w:type="dxa"/>
            <w:vAlign w:val="bottom"/>
            <w:tcBorders>
              <w:top w:val="single" w:sz="8" w:color="CCEEFF"/>
            </w:tcBorders>
            <w:gridSpan w:val="4"/>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Greater than 5% stockholders</w:t>
            </w:r>
          </w:p>
        </w:tc>
        <w:tc>
          <w:tcPr>
            <w:tcW w:w="28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Adimab, LLC (1)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FMR, LLC (2).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1,992,930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Mithril II LP (3)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Entities affiliated with Polaris Partners (4)</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GV (5)</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1,136,157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6.3%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OrbiMed Private Investments VII, LP (6)</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996,700</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Entities affiliated with RA Capital Management (7)</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960,482</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5.3%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8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Tillman U. Gerngross, Ph.D. (8)</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5,569,199</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Lynn Connolly, M.D., Ph.D. (9)</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50,183</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Rebecca Dabora, Ph.D.</w:t>
            </w:r>
          </w:p>
        </w:tc>
        <w:tc>
          <w:tcPr>
            <w:tcW w:w="28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René Russo, Pharm.D. (10)</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397,059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Terrance McGuire (11)</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1,606,340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8.9%</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Ajay Royan (12)</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1,848,916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Howard Mayer, M.D. (13)</w:t>
            </w:r>
          </w:p>
        </w:tc>
        <w:tc>
          <w:tcPr>
            <w:tcW w:w="3980" w:type="dxa"/>
            <w:vAlign w:val="bottom"/>
            <w:gridSpan w:val="3"/>
          </w:tcPr>
          <w:p>
            <w:pPr>
              <w:jc w:val="right"/>
              <w:ind w:right="360"/>
              <w:spacing w:after="0"/>
              <w:rPr>
                <w:sz w:val="20"/>
                <w:szCs w:val="20"/>
                <w:color w:val="auto"/>
              </w:rPr>
            </w:pPr>
            <w:r>
              <w:rPr>
                <w:rFonts w:ascii="Arial" w:cs="Arial" w:eastAsia="Arial" w:hAnsi="Arial"/>
                <w:sz w:val="18"/>
                <w:szCs w:val="18"/>
                <w:color w:val="auto"/>
              </w:rPr>
              <w:t>11,653</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0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Anand Shah, M.D.</w:t>
            </w:r>
          </w:p>
        </w:tc>
        <w:tc>
          <w:tcPr>
            <w:tcW w:w="28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020" w:type="dxa"/>
            <w:vAlign w:val="bottom"/>
            <w:gridSpan w:val="3"/>
          </w:tcPr>
          <w:p>
            <w:pPr>
              <w:ind w:left="140"/>
              <w:spacing w:after="0"/>
              <w:rPr>
                <w:sz w:val="20"/>
                <w:szCs w:val="20"/>
                <w:color w:val="auto"/>
              </w:rPr>
            </w:pPr>
            <w:r>
              <w:rPr>
                <w:rFonts w:ascii="Arial" w:cs="Arial" w:eastAsia="Arial" w:hAnsi="Arial"/>
                <w:sz w:val="18"/>
                <w:szCs w:val="18"/>
                <w:color w:val="auto"/>
              </w:rPr>
              <w:t>Tom Heyman</w:t>
            </w:r>
          </w:p>
        </w:tc>
        <w:tc>
          <w:tcPr>
            <w:tcW w:w="282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2"/>
              </w:rPr>
              <w:t>All current executive officers and directors as a group (12 persons)(14)</w:t>
            </w:r>
          </w:p>
        </w:tc>
        <w:tc>
          <w:tcPr>
            <w:tcW w:w="39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9,522,526</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20" w:type="dxa"/>
            <w:vAlign w:val="bottom"/>
            <w:gridSpan w:val="2"/>
          </w:tcPr>
          <w:p>
            <w:pPr>
              <w:spacing w:after="0"/>
              <w:rPr>
                <w:sz w:val="11"/>
                <w:szCs w:val="11"/>
                <w:color w:val="auto"/>
              </w:rPr>
            </w:pPr>
          </w:p>
        </w:tc>
        <w:tc>
          <w:tcPr>
            <w:tcW w:w="2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5020" w:type="dxa"/>
            <w:vAlign w:val="bottom"/>
            <w:gridSpan w:val="3"/>
          </w:tcPr>
          <w:p>
            <w:pPr>
              <w:ind w:left="200"/>
              <w:spacing w:after="0"/>
              <w:rPr>
                <w:sz w:val="20"/>
                <w:szCs w:val="20"/>
                <w:color w:val="auto"/>
              </w:rPr>
            </w:pPr>
            <w:r>
              <w:rPr>
                <w:rFonts w:ascii="Arial" w:cs="Arial" w:eastAsia="Arial" w:hAnsi="Arial"/>
                <w:sz w:val="18"/>
                <w:szCs w:val="18"/>
                <w:color w:val="auto"/>
              </w:rPr>
              <w:t>Represents beneficial ownership of less than one percent.</w:t>
            </w:r>
          </w:p>
        </w:tc>
        <w:tc>
          <w:tcPr>
            <w:tcW w:w="2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820" w:type="dxa"/>
            <w:vAlign w:val="bottom"/>
          </w:tcPr>
          <w:p>
            <w:pPr>
              <w:jc w:val="right"/>
              <w:ind w:right="2330"/>
              <w:spacing w:after="0"/>
              <w:rPr>
                <w:sz w:val="20"/>
                <w:szCs w:val="20"/>
                <w:color w:val="auto"/>
              </w:rPr>
            </w:pPr>
            <w:r>
              <w:rPr>
                <w:rFonts w:ascii="Arial" w:cs="Arial" w:eastAsia="Arial" w:hAnsi="Arial"/>
                <w:sz w:val="18"/>
                <w:szCs w:val="18"/>
                <w:color w:val="auto"/>
              </w:rPr>
              <w:t>188</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53"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Tillman U. Gerngross, a member of our board of directors and our Chief Executive Officer, is an officer and a member of the board of directors of Adimab, LLC and may be deemed to have shared voting and investment power with respect to the shares held by Adimab, LLC.</w:t>
      </w:r>
    </w:p>
    <w:p>
      <w:pPr>
        <w:spacing w:after="0" w:line="3" w:lineRule="exact"/>
        <w:rPr>
          <w:rFonts w:ascii="Arial" w:cs="Arial" w:eastAsia="Arial" w:hAnsi="Arial"/>
          <w:sz w:val="18"/>
          <w:szCs w:val="18"/>
          <w:color w:val="auto"/>
        </w:rPr>
      </w:pPr>
    </w:p>
    <w:p>
      <w:pPr>
        <w:jc w:val="both"/>
        <w:ind w:left="540" w:hanging="424"/>
        <w:spacing w:after="0" w:line="267"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Consists of (a) (i) 439,872 shares of common stock issuable upon conversion of Series A preferred stock, (ii) 137,700 shares of common stock issuable upon conversion of Series B preferred stock and (iii) 252,152 shares of common stock issuable upon conversion of Series C preferred stock held by Mag &amp; Co fbo Fidelity Growth Company Commingled Pool (FGCCP), (b) (i) 413,930 shares of common stock issuable upon conversion of Series A preferred stock, (ii) 149,500 shares of common stock issuable upon conversion of Series B preferred stock and (iii) 237,437 shares of common stock issuable upon conversion of Series C preferred stock held by Powhatan &amp; Co., LLC fbo Fidelity Mt. Vernon Street Trust: Fidelity Growth Company Fund (FGCF), (c) (i) 90,362 shares of common stock issuable upon conversion of Series A preferred stock, (ii) 28,136 shares of common stock issuable upon conversion of Series B preferred stock and (iii) 53,288 shares of common stock issuable upon conversion of Series C preferred stock held by Mag &amp; Co fbo Fidelity Mt. Vernon Street Trust: Fidelity Series Growth Company Fund (FSGCF), (d) (i) 55,836 shares of common stock issuable upon conversion of Series A preferred stock, (ii) 18,173 shares of common stock issuable upon conversion of Series B preferred stock and (iii) 97,444 shares of common stock issuable upon conversion of Series C preferred stock held by Powhatan &amp; Co., LLC fbo Fidelity Mt. Vernon Street Trust: Fidelity Growth Company K6 Fund (FGCKF), and (e) 19,100 shares of common stock issuable upon conversion of Series B preferred stock held by Mag &amp; Co fbo Fidelity Select Portfolios: Biotechnology Portfolio (FSPBP, together with FGCCP, FGCF, FSGCF and FGCKF, the Fidelity Funds).</w:t>
      </w:r>
    </w:p>
    <w:p>
      <w:pPr>
        <w:spacing w:after="0" w:line="74"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Fidelity Funds are managed by direct or indirect subsidiaries of FMR LLC. Abigail P. Johnson is a Director, the Chairman, the Chief Executive Officer and the President of FMR LLC.</w:t>
      </w:r>
    </w:p>
    <w:p>
      <w:pPr>
        <w:spacing w:after="0" w:line="62" w:lineRule="exact"/>
        <w:rPr>
          <w:rFonts w:ascii="Arial" w:cs="Arial" w:eastAsia="Arial" w:hAnsi="Arial"/>
          <w:sz w:val="17"/>
          <w:szCs w:val="17"/>
          <w:color w:val="auto"/>
        </w:rPr>
      </w:pPr>
    </w:p>
    <w:p>
      <w:pPr>
        <w:jc w:val="both"/>
        <w:ind w:left="560"/>
        <w:spacing w:after="0" w:line="255" w:lineRule="auto"/>
        <w:rPr>
          <w:rFonts w:ascii="Arial" w:cs="Arial" w:eastAsia="Arial" w:hAnsi="Arial"/>
          <w:sz w:val="17"/>
          <w:szCs w:val="17"/>
          <w:color w:val="auto"/>
        </w:rPr>
      </w:pPr>
      <w:r>
        <w:rPr>
          <w:rFonts w:ascii="Arial" w:cs="Arial" w:eastAsia="Arial" w:hAnsi="Arial"/>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84" w:lineRule="exact"/>
        <w:rPr>
          <w:rFonts w:ascii="Arial" w:cs="Arial" w:eastAsia="Arial" w:hAnsi="Arial"/>
          <w:sz w:val="17"/>
          <w:szCs w:val="17"/>
          <w:color w:val="auto"/>
        </w:rPr>
      </w:pPr>
    </w:p>
    <w:p>
      <w:pPr>
        <w:jc w:val="both"/>
        <w:ind w:left="560" w:right="20"/>
        <w:spacing w:after="0" w:line="279" w:lineRule="auto"/>
        <w:rPr>
          <w:rFonts w:ascii="Arial" w:cs="Arial" w:eastAsia="Arial" w:hAnsi="Arial"/>
          <w:sz w:val="17"/>
          <w:szCs w:val="17"/>
          <w:color w:val="auto"/>
        </w:rPr>
      </w:pPr>
      <w:r>
        <w:rPr>
          <w:rFonts w:ascii="Arial" w:cs="Arial" w:eastAsia="Arial" w:hAnsi="Arial"/>
          <w:sz w:val="17"/>
          <w:szCs w:val="17"/>
          <w:color w:val="auto"/>
        </w:rPr>
        <w:t>Neither FMR LLC nor Abigail P. Johnson has the sole power to vote or direct the voting of the shares owned directly by the various investment companies registered under the Investment Company Act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63" w:lineRule="exact"/>
        <w:rPr>
          <w:rFonts w:ascii="Arial" w:cs="Arial" w:eastAsia="Arial" w:hAnsi="Arial"/>
          <w:sz w:val="17"/>
          <w:szCs w:val="17"/>
          <w:color w:val="auto"/>
        </w:rPr>
      </w:pPr>
    </w:p>
    <w:p>
      <w:pPr>
        <w:ind w:left="560" w:right="20"/>
        <w:spacing w:after="0" w:line="277" w:lineRule="auto"/>
        <w:rPr>
          <w:rFonts w:ascii="Arial" w:cs="Arial" w:eastAsia="Arial" w:hAnsi="Arial"/>
          <w:sz w:val="17"/>
          <w:szCs w:val="17"/>
          <w:color w:val="auto"/>
        </w:rPr>
      </w:pPr>
      <w:r>
        <w:rPr>
          <w:rFonts w:ascii="Arial" w:cs="Arial" w:eastAsia="Arial" w:hAnsi="Arial"/>
          <w:sz w:val="18"/>
          <w:szCs w:val="18"/>
          <w:color w:val="auto"/>
        </w:rPr>
        <w:t>The principal business address for FSGCF, FGCCP and FSPBP referenced in this footnote is c/o Brown Brothers Harriman &amp; Co. Attn: Corporate Actions /Vault 140 Broadway New York, NY 10005.</w:t>
      </w:r>
    </w:p>
    <w:p>
      <w:pPr>
        <w:spacing w:after="0" w:line="62"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7"/>
          <w:szCs w:val="17"/>
          <w:color w:val="auto"/>
        </w:rPr>
        <w:t>The principal business address for FGCF and FGCKF referenced in this footnote is c/o BNY Mellon PO Box 392002, Pittsburgh PA 15230.</w:t>
      </w:r>
    </w:p>
    <w:p>
      <w:pPr>
        <w:spacing w:after="0" w:line="34" w:lineRule="exact"/>
        <w:rPr>
          <w:rFonts w:ascii="Arial" w:cs="Arial" w:eastAsia="Arial" w:hAnsi="Arial"/>
          <w:sz w:val="17"/>
          <w:szCs w:val="17"/>
          <w:color w:val="auto"/>
        </w:rPr>
      </w:pPr>
    </w:p>
    <w:p>
      <w:pPr>
        <w:jc w:val="both"/>
        <w:ind w:left="540" w:right="20" w:hanging="424"/>
        <w:spacing w:after="0" w:line="290"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Ajay Royan, a member of our board of directors,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0" w:hanging="424"/>
        <w:spacing w:after="0" w:line="287"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Polaris Venture Partners V, L.P. (PVP V), (b) (i) 7,052 shares of common stock issuable upon conversion of Series A preferred stock,</w:t>
      </w:r>
    </w:p>
    <w:p>
      <w:pPr>
        <w:spacing w:after="0" w:line="2" w:lineRule="exact"/>
        <w:rPr>
          <w:rFonts w:ascii="Arial" w:cs="Arial" w:eastAsia="Arial" w:hAnsi="Arial"/>
          <w:sz w:val="16"/>
          <w:szCs w:val="16"/>
          <w:color w:val="auto"/>
        </w:rPr>
      </w:pPr>
    </w:p>
    <w:p>
      <w:pPr>
        <w:jc w:val="both"/>
        <w:ind w:left="540" w:firstLine="8"/>
        <w:spacing w:after="0" w:line="267" w:lineRule="auto"/>
        <w:tabs>
          <w:tab w:leader="none" w:pos="823" w:val="left"/>
        </w:tabs>
        <w:numPr>
          <w:ilvl w:val="1"/>
          <w:numId w:val="129"/>
        </w:numPr>
        <w:rPr>
          <w:rFonts w:ascii="Arial" w:cs="Arial" w:eastAsia="Arial" w:hAnsi="Arial"/>
          <w:sz w:val="17"/>
          <w:szCs w:val="17"/>
          <w:color w:val="auto"/>
        </w:rPr>
      </w:pPr>
      <w:r>
        <w:rPr>
          <w:rFonts w:ascii="Arial" w:cs="Arial" w:eastAsia="Arial" w:hAnsi="Arial"/>
          <w:sz w:val="17"/>
          <w:szCs w:val="17"/>
          <w:color w:val="auto"/>
        </w:rPr>
        <w:t>1,658 shares of common stock issuable upon conversion of Series B preferred stock and (iii) 2,409 shares of common stock issuable upon conversion of Series C preferred stock held by Polaris Venture Partners Entrepreneurs’ Fund V, L.P. (PVPEF V), (c) (i) 2,479 shares of common stock issuable upon conversion of Series A preferred stock, (ii) 583 shares of common stock issuable upon conversion of Series B preferred stock and (iii) 846 shares of common stock issuable upon conversion of Series C preferred stock held by Polaris Venture Partners Founders’ Fund V, L.P. (PVPFF V), (d) (i) 3,619 shares of common stock issuable upon conversion of Series A preferred stock, (ii) 850 shares of common stock issuable upon conversion of Series B convertible preferred stock and (iii) 1,235 shares of common stock issuable upon conversion of Series C preferred stock held by Polaris Venture Partners Special Founders’ Fund V, L.P. (PVPSFF V, together with PVP V, PVPEF V, and PVPFF V, the Polaris V Funds), (e) (i) 875,000 shares of common stock issuable upon conversion of Series A preferred stock, (ii) 44,076 shares of common stock issuable upon conversion of Series B preferred stock and (iii) 32,016 shares of common stock issuable upon conversion of Series C preferred stock held by Polaris Partners IX, L.P. (PP IX), and (f) 64,032 shares of common stock issuable upon conversion of Series C preferred stock held by Polaris Healthcare Technology Opportunities Fund, L.P. (PHCT).</w:t>
      </w:r>
    </w:p>
    <w:p>
      <w:pPr>
        <w:spacing w:after="0" w:line="78" w:lineRule="exact"/>
        <w:rPr>
          <w:sz w:val="20"/>
          <w:szCs w:val="20"/>
          <w:color w:val="auto"/>
        </w:rPr>
      </w:pPr>
    </w:p>
    <w:p>
      <w:pPr>
        <w:jc w:val="both"/>
        <w:ind w:left="560"/>
        <w:spacing w:after="0" w:line="259" w:lineRule="auto"/>
        <w:rPr>
          <w:sz w:val="20"/>
          <w:szCs w:val="20"/>
          <w:color w:val="auto"/>
        </w:rPr>
      </w:pPr>
      <w:r>
        <w:rPr>
          <w:rFonts w:ascii="Arial" w:cs="Arial" w:eastAsia="Arial" w:hAnsi="Arial"/>
          <w:sz w:val="18"/>
          <w:szCs w:val="18"/>
          <w:color w:val="auto"/>
        </w:rPr>
        <w:t>Polaris Venture Management Co. V, L.L.C. (PVM V) is the general partner of each of the Polaris V Funds and may be deemed to have shared voting and investment power with respect to the shares held by each of the Polaris V Funds. Jonathan A. Flint and Mr. McGuire (collectively, the PVM V Managing Members) are the managing members of PVM V and may be deemed to have shared voting and investment power with respect to the shares held by each of the Polaris V Funds.</w:t>
      </w:r>
    </w:p>
    <w:p>
      <w:pPr>
        <w:spacing w:after="0" w:line="79"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Partners GP IX, L.L.C. (PP GP IX) is the general partner of PP IX and may be deemed to have shared voting and investment power with respect to the shares held by PP IX. David Barrett, Brian Chee, Amir Nashat and Amy Schulman (collectively, the PP GP IX Managing Members) are the managing members of PP GP IX and Mr. McGuire holds an interest in PP GP IX. Each of the PP GP IX Managing Members and Mr. McGuire, in their respective capacities with respect to PP GP IX, may be deemed to have shared voting and investment power with respect to the shares held by PP IX.</w:t>
      </w:r>
    </w:p>
    <w:p>
      <w:pPr>
        <w:spacing w:after="0" w:line="80" w:lineRule="exact"/>
        <w:rPr>
          <w:sz w:val="20"/>
          <w:szCs w:val="20"/>
          <w:color w:val="auto"/>
        </w:rPr>
      </w:pPr>
    </w:p>
    <w:p>
      <w:pPr>
        <w:jc w:val="both"/>
        <w:ind w:left="560" w:right="20"/>
        <w:spacing w:after="0" w:line="257" w:lineRule="auto"/>
        <w:rPr>
          <w:sz w:val="20"/>
          <w:szCs w:val="20"/>
          <w:color w:val="auto"/>
        </w:rPr>
      </w:pPr>
      <w:r>
        <w:rPr>
          <w:rFonts w:ascii="Arial" w:cs="Arial" w:eastAsia="Arial" w:hAnsi="Arial"/>
          <w:sz w:val="18"/>
          <w:szCs w:val="18"/>
          <w:color w:val="auto"/>
        </w:rPr>
        <w:t>Polaris Healthcare Technology Opportunities Fund GP, L.L.C. (PHCT GP) is the general partner of PHCT and may be deemed to have shared voting and investment power with respect to the shares held by PHCT. David Barrett, Brian Chee, Amir Nashat and Amy Schulman (collectively, the PHCT GP Managing Members) are the managing members of PHCT GP and Mr. McGuire holds an interest in PHCT GP. Each of the PHCT GP Managing Members and Mr. McGuire, in their respective capacities with respect to PHCT GP, may be deemed to have shared voting and investment power with respect to the shares held by PHCT.</w:t>
      </w:r>
    </w:p>
    <w:p>
      <w:pPr>
        <w:spacing w:after="0" w:line="80"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8"/>
          <w:szCs w:val="18"/>
          <w:color w:val="auto"/>
        </w:rPr>
        <w:t>The principal business address for all entities and individuals referenced in this footnote is c/o Polaris Partners, One Marina Park Drive, 10th Floor, Boston, Massachusetts 02210.</w:t>
      </w:r>
    </w:p>
    <w:p>
      <w:pPr>
        <w:spacing w:after="0" w:line="1" w:lineRule="exact"/>
        <w:rPr>
          <w:sz w:val="20"/>
          <w:szCs w:val="20"/>
          <w:color w:val="auto"/>
        </w:rPr>
      </w:pPr>
    </w:p>
    <w:p>
      <w:pPr>
        <w:jc w:val="both"/>
        <w:ind w:left="540" w:right="20" w:hanging="424"/>
        <w:spacing w:after="0" w:line="255"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Consists of (a) 687,500 shares of common stock issuable upon conversion of Series A preferred stock held by GV 2019, L.P. (GV 2019), (b) 352,609 shares of common stock issuable upon conversion of Series B preferred stock held by GV 2019, and (c) 96,048 shares of common stock issuable upon conversion of Series C preferred stock held by GV 2021, L.P. (GV 2021).</w:t>
      </w:r>
    </w:p>
    <w:p>
      <w:pPr>
        <w:spacing w:after="0" w:line="81" w:lineRule="exact"/>
        <w:rPr>
          <w:rFonts w:ascii="Arial" w:cs="Arial" w:eastAsia="Arial" w:hAnsi="Arial"/>
          <w:sz w:val="18"/>
          <w:szCs w:val="18"/>
          <w:color w:val="auto"/>
        </w:rPr>
      </w:pPr>
    </w:p>
    <w:p>
      <w:pPr>
        <w:jc w:val="both"/>
        <w:ind w:left="560" w:right="20"/>
        <w:spacing w:after="0" w:line="259" w:lineRule="auto"/>
        <w:rPr>
          <w:rFonts w:ascii="Arial" w:cs="Arial" w:eastAsia="Arial" w:hAnsi="Arial"/>
          <w:sz w:val="18"/>
          <w:szCs w:val="18"/>
          <w:color w:val="auto"/>
        </w:rPr>
      </w:pPr>
      <w:r>
        <w:rPr>
          <w:rFonts w:ascii="Arial" w:cs="Arial" w:eastAsia="Arial" w:hAnsi="Arial"/>
          <w:sz w:val="18"/>
          <w:szCs w:val="18"/>
          <w:color w:val="auto"/>
        </w:rPr>
        <w:t>GV 2019 GP, L.P., the general partner of GV 2019, GV 2019 GP, L.L.C., the general partner of GV 2019 GP, L.P., Alphabet Holdings LLC, the managing member of GV 2019 GP, L.L.C., XXVI Holdings Inc., the managing member of Alphabet Holdings LLC, and Alphabet Inc., the controlling stockholder of XXVI Holdings Inc., may each be deemed to have shared voting and investment power with respect to the shares held GV 2019.</w:t>
      </w:r>
    </w:p>
    <w:p>
      <w:pPr>
        <w:spacing w:after="0" w:line="78" w:lineRule="exact"/>
        <w:rPr>
          <w:rFonts w:ascii="Arial" w:cs="Arial" w:eastAsia="Arial" w:hAnsi="Arial"/>
          <w:sz w:val="18"/>
          <w:szCs w:val="18"/>
          <w:color w:val="auto"/>
        </w:rPr>
      </w:pPr>
    </w:p>
    <w:p>
      <w:pPr>
        <w:ind w:left="560" w:right="20"/>
        <w:spacing w:after="0" w:line="277" w:lineRule="auto"/>
        <w:rPr>
          <w:rFonts w:ascii="Arial" w:cs="Arial" w:eastAsia="Arial" w:hAnsi="Arial"/>
          <w:sz w:val="18"/>
          <w:szCs w:val="18"/>
          <w:color w:val="auto"/>
        </w:rPr>
      </w:pPr>
      <w:r>
        <w:rPr>
          <w:rFonts w:ascii="Arial" w:cs="Arial" w:eastAsia="Arial" w:hAnsi="Arial"/>
          <w:sz w:val="18"/>
          <w:szCs w:val="18"/>
          <w:color w:val="auto"/>
        </w:rPr>
        <w:t>GV 2021 GP, L.P., the general partner of GV 2021, GV 2021 GP, L.L.C., the general partner of GV 2021 GP, L.P., Alphabet Holdings LLC, the managing member of GV 2021 GP, L.L.C., XXVI Holdings Inc.,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77" w:lineRule="auto"/>
        <w:rPr>
          <w:sz w:val="20"/>
          <w:szCs w:val="20"/>
          <w:color w:val="auto"/>
        </w:rPr>
      </w:pPr>
      <w:r>
        <w:rPr>
          <w:rFonts w:ascii="Arial" w:cs="Arial" w:eastAsia="Arial" w:hAnsi="Arial"/>
          <w:sz w:val="18"/>
          <w:szCs w:val="18"/>
          <w:color w:val="auto"/>
        </w:rPr>
        <w:t>managing member of Alphabet Holdings LLC, and Alphabet Inc., the controlling stockholder of XXVI Holdings Inc., may each be deemed to have shared voting and investment power with respect to the shares held GV 2021.</w:t>
      </w: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Each of the entities described above as being affiliated with GV 2019, L.P. and/or GV 2021, L.P. is subject to the ultimate control of Alphabet Inc., a publicly traded company.</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principal business address for all entities referenced in this footnote is 1600 Amphitheatre Parkway, Mountain View, CA 94043.</w:t>
      </w:r>
    </w:p>
    <w:p>
      <w:pPr>
        <w:spacing w:after="0" w:line="23" w:lineRule="exact"/>
        <w:rPr>
          <w:sz w:val="20"/>
          <w:szCs w:val="20"/>
          <w:color w:val="auto"/>
        </w:rPr>
      </w:pPr>
    </w:p>
    <w:p>
      <w:pPr>
        <w:jc w:val="both"/>
        <w:ind w:left="54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Consists of (a) 812,500 shares of common stock issuable upon conversion of Series A preferred stock, (b) 88,152 shares of common stock issuable upon conversion of Series B preferred stock and (c) 96,048 shares of common stock issuable upon conversion of Series C preferred stock. OrbiMed Capital GP VII LLC (OrbiMed GP VII) is the general partner of OrbiMed Private Investments VII, LP (OPI VII). OrbiMed Advisors LLC (OrbiMed Advisors) is the managing member of OrbiMed GP VII. OrbiMed GP VII and OrbiMed Advisors may be deemed to have shared voting and investment power with respect to the shares held by OPI VII. OrbiMed Advisors exercises investment and voting power through a management committee comprised of Carl L. Gordon, Sven H. Borho and Jonathan T. Silverstein, each of whom disclaims beneficial ownership of the shares held by OPI VII.</w:t>
      </w:r>
    </w:p>
    <w:p>
      <w:pPr>
        <w:spacing w:after="0" w:line="2" w:lineRule="exact"/>
        <w:rPr>
          <w:rFonts w:ascii="Arial" w:cs="Arial" w:eastAsia="Arial" w:hAnsi="Arial"/>
          <w:sz w:val="18"/>
          <w:szCs w:val="18"/>
          <w:color w:val="auto"/>
        </w:rPr>
      </w:pPr>
    </w:p>
    <w:p>
      <w:pPr>
        <w:jc w:val="both"/>
        <w:ind w:left="54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Consists of (a) 816,410 shares of common stock issuable upon conversion of Series C preferred stock held by RA Capital Healthcare Fund, L.P. (RA Healthcare), and (b) 144,072 shares of common stock issuable upon conversion of Series C preferred stock held by RA Capital Nexus Fund II, L.P. (Nexus II). RA Capital Management, L.P., is the investment manager for RA Healthcare and Nexus II. The general partner of RA Capital Management, L.P., is RA Capital Management GP, LLC, of which Peter Kolchinsky and Rajeev Shah are the managing members. RA Capital Management, L.P., RA Capital Management GP, LLC, Peter Kolchinsky and Rajeev Shah may be deemed to have shared voting and investment power with respect to the shares held RA Healthcare and Nexus II. The address of all entities and individuals referenced in this footnote is 200 Berkeley Street, 18th Floor, Boston, Massachusetts 02116.</w:t>
      </w:r>
    </w:p>
    <w:p>
      <w:pPr>
        <w:spacing w:after="0" w:line="2" w:lineRule="exact"/>
        <w:rPr>
          <w:rFonts w:ascii="Arial" w:cs="Arial" w:eastAsia="Arial" w:hAnsi="Arial"/>
          <w:sz w:val="18"/>
          <w:szCs w:val="18"/>
          <w:color w:val="auto"/>
        </w:rPr>
      </w:pPr>
    </w:p>
    <w:p>
      <w:pPr>
        <w:jc w:val="both"/>
        <w:ind w:left="540" w:right="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Consists of (a) 397,059 shares of common stock, (b) 5,000,000 shares of common stock issuable upon conversion of Series A preferred stock, (c) 44,076 shares of common stock issuable upon conversion of Series B preferred stock and (d) 128,064 shares of common stock issuable upon conversion of Series C preferred stock held by Adimab, LLC. Dr. Gerngross is an officer and member of the board of directors of Adimab, LLC and may be deemed to have shared voting and investment power with respect to the shares held by Adimab, LLC.</w:t>
      </w:r>
    </w:p>
    <w:p>
      <w:pPr>
        <w:ind w:left="540" w:hanging="424"/>
        <w:spacing w:after="0"/>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Consists of 50,183 shares of common stock issuable upon the exercise of options within 60 days of July 16, 2021.</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Consists of 397,059 shares of common stock. Shares are subject to a right of repurchase in favor of us at the original option exercise price that lapses in accordance with such vesting schedule.</w:t>
      </w:r>
    </w:p>
    <w:p>
      <w:pPr>
        <w:jc w:val="both"/>
        <w:ind w:left="540" w:hanging="424"/>
        <w:spacing w:after="0" w:line="267"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Consists of (a) (i) 361,850 shares of common stock issuable upon conversion of Series A preferred stock, (ii) 85,061 shares of common stock issuable upon conversion of Series B preferred stock and (iii) 123,574 shares of common stock issuable upon conversion of Series C preferred stock held by PVP V, (b) (i) 7,052 shares of common stock issuable upon conversion of Series A preferred stock, (ii) 1,658 shares of common stock issuable upon conversion of Series B preferred stock and (iii) 2,409 shares of common stock issuable upon conversion of Series C preferred stock held by PVPEF V, (c) (i) 2,479 shares of common stock issuable upon conversion of Series A preferred stock, (ii) 583 shares of common stock issuable upon conversion of Series B preferred stock and (iii) 846 shares of common stock issuable upon conversion of Series C preferred stock held by PVPFF V, (d) (i) 3,619 shares of common stock issuable upon conversion of Series A preferred stock, (ii) 850 shares of common stock issuable upon conversion of Series B preferred stock and (iii) 1,235 shares of common stock issuable upon conversion of Series C preferred stock held by PVPSFF V, (e) (i) 875,000 shares of common stock issuable upon conversion of Series A preferred stock, (ii) 44,076 shares of common stock issuable upon conversion of Series B preferred stock and (iii) 32,016 shares of common stock issuable upon conversion of Series C preferred stock held by PP IX, and (f) 64,032 shares of common stock issuable upon conversion of Series C preferred stock held by PHCT. Mr. McGuire is a Founding Partner of Polaris Partners and may be deemed to have shared voting and investment power with respect to the shares held by all entities affiliated with Polaris Partners.</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40"/>
          </w:cols>
          <w:pgMar w:left="320" w:top="459"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hanging="424"/>
        <w:spacing w:after="0" w:line="268" w:lineRule="auto"/>
        <w:tabs>
          <w:tab w:leader="none" w:pos="5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Consists of (a) 1,250,000 shares of common stock issuable upon conversion of Series A preferred stock, (b) 176,304 shares of common stock issuable upon conversion of Series B preferred stock and (c) 422,612 shares of common stock issuable upon conversion of Series C preferred stock held by Mithril II LP. Mr. Royan is the Managing General Partner and Founder of Mithril Capital Management LLC (“MCM”). MCM is a management company that manages Mithril II LP and is appointed by Mithril II GP LP (“GP II”), the general partner of Mithril II LP. Peter Thiel and Ajay Royan are the members of the investment committee GP II. The investment committee makes all investment decisions with respect to these entities and may be deemed to share voting and investment power over the securities held by Mithril II LP.</w:t>
      </w:r>
    </w:p>
    <w:p>
      <w:pPr>
        <w:ind w:left="540" w:hanging="424"/>
        <w:spacing w:after="0"/>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Consists of 11,653 shares of common stock issuable upon the exercise of options within 60 days of July 16, 2021.</w:t>
      </w:r>
    </w:p>
    <w:p>
      <w:pPr>
        <w:spacing w:after="0" w:line="9" w:lineRule="exact"/>
        <w:rPr>
          <w:rFonts w:ascii="Arial" w:cs="Arial" w:eastAsia="Arial" w:hAnsi="Arial"/>
          <w:sz w:val="18"/>
          <w:szCs w:val="18"/>
          <w:color w:val="auto"/>
        </w:rPr>
      </w:pPr>
    </w:p>
    <w:p>
      <w:pPr>
        <w:jc w:val="both"/>
        <w:ind w:left="540" w:hanging="424"/>
        <w:spacing w:after="0" w:line="255"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Consists of (a) 9,421,514 shares of common stock beneficially owned by named executive officers and directors, (b) 157,765 shares of common stock beneficially owned by other executive officers and (c) 75,600 shares of common stock issuable upon the exercise of options within 60 days of July 16, 2021.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i w:val="1"/>
          <w:iCs w:val="1"/>
          <w:color w:val="auto"/>
        </w:rPr>
        <w:t>The following description of our capital stock, certain provisions of our amended and restated certificate of incorporation and amended and restated bylaws, as each will be in effect following the completion of this offering, and certain provisions of Delaware law are summaries. You should also refer to the amended and restated certificate of incorporation and the amended and restated bylaws, which are filed as exhibits to the registration statement of which this prospectus is part.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ind w:left="120" w:right="20" w:firstLine="440"/>
        <w:spacing w:after="0" w:line="274" w:lineRule="auto"/>
        <w:rPr>
          <w:sz w:val="20"/>
          <w:szCs w:val="20"/>
          <w:color w:val="auto"/>
        </w:rPr>
      </w:pPr>
      <w:r>
        <w:rPr>
          <w:rFonts w:ascii="Arial" w:cs="Arial" w:eastAsia="Arial" w:hAnsi="Arial"/>
          <w:sz w:val="17"/>
          <w:szCs w:val="17"/>
          <w:color w:val="auto"/>
        </w:rPr>
        <w:t>Upon the completion of this offering, our amended and restated certificate of incorporation will authorize us to issue up to shares of common stock, $0.0001 par value per share, and shares of preferred stock, $0.0001 par value per share, all of which shares of preferred stock will</w:t>
      </w:r>
    </w:p>
    <w:p>
      <w:pPr>
        <w:ind w:left="120"/>
        <w:spacing w:after="0"/>
        <w:rPr>
          <w:sz w:val="20"/>
          <w:szCs w:val="20"/>
          <w:color w:val="auto"/>
        </w:rPr>
      </w:pPr>
      <w:r>
        <w:rPr>
          <w:rFonts w:ascii="Arial" w:cs="Arial" w:eastAsia="Arial" w:hAnsi="Arial"/>
          <w:sz w:val="18"/>
          <w:szCs w:val="18"/>
          <w:color w:val="auto"/>
        </w:rPr>
        <w:t>be undesignated. Our board of directors may establish the rights and preferences of the preferred stock from time to time.</w:t>
      </w:r>
    </w:p>
    <w:p>
      <w:pPr>
        <w:spacing w:after="0" w:line="21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March 31, 2021, we had outstanding 1,118,648 shares of common stock, held by six stockholders of record. As of March 31, 2021, after giving effect to the conversion of all outstanding shares of our preferred stock, there would have been 13,766,582 shares of common stock outstanding, held by 32 stockholders of record.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Each holder of our common stock is entitled to one vote for each share on all matters submitted to a vote of the stockholders, including the election of directors.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forum.</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we may designate in the future.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As of March 31, 2021, there were 12,647,934 shares of our preferred stock outstanding, consisting of 11,237,500 shares of our Series A preferred stock, 1,410,434 shares of our Series B preferred stock and no shares of our Series C preferred stock. We issued 4,296,550 shares of our Series C preferred stock in April 2021. All currently outstanding shares of preferred stock will be converted into an aggregate of 16,944,484 shares of common stock upon the closing of this offering.</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the closing of this offering, our board of directors will have the authority under our amended and restated certificate of incorporation,</w:t>
      </w:r>
    </w:p>
    <w:p>
      <w:pPr>
        <w:spacing w:after="0" w:line="46"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without further action by our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193"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our common stock. 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preferred stock on the rights of holders of common stock until the board of directors determines the specific rights attached to that preferred stock. Following the completion of this offering, there will be no shares of preferred stock outstanding, and we have no present plans to issue any shares of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March 31, 2021, there were options to purchase 1,073,214 shares of common stock outstanding. For additional information regarding the terms of our 2020 Equity Incentive Plan, see “Executive Compensation—Equity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We, the holders of our existing preferred stock and certain holders of our existing common stock have entered into an amended and restated investors’ rights agreement. The registration rights provisions of this agreement provide those holders with demand, piggyback and Form S-3 registration rights with respect to the shares of common stock currently held by them and issuable to them upon conversion of our preferred stock in connection with our initial public offering. These shares are collectively referred to herein as registrable securities.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At any time beginning 180 days following the effective date of the registration statement of which this prospectus is a part, the holders of a majority of registrable securities then outstanding have the right to demand that we file a registration statement covering at least 30% of the registrable securities then outstanding. These registration rights are subject to specified conditions and limitations, including the right of the underwriters, if any, to limit the number of shares included in any such registration under specified circumstances. Upon such a request, we are required to effect the</w:t>
      </w:r>
    </w:p>
    <w:p>
      <w:pPr>
        <w:spacing w:after="0" w:line="1"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registration as soon as practicable, but in any event no later than 60 days after the receipt of such request. An aggregate of shares of common stock will be entitled to these demand registration rights.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If we propose to register any of our securities under the Securities Act either for our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limit the number of shares included in any such registration under specified circumstances. An aggregate of shares of common stock will be entitled to these piggyback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on Form S-3</w:t>
      </w:r>
    </w:p>
    <w:p>
      <w:pPr>
        <w:spacing w:after="0" w:line="117"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At any time after we become eligible to file a registration statement on Form S-3, the holders of at least 30% of the registrable securities then outstanding will be entitled to request to have such shares registered by us on a Form S-3 registration statement. These Form S-3 registration rights are subject to other specified conditions and limitations, including the condition that the anticipated aggregate offering price is at least $1.0 million. Upon</w:t>
      </w:r>
    </w:p>
    <w:p>
      <w:pPr>
        <w:spacing w:after="0" w:line="2"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receipt of this request, the holders of registrable securities will each be entitled to participate in this registration. An aggregate of shares of common stock will be entitled to these Form S-3 registration rights.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We are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second amended and restated investors’ rights agreement contains customary cross-indemnification provisions, pursuant to which we are obligated to indemnify the selling stockholders in the event of material misstatements or omissions in the applicable registration statement attributable to us, and the selling stockholders are obligated to indemnify us for material misstatements or omissions in the registration statement attributable to them, subject to certain limitations.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registration rights granted under the investors’ rights agreement will terminate with respect to any particular stockholder upon the earlier of</w:t>
      </w:r>
    </w:p>
    <w:p>
      <w:pPr>
        <w:spacing w:after="0" w:line="46" w:lineRule="exact"/>
        <w:rPr>
          <w:sz w:val="20"/>
          <w:szCs w:val="20"/>
          <w:color w:val="auto"/>
        </w:rPr>
      </w:pPr>
    </w:p>
    <w:p>
      <w:pPr>
        <w:jc w:val="both"/>
        <w:ind w:left="120" w:right="20" w:hanging="4"/>
        <w:spacing w:after="0" w:line="255" w:lineRule="auto"/>
        <w:tabs>
          <w:tab w:leader="none" w:pos="38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closing of a deemed liquidation event, as defined in our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this offering.</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9" w:lineRule="exact"/>
        <w:rPr>
          <w:sz w:val="20"/>
          <w:szCs w:val="20"/>
          <w:color w:val="auto"/>
        </w:rPr>
      </w:pPr>
    </w:p>
    <w:p>
      <w:pPr>
        <w:ind w:left="108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upon completion of the transaction that resulted in the stockholder becoming an interested stockholder, the interested stockholder owned at least 85% of the voting stock of the corporation outstanding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spacing w:after="0" w:line="259" w:lineRule="auto"/>
        <w:rPr>
          <w:sz w:val="20"/>
          <w:szCs w:val="20"/>
          <w:color w:val="auto"/>
        </w:rPr>
      </w:pPr>
      <w:r>
        <w:rPr>
          <w:rFonts w:ascii="Arial" w:cs="Arial" w:eastAsia="Arial" w:hAnsi="Arial"/>
          <w:sz w:val="18"/>
          <w:szCs w:val="18"/>
          <w:color w:val="auto"/>
        </w:rPr>
        <w:t>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2" w:lineRule="exact"/>
        <w:rPr>
          <w:sz w:val="20"/>
          <w:szCs w:val="20"/>
          <w:color w:val="auto"/>
        </w:rPr>
      </w:pPr>
    </w:p>
    <w:p>
      <w:pPr>
        <w:jc w:val="both"/>
        <w:ind w:left="1080" w:hanging="532"/>
        <w:spacing w:after="0" w:line="263"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Section 203 defines a “business combination” to include the following:</w:t>
      </w:r>
    </w:p>
    <w:p>
      <w:pPr>
        <w:spacing w:after="0" w:line="131" w:lineRule="exact"/>
        <w:rPr>
          <w:sz w:val="20"/>
          <w:szCs w:val="20"/>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or any direct or indirect majority-owned subsidiary of the corporation and the interested stockholder;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 (in one transaction or a series of transactions);</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1" w:lineRule="exact"/>
        <w:rPr>
          <w:rFonts w:ascii="Arial" w:cs="Arial" w:eastAsia="Arial" w:hAnsi="Arial"/>
          <w:sz w:val="17"/>
          <w:szCs w:val="17"/>
          <w:color w:val="auto"/>
        </w:rPr>
      </w:pPr>
    </w:p>
    <w:p>
      <w:pPr>
        <w:jc w:val="both"/>
        <w:ind w:left="1080" w:right="20" w:hanging="532"/>
        <w:spacing w:after="0" w:line="342"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transaction involving the corporation or any direct or indirect majority-owned subsidiary of the corporation that has the effect of increasing the proportionate share of the stock or any class or series of the corporation beneficially owned by the interested stockholder; or</w:t>
      </w:r>
    </w:p>
    <w:p>
      <w:pPr>
        <w:spacing w:after="0" w:line="29" w:lineRule="exact"/>
        <w:rPr>
          <w:rFonts w:ascii="Arial" w:cs="Arial" w:eastAsia="Arial" w:hAnsi="Arial"/>
          <w:sz w:val="16"/>
          <w:szCs w:val="16"/>
          <w:color w:val="auto"/>
        </w:rPr>
      </w:pPr>
    </w:p>
    <w:p>
      <w:pPr>
        <w:ind w:left="1080" w:right="2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by or through the corporation.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Amended and Restated Bylaws</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to be in effect upon the completion of this offering, or our restated certificate, will provide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stockholders holding a majority of the shares of common stock outstanding will be able to elect all of our directors. Our restated certificate and our amended and restated bylaws to be effective upon the completion of this offering, or our restated bylaws, will also provide that directors may be removed by the stockholders only for cause upon the vote of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only be filled by a majority vote of the directors then serving on the board, even though less than a quorum.</w:t>
      </w:r>
    </w:p>
    <w:p>
      <w:pPr>
        <w:spacing w:after="0" w:line="18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Under our restated certificate of incorporation and amended and restated bylaws our stockholders will not have cumulative voting rights. Because of this, the holders of a majority of the shares of common stock entitled to vote in any election of directors can elect all of the directors standing for election, if they should so choose.</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Our restated certificate and restated bylaws will also provide that all stockholder actions must be effected at a duly called meeting of stockholders and will eliminate the right of stockholders to act by written consent without a meeting. Our restated bylaws will also provide that only our Chairman of the board, Chief Executive Officer or the board of directors pursuant to a resolution adopted by a majority of the total number of authorized directors may call a special meeting of stockholders.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Our restated bylaws will also provide that stockholders seeking to present proposals before a meeting of stockholders to nominate candidates for election as directors at a meeting of stockholders must provide timely advance notice in writing and will specify requirements as to the form and content of a stockholder’s notice.</w:t>
      </w:r>
    </w:p>
    <w:p>
      <w:pPr>
        <w:spacing w:after="0" w:line="184" w:lineRule="exact"/>
        <w:rPr>
          <w:sz w:val="20"/>
          <w:szCs w:val="20"/>
          <w:color w:val="auto"/>
        </w:rPr>
      </w:pPr>
    </w:p>
    <w:p>
      <w:pPr>
        <w:jc w:val="both"/>
        <w:ind w:left="120" w:right="20" w:firstLine="440"/>
        <w:spacing w:after="0" w:line="299" w:lineRule="auto"/>
        <w:rPr>
          <w:sz w:val="20"/>
          <w:szCs w:val="20"/>
          <w:color w:val="auto"/>
        </w:rPr>
      </w:pPr>
      <w:r>
        <w:rPr>
          <w:rFonts w:ascii="Arial" w:cs="Arial" w:eastAsia="Arial" w:hAnsi="Arial"/>
          <w:sz w:val="18"/>
          <w:szCs w:val="18"/>
          <w:color w:val="auto"/>
        </w:rPr>
        <w:t>Our restated certificate and restated bylaws will provide that the stockholders cannot amend many of the provisions described above except by a vote of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or more of our outstanding common stock.</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described in “—Preferred Stock” above, our restated certificate will give our board of directors the authority, without further action by our</w:t>
      </w:r>
    </w:p>
    <w:p>
      <w:pPr>
        <w:spacing w:after="0" w:line="35"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stockholders, to issue up to shares of preferred stock in one or more series, with any rights, preferences and privileges as they may designate, including the right to approve an acquisition or other change in control.</w:t>
      </w:r>
    </w:p>
    <w:p>
      <w:pPr>
        <w:spacing w:after="0" w:line="18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combination of these provisions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8"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the Court of Chancery of the state of Delaware will be the exclusive forum for the following types of actions or proceedings under Delaware statutory or common law:</w:t>
      </w:r>
    </w:p>
    <w:p>
      <w:pPr>
        <w:spacing w:after="0" w:line="76"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action asserting a claim against us arising pursuant to the Delaware General Corporation Law, our restated certificate, or our amended and restated bylaws;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25"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also provide that unless we consent in writing to the selection of an alternative forum, the federal district courts of the United States of America shall be the exclusive forum for the resolution of any complaint asserting a cause of action arising under the Securities Act.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5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further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agent’s address is 6201 15th Avenue, Brooklyn, New York 11219.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“ADGI.”</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Prior to this offering, no public market existed for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Upon the closing of this offering, we will have outstanding shares of our common stock, based on the shares of our common stock that were outstanding on March 31, 2021, after giving effect to the issuance of shares of our common stock in this offering, assuming no exercise</w:t>
      </w:r>
    </w:p>
    <w:p>
      <w:pPr>
        <w:jc w:val="both"/>
        <w:ind w:left="120" w:right="20"/>
        <w:spacing w:after="0" w:line="281" w:lineRule="auto"/>
        <w:rPr>
          <w:sz w:val="20"/>
          <w:szCs w:val="20"/>
          <w:color w:val="auto"/>
        </w:rPr>
      </w:pPr>
      <w:r>
        <w:rPr>
          <w:rFonts w:ascii="Arial" w:cs="Arial" w:eastAsia="Arial" w:hAnsi="Arial"/>
          <w:sz w:val="16"/>
          <w:szCs w:val="16"/>
          <w:color w:val="auto"/>
        </w:rPr>
        <w:t>by the underwriters of their option to purchase additional shares of our common stock and the automatic conversion of all outstanding shares of our preferred stock into an aggregate of 16,944,484 shares of common stock upon the closing of this offering. All of the shares of common stock sold in this offering will be freely tradable without restrictions or further registration under the Securities Act, except for any shares sold to our “affiliates,” as that</w:t>
      </w:r>
    </w:p>
    <w:p>
      <w:pPr>
        <w:spacing w:after="0" w:line="2" w:lineRule="exact"/>
        <w:rPr>
          <w:sz w:val="20"/>
          <w:szCs w:val="20"/>
          <w:color w:val="auto"/>
        </w:rPr>
      </w:pPr>
    </w:p>
    <w:p>
      <w:pPr>
        <w:jc w:val="both"/>
        <w:ind w:left="120" w:right="20"/>
        <w:spacing w:after="0" w:line="253" w:lineRule="auto"/>
        <w:rPr>
          <w:sz w:val="20"/>
          <w:szCs w:val="20"/>
          <w:color w:val="auto"/>
        </w:rPr>
      </w:pPr>
      <w:r>
        <w:rPr>
          <w:rFonts w:ascii="Arial" w:cs="Arial" w:eastAsia="Arial" w:hAnsi="Arial"/>
          <w:sz w:val="18"/>
          <w:szCs w:val="18"/>
          <w:color w:val="auto"/>
        </w:rPr>
        <w:t>term is defined under Rule 144 under the Securities Act. The remaining shares of common stock held by existing stockholders are “restricted securities,” as that term is defined in Rule 144 under the Securities Act. Restricted securities may be sold in the public market only if registered or if their resale qualifies for exemption from registration described below under Rule 144 promulgated under the Securities Act or another available exemption.</w:t>
      </w:r>
    </w:p>
    <w:p>
      <w:pPr>
        <w:spacing w:after="0" w:line="193"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a result of the lock-up agreements described below and the provisions of Rules 144 and 701 under the Securities Act, the shares of common stock that will be deemed restricted securities after this offering will be available for sale in the public market as follows:</w:t>
      </w:r>
    </w:p>
    <w:p>
      <w:pPr>
        <w:spacing w:after="0" w:line="76"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none of the existing restricted shares will be eligible for immediate sale upon the completion of this offering; and</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6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restricted shares will be eligible for sale in the public market upon expiration of lock-up agreements 180 days after the date of this prospectus, subject in certain circumstances to the volume, manner of sale and other limitations under Rule 144 and Rule 701 under the Securities Act, which are summarized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general, non-affiliate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Non-Affiliates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Any person who is not deemed to have been one of our affiliates at the time of, or at any time during the three months preceding, a sale may sell an unlimited number of restricted securities under Rule 144 if:</w:t>
      </w:r>
    </w:p>
    <w:p>
      <w:pPr>
        <w:spacing w:after="0" w:line="76" w:lineRule="exact"/>
        <w:rPr>
          <w:sz w:val="20"/>
          <w:szCs w:val="20"/>
          <w:color w:val="auto"/>
        </w:rPr>
      </w:pPr>
    </w:p>
    <w:p>
      <w:pPr>
        <w:ind w:left="1080" w:right="20" w:hanging="532"/>
        <w:spacing w:after="0" w:line="277" w:lineRule="auto"/>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restricted securities have been held for at least six months, including the holding period of any prior owner other than one of our affiliates (subject to certain exceptions);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have been subject to the Exchange Act periodic reporting requirements for at least 90 days before the sale;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we are current in our Exchange Act reporting at the time of sale.</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Any person who is not deemed to have been an affiliate of ours at the time of, or at any time during the three months preceding, a sale and has held the restricted securities for at least one year, including the holding period of any prior owner other than one of our affiliates, will be entitled to sell an unlimited number of restricted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securities without regard to the length of time we have been subject to Exchange Act periodic reporting or whether we are current in our Exchange Act reporting. Non-affiliate resales are not subject to the manner of sale, volume limitation or notice filing provisions of Rule 144.</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Affiliates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Persons seeking to sell restricted securities who are our affiliates at the time of, or any time during the three months preceding, a sale, would be subject to the restrictions described above. They are also subject to additional restrictions, by which such person would be required to comply with the manner of sale and notice provisions of Rule 144 and would be entitled to sell within any three-month period only that number of securities that does not exceed the greater of either of the following:</w:t>
      </w:r>
    </w:p>
    <w:p>
      <w:pPr>
        <w:sectPr>
          <w:pgSz w:w="11900" w:h="16838" w:orient="portrait"/>
          <w:cols w:equalWidth="0" w:num="1">
            <w:col w:w="11140"/>
          </w:cols>
          <w:pgMar w:left="320" w:top="459" w:right="439" w:bottom="1440" w:gutter="0" w:footer="0" w:header="0"/>
        </w:sectPr>
      </w:pPr>
    </w:p>
    <w:p>
      <w:pPr>
        <w:spacing w:after="0" w:line="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1% of the number of shares of our common stock then outstanding, which will equal approximately completion of this offering based on the number of shares outstanding as of March 31, 2021;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the</w:t>
      </w:r>
    </w:p>
    <w:p>
      <w:pPr>
        <w:spacing w:after="0" w:line="369" w:lineRule="exact"/>
        <w:rPr>
          <w:sz w:val="20"/>
          <w:szCs w:val="20"/>
          <w:color w:val="auto"/>
        </w:rPr>
      </w:pPr>
    </w:p>
    <w:p>
      <w:pPr>
        <w:sectPr>
          <w:pgSz w:w="11900" w:h="16838" w:orient="portrait"/>
          <w:cols w:equalWidth="0" w:num="3">
            <w:col w:w="620" w:space="460"/>
            <w:col w:w="7280" w:space="720"/>
            <w:col w:w="2060"/>
          </w:cols>
          <w:pgMar w:left="320" w:top="459" w:right="439" w:bottom="1440" w:gutter="0" w:footer="0" w:header="0"/>
          <w:type w:val="continuous"/>
        </w:sectPr>
      </w:pPr>
    </w:p>
    <w:p>
      <w:pPr>
        <w:ind w:left="1080" w:right="20" w:hanging="532"/>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stock exchange on which our shares are listed during the four calendar weeks preceding the filing of a notice on Form 144 with respect to the sale.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Additionally, persons who are our affiliates at the time of, or any time during the three months preceding, a sale may sell unrestricted securities under the requirements of Rule 144 described above, without regard to the six-month holding period of Rule 144, which does not apply to sales of unrestricted securities.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 However, substantially all Rule 701 shares are subject to lock-up agreements as described below and in the section titled “Underwriting” and will become eligible for sale upon the expiration of the restrictions set forth in those agreements.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121"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common stock subject to outstanding stock options and common stock issued or issuable under our equity plans. We expect to file the registration statement covering shares offered pursuant to our stock plans as soon as practicable after the closing of this offering, permitting the resale of such shares by non-affiliates in the public market without restriction under the Securities Act and the sale by affiliates in the public market, subject to compliance with the resale provisions of Rule 144 and expiration or release from the terms of the lock-up agreements described above.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We, our executive officers and directors and substantially all of the holders of our common stock outstanding on the date of this prospectus have entered into lock-up agreements with the underwriters or otherwise agreed, subject to certain exceptions, that we and they will not, directly or indirectly, offer, sell, contract to sell, pledge, grant any option to purchase, make any short sale, or otherwise dispose of or hedge any of our shares of common stock, any options or warrants to purchase shares of our common stock, or any securities convertible into, or exchangeable for or that represent the right to receive shares of our common stock, without the prior written consent of Morgan Stanley &amp; Co. LLC and Jefferies LLC for a period of 180 days from the date of this prospectus.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to the restrictions contained in the lock-up agreements described above, we have entered into an agreement with the holders of our preferred stock that contains market stand-off provisions imposing restrictions on the ability of such security holders to sell or otherwise transfer or dispose of any registrable securities for a period of 180 days following the date of this prospectus.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Upon the closing of this offering, the holders of 16,944,484 shares of our common stock, including common stock issuable upon the conversion of our preferred stock, or their transferees, will be entitled to specified rights with respect to the registration of their registrable shares under the Securities Act, subject to certain limitations and the expiration, waiver or termination of the lock-up agreements. Registration of these shares under the Securities Act would result in the shares becoming freely tradable without restriction under the Securities Act immediately upon effectiveness of the registration. See “Description of Capital Stock—Registration Rights” for additional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 TO NON-U.S. HOLDERS OF OUR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following is a summary of certain material U.S. federal income tax consequences to non-U.S. holders (as defined below) of the ownership and disposition of our common stock offered pursuant to this prospectus.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does not address any U.S. federal non-income tax consequences such as estate or gift tax consequences or any tax consequences arising under any state, local, or non-U.S. tax laws, or any other U.S. federal tax laws. This discussion is based on the Code and applicable Treasury Regulations promulgated thereunder, judicial decisions and published rulings, and administrative pronouncements of the Internal Revenue Service, or IRS, all as in effect as of the date hereof.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6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This discussion is limited to non-U.S. holders who purchase our common stock offered by this prospectus and who hold our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3" w:lineRule="exact"/>
        <w:rPr>
          <w:sz w:val="20"/>
          <w:szCs w:val="20"/>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pass-throughs, or disregarded entities for U.S. federal income tax purposes (and investors therein), S corporations or other pass-through entities (including hybrid entities);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or dealers in securities;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that acquired our common stock through the exercise of employee stock options or otherwise as compensation or through a tax-qualified retirement plan;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persons that acquired our common stock pursuant to the exercise of warrants or conversion rights under convertible instruments;</w:t>
      </w:r>
    </w:p>
    <w:p>
      <w:pPr>
        <w:spacing w:after="0" w:line="142"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who hold common stock that constitutes “qualified small business stock” under Section 1202 of the Code, or “Section 1244 stock” under Section 1244 of the Code;</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who acquired our common stock in a transaction subject to the gain rollover provisions of the Code (including Section 1045 of the Code);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hedging or conversion transaction or straddle, or a constructive sale, or other risk reduction strategy or integrated investment.</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U.S. FEDERAL NON-INCOME TAX LAWS, OR UNDER ANY APPLICABLE INCOME TAX TREATY.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9"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As described in the section titled “Dividend Policy,” we have not paid and do not anticipate paying dividends in the foreseeable future. However, if we make cash or other property distributions on our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common stock, but not below zero. Any amount distributed in excess of basis will be treated as gain realized on the sale or other disposition of our common stock and will be treated as described under the section titled “—Gain on Disposition of Our Common Stock” below.</w:t>
      </w:r>
    </w:p>
    <w:p>
      <w:pPr>
        <w:spacing w:after="0" w:line="17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Subject to the discussions below regarding effectively connected income, backup withholding, and Sections 1471 through 1474 of the Code, or FATCA,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with a valid IRS Form W-8BEN or IRS Form W-8BEN-E (or applicable successor form) certifying such holder’s qualification for the reduced rate. This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certification must be provided to us or the applicable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applicable withholding agent, either directly or through other intermediaries.</w:t>
      </w:r>
    </w:p>
    <w:p>
      <w:pPr>
        <w:spacing w:after="0" w:line="18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in the United States, if required by an applicable tax treaty), the non-U.S. holder will generally be exempt from U.S. federal withholding tax. To claim the exemption, the non-U.S. holder must generally furnish a valid IRS Form W-8ECI (or applicable successor form) to the applicable withholding agent.</w:t>
      </w:r>
    </w:p>
    <w:p>
      <w:pPr>
        <w:spacing w:after="0" w:line="15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Non-U.S. holders should consult their tax advisors regarding any applicable income tax treaties that may provide for different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on the sale or other disposition of our common stock, unless:</w:t>
      </w:r>
    </w:p>
    <w:p>
      <w:pPr>
        <w:spacing w:after="0" w:line="76" w:lineRule="exact"/>
        <w:rPr>
          <w:sz w:val="20"/>
          <w:szCs w:val="20"/>
          <w:color w:val="auto"/>
        </w:rPr>
      </w:pPr>
    </w:p>
    <w:p>
      <w:pPr>
        <w:ind w:left="1080" w:hanging="532"/>
        <w:spacing w:after="0" w:line="308" w:lineRule="auto"/>
        <w:tabs>
          <w:tab w:leader="none" w:pos="108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maintained by the non-U.S. holder in the United States;</w:t>
      </w:r>
    </w:p>
    <w:p>
      <w:pPr>
        <w:spacing w:after="0" w:line="51"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as defined by applicable Treasury Regulations.</w:t>
      </w:r>
    </w:p>
    <w:p>
      <w:pPr>
        <w:spacing w:after="0" w:line="18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Determining whether we are a USRPHC depends on the fair market value of our U.S. real property interests relative to the fair market value of our other trade or business assets and our foreign real property interests. We do not believe that we are, or have been, and do not anticipate becoming, a USRPHC for U.S. federal income tax purposes, although there can be no assurance we will not in the future become a USRPHC. Even if we are or were to become a USRPHC, gain arising from the sale or other taxable disposition by a non-U.S. holder of our common stock may not be subject to U.S. federal income tax if our common stock is “regularly traded,” as defined by applicable Treasury Regulations, on an established securities market.</w:t>
      </w:r>
    </w:p>
    <w:p>
      <w:pPr>
        <w:spacing w:after="0" w:line="161"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3" w:lineRule="auto"/>
        <w:rPr>
          <w:sz w:val="20"/>
          <w:szCs w:val="20"/>
          <w:color w:val="auto"/>
        </w:rPr>
      </w:pPr>
      <w:r>
        <w:rPr>
          <w:rFonts w:ascii="Arial" w:cs="Arial" w:eastAsia="Arial" w:hAnsi="Arial"/>
          <w:sz w:val="17"/>
          <w:szCs w:val="17"/>
          <w:color w:val="auto"/>
        </w:rPr>
        <w:t>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Non-U.S. holders should consult their tax advisors regarding any applicable income tax treaties that may provide for different rules.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holder’s conduct of a U.S. trade or business, or withholding was reduced or eliminated by an applicable income tax treaty) and regardless of whether such distributions constitute dividends.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Backup withholding may apply if the payor has actual knowledge, or reason to know, that the holder is a U.S. person who is not an exempt recipient.</w:t>
      </w:r>
    </w:p>
    <w:p>
      <w:pPr>
        <w:spacing w:after="0" w:line="16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jc w:val="both"/>
        <w:ind w:left="120" w:right="20" w:firstLine="440"/>
        <w:spacing w:after="0" w:line="287" w:lineRule="auto"/>
        <w:rPr>
          <w:sz w:val="20"/>
          <w:szCs w:val="20"/>
          <w:color w:val="auto"/>
        </w:rPr>
      </w:pPr>
      <w:r>
        <w:rPr>
          <w:rFonts w:ascii="Arial" w:cs="Arial" w:eastAsia="Arial" w:hAnsi="Arial"/>
          <w:sz w:val="16"/>
          <w:szCs w:val="16"/>
          <w:color w:val="auto"/>
        </w:rPr>
        <w:t>FATCA imposes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applies to dividends paid on our common stock and, subject to the proposed Treasury Regulations described below, also applies to gross proceeds from sales or other dispositions of our common stock. The U.S. Treasury Department released proposed Treasury Regulations which, if finalized in their present form, would eliminate the federal withholding tax of 30% applicable to the gross proceeds of a disposition of our common stock. In its preamble to such proposed Treasury Regulations, the U.S. Treasury Department stated that taxpayers may generally rely on the proposed Treasury Regulations until final regulations are issued.</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this legislation on their investment in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Jefferies LLC, Stifel, Nicolaus &amp; Company, Incorporated and Guggenheim Securities, LLC are acting as representatives, have severally agreed to purchase, and we have agreed to sell to them, severally, the number of shares indicated below:</w:t>
      </w:r>
    </w:p>
    <w:p>
      <w:pPr>
        <w:spacing w:after="0" w:line="171"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39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3940" w:type="dxa"/>
            <w:vAlign w:val="bottom"/>
            <w:vMerge w:val="continue"/>
          </w:tcPr>
          <w:p>
            <w:pPr>
              <w:spacing w:after="0"/>
              <w:rPr>
                <w:sz w:val="16"/>
                <w:szCs w:val="16"/>
                <w:color w:val="auto"/>
              </w:rPr>
            </w:pPr>
          </w:p>
        </w:tc>
        <w:tc>
          <w:tcPr>
            <w:tcW w:w="4260" w:type="dxa"/>
            <w:vAlign w:val="bottom"/>
          </w:tcPr>
          <w:p>
            <w:pPr>
              <w:jc w:val="center"/>
              <w:ind w:left="3528"/>
              <w:spacing w:after="0"/>
              <w:rPr>
                <w:sz w:val="20"/>
                <w:szCs w:val="20"/>
                <w:color w:val="auto"/>
              </w:rPr>
            </w:pPr>
            <w:r>
              <w:rPr>
                <w:rFonts w:ascii="Arial" w:cs="Arial" w:eastAsia="Arial" w:hAnsi="Arial"/>
                <w:sz w:val="14"/>
                <w:szCs w:val="14"/>
                <w:b w:val="1"/>
                <w:bCs w:val="1"/>
                <w:u w:val="single" w:color="auto"/>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-635</wp:posOffset>
            </wp:positionV>
            <wp:extent cx="524637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5715</wp:posOffset>
            </wp:positionV>
            <wp:extent cx="524637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246370" cy="13716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5715</wp:posOffset>
            </wp:positionV>
            <wp:extent cx="4286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-121920</wp:posOffset>
            </wp:positionV>
            <wp:extent cx="5246370" cy="1625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46370" cy="162560"/>
                    </a:xfrm>
                    <a:prstGeom prst="rect">
                      <a:avLst/>
                    </a:prstGeom>
                    <a:noFill/>
                  </pic:spPr>
                </pic:pic>
              </a:graphicData>
            </a:graphic>
          </wp:anchor>
        </w:drawing>
      </w:r>
    </w:p>
    <w:p>
      <w:pPr>
        <w:spacing w:after="0" w:line="25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8"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Per</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76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No</w:t>
            </w:r>
          </w:p>
        </w:tc>
        <w:tc>
          <w:tcPr>
            <w:tcW w:w="5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35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gridSpan w:val="3"/>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3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5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3540" w:type="dxa"/>
            <w:vAlign w:val="bottom"/>
          </w:tcPr>
          <w:p>
            <w:pPr>
              <w:jc w:val="right"/>
              <w:ind w:right="2570"/>
              <w:spacing w:after="0"/>
              <w:rPr>
                <w:sz w:val="20"/>
                <w:szCs w:val="20"/>
                <w:color w:val="auto"/>
              </w:rPr>
            </w:pPr>
            <w:r>
              <w:rPr>
                <w:rFonts w:ascii="Arial" w:cs="Arial" w:eastAsia="Arial" w:hAnsi="Arial"/>
                <w:sz w:val="18"/>
                <w:szCs w:val="18"/>
                <w:color w:val="auto"/>
              </w:rPr>
              <w:t>206</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8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519"/>
        </w:trPr>
        <w:tc>
          <w:tcPr>
            <w:tcW w:w="10140" w:type="dxa"/>
            <w:vAlign w:val="bottom"/>
            <w:gridSpan w:val="2"/>
          </w:tcPr>
          <w:p>
            <w:pPr>
              <w:jc w:val="center"/>
              <w:ind w:left="230"/>
              <w:spacing w:after="0"/>
              <w:rPr>
                <w:sz w:val="20"/>
                <w:szCs w:val="20"/>
                <w:color w:val="auto"/>
              </w:rPr>
            </w:pPr>
            <w:r>
              <w:rPr>
                <w:rFonts w:ascii="Arial" w:cs="Arial" w:eastAsia="Arial" w:hAnsi="Arial"/>
                <w:sz w:val="18"/>
                <w:szCs w:val="18"/>
                <w:color w:val="auto"/>
                <w:w w:val="92"/>
              </w:rPr>
              <w:t>The estimated offering expenses payable by us, exclusive of the underwriting discounts and commissions, are approximately $</w:t>
            </w:r>
          </w:p>
        </w:tc>
        <w:tc>
          <w:tcPr>
            <w:tcW w:w="980" w:type="dxa"/>
            <w:vAlign w:val="bottom"/>
            <w:gridSpan w:val="2"/>
          </w:tcPr>
          <w:p>
            <w:pPr>
              <w:jc w:val="center"/>
              <w:ind w:left="150"/>
              <w:spacing w:after="0"/>
              <w:rPr>
                <w:sz w:val="20"/>
                <w:szCs w:val="20"/>
                <w:color w:val="auto"/>
              </w:rPr>
            </w:pPr>
            <w:r>
              <w:rPr>
                <w:rFonts w:ascii="Arial" w:cs="Arial" w:eastAsia="Arial" w:hAnsi="Arial"/>
                <w:sz w:val="18"/>
                <w:szCs w:val="18"/>
                <w:color w:val="auto"/>
                <w:w w:val="91"/>
              </w:rPr>
              <w:t>. We have</w:t>
            </w:r>
          </w:p>
        </w:tc>
      </w:tr>
      <w:tr>
        <w:trPr>
          <w:trHeight w:val="230"/>
        </w:trPr>
        <w:tc>
          <w:tcPr>
            <w:tcW w:w="10580" w:type="dxa"/>
            <w:vAlign w:val="bottom"/>
            <w:gridSpan w:val="3"/>
          </w:tcPr>
          <w:p>
            <w:pPr>
              <w:jc w:val="center"/>
              <w:spacing w:after="0"/>
              <w:rPr>
                <w:sz w:val="20"/>
                <w:szCs w:val="20"/>
                <w:color w:val="auto"/>
              </w:rPr>
            </w:pPr>
            <w:r>
              <w:rPr>
                <w:rFonts w:ascii="Arial" w:cs="Arial" w:eastAsia="Arial" w:hAnsi="Arial"/>
                <w:sz w:val="18"/>
                <w:szCs w:val="18"/>
                <w:color w:val="auto"/>
                <w:w w:val="91"/>
              </w:rPr>
              <w:t>agreed to reimburse the underwriters for expense relating to clearance of this offering with the Financial Industry Regulatory Authority up to $</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“ADGI.”</w:t>
      </w:r>
    </w:p>
    <w:p>
      <w:pPr>
        <w:spacing w:after="0" w:line="22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stock and stock options have agreed that, without the prior written consent of Morgan Stanley &amp; Co. LLC and Jefferies LLC, on behalf of the underwriters, we and they will not, and will not publicly disclose an intention to, during the period ending 180 days after the date of this prospectus (the “restricted period”):</w:t>
      </w:r>
    </w:p>
    <w:p>
      <w:pPr>
        <w:spacing w:after="0" w:line="89" w:lineRule="exact"/>
        <w:rPr>
          <w:sz w:val="20"/>
          <w:szCs w:val="20"/>
          <w:color w:val="auto"/>
        </w:rPr>
      </w:pPr>
    </w:p>
    <w:p>
      <w:pPr>
        <w:jc w:val="both"/>
        <w:ind w:left="1080" w:hanging="532"/>
        <w:spacing w:after="0" w:line="263"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Jefferies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jc w:val="both"/>
        <w:ind w:left="1080" w:right="20" w:hanging="532"/>
        <w:spacing w:after="0" w:line="259"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during the restricted period in connection with subsequent sales of common stock or other securities acquired in this offering or in such open market transactions;</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w:t>
      </w:r>
    </w:p>
    <w:p>
      <w:pPr>
        <w:spacing w:after="0" w:line="34" w:lineRule="exact"/>
        <w:rPr>
          <w:rFonts w:ascii="Arial" w:cs="Arial" w:eastAsia="Arial" w:hAnsi="Arial"/>
          <w:sz w:val="17"/>
          <w:szCs w:val="17"/>
          <w:color w:val="auto"/>
        </w:rPr>
      </w:pPr>
    </w:p>
    <w:p>
      <w:pPr>
        <w:jc w:val="both"/>
        <w:ind w:left="1080" w:right="20"/>
        <w:spacing w:after="0" w:line="269" w:lineRule="auto"/>
        <w:rPr>
          <w:rFonts w:ascii="Arial" w:cs="Arial" w:eastAsia="Arial" w:hAnsi="Arial"/>
          <w:sz w:val="17"/>
          <w:szCs w:val="17"/>
          <w:color w:val="auto"/>
        </w:rPr>
      </w:pPr>
      <w:r>
        <w:rPr>
          <w:rFonts w:ascii="Arial" w:cs="Arial" w:eastAsia="Arial" w:hAnsi="Arial"/>
          <w:sz w:val="17"/>
          <w:szCs w:val="17"/>
          <w:color w:val="auto"/>
        </w:rPr>
        <w:t>(i) as a bona fide gift or charitable contribution, (ii) by will or intestacy or to any immediate family member or to a trust for the direct or indirect benefit of such person and/or any immediate family member, (iii) to limited partners, members or stockholders, or holders of similar equity interests, of such person or (iv) to another corporation, partnership, limited liability company, trust or other business entity that is an affiliate (as defined in Rule 405 promulgated under the Securities Act) of such person, or to any investment fund or other entity controlled or managed by such person or affiliates of such person; provided that (A) each transferee or distributee shall sign and deliver a lock-up agreement and (B) no filing under Section 16(a) of the Exchange Act, reporting a reduction in beneficial ownership of shares of common stock, shall be required or shall be voluntarily made during the restricted period;</w:t>
      </w:r>
    </w:p>
    <w:p>
      <w:pPr>
        <w:spacing w:after="0" w:line="85" w:lineRule="exact"/>
        <w:rPr>
          <w:rFonts w:ascii="Arial" w:cs="Arial" w:eastAsia="Arial" w:hAnsi="Arial"/>
          <w:sz w:val="17"/>
          <w:szCs w:val="17"/>
          <w:color w:val="auto"/>
        </w:rPr>
      </w:pPr>
    </w:p>
    <w:p>
      <w:pPr>
        <w:ind w:left="1080" w:right="2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facilitating the establishment of a trading plan on behalf of a stockholder, officer or director of the company pursuant to Rule 10b5-1 under the Exchange Act for the transfer of shares of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40"/>
          </w:cols>
          <w:pgMar w:left="320" w:top="446"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20"/>
        <w:spacing w:after="0" w:line="259" w:lineRule="auto"/>
        <w:rPr>
          <w:sz w:val="20"/>
          <w:szCs w:val="20"/>
          <w:color w:val="auto"/>
        </w:rPr>
      </w:pPr>
      <w:r>
        <w:rPr>
          <w:rFonts w:ascii="Arial" w:cs="Arial" w:eastAsia="Arial" w:hAnsi="Arial"/>
          <w:sz w:val="18"/>
          <w:szCs w:val="18"/>
          <w:color w:val="auto"/>
        </w:rPr>
        <w:t>provided that (i) such plan does not provide for the transfer of common stock during the restricted period and (ii) to the extent a public announcement or filing under the Exchange Act, if any, is required of or voluntarily made by or on behalf of such person or the company regarding the establishment of such plan, such announcement or filing shall include a statement to the effect that no transfer of common stock may be made under such plan during the restricted period;</w:t>
      </w:r>
    </w:p>
    <w:p>
      <w:pPr>
        <w:spacing w:after="0" w:line="92" w:lineRule="exact"/>
        <w:rPr>
          <w:sz w:val="20"/>
          <w:szCs w:val="20"/>
          <w:color w:val="auto"/>
        </w:rPr>
      </w:pPr>
    </w:p>
    <w:p>
      <w:pPr>
        <w:jc w:val="both"/>
        <w:ind w:left="1080" w:hanging="532"/>
        <w:spacing w:after="0" w:line="255"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transfers of common stock or any security convertible into or exercisable or exchangeable for common stock by operation of law pursuant to a qualified domestic order or other court order or in connection with a divorce settlement; provided that (i) no filing under Section 16(a) of the Exchange Act or any other public filing or disclosure shall be voluntarily made during the restricted period, and any required filing shall clearly indicate in the footnotes thereto that (A) the filing relates to the circumstances described herein and (B) no securities were sold by such person, and (ii) such person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jc w:val="both"/>
        <w:ind w:left="1080" w:hanging="532"/>
        <w:spacing w:after="0" w:line="269" w:lineRule="auto"/>
        <w:tabs>
          <w:tab w:leader="none" w:pos="10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receipt by such person from the company of shares of common stock upon the transfer or disposition of shares of common stock or any securities convertible into common stock to the company upon a vesting or settlement event of the company’s securities or vesting of restricted stock unit awards or upon the exercise of options to purchase the company’s securities on a “cashless” or “net exercise” basis, in each case pursuant to any equity incentive plan of the company described in this prospectus and to the extent permitted by the instruments representing such restricted stock unit awards or options outstanding as of the date hereof (and solely to cover the exercise price or withholding tax obligations in connection with such transaction and any transfer to the company for the payment of the exercise price or taxes as a result of such transaction); provided that (i) the shares received upon exercise or settlement of the option are subject to the terms of the lock-up agreement, (ii) no public disclosure or filing under Section 16(a) of the Exchange Act shall be voluntarily made during the restricted period and (iii) to the extent a filing under Section 16(a) of the Exchange Act is required during the restricted period as a result of transfers described herein, it shall clearly indicate that (A) the filing relates to the circumstances described herein, including that the securities remain subject to the terms of a lock-up agreement and (B) no securities were sold by such person other than as contemplated hereby;</w:t>
      </w:r>
    </w:p>
    <w:p>
      <w:pPr>
        <w:spacing w:after="0" w:line="84" w:lineRule="exact"/>
        <w:rPr>
          <w:rFonts w:ascii="Arial" w:cs="Arial" w:eastAsia="Arial" w:hAnsi="Arial"/>
          <w:sz w:val="17"/>
          <w:szCs w:val="17"/>
          <w:color w:val="auto"/>
        </w:rPr>
      </w:pPr>
    </w:p>
    <w:p>
      <w:pPr>
        <w:jc w:val="both"/>
        <w:ind w:left="1080" w:hanging="532"/>
        <w:spacing w:after="0" w:line="259"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transfers to the company in connection with the repurchase of common stock in connection with the termination of such person’s employment with the company pursuant to contractual agreements with the company as in effect as of the date hereof and disclosed to Morgan Stanley &amp; Co. LLC and Jefferies LLC; provided that no public disclosure or filing under Section 16(a) of the Exchange Act shall be required or shall be voluntarily made during the restricted period;</w:t>
      </w:r>
    </w:p>
    <w:p>
      <w:pPr>
        <w:spacing w:after="0" w:line="92"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of the company described in this prospectus into shares of common stock of the company; provided that such shares of common stock remain subject to the terms of the lock-up agreement; or</w:t>
      </w:r>
    </w:p>
    <w:p>
      <w:pPr>
        <w:spacing w:after="0" w:line="75" w:lineRule="exact"/>
        <w:rPr>
          <w:rFonts w:ascii="Arial" w:cs="Arial" w:eastAsia="Arial" w:hAnsi="Arial"/>
          <w:sz w:val="18"/>
          <w:szCs w:val="18"/>
          <w:color w:val="auto"/>
        </w:rPr>
      </w:pPr>
    </w:p>
    <w:p>
      <w:pPr>
        <w:jc w:val="both"/>
        <w:ind w:left="1080" w:hanging="532"/>
        <w:spacing w:after="0" w:line="291"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transfers pursuant to a bona fide third-party tender offer for all outstanding common stock or securities convertible into or exchangeable for common stock of the company, merger, consolidation or other similar transaction approved by the company’s board of directors and made to all holders of the company’s securities involving a change of control of the company (including, without limitation, the entering into any lock-up, voting or similar agreement pursuant to which such person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 held by such person shall remain subject to the provisions of the lock-up agreement.</w:t>
      </w:r>
    </w:p>
    <w:p>
      <w:pPr>
        <w:spacing w:after="0" w:line="16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Morgan Stanley &amp; Co. LLC and Jefferies LLC, in their joint discretion, may release the common stock and other securities subject to the lock-up agreements described above in whole or in part at any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7"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pursuant to the offering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408"/>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provided that no such offer of shares shall require us or any of our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87" w:lineRule="exact"/>
        <w:rPr>
          <w:sz w:val="20"/>
          <w:szCs w:val="20"/>
          <w:color w:val="auto"/>
        </w:rPr>
      </w:pPr>
    </w:p>
    <w:p>
      <w:pPr>
        <w:jc w:val="both"/>
        <w:ind w:left="120" w:firstLine="440"/>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7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Member State means the communication in any form and by means of sufficient information on the terms of the offer and the shares to be offered so as to enable an investor to decide to purchase shares, the expression “Prospectus Regulation” means Regulation (EU) 2017/1129 (as amended).</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In relation to the United Kingdom, no securities have been offered or will be offered pursuant to this offering to the public in the United Kingdom prior to the publication of a prospectus in relation to the securities that either (i) has been approved by the Financial Conduct Authority, or (ii) is to be treated as if it had been approved by the Financial Conduct Authority in accordance with the transitional provision in Regulation 74 of the Prospectus (Amendment etc.) (EU Exit) Regulations 2019, except that offers of securities may be made to the public in the United Kingdom at any time under the following exemptions under the UK Prospectus Regulation:</w:t>
      </w:r>
    </w:p>
    <w:p>
      <w:pPr>
        <w:spacing w:after="0" w:line="93" w:lineRule="exact"/>
        <w:rPr>
          <w:sz w:val="20"/>
          <w:szCs w:val="20"/>
          <w:color w:val="auto"/>
        </w:rPr>
      </w:pPr>
    </w:p>
    <w:p>
      <w:pPr>
        <w:ind w:left="1080" w:hanging="408"/>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Article 2 of the UK Prospectus Regulation;</w:t>
      </w:r>
    </w:p>
    <w:p>
      <w:pPr>
        <w:spacing w:after="0" w:line="130"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Article 2 of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408"/>
        <w:spacing w:after="0"/>
        <w:tabs>
          <w:tab w:leader="none" w:pos="108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as amended, or the FSMA,</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section 85 of the FSMA or supplement a prospectus pursuant to Article 23 of the UK Prospectus Regulation.</w:t>
      </w:r>
    </w:p>
    <w:p>
      <w:pPr>
        <w:spacing w:after="0" w:line="170"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jc w:val="both"/>
        <w:ind w:left="1080" w:right="20" w:hanging="408"/>
        <w:spacing w:after="0" w:line="259"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80" w:right="20" w:hanging="418"/>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57"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jc w:val="both"/>
        <w:ind w:left="120" w:firstLine="440"/>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or the FIEL, has been made or will be made with respect to the solicitation of the application for the acquisition of the shares of common stock.</w:t>
      </w:r>
    </w:p>
    <w:p>
      <w:pPr>
        <w:spacing w:after="0" w:line="12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Qualified Institutional Investors (“QII”)</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Please note that the solicitation for newly 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common stock. The shares of common stock may only be transferred to QIIs.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 Non-QII Investors</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Please note that the solicitation for newly 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Shares of our common stock may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of our common stock which are or are intended to be disposed of only to persons outside Hong Kong or only to “professional investors” in Hong Kong as defined in the Securities and Futures Ordinance and any rules made thereunder.</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our common stock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92"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shares of our common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74" w:lineRule="auto"/>
        <w:rPr>
          <w:sz w:val="20"/>
          <w:szCs w:val="20"/>
          <w:color w:val="auto"/>
        </w:rPr>
      </w:pPr>
      <w:r>
        <w:rPr>
          <w:rFonts w:ascii="Arial" w:cs="Arial" w:eastAsia="Arial" w:hAnsi="Arial"/>
          <w:sz w:val="17"/>
          <w:szCs w:val="17"/>
          <w:color w:val="auto"/>
        </w:rPr>
        <w:t>stock under Section 275 of the SFA except: (1) to an institutional investor under Section 274 of the SFA or to a relevant person (as defined in Section 275(2) of the SFA), (2) where such transfer arises from an offer in that corporation’s securities pursuant to Section 275(1A) of the SFA,</w:t>
      </w:r>
    </w:p>
    <w:p>
      <w:pPr>
        <w:jc w:val="both"/>
        <w:ind w:left="120" w:right="20" w:hanging="4"/>
        <w:spacing w:after="0" w:line="255" w:lineRule="auto"/>
        <w:tabs>
          <w:tab w:leader="none" w:pos="37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90"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Where shares of our common stock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6 months after that trust has acquired shares of our common stock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7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i w:val="1"/>
          <w:iCs w:val="1"/>
          <w:color w:val="auto"/>
        </w:rPr>
        <w:t>Solely for purposes of the notification requirements under Section 309B(1)(c) of the Securities and Futures Act, Chapter 289 of Singapore, the shares of our common stock are “prescribed capital markets products” (as defined in the Securities and Futures (Capital Markets Products) Regulations 2018) and Excluded Investment Products (as defined in MAS Notice SFA 04-N12: Notice on the Sale of Investment Products and MAS Notice FAA-N16:</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Notice on Recommendations on Investment Products).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In the State of Israel this prospectus shall not be regarded as an offer to the public to purchase shares of common stock under the Israeli Securities Law, 5728 – 1968, which requires a prospectus to be published and authorized by the Israel Securities Authority, if it complies with certain provisions of Section 15 of the Israeli Securities Law, 5728 – 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 – 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 – 1968. We have not and will not distribute this prospectus or make, distribute or direct an offer to subscribe for our common stock to any person within the State of Israel, other than to Qualified Investors and up to 35 Addressed Investors.</w:t>
      </w:r>
    </w:p>
    <w:p>
      <w:pPr>
        <w:spacing w:after="0" w:line="73"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Qualified Investors may have to submit written evidence that they meet the definitions set out in of the First Addendum to the Israeli Securities Law, 5728 – 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 – 1968; (ii) which of the categories listed in the First Addendum to the Israeli Securities Law, 5728 – 1968 regarding Qualified Investors is applicable to it; (iii) that it will abide by all provisions set forth in the Israeli Securities Law, 5728 – 1968 and the regulations promulgated thereunder in connection with the offer to be issued common stock; (iv) that the shares of common stock that it will be issued are, subject to exemptions available under the Israeli Securities Law, 5728 – 1968: (a) for its own account; (b) for investment purposes only; and (c) not issued with a view to resale within the State of Israel, other than in accordance with the provisions of the Israeli Securities Law, 5728 – 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The securities may not be publicly offered, directly or indirectly, in Switzerland within the meaning of the Swiss Financial Services Act (“FinSA”) and no application has or will be made to admit the securities to trading on any trading venue (exchange or multilateral trading facility) in Switzerland. Neither this document nor any other offering or marketing material relating to the securities constitutes a prospectus pursuant to the FinSA, and neither this document nor any other offering or marketing material relating to the securities may be publicly distributed or otherwise made publicly available in Switzerland.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validity of the shares of common stock offered hereby will be passed upon for us by Cooley LLP, New York, New York. Certain legal matters will be passed upon for the underwriters by Davis Polk &amp; Wardwell LLP, New York, New York. As of the date of this prospectus, GC&amp;H Investments, L.P. and GC&amp;H Investments A1, L.P., entities consisting of current and former partners and associates of Cooley LLP, collectively beneficially hold an aggregate of 12,806 shares of our common stock on an as-converted basis.</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financial statements as of December 31, 2020 and for the period from June 3, 2020 (inception) to December 31, 2020 included in this prospectus have been so included in reliance on the report (which contains an explanatory paragraph relating to the Company’s ability to continue as a going concern as described in Note 1 to the consolidated financial statements) of PricewaterhouseCoopers LLP, an independent registered public accounting firm, given on the authority of said firm as experts in auditing and accounting.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our company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 Upon completion of this offering, we will be subject to the information reporting requirements of the Exchange Act, and we will file reports, proxy statements and other information with the SEC. These reports, proxy statements and other information will be available at www.sec.gov.</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We also maintain a website at adagiotx.com, at which you may access these materials free of charge as soon as reasonably practicable after they are electronically filed with, or furnished to, the SEC. The information contained in, or that can be accessed through, our website is not part of, and is not incorporated into, this prospectus. We have included our website in this prospectus solely as an inactive textual reference.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20" w:type="dxa"/>
            <w:vAlign w:val="bottom"/>
            <w:gridSpan w:val="4"/>
            <w:vMerge w:val="restart"/>
          </w:tcPr>
          <w:p>
            <w:pPr>
              <w:spacing w:after="0"/>
              <w:rPr>
                <w:rFonts w:ascii="Arial" w:cs="Arial" w:eastAsia="Arial" w:hAnsi="Arial"/>
                <w:sz w:val="18"/>
                <w:szCs w:val="18"/>
                <w:color w:val="0000EE"/>
                <w:w w:val="91"/>
              </w:rPr>
            </w:pPr>
            <w:hyperlink w:anchor="page220">
              <w:r>
                <w:rPr>
                  <w:rFonts w:ascii="Arial" w:cs="Arial" w:eastAsia="Arial" w:hAnsi="Arial"/>
                  <w:sz w:val="18"/>
                  <w:szCs w:val="18"/>
                  <w:color w:val="0000EE"/>
                  <w:w w:val="91"/>
                </w:rPr>
                <w:t>Report of Independent Registered Public Accounting Firm</w:t>
              </w:r>
            </w:hyperlink>
          </w:p>
        </w:tc>
        <w:tc>
          <w:tcPr>
            <w:tcW w:w="6420" w:type="dxa"/>
            <w:vAlign w:val="bottom"/>
            <w:gridSpan w:val="3"/>
            <w:vMerge w:val="restart"/>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0"/>
        </w:trPr>
        <w:tc>
          <w:tcPr>
            <w:tcW w:w="4220" w:type="dxa"/>
            <w:vAlign w:val="bottom"/>
            <w:tcBorders>
              <w:bottom w:val="single" w:sz="8" w:color="0000EE"/>
            </w:tcBorders>
            <w:gridSpan w:val="4"/>
            <w:vMerge w:val="continue"/>
          </w:tcPr>
          <w:p>
            <w:pPr>
              <w:spacing w:after="0"/>
              <w:rPr>
                <w:sz w:val="13"/>
                <w:szCs w:val="13"/>
                <w:color w:val="auto"/>
              </w:rPr>
            </w:pPr>
          </w:p>
        </w:tc>
        <w:tc>
          <w:tcPr>
            <w:tcW w:w="6420" w:type="dxa"/>
            <w:vAlign w:val="bottom"/>
            <w:gridSpan w:val="3"/>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40" w:type="dxa"/>
            <w:vAlign w:val="bottom"/>
            <w:gridSpan w:val="7"/>
          </w:tcPr>
          <w:p>
            <w:pPr>
              <w:spacing w:after="0"/>
              <w:rPr>
                <w:rFonts w:ascii="Arial" w:cs="Arial" w:eastAsia="Arial" w:hAnsi="Arial"/>
                <w:sz w:val="18"/>
                <w:szCs w:val="18"/>
                <w:color w:val="0000EE"/>
              </w:rPr>
            </w:pPr>
            <w:hyperlink w:anchor="page221">
              <w:r>
                <w:rPr>
                  <w:rFonts w:ascii="Arial" w:cs="Arial" w:eastAsia="Arial" w:hAnsi="Arial"/>
                  <w:sz w:val="18"/>
                  <w:szCs w:val="18"/>
                  <w:color w:val="0000EE"/>
                </w:rPr>
                <w:t>Consolidated Balance Sheets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22">
              <w:r>
                <w:rPr>
                  <w:rFonts w:ascii="Arial" w:cs="Arial" w:eastAsia="Arial" w:hAnsi="Arial"/>
                  <w:sz w:val="18"/>
                  <w:szCs w:val="18"/>
                  <w:color w:val="0000EE"/>
                  <w:w w:val="89"/>
                </w:rPr>
                <w:t>Consolidated Statements of Operations and Comprehensive Loss</w:t>
              </w:r>
            </w:hyperlink>
          </w:p>
        </w:tc>
        <w:tc>
          <w:tcPr>
            <w:tcW w:w="5960" w:type="dxa"/>
            <w:vAlign w:val="bottom"/>
            <w:gridSpan w:val="2"/>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23">
              <w:r>
                <w:rPr>
                  <w:rFonts w:ascii="Arial" w:cs="Arial" w:eastAsia="Arial" w:hAnsi="Arial"/>
                  <w:sz w:val="18"/>
                  <w:szCs w:val="18"/>
                  <w:color w:val="0000EE"/>
                  <w:w w:val="90"/>
                </w:rPr>
                <w:t>Consolidated Statements of Convertible Preferred Stock and Stockholders’ Deficit</w:t>
              </w:r>
            </w:hyperlink>
          </w:p>
        </w:tc>
        <w:tc>
          <w:tcPr>
            <w:tcW w:w="47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5">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226">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960" w:type="dxa"/>
            <w:vAlign w:val="bottom"/>
            <w:gridSpan w:val="2"/>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Adagio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 of Adagio Therapeutics, Inc. and its subsidiary (the “Company”) as of December 31, 2020, and the related consolidated statements of operations and comprehensive loss, of convertible preferred stock and stockholders’ deficit and of cash flows for the period from June 3, 2020 (inception) to December 31, 2020, including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June 3, 2020 (inception) to December 31, 2020 in conformity with accounting principles generally accepted in the United States of America.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expects to continue to generate operating losses for the foreseeable future and will require additional capital to finance its future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conducted our audit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21,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8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8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2"/>
                <w:szCs w:val="12"/>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114,988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91,247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3,627</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117,382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94,874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11,317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17,360</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28,677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Early-exercise liability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w:t>
            </w:r>
          </w:p>
        </w:tc>
      </w:tr>
      <w:tr>
        <w:trPr>
          <w:trHeight w:val="27"/>
        </w:trPr>
        <w:tc>
          <w:tcPr>
            <w:tcW w:w="8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28,688</w:t>
            </w:r>
          </w:p>
        </w:tc>
      </w:tr>
      <w:tr>
        <w:trPr>
          <w:trHeight w:val="223"/>
        </w:trPr>
        <w:tc>
          <w:tcPr>
            <w:tcW w:w="880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2"/>
        </w:trPr>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Series A convertible preferred stock, $0.0001 par value; 11,237,500 shares authorized, issued and outstanding as of</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$89,900 as of December 31, 2020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89,706</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89,706</w:t>
            </w:r>
          </w:p>
        </w:tc>
      </w:tr>
      <w:tr>
        <w:trPr>
          <w:trHeight w:val="209"/>
        </w:trPr>
        <w:tc>
          <w:tcPr>
            <w:tcW w:w="8800" w:type="dxa"/>
            <w:vAlign w:val="bottom"/>
          </w:tcPr>
          <w:p>
            <w:pPr>
              <w:spacing w:after="0"/>
              <w:rPr>
                <w:sz w:val="20"/>
                <w:szCs w:val="20"/>
                <w:color w:val="auto"/>
              </w:rPr>
            </w:pPr>
            <w:r>
              <w:rPr>
                <w:rFonts w:ascii="Arial" w:cs="Arial" w:eastAsia="Arial" w:hAnsi="Arial"/>
                <w:sz w:val="18"/>
                <w:szCs w:val="18"/>
                <w:color w:val="auto"/>
                <w:w w:val="95"/>
              </w:rPr>
              <w:t>Series B convertible preferred stock, $0.0001 par value; 1,410,434 shares authorized, issued and outstanding as of</w:t>
            </w: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tcPr>
          <w:p>
            <w:pPr>
              <w:ind w:left="180"/>
              <w:spacing w:after="0"/>
              <w:rPr>
                <w:sz w:val="20"/>
                <w:szCs w:val="20"/>
                <w:color w:val="auto"/>
              </w:rPr>
            </w:pPr>
            <w:r>
              <w:rPr>
                <w:rFonts w:ascii="Arial" w:cs="Arial" w:eastAsia="Arial" w:hAnsi="Arial"/>
                <w:sz w:val="18"/>
                <w:szCs w:val="18"/>
                <w:color w:val="auto"/>
                <w:w w:val="95"/>
              </w:rPr>
              <w:t>December 31, 2020 and March 31, 2021 (unaudited); liquidation preference of $80,000 as of December 31, 2020</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79,842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79,842</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9"/>
              </w:rPr>
              <w:t>Common stock, $0.0001 par value; 19,000,000 shares authorized, 5,638,648 shares issued and 1,118,648</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shares outstanding as of December 31, 2020 and March 31, 2021 (unaudited)</w:t>
            </w:r>
          </w:p>
        </w:tc>
        <w:tc>
          <w:tcPr>
            <w:tcW w:w="18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4,520,000 shares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742</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(65,319)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(104,019)</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(65,249)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(103,362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stock and stockholders’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117,382</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94,874</w:t>
            </w:r>
          </w:p>
        </w:tc>
      </w:tr>
      <w:tr>
        <w:trPr>
          <w:trHeight w:val="20"/>
        </w:trPr>
        <w:tc>
          <w:tcPr>
            <w:tcW w:w="8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41"/>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1"/>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480" w:type="dxa"/>
            <w:vAlign w:val="bottom"/>
            <w:gridSpan w:val="2"/>
          </w:tcPr>
          <w:p>
            <w:pPr>
              <w:ind w:left="136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21,992</w:t>
            </w:r>
          </w:p>
        </w:tc>
        <w:tc>
          <w:tcPr>
            <w:tcW w:w="420" w:type="dxa"/>
            <w:vAlign w:val="bottom"/>
          </w:tcPr>
          <w:p>
            <w:pPr>
              <w:spacing w:after="0"/>
              <w:rPr>
                <w:sz w:val="18"/>
                <w:szCs w:val="18"/>
                <w:color w:val="auto"/>
              </w:rPr>
            </w:pP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34,032</w:t>
            </w: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15"/>
                <w:szCs w:val="15"/>
                <w:color w:val="auto"/>
              </w:rPr>
              <w:t>(2)</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40,125</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65,327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38,709</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(65,327)</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gridSpan w:val="2"/>
          </w:tcPr>
          <w:p>
            <w:pPr>
              <w:ind w:left="360"/>
              <w:spacing w:after="0"/>
              <w:rPr>
                <w:sz w:val="20"/>
                <w:szCs w:val="20"/>
                <w:color w:val="auto"/>
              </w:rPr>
            </w:pPr>
            <w:r>
              <w:rPr>
                <w:rFonts w:ascii="Arial" w:cs="Arial" w:eastAsia="Arial" w:hAnsi="Arial"/>
                <w:sz w:val="18"/>
                <w:szCs w:val="18"/>
                <w:color w:val="auto"/>
              </w:rPr>
              <w:t>Interest income</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 other income</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1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(65,319)</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4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(90.51)</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2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721,698</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8"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Includes related-party amounts of $595 for the period from June 3, 2020 (inception) to December 31, 2020 and $188 for the three months ended March 31, 2021 (see Note 6).</w:t>
      </w:r>
    </w:p>
    <w:p>
      <w:pPr>
        <w:spacing w:after="0" w:line="1" w:lineRule="exact"/>
        <w:rPr>
          <w:rFonts w:ascii="Arial" w:cs="Arial" w:eastAsia="Arial" w:hAnsi="Arial"/>
          <w:sz w:val="18"/>
          <w:szCs w:val="18"/>
          <w:color w:val="auto"/>
        </w:rPr>
      </w:pPr>
    </w:p>
    <w:p>
      <w:pPr>
        <w:ind w:left="540" w:right="20" w:hanging="424"/>
        <w:spacing w:after="0" w:line="260" w:lineRule="auto"/>
        <w:tabs>
          <w:tab w:leader="none" w:pos="54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Includes related-party amounts of $39,915 for the period from June 3, 2020 (inception) to December 31, 2020 and $1,000 for the three months ended March 31, 2021 (see Note 6).</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560" w:type="dxa"/>
            <w:vAlign w:val="bottom"/>
          </w:tcPr>
          <w:p>
            <w:pPr>
              <w:spacing w:after="0"/>
              <w:rPr>
                <w:sz w:val="2"/>
                <w:szCs w:val="2"/>
                <w:color w:val="auto"/>
              </w:rPr>
            </w:pPr>
          </w:p>
        </w:tc>
        <w:tc>
          <w:tcPr>
            <w:tcW w:w="17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560" w:type="dxa"/>
            <w:vAlign w:val="bottom"/>
          </w:tcPr>
          <w:p>
            <w:pPr>
              <w:spacing w:after="0"/>
              <w:rPr>
                <w:sz w:val="11"/>
                <w:szCs w:val="11"/>
                <w:color w:val="auto"/>
              </w:rPr>
            </w:pPr>
          </w:p>
        </w:tc>
        <w:tc>
          <w:tcPr>
            <w:tcW w:w="1700" w:type="dxa"/>
            <w:vAlign w:val="bottom"/>
            <w:gridSpan w:val="5"/>
            <w:vMerge w:val="continue"/>
          </w:tcPr>
          <w:p>
            <w:pPr>
              <w:spacing w:after="0"/>
              <w:rPr>
                <w:sz w:val="11"/>
                <w:szCs w:val="11"/>
                <w:color w:val="auto"/>
              </w:rPr>
            </w:pPr>
          </w:p>
        </w:tc>
        <w:tc>
          <w:tcPr>
            <w:tcW w:w="1700" w:type="dxa"/>
            <w:vAlign w:val="bottom"/>
            <w:gridSpan w:val="6"/>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34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17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86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106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56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2"/>
              </w:rPr>
              <w:t>Balances at June 3,</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80" w:type="dxa"/>
            <w:vAlign w:val="bottom"/>
            <w:tcBorders>
              <w:top w:val="single" w:sz="8" w:color="auto"/>
              <w:left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2020 (Inception)</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99"/>
              <w:spacing w:after="0"/>
              <w:rPr>
                <w:sz w:val="20"/>
                <w:szCs w:val="20"/>
                <w:color w:val="auto"/>
              </w:rPr>
            </w:pPr>
            <w:r>
              <w:rPr>
                <w:rFonts w:ascii="Arial" w:cs="Arial" w:eastAsia="Arial" w:hAnsi="Arial"/>
                <w:sz w:val="18"/>
                <w:szCs w:val="18"/>
                <w:color w:val="auto"/>
              </w:rPr>
              <w:t>—  $</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2"/>
              </w:rPr>
              <w:t>Issuance of common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w w:val="97"/>
              </w:rPr>
              <w:t>stock at inception</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4,250,000</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preferred stock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 for</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assigned rights,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and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40,000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4,250,000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w w:val="93"/>
              </w:rPr>
              <w:t>Issuance of Series A</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costs of $194</w:t>
            </w:r>
          </w:p>
        </w:tc>
        <w:tc>
          <w:tcPr>
            <w:tcW w:w="860" w:type="dxa"/>
            <w:vAlign w:val="bottom"/>
          </w:tcPr>
          <w:p>
            <w:pPr>
              <w:jc w:val="right"/>
              <w:spacing w:after="0"/>
              <w:rPr>
                <w:sz w:val="20"/>
                <w:szCs w:val="20"/>
                <w:color w:val="auto"/>
              </w:rPr>
            </w:pPr>
            <w:r>
              <w:rPr>
                <w:rFonts w:ascii="Arial" w:cs="Arial" w:eastAsia="Arial" w:hAnsi="Arial"/>
                <w:sz w:val="18"/>
                <w:szCs w:val="18"/>
                <w:color w:val="auto"/>
              </w:rPr>
              <w:t>6,237,500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49,706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Series B</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of issuance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of $158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1,410,434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upon early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exercise of stock</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1,388,648</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Repurchase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unvested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270,000</w:t>
            </w:r>
          </w:p>
        </w:tc>
        <w:tc>
          <w:tcPr>
            <w:tcW w:w="2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6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6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106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0" w:type="dxa"/>
            <w:vAlign w:val="bottom"/>
          </w:tcPr>
          <w:p>
            <w:pPr>
              <w:spacing w:after="0"/>
              <w:rPr>
                <w:sz w:val="1"/>
                <w:szCs w:val="1"/>
                <w:color w:val="auto"/>
              </w:rPr>
            </w:pPr>
          </w:p>
        </w:tc>
      </w:tr>
      <w:tr>
        <w:trPr>
          <w:trHeight w:val="205"/>
        </w:trPr>
        <w:tc>
          <w:tcPr>
            <w:tcW w:w="156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89,706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1,410,434</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79,842</w:t>
            </w:r>
          </w:p>
        </w:tc>
        <w:tc>
          <w:tcPr>
            <w:tcW w:w="20" w:type="dxa"/>
            <w:vAlign w:val="bottom"/>
            <w:shd w:val="clear" w:color="auto" w:fill="000000"/>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1,118,648</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jc w:val="right"/>
              <w:ind w:right="99"/>
              <w:spacing w:after="0"/>
              <w:rPr>
                <w:sz w:val="20"/>
                <w:szCs w:val="20"/>
                <w:color w:val="auto"/>
              </w:rPr>
            </w:pPr>
            <w:r>
              <w:rPr>
                <w:rFonts w:ascii="Arial" w:cs="Arial" w:eastAsia="Arial" w:hAnsi="Arial"/>
                <w:sz w:val="18"/>
                <w:szCs w:val="18"/>
                <w:color w:val="auto"/>
                <w:w w:val="79"/>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26"/>
        </w:trPr>
        <w:tc>
          <w:tcPr>
            <w:tcW w:w="1680" w:type="dxa"/>
            <w:vAlign w:val="bottom"/>
          </w:tcPr>
          <w:p>
            <w:pPr>
              <w:spacing w:after="0"/>
              <w:rPr>
                <w:sz w:val="2"/>
                <w:szCs w:val="2"/>
                <w:color w:val="auto"/>
              </w:rPr>
            </w:pPr>
          </w:p>
        </w:tc>
        <w:tc>
          <w:tcPr>
            <w:tcW w:w="17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rPr>
              <w:t>Series A Convertible</w:t>
            </w:r>
          </w:p>
        </w:tc>
        <w:tc>
          <w:tcPr>
            <w:tcW w:w="17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9"/>
              </w:rPr>
              <w:t>Series B Convertible</w:t>
            </w:r>
          </w:p>
        </w:tc>
        <w:tc>
          <w:tcPr>
            <w:tcW w:w="20" w:type="dxa"/>
            <w:vAlign w:val="bottom"/>
          </w:tcPr>
          <w:p>
            <w:pPr>
              <w:spacing w:after="0"/>
              <w:rPr>
                <w:sz w:val="2"/>
                <w:szCs w:val="2"/>
                <w:color w:val="auto"/>
              </w:rPr>
            </w:pPr>
          </w:p>
        </w:tc>
        <w:tc>
          <w:tcPr>
            <w:tcW w:w="12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0"/>
              </w:rPr>
              <w:t>Treasury Stock</w:t>
            </w: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2"/>
                <w:szCs w:val="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170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7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Preferred Stock</w:t>
            </w:r>
          </w:p>
        </w:tc>
        <w:tc>
          <w:tcPr>
            <w:tcW w:w="17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shd w:val="clear" w:color="auto" w:fill="000000"/>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680" w:type="dxa"/>
            <w:vAlign w:val="bottom"/>
          </w:tcPr>
          <w:p>
            <w:pPr>
              <w:spacing w:after="0"/>
              <w:rPr>
                <w:sz w:val="12"/>
                <w:szCs w:val="12"/>
                <w:color w:val="auto"/>
              </w:rPr>
            </w:pPr>
          </w:p>
        </w:tc>
        <w:tc>
          <w:tcPr>
            <w:tcW w:w="98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20" w:type="dxa"/>
            <w:vAlign w:val="bottom"/>
            <w:tcBorders>
              <w:top w:val="single" w:sz="8" w:color="auto"/>
            </w:tcBorders>
            <w:shd w:val="clear" w:color="auto" w:fill="000000"/>
          </w:tcPr>
          <w:p>
            <w:pPr>
              <w:spacing w:after="0"/>
              <w:rPr>
                <w:sz w:val="12"/>
                <w:szCs w:val="12"/>
                <w:color w:val="auto"/>
              </w:rPr>
            </w:pPr>
          </w:p>
        </w:tc>
        <w:tc>
          <w:tcPr>
            <w:tcW w:w="94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78"/>
        </w:trPr>
        <w:tc>
          <w:tcPr>
            <w:tcW w:w="16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000000"/>
          </w:tcPr>
          <w:p>
            <w:pPr>
              <w:spacing w:after="0"/>
              <w:rPr>
                <w:sz w:val="15"/>
                <w:szCs w:val="15"/>
                <w:color w:val="auto"/>
              </w:rPr>
            </w:pPr>
          </w:p>
        </w:tc>
        <w:tc>
          <w:tcPr>
            <w:tcW w:w="820" w:type="dxa"/>
            <w:vAlign w:val="bottom"/>
            <w:tcBorders>
              <w:top w:val="single" w:sz="8" w:color="auto"/>
              <w:left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$89,706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(65,249)</w:t>
            </w:r>
          </w:p>
        </w:tc>
        <w:tc>
          <w:tcPr>
            <w:tcW w:w="0" w:type="dxa"/>
            <w:vAlign w:val="bottom"/>
          </w:tcPr>
          <w:p>
            <w:pPr>
              <w:spacing w:after="0"/>
              <w:rPr>
                <w:sz w:val="1"/>
                <w:szCs w:val="1"/>
                <w:color w:val="auto"/>
              </w:rPr>
            </w:pPr>
          </w:p>
        </w:tc>
      </w:tr>
      <w:tr>
        <w:trPr>
          <w:trHeight w:val="202"/>
        </w:trPr>
        <w:tc>
          <w:tcPr>
            <w:tcW w:w="16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color w:val="auto"/>
              </w:rPr>
              <w:t>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8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loss (unaudited)</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8"/>
                <w:szCs w:val="18"/>
                <w:color w:val="auto"/>
              </w:rPr>
            </w:pPr>
          </w:p>
        </w:tc>
        <w:tc>
          <w:tcPr>
            <w:tcW w:w="940" w:type="dxa"/>
            <w:vAlign w:val="bottom"/>
            <w:tcBorders>
              <w:lef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05"/>
        </w:trPr>
        <w:tc>
          <w:tcPr>
            <w:tcW w:w="1680" w:type="dxa"/>
            <w:vAlign w:val="bottom"/>
          </w:tcPr>
          <w:p>
            <w:pPr>
              <w:spacing w:after="0" w:line="205" w:lineRule="exact"/>
              <w:rPr>
                <w:sz w:val="20"/>
                <w:szCs w:val="20"/>
                <w:color w:val="auto"/>
              </w:rPr>
            </w:pPr>
            <w:r>
              <w:rPr>
                <w:rFonts w:ascii="Arial" w:cs="Arial" w:eastAsia="Arial" w:hAnsi="Arial"/>
                <w:sz w:val="18"/>
                <w:szCs w:val="18"/>
                <w:b w:val="1"/>
                <w:bCs w:val="1"/>
                <w:color w:val="auto"/>
              </w:rPr>
              <w:t>Balances at</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March 31, 2021</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ind w:left="18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11,237,500</w:t>
            </w:r>
          </w:p>
        </w:tc>
        <w:tc>
          <w:tcPr>
            <w:tcW w:w="12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89,706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1,410,434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79,842</w:t>
            </w:r>
          </w:p>
        </w:tc>
        <w:tc>
          <w:tcPr>
            <w:tcW w:w="20" w:type="dxa"/>
            <w:vAlign w:val="bottom"/>
            <w:shd w:val="clear" w:color="auto" w:fill="000000"/>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1,118,648</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4,520,000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742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(104,019)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(103,362)</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Period from</w:t>
            </w:r>
          </w:p>
        </w:tc>
        <w:tc>
          <w:tcPr>
            <w:tcW w:w="360" w:type="dxa"/>
            <w:vAlign w:val="bottom"/>
          </w:tcPr>
          <w:p>
            <w:pPr>
              <w:spacing w:after="0"/>
              <w:rPr>
                <w:sz w:val="14"/>
                <w:szCs w:val="14"/>
                <w:color w:val="auto"/>
              </w:rPr>
            </w:pPr>
          </w:p>
        </w:tc>
        <w:tc>
          <w:tcPr>
            <w:tcW w:w="10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8"/>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36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(65,319)</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(38,700)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Non-cash acquired in-process research and development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39,915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8,153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3,164</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4,919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(14,571)</w:t>
            </w: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129,548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early exercises of stock options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for repurchases of restricted common stock</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38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129,559</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114,988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114,988</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financing activities: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800" w:type="dxa"/>
            <w:vAlign w:val="bottom"/>
            <w:gridSpan w:val="2"/>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2"/>
        </w:trPr>
        <w:tc>
          <w:tcPr>
            <w:tcW w:w="7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Issuance of Series A convertible preferred stock in exchange for assigned rights, license and</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 common stock</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40,000</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Adagio Therapeutics, Inc., together with its consolidated subsidiary (the “Company”), is a clinical-stage biopharmaceutical company focused on the discovery, development and commercialization of antibody-based solutions for infectious diseases with pandemic potential. The Company’s initial focus is on the virus SARS-CoV-2, its variants and the disease caused by this virus, which is known as Coronavirus Infectious Disease (“COVID-19”). The Company initiated clinical trials for its lead product candidate, ADG20, in February 2021. The Company was incorporated in the State of Delaware in June 2020. The Company operates as a virtual company and, thus, does not maintain a corporate headquarters or other significant facilities. In addition, the Company engages third parties, including Adimab, LLC (“Adimab”), to perform ongoing research and development and other services on its behalf.</w:t>
      </w:r>
    </w:p>
    <w:p>
      <w:pPr>
        <w:spacing w:after="0" w:line="195"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In July 2020, the Company entered into an assignment and license agreement with Adimab pursuant to which it acquired certain rights to Adimab’s antibodies relating to COVID-19 and severe acute respiratory syndrome (“SARS”) as well as related provisional patent applications, know-how and data generated with respect to the associated antibodies. In addition, Adimab granted to the Company a non-exclusive, worldwide license to certain of Adimab’s platform patents and technology for use in research and development. In connection with the transfer of the rights acquired and license received, the Company issued 5,000,000 shares of its Series A convertible preferred stock to Adimab (see Note 6). As of December 31, 2020 and March 31, 2021 (unaudited), Adimab, a related party, held approximately 39.5% of the Company’s outstanding capital stock.</w:t>
      </w:r>
    </w:p>
    <w:p>
      <w:pPr>
        <w:spacing w:after="0" w:line="16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The Company is subject to risks and uncertainties common to early-stage companies in the biopharmaceutical industry, including, but not limited to, completing preclinical studies and clinical trials, the ability to raise additional capital to fund operations, obtaining regulatory approval for product candidates, market acceptance of products, competition from substitute products, protection of proprietary intellectual property, compliance with government regulations, the impact of the COVID-19 coronavirus, dependence on key personnel, the ability to attract and retain qualified employees, reliance on third-party organizations and the clinical and commercial success of its product candidates.</w:t>
      </w:r>
    </w:p>
    <w:p>
      <w:pPr>
        <w:spacing w:after="0" w:line="176"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The Company has not generated any revenue since inception. The Company’s lead product candidate will require significant additional research and development efforts, including extensive clinical testing and regulatory approval prior to commercialization. These efforts require significant amounts of additional capital, adequate personnel and infrastructure and compliance-reporting capabilities. Even if the Company’s development efforts are successful, it is uncertain when, if ever, the Company will generate revenue from product sales, including government supply contracts.</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and include the accounts of Adagio Therapeutics, Inc. and its wholly owned subsidiary, Adagio Therapeutics Security Corporation. All intercompany balances and transactions have been eliminated in consolidation.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Going Concern</w:t>
      </w:r>
    </w:p>
    <w:p>
      <w:pPr>
        <w:spacing w:after="0" w:line="117"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has evaluated whether there are certain conditions and events, considered in the aggregate, that raise substantial doubt about the Company’s ability to continue as a going concern within one year after the date that the consolidated financial statements are issued.</w:t>
      </w:r>
    </w:p>
    <w:p>
      <w:pPr>
        <w:spacing w:after="0" w:line="146"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Through December 31, 2020 and March 31, 2021 (unaudited), the Company has funded its operations with proceeds from sales of its convertible preferred stock. The Company has incurred recurring losses since its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0" w:lineRule="auto"/>
        <w:rPr>
          <w:sz w:val="20"/>
          <w:szCs w:val="20"/>
          <w:color w:val="auto"/>
        </w:rPr>
      </w:pPr>
      <w:r>
        <w:rPr>
          <w:rFonts w:ascii="Arial" w:cs="Arial" w:eastAsia="Arial" w:hAnsi="Arial"/>
          <w:sz w:val="16"/>
          <w:szCs w:val="16"/>
          <w:color w:val="auto"/>
        </w:rPr>
        <w:t>inception, including net losses of $65.3 million for the period from June 3, 2020 (inception) to December 31, 2020 and $38.7 million for the three months ended March 31, 2021 (unaudited). In addition, as of December 31, 2020 and March 31, 2021 (unaudited), the Company had an accumulated deficit of $65.3 million and $104.0 million, respectively. The Company expects to continue to generate significant operating losses for the foreseeable future. As of May 21, 2021, the issuance date of the consolidated financial statements for the period from June 3, 2020 (inception) to December 31, 2020 and of the interim consolidated financial statements for the three months ended March 31, 2021, the Company expects that its existing cash and cash equivalents, including the $335.5 million of gross proceeds it received from the issuance and sale of its Series C convertible preferred stock in April 2021 (see Note 15), will be sufficient to fund its operating expenses and capital expenditure requirements through March 31, 2022. The future viability of the Company beyond that point is dependent on its ability to raise additional capital to finance its operations.</w:t>
      </w:r>
    </w:p>
    <w:p>
      <w:pPr>
        <w:spacing w:after="0" w:line="165"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is seeking to complete an initial public offering (“IPO”) of its common stock. Upon the closing of a qualifying public offering on specified terms, the Company’s outstanding convertible preferred stock will automatically convert into common stock (see Notes 8 and 15).</w:t>
      </w:r>
    </w:p>
    <w:p>
      <w:pPr>
        <w:spacing w:after="0" w:line="146"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the event the Company does not complete an IPO, the Company expects to seek additional funding through private equity financings, government or private-party grants, debt financings or other capital sources, including collaborations with other companies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If the Company is unable to obtain sufficient capital, the Company will be forced to delay, reduce or eliminate some or all of its research and development programs, product portfolio expansion or future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7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Based on its recurring losses from operations incurred since inception, expectation of continuing operating losses for the foreseeable future, and the need to raise additional capital to finance its future operations, as of May 21, 2021, the issuance date of the consolidated financial statements for the period from June 3, 2020 (inception) to December 31, 2020 and of the interim consolidated financial statements for the three months ended March 31, 2021, the Company has concluded that there is substantial doubt about its ability to continue as a going concern for a period of one year from the date that these consolidated financial statements are issued.</w:t>
      </w:r>
    </w:p>
    <w:p>
      <w:pPr>
        <w:spacing w:after="0" w:line="188"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accompanying consolidated financial statements do not include any adjustments relating to the recoverability and classification of recorded asset amounts or the amounts and classification of liabilities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March 2020, the World Health Organization declared the outbreak of COVID-19 a global pandemic. The evolving and constantly changing impact of the pandemic will directly affect the potential commercial prospects of ADG20 for the treatment and prevention of COVID-19. The severity of the COVID-19 pandemic and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continued emergence of variants of concern, the availability, administration and acceptance of vaccines and monoclonal antibodies and the potential development of “herd immunity” by the global population will affect the design and enrollment of the Company’s clinical trials, the potential regulatory authorization or approval of the Company’s product candidates and the commercialization of the Company’s product candidates, if approved.</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6"/>
          <w:szCs w:val="16"/>
          <w:color w:val="auto"/>
        </w:rPr>
        <w:t>In addition, the Company’s business and operations may be more broadly adversely affected by the COVID-19 pandemic. The COVID-19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ultimate extent of the impact of the COVID-19 pandemic on the Company’s business, financial condition, operations and product development timelines and plans remains highly uncertain and will depend on future developments, including the duration and spread of the outbreak and its impact on the Company’s clinical trial design and enrollment, trial sites, contract research organizations, contract manufacturing organizations and other third parties with which it does business, as well as its impact on regulatory authorities and the Company’s key scientific and management personnel. To date, the Company has not experienced significant delays or disruptions in its development activities as a result of the COVID-19 pandemic but may in the future as the outbreak progresses and some of its contract research organizations, contract manufacturing organizations and other service providers continue to be impacted. The Company will continue to monitor developments as it addresses the disruptions, delays and uncertainties relating to the COVID-19 pandemic. These developments and the impact of the COVID-19 pandemic on the financial markets and the overall economy are highly uncertain and may materially adversely affect the Company’s results and operations and its ability to raise capital.</w:t>
      </w:r>
    </w:p>
    <w:p>
      <w:pPr>
        <w:spacing w:after="0" w:line="278" w:lineRule="exact"/>
        <w:rPr>
          <w:sz w:val="20"/>
          <w:szCs w:val="20"/>
          <w:color w:val="auto"/>
        </w:rPr>
      </w:pPr>
    </w:p>
    <w:p>
      <w:pPr>
        <w:ind w:left="560" w:right="7460" w:hanging="444"/>
        <w:spacing w:after="0" w:line="377" w:lineRule="auto"/>
        <w:tabs>
          <w:tab w:leader="none" w:pos="3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Use of Estimates</w:t>
      </w:r>
    </w:p>
    <w:p>
      <w:pPr>
        <w:spacing w:after="0" w:line="2"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research and development expenses and related prepaid or accrued costs and the valuation of common stock and resulting stock-based compensation expense. The Company bases its estimates on historical experience, known trends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7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Company is monitoring the potential impact of the COVID-19 pandemic on its business and consolidated financial statements. The Company is not aware of any specific event or circumstance that would require any update to its estimates or judgments reflected in these consolidated financial statements or a revision of the carrying value of its assets or liabilities as of May 21, 2021, the issuance date of these consolidated financial statements. These estimates may change as new events occur and additional information is obtained.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accompanying consolidated balance sheet as of March 31, 2021 and the consolidated statements of operations and comprehensive loss, of cash flows and of convertible preferred stock and stockholders’ deficit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93" w:lineRule="auto"/>
        <w:rPr>
          <w:sz w:val="20"/>
          <w:szCs w:val="20"/>
          <w:color w:val="auto"/>
        </w:rPr>
      </w:pPr>
      <w:r>
        <w:rPr>
          <w:rFonts w:ascii="Arial" w:cs="Arial" w:eastAsia="Arial" w:hAnsi="Arial"/>
          <w:sz w:val="16"/>
          <w:szCs w:val="16"/>
          <w:color w:val="auto"/>
        </w:rPr>
        <w:t>the three months ended March 31, 2021 are unaudited. The unaudited interim consolidated financial statements have been prepared on the same basis as the audited consolidated financial statements for the period from June 3, 2020 (inception) to December 31, 2020 and, in the opinion of management, reflect all adjustments, which include only normal recurring adjustments, necessary for the fair statement of the Company’s financial position as of March 31, 2021 and the results of its operations and its cash flows for the three months ended March 31, 2021. The financial data and other information disclosed in these notes related to the three months ended March 31, 2021 are also unaudited. The results for the three months ended March 31, 2021 are not necessarily indicative of results to be expected for the year ending December 31, 2021, any other interim periods, or any future year or period.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as a reduction of the proceeds from the offering, either as a reduction of the carrying value of preferred stock or in stockholders’ deficit as a reduction of additional paid-in capital generated as a result of the offering. Should the in-process equity financing be abandoned, the deferred offering costs would be expensed immediately as a charge to operating expenses in the consolidated statement of operations and comprehensive loss. The Company had no deferred offering costs recorded as of December 31, 2020. As of March 31, 2021 (unaudited), the Company had deferred offering costs totaling $0.1 million.</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Concentrations of Credit Risk, Significant Suppliers and License Rights</w:t>
      </w:r>
    </w:p>
    <w:p>
      <w:pPr>
        <w:spacing w:after="0" w:line="11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of cash and cash equivalents. The Company invests its excess cash in money market funds that are subject to minimal credit and market risks. The Company maintains its cash and cash equivalents at one accredited financial institution that it believes is creditworthy. From time to time, these deposits may exceed federally insured limits. The Company has not experienced any losses historically in these accounts. Accordingly, the Company does not believe it is exposed to unusual credit risk related to its cash and cash equivalents beyond the normal credit risk associated with commercial banking relationships.</w:t>
      </w:r>
    </w:p>
    <w:p>
      <w:pPr>
        <w:spacing w:after="0" w:line="161" w:lineRule="exact"/>
        <w:rPr>
          <w:sz w:val="20"/>
          <w:szCs w:val="20"/>
          <w:color w:val="auto"/>
        </w:rPr>
      </w:pPr>
    </w:p>
    <w:p>
      <w:pPr>
        <w:jc w:val="both"/>
        <w:ind w:left="120" w:right="20" w:firstLine="440"/>
        <w:spacing w:after="0" w:line="293" w:lineRule="auto"/>
        <w:rPr>
          <w:sz w:val="20"/>
          <w:szCs w:val="20"/>
          <w:color w:val="auto"/>
        </w:rPr>
      </w:pPr>
      <w:r>
        <w:rPr>
          <w:rFonts w:ascii="Arial" w:cs="Arial" w:eastAsia="Arial" w:hAnsi="Arial"/>
          <w:sz w:val="16"/>
          <w:szCs w:val="16"/>
          <w:color w:val="auto"/>
        </w:rPr>
        <w:t>The Company is dependent on third-party organizations to manufacture and process its product candidates for its development programs. In particular, the Company relies on a single third-party contract manufacturer to produce and process its current product candidate, ADG20, and to manufacture supply of its current product candidate for preclinical and clinical activities (see Note 7). The Company also currently relies on this same third-party contract manufacturer for any anticipated requirements of commercial supply. The Company expects to continue to be dependent on a small number of manufacturers to supply it with its requirements for all products. The Company’s research and development programs, including any associated potential commercialization efforts, could be adversely affected by a significant interruption in the supply of the necessary materials.</w:t>
      </w:r>
    </w:p>
    <w:p>
      <w:pPr>
        <w:spacing w:after="0" w:line="16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 is dependent on a limited number of third parties that provide license rights used by the Company in the development and potential commercialization of its product candidates and programs. Through December 31, 2020 and March 31, 2021 (unaudited), the Company’s research and development programs primarily relate to rights conveyed by Adimab (see Note 6). The Company could experience delays in the development and potential commercialization of its product candidates and programs if the Adimab license arrangement or any other license agreement utilized in the Company’s research and development activities 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terminated, if the Company fails to meet the obligations required under its arrangements, or if the Company is unable to successfully secure new strategic alliances or licensing agreements.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at the acquisition date to be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Certain assets of the Company are carried at fair value under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7" w:lineRule="exact"/>
        <w:rPr>
          <w:sz w:val="20"/>
          <w:szCs w:val="20"/>
          <w:color w:val="auto"/>
        </w:rPr>
      </w:pPr>
    </w:p>
    <w:p>
      <w:pPr>
        <w:ind w:left="1080" w:hanging="532"/>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jc w:val="both"/>
        <w:ind w:left="1080" w:right="20" w:hanging="532"/>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9" w:lineRule="exact"/>
        <w:rPr>
          <w:rFonts w:ascii="Arial" w:cs="Arial" w:eastAsia="Arial" w:hAnsi="Arial"/>
          <w:sz w:val="18"/>
          <w:szCs w:val="18"/>
          <w:color w:val="auto"/>
        </w:rPr>
      </w:pPr>
    </w:p>
    <w:p>
      <w:pPr>
        <w:ind w:left="1080" w:right="20" w:hanging="532"/>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20" w:firstLine="440"/>
        <w:spacing w:after="0" w:line="342" w:lineRule="auto"/>
        <w:rPr>
          <w:sz w:val="20"/>
          <w:szCs w:val="20"/>
          <w:color w:val="auto"/>
        </w:rPr>
      </w:pPr>
      <w:r>
        <w:rPr>
          <w:rFonts w:ascii="Arial" w:cs="Arial" w:eastAsia="Arial" w:hAnsi="Arial"/>
          <w:sz w:val="16"/>
          <w:szCs w:val="16"/>
          <w:color w:val="auto"/>
        </w:rPr>
        <w:t>The Company’s cash equivalents are carried at fair value, determined according to the fair value hierarchy described above (see Note 3). The carrying values of the Company’s accounts payable and accrued expenses approximate their fair values due to the short-term nature of these liabilities.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manages its operations as a single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trials as well as to manufacture research and development materials for use in such studies and trials; salaries and related personnel costs; stock-based compensation; consultant fees; and third-party license fees.</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has entered into various research, development and manufacturing contracts with third-party service providers, including contract research organizations and contract manufacturing organizations. With the exception of the Company’s manufacturing arrangement with WuXi Biologics (Hong Kong) Limited (see Note 6), these agreements are generally cancelable.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Asset Acquisitions and Acquired In-Process Research and Development Expenses</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184"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Acquired IPR&amp;D expense recognized for the period from June 3, 2020 (inception) to December 31, 2020 consisted of the upfront consideration paid in connection with the Company’s acquisition of assigned rights and an intellectual property license from Adimab and other in-licensing arrangements executed during the period (see Note 6). Acquired IPR&amp;D expense recognized for the three months ended March 31, 2021 consisted solely of the payment due for a milestone achieved under the Adimab arrangement (see Note 6).</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and Accretion of Convertible Preferred Stock</w:t>
      </w:r>
    </w:p>
    <w:p>
      <w:pPr>
        <w:spacing w:after="0" w:line="11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Company’s convertible preferred stock is classified outside of stockholders’ deficit on the consolidated balance sheets because the holders of such shares have liquidation rights in the event of a deemed liquidation that, in certain situations, is not solely within the control of the Company and would require the redemption of the then-outstanding convertible preferred stock. The Company’s Series A and Series B convertible preferred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6" w:lineRule="auto"/>
        <w:rPr>
          <w:sz w:val="20"/>
          <w:szCs w:val="20"/>
          <w:color w:val="auto"/>
        </w:rPr>
      </w:pPr>
      <w:r>
        <w:rPr>
          <w:rFonts w:ascii="Arial" w:cs="Arial" w:eastAsia="Arial" w:hAnsi="Arial"/>
          <w:sz w:val="17"/>
          <w:szCs w:val="17"/>
          <w:color w:val="auto"/>
        </w:rPr>
        <w:t>stock are not redeemable, except in the event of deemed liquidation (see Note 8). Because the occurrence of a deemed liquidation event is not currently probable, the carrying values of the convertible preferred stock are not being accreted to their redemption values. Subsequent adjustments to the carrying values of the convertible preferred stock would be made only when a deemed liquidation event becomes probable.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issued awards with only service-based vesting conditions through December 31, 2020 and March 31, 2021 (unaudited).</w:t>
      </w:r>
    </w:p>
    <w:p>
      <w:pPr>
        <w:spacing w:after="0" w:line="18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17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profits expected and considering prudent and feasible tax planning strategies.</w:t>
      </w:r>
    </w:p>
    <w:p>
      <w:pPr>
        <w:spacing w:after="0" w:line="165"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2020 and March 31, 2021 (unaudited).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There was no difference between net loss and comprehensive loss for each of the periods presented in the accompanying consolidated financial statements.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firstLine="440"/>
        <w:spacing w:after="0" w:line="269" w:lineRule="auto"/>
        <w:rPr>
          <w:sz w:val="20"/>
          <w:szCs w:val="20"/>
          <w:color w:val="auto"/>
        </w:rPr>
      </w:pPr>
      <w:r>
        <w:rPr>
          <w:rFonts w:ascii="Arial" w:cs="Arial" w:eastAsia="Arial" w:hAnsi="Arial"/>
          <w:sz w:val="17"/>
          <w:szCs w:val="17"/>
          <w:color w:val="auto"/>
        </w:rPr>
        <w:t>The Company follows the two-class method when computing net income (loss) per share attributable to common stockholders as the Company has issued shares that meet the definition of participating securities. The two-class method determines net income (loss) per share for each class of common and participating securities according to dividends declared or accumulated and participation rights in undistributed earnings. The two-class method requires income (loss) for the period to be allocated between common and participating securities based upon their respective rights to share in the undistributed earnings as if all income (loss) for the period had been distributed. The Company considers its convertible preferred stock to be participating securities as, in the event a dividend is paid on common stock, the holders of convertible preferred stock would be entitled to receive dividends on a basis consistent with the common stockholders. The Company also considers the shares issued upon the early exercise of stock options that are subject to repurchase to be participating securities because holders of such shares have non-forfeitable dividend rights in the event a dividend is paid on common stock. There is no allocation required under the two-class method during periods of loss since the participating securities do not have a contractual obligation to share in the losses of the Company.</w:t>
      </w:r>
    </w:p>
    <w:p>
      <w:pPr>
        <w:spacing w:after="0" w:line="185"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Basic net income (loss) per share attributable to common stockholders is computed by dividing the net income (loss) attributable to common stockholders by the weighted-average number of common shares outstanding for the period, excluding shares of unvested restricted common stock. Diluted net income (loss) per share attributable to common stockholders is computed by adjusting net loss attributable to common stockholders to reallocate undistributed earnings based on the potential impact of dilutive securities. Diluted net income (loss) per share attributable to common stockholders is computed by dividing the diluted net income (loss) attributable to common stockholders by the weighted-average number of common shares outstanding for the period, including potential dilutive common shares. For the purposes of this calculation, the Company’s outstanding stock options, convertible preferred stock and unvested restricted common stock are considered potential dilutive common shares.</w:t>
      </w:r>
    </w:p>
    <w:p>
      <w:pPr>
        <w:spacing w:after="0" w:line="166"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 xml:space="preserve">In July 2017, the Financial Accounting Standards Board (“FASB”) issued Accounting Standards Update (“ASU”) No. 2017-11, </w:t>
      </w:r>
      <w:r>
        <w:rPr>
          <w:rFonts w:ascii="Arial" w:cs="Arial" w:eastAsia="Arial" w:hAnsi="Arial"/>
          <w:sz w:val="17"/>
          <w:szCs w:val="17"/>
          <w:i w:val="1"/>
          <w:iCs w:val="1"/>
          <w:color w:val="auto"/>
        </w:rPr>
        <w:t>Earnings 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 (Topic 260), Distinguishing Liabilities from Equity (Topic 480) and Derivatives and Hedging (Topic 815): I. Accounting for Certain Financial Instruments with Down Round Features and II. Replacement of the Indefinite Deferral for Mandatorily Redeemable Financial Instruments of Certain Nonpublic Entities and Certain Mandatorily Redeemable Noncontrolling Interests with a Scope Exception </w:t>
      </w:r>
      <w:r>
        <w:rPr>
          <w:rFonts w:ascii="Arial" w:cs="Arial" w:eastAsia="Arial" w:hAnsi="Arial"/>
          <w:sz w:val="17"/>
          <w:szCs w:val="17"/>
          <w:color w:val="auto"/>
        </w:rPr>
        <w:t>(“ASU 2017-11”). Part I of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Current accounting guidance creates cost and complexity for entities that issue financial instruments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89" w:lineRule="auto"/>
        <w:rPr>
          <w:sz w:val="20"/>
          <w:szCs w:val="20"/>
          <w:color w:val="auto"/>
        </w:rPr>
      </w:pPr>
      <w:r>
        <w:rPr>
          <w:rFonts w:ascii="Arial" w:cs="Arial" w:eastAsia="Arial" w:hAnsi="Arial"/>
          <w:sz w:val="16"/>
          <w:szCs w:val="16"/>
          <w:color w:val="auto"/>
        </w:rPr>
        <w:t>(such as warrants and convertible instruments) with down round features that require fair value measurement of the entire instrument or conversion option. Pursuant to the amendments in Part I of this update, when determining whether certain financial instruments should be classified as liabilities or equity instruments, a down round feature no longer precludes equity classification when assessing whether the instrument is indexed to an entity’s own stock. Part II of this update replaces the indefinite deferral for certain mandatorily redeemable noncontrolling interests and mandatorily redeemable financial instruments of nonpublic entities contained within ASC No. 480 with a scope exception. The amendments in Part II of this update do not have an accounting effect. For public entities, ASU 2017-11 was required to be adopted for annual periods beginning after December 15, 2018, including interim periods within those fiscal years. For nonpublic entities, ASU 2017-11 is effective for annual periods beginning after December 15, 2019, and interim periods within fiscal years beginning after December 15, 2020. Early adoption was permitted. The Company adopted ASU 2017-11 on June 3, 2020 (inception) and the adoption did not have a material impact on the Company’s consolidated financial statements.</w:t>
      </w:r>
    </w:p>
    <w:p>
      <w:pPr>
        <w:spacing w:after="0" w:line="166"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Payment Accounting </w:t>
      </w:r>
      <w:r>
        <w:rPr>
          <w:rFonts w:ascii="Arial" w:cs="Arial" w:eastAsia="Arial" w:hAnsi="Arial"/>
          <w:sz w:val="16"/>
          <w:szCs w:val="16"/>
          <w:color w:val="auto"/>
        </w:rPr>
        <w:t>(“ASU 2018-07”). ASU 2018-07 is intended to simplify several aspects of the accounting for non-employee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transactions. ASU 2018-07 expands the scope of ASC 718 to include share-based payments issued to non-employees for goods and services. Under ASU 2018-07, entities should apply the requirements of ASC 718 to non-employee awards except for specific guidance on inputs to an option pricing model and the attribution of compensation cost. Accordingly, the accounting for share-based payments to employees and non-employees will be substantially aligned based on this update. The cost of non-employee awards is recorded as if the grantor had paid cash for the goods or services. For public entities, ASU 2018-07 was required to be adopted for annual periods beginning after December 15, 2018, including interim periods within those fiscal years. For nonpublic entities, ASU 2018-07 is effective for annual periods beginning after December 15, 2019, and interim periods within fiscal years beginning after December 15, 2020. Early adoption is permitted. The Company adopted ASU 2018-07 on June 3, 2020 (inception) and the adoption did not have a material impact on the Company’s consolidated financial statements.</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From time to time, new accounting pronouncements are issued by the FASB or other standard setting bodies and adopted by the Company as of the specified effective date. The Company qualifies as an “emerging growth company” as defined in the Jumpstart Our Business Startups Act of 2012 and has elected not to “opt out” of the extended transition related to complying with new or revised accounting standards, which means that when a standard is issued or revised and it has different application dates for public and nonpublic companies, the Company will adopt the new or revised standard at the time nonpublic companies adopt the new or revised standard and will do so until such time that the Company either (i) irrevocably elects to “opt out” of such extended transition period or (ii) no longer qualifies as an emerging growth company. The Company may choose to early adopt any new or revised accounting standards whenever such early adoption is permitted for nonpublic companies.</w:t>
      </w:r>
    </w:p>
    <w:p>
      <w:pPr>
        <w:spacing w:after="0" w:line="177"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or “ASC 842”), as subsequently amended. ASC 842 sets forth the principles for the recognition, measurement, presentation and disclosure of leases for both parties to a contract (i.e., lessees and lessors). ASC 842 replaces the existing guidance in ASC No.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840”). ASC 842 requires lessees to apply a dual approach, classifying leases as either finance or operating leases based on the principle of whether or not the lease is effectively a financed purchase by the lessee. This classification determines whether lease expense is recognized based on an effective interest method for finance leases or on a straight-line basis over the term of the lease for operating leases. In addition, a lessee is also required to record (i) a right-of-use asset and a lease liability on its balance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sheets for all leases with a term of greater than 12 months regardless of their classification and (ii) lease expense on its statement of operations for operating leases and amortization and interest expense on its statement of operations for financing leases. Leases with a term of 12 months or less may be accounted for similar to existing guidance for operating leases under ASC 840. ASC 842 also requires lessees and lessors to disclose key information about their leasing transactions. In July 2018, the FASB issued ASU No. 2018-11,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which added an optional transition method that allows companies to adopt the standard as of the beginning of the year of adoption as opposed to the earliest comparative period presented. In November 2019, the FASB issued guidance delaying the effective date for all entities, except for public entities. For public entities, ASU 2016-02 was effective for annual periods beginning after December 15, 2018, including interim periods within those fiscal years. In June 2020, the FASB issued ASU No. 2020-05, </w:t>
      </w:r>
      <w:r>
        <w:rPr>
          <w:rFonts w:ascii="Arial" w:cs="Arial" w:eastAsia="Arial" w:hAnsi="Arial"/>
          <w:sz w:val="16"/>
          <w:szCs w:val="16"/>
          <w:i w:val="1"/>
          <w:iCs w:val="1"/>
          <w:color w:val="auto"/>
        </w:rPr>
        <w:t>Revenue from Contracts with Customers (Topic 606) and Leases (Topic 842): Effective Dates for Certain Entities</w:t>
      </w:r>
      <w:r>
        <w:rPr>
          <w:rFonts w:ascii="Arial" w:cs="Arial" w:eastAsia="Arial" w:hAnsi="Arial"/>
          <w:sz w:val="16"/>
          <w:szCs w:val="16"/>
          <w:color w:val="auto"/>
        </w:rPr>
        <w:t xml:space="preserve"> (“ASU 2020-05”), which delayed the adoption date of ASU 2016-02 for nonpublic entities. For nonpublic entities, ASU 2016-02 is effective for annual periods beginning after December 15, 2021, including interim periods within annual periods beginning after December 15, 2022. Early adoption is permitted, including in an interim period. Entities are required to adopt ASC 842 using a modified retrospective transition method.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5"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and also issued subsequent amendments to the initial guidance: ASU 2018-19, ASU 2019-04 and ASU 2019-05</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“Topic 326”). The main objective of this update is to provide financial statement users with more decision-useful information about the expected credit losses on financial instruments and other commitments to extend credit held by a reporting entity at each reporting date. To achieve this objective, the amendments in this update replace the incurred loss impairment methodology in current guidance with a methodology that reflects expected credit losses and requires consideration of a broader range of reasonable and supportable information to inform credit loss estimates. Under ASU 2016-13, expected credit losses relating to financial assets measured on an amortized cost basis and available-for-sale debt securities are required to be recorded through an allowance for credit losses. The update also limits the amount of credit losses to be recognized for available-for-sale debt securities to the amount by which the carrying value exceeds fair value. The measurement of expected credit losses will be based on relevant information about past events, including historical experience, current conditions and reasonable and supportable forecasts that affect the collectability of the reported amount. ASU 2016-13 also establishes additional disclosure requirements related to credit risks. For public entities that qualify as a filer with the Securities and Exchange Commission, excluding entities eligible to be smaller reporting companies, ASU 2016-13 is effective for annual periods beginning after December 15, 2019, including interim periods within those fiscal years. Early adoption is permitted. In November 2019, the FASB issued ASU No. 2019-10, which deferred the effective date for nonpublic entities to annual reporting periods beginning after December 15, 2022, including interim periods within those fiscal years. ASU 2016-13 is applied by means of a cumulative-effect adjustment to the opening retained earnings as of the beginning of the first reporting period in which the guidance is effective. The Company is currently evaluating the potential impact that the adoption of this standard may have on its consolidated financial statements and related disclosures.</w:t>
      </w:r>
    </w:p>
    <w:p>
      <w:pPr>
        <w:spacing w:after="0" w:line="174"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The amendments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ASU 2018-15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update requires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87" w:lineRule="auto"/>
        <w:rPr>
          <w:sz w:val="20"/>
          <w:szCs w:val="20"/>
          <w:color w:val="auto"/>
        </w:rPr>
      </w:pPr>
      <w:r>
        <w:rPr>
          <w:rFonts w:ascii="Arial" w:cs="Arial" w:eastAsia="Arial" w:hAnsi="Arial"/>
          <w:sz w:val="16"/>
          <w:szCs w:val="16"/>
          <w:color w:val="auto"/>
        </w:rPr>
        <w:t xml:space="preserve">entities in a hosting arrangement that is a service contract to follow the guidance in ASC 350-40, </w:t>
      </w:r>
      <w:r>
        <w:rPr>
          <w:rFonts w:ascii="Arial" w:cs="Arial" w:eastAsia="Arial" w:hAnsi="Arial"/>
          <w:sz w:val="16"/>
          <w:szCs w:val="16"/>
          <w:i w:val="1"/>
          <w:iCs w:val="1"/>
          <w:color w:val="auto"/>
        </w:rPr>
        <w:t>Internal-Use Software</w:t>
      </w:r>
      <w:r>
        <w:rPr>
          <w:rFonts w:ascii="Arial" w:cs="Arial" w:eastAsia="Arial" w:hAnsi="Arial"/>
          <w:sz w:val="16"/>
          <w:szCs w:val="16"/>
          <w:color w:val="auto"/>
        </w:rPr>
        <w:t xml:space="preserve"> (“ASC 350-40”) to determine which implementation costs to capitalize as an asset related to the service contract and which costs to expense. Costs to develop or obtain internal-use software that cannot be capitalized under ASC 350-40, such as training costs and certain data conversion costs, also cannot be capitalized for a hosting arrangement that is a service contract. Therefore, an entity in a hosting arrangement that is a service contract determines which project stage an implementation activity relates to. Costs for implementation activities in the application development stage are capitalized depending on the nature of the costs, while costs incurred during the preliminary project and post-implementation stages are expensed as the activities are performed. ASU 2018-15 also requires entities to expense the capitalized implementation costs of a hosting arrangement that is a service contract over the term of the hosting arrangement. ASU 2018-15 was effective for public entities for annual periods beginning after December 15, 2019, including interim periods within those fiscal years. For nonpublic entities, ASU 2018-15 is effective for annual reporting periods beginning after December 15, 2020, and interim periods within annual periods beginning after December 15, 2021. Early adoption is permitted, including adoption in any interim period. ASU 2018-15 is applied either retrospectively or prospectively to all implementation costs incurred after the date of adoption.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(“ASU 2019-12”). ASU 2019-12 eliminates certain exceptions related to the approach for intraperiod tax allocation, the methodology for calculating income taxes in an interim period and the recognition of deferred tax liabilities for outside basis differences. The update also clarifies and simplifies other aspects of the accounting for income taxes. For public entities, ASU 2019-12 is required to be adopted for annual periods beginning after December 15, 2020, including interim periods within those fiscal years. For nonpublic entities, ASU 2019-12 is effective for annual periods beginning after December 15, 2021, and interim periods within fiscal years beginning after December 15, 2022. Early adoption is permitted, including adoption in any interim period for which financial statements have not yet been issued or made available for issuance. An entity that elects to early adopt the update in an interim period should reflect any adjustments as of the beginning of the annual period that includes that interim period. Additionally, an entity that elects early adoption must adopt all the amendments in the update in the same period. The Company is currently evaluating the potential impact that the adoption of this standard may have on its consolidated financial statements and related disclosures.</w:t>
      </w:r>
    </w:p>
    <w:p>
      <w:pPr>
        <w:spacing w:after="0" w:line="168"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 xml:space="preserve">In August 2020, the FASB issued ASU No. 2020-06, </w:t>
      </w:r>
      <w:r>
        <w:rPr>
          <w:rFonts w:ascii="Arial" w:cs="Arial" w:eastAsia="Arial" w:hAnsi="Arial"/>
          <w:sz w:val="16"/>
          <w:szCs w:val="16"/>
          <w:i w:val="1"/>
          <w:iCs w:val="1"/>
          <w:color w:val="auto"/>
        </w:rPr>
        <w:t>Debt—Debt with Conversion and Other Options (Subtopic 470-20) and Derivatives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Hedging—Contracts in Entity’s Own Equity (Subtopic 815-40): Accounting for Convertible Instruments and Contracts in an Entity’s Own Equity </w:t>
      </w:r>
      <w:r>
        <w:rPr>
          <w:rFonts w:ascii="Arial" w:cs="Arial" w:eastAsia="Arial" w:hAnsi="Arial"/>
          <w:sz w:val="16"/>
          <w:szCs w:val="16"/>
          <w:color w:val="auto"/>
        </w:rPr>
        <w:t>(“ASU</w:t>
      </w:r>
      <w:r>
        <w:rPr>
          <w:rFonts w:ascii="Arial" w:cs="Arial" w:eastAsia="Arial" w:hAnsi="Arial"/>
          <w:sz w:val="16"/>
          <w:szCs w:val="16"/>
          <w:i w:val="1"/>
          <w:iCs w:val="1"/>
          <w:color w:val="auto"/>
        </w:rPr>
        <w:t xml:space="preserve"> </w:t>
      </w:r>
      <w:r>
        <w:rPr>
          <w:rFonts w:ascii="Arial" w:cs="Arial" w:eastAsia="Arial" w:hAnsi="Arial"/>
          <w:sz w:val="16"/>
          <w:szCs w:val="16"/>
          <w:color w:val="auto"/>
        </w:rPr>
        <w:t>2020-06”). ASU 2020-06 was issued to reduce the complexity associated with accounting for certain financial instruments with characteristics of liabilities and equity. ASU 2020-06 reduces the number of accounting models for convertible debt instruments and convertible preferred stock and improves the disclosures for convertible instruments and related earnings per share guidance. ASU 2020-06 also amends the guidance for the derivatives scope exception for contracts in an entity’s own equity and improves and amends the related earnings per share guidance. For public entities that qualify as a filer with the Securities and Exchange Commission, excluding entities eligible to be smaller reporting companies, ASU 2020-06 is effective for fiscal annual periods beginning after December 15, 2021, including interim periods within those fiscal years. For nonpublic entities, ASU 2020-06 is effective for fiscal years beginning after December 15, 2023, including interim periods within those fiscal years. Early adoption is permitted, but no earlier than fiscal years beginning after December 15, 2020, including interim periods within those fiscal years. ASU 2020-06 must be adopted as of the beginning of its annual fiscal year. ASU 2020-06 may be adopted through either a modified retrospective method of transition or a fully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retrospective method of transition. The Company is currently evaluating the potential impact that the adoption of this standard may have on its consolidated financial statements and related disclosures.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tables present the Company’s fair value hierarchy for its assets and liabilities that are measured at fair value on a recurring basis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1"/>
              </w:rPr>
              <w:t>December 31, 2020 Using:</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Pr>
          <w:p>
            <w:pPr>
              <w:spacing w:after="0"/>
              <w:rPr>
                <w:sz w:val="12"/>
                <w:szCs w:val="12"/>
                <w:color w:val="auto"/>
              </w:rPr>
            </w:pPr>
          </w:p>
        </w:tc>
        <w:tc>
          <w:tcPr>
            <w:tcW w:w="8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r>
      <w:tr>
        <w:trPr>
          <w:trHeight w:val="223"/>
        </w:trPr>
        <w:tc>
          <w:tcPr>
            <w:tcW w:w="7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39,006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39,006</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7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6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 at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7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20" w:type="dxa"/>
            <w:vAlign w:val="bottom"/>
            <w:gridSpan w:val="11"/>
          </w:tcPr>
          <w:p>
            <w:pPr>
              <w:jc w:val="center"/>
              <w:ind w:right="80"/>
              <w:spacing w:after="0"/>
              <w:rPr>
                <w:sz w:val="20"/>
                <w:szCs w:val="20"/>
                <w:color w:val="auto"/>
              </w:rPr>
            </w:pPr>
            <w:r>
              <w:rPr>
                <w:rFonts w:ascii="Arial" w:cs="Arial" w:eastAsia="Arial" w:hAnsi="Arial"/>
                <w:sz w:val="14"/>
                <w:szCs w:val="14"/>
                <w:b w:val="1"/>
                <w:bCs w:val="1"/>
                <w:color w:val="auto"/>
                <w:w w:val="94"/>
              </w:rPr>
              <w:t>March 31, 2021 (unaudited) Using:</w:t>
            </w:r>
          </w:p>
        </w:tc>
      </w:tr>
      <w:tr>
        <w:trPr>
          <w:trHeight w:val="142"/>
        </w:trPr>
        <w:tc>
          <w:tcPr>
            <w:tcW w:w="7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2"/>
              </w:rPr>
              <w:t>Level 1</w:t>
            </w:r>
          </w:p>
        </w:tc>
        <w:tc>
          <w:tcPr>
            <w:tcW w:w="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3</w:t>
            </w:r>
          </w:p>
        </w:tc>
        <w:tc>
          <w:tcPr>
            <w:tcW w:w="6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r>
      <w:tr>
        <w:trPr>
          <w:trHeight w:val="196"/>
        </w:trPr>
        <w:tc>
          <w:tcPr>
            <w:tcW w:w="7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7780" w:type="dxa"/>
            <w:vAlign w:val="bottom"/>
          </w:tcPr>
          <w:p>
            <w:pPr>
              <w:ind w:left="360"/>
              <w:spacing w:after="0"/>
              <w:rPr>
                <w:sz w:val="20"/>
                <w:szCs w:val="20"/>
                <w:color w:val="auto"/>
              </w:rPr>
            </w:pPr>
            <w:r>
              <w:rPr>
                <w:rFonts w:ascii="Arial" w:cs="Arial" w:eastAsia="Arial" w:hAnsi="Arial"/>
                <w:sz w:val="18"/>
                <w:szCs w:val="18"/>
                <w:color w:val="auto"/>
              </w:rPr>
              <w:t>Cash equivalents: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Money market fund</w:t>
            </w:r>
          </w:p>
        </w:tc>
        <w:tc>
          <w:tcPr>
            <w:tcW w:w="62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r>
      <w:tr>
        <w:trPr>
          <w:trHeight w:val="223"/>
        </w:trPr>
        <w:tc>
          <w:tcPr>
            <w:tcW w:w="77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15,274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15,274</w:t>
            </w:r>
          </w:p>
        </w:tc>
        <w:tc>
          <w:tcPr>
            <w:tcW w:w="6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money market fund was valued by the Company based on quoted market prices, which represent a Level 1 measurement within the fair value hierarchy. There were no changes to the valuation methods for the period from June 3, 2020 (inception) to December 31, 2020 and for the three months ended March 31, 2021 (unaudited). The Company evaluates transfers between levels at the end of each reporting period. There were no transfers between Level 1 or Level 2 during the period from June 3, 2020 (inception) to December 31, 2020 and the three months ended March 31, 2021 (unaudited).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Prepaid Expenses and Other Current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9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49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5"/>
              </w:rPr>
              <w:t>Prepaid external research, development and manufacturing costs</w:t>
            </w:r>
          </w:p>
        </w:tc>
        <w:tc>
          <w:tcPr>
            <w:tcW w:w="402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557</w:t>
            </w:r>
          </w:p>
        </w:tc>
      </w:tr>
      <w:tr>
        <w:trPr>
          <w:trHeight w:val="27"/>
        </w:trPr>
        <w:tc>
          <w:tcPr>
            <w:tcW w:w="4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98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3,627</w:t>
            </w:r>
          </w:p>
        </w:tc>
      </w:tr>
      <w:tr>
        <w:trPr>
          <w:trHeight w:val="20"/>
        </w:trPr>
        <w:tc>
          <w:tcPr>
            <w:tcW w:w="4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980" w:type="dxa"/>
            <w:vAlign w:val="bottom"/>
          </w:tcPr>
          <w:p>
            <w:pPr>
              <w:spacing w:after="0"/>
              <w:rPr>
                <w:sz w:val="24"/>
                <w:szCs w:val="24"/>
                <w:color w:val="auto"/>
              </w:rPr>
            </w:pP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rPr>
              <w:t>F-19</w:t>
            </w:r>
          </w:p>
        </w:tc>
        <w:tc>
          <w:tcPr>
            <w:tcW w:w="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67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r>
      <w:tr>
        <w:trPr>
          <w:trHeight w:val="142"/>
        </w:trPr>
        <w:tc>
          <w:tcPr>
            <w:tcW w:w="67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external research, development and manufacturing costs</w:t>
            </w: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15,774</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Accrued professional and consultant fees</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1,084</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2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r>
        <w:trPr>
          <w:trHeight w:val="27"/>
        </w:trPr>
        <w:tc>
          <w:tcPr>
            <w:tcW w:w="67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ind w:left="20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4,919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17,360</w:t>
            </w:r>
          </w:p>
        </w:tc>
      </w:tr>
      <w:tr>
        <w:trPr>
          <w:trHeight w:val="20"/>
        </w:trPr>
        <w:tc>
          <w:tcPr>
            <w:tcW w:w="67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Assignment Agreement</w:t>
      </w:r>
    </w:p>
    <w:p>
      <w:pPr>
        <w:spacing w:after="0" w:line="117" w:lineRule="exact"/>
        <w:rPr>
          <w:sz w:val="20"/>
          <w:szCs w:val="20"/>
          <w:color w:val="auto"/>
        </w:rPr>
      </w:pPr>
    </w:p>
    <w:p>
      <w:pPr>
        <w:jc w:val="both"/>
        <w:ind w:left="120" w:right="20" w:firstLine="440"/>
        <w:spacing w:after="0" w:line="289" w:lineRule="auto"/>
        <w:rPr>
          <w:sz w:val="20"/>
          <w:szCs w:val="20"/>
          <w:color w:val="auto"/>
        </w:rPr>
      </w:pPr>
      <w:r>
        <w:rPr>
          <w:rFonts w:ascii="Arial" w:cs="Arial" w:eastAsia="Arial" w:hAnsi="Arial"/>
          <w:sz w:val="16"/>
          <w:szCs w:val="16"/>
          <w:color w:val="auto"/>
        </w:rPr>
        <w:t>In July 2020, the Company entered into an Assignment and License Agreement with Adimab (“Adimab Assignment Agreement”). Under the terms of the agreement, Adimab assigned to the Company all rights, title and interest in and to certain of its coronavirus-specific antibodies (“CoV Antibodies”), including modified or derivative forms thereof, and related intellectual property (“Adimab CoV Assets”).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166"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194" w:lineRule="exact"/>
        <w:rPr>
          <w:sz w:val="20"/>
          <w:szCs w:val="20"/>
          <w:color w:val="auto"/>
        </w:rPr>
      </w:pPr>
    </w:p>
    <w:p>
      <w:pPr>
        <w:jc w:val="both"/>
        <w:ind w:left="120" w:right="20" w:firstLine="440"/>
        <w:spacing w:after="0" w:line="255" w:lineRule="auto"/>
        <w:rPr>
          <w:sz w:val="20"/>
          <w:szCs w:val="20"/>
          <w:color w:val="auto"/>
        </w:rPr>
      </w:pPr>
      <w:r>
        <w:rPr>
          <w:rFonts w:ascii="Arial" w:cs="Arial" w:eastAsia="Arial" w:hAnsi="Arial"/>
          <w:sz w:val="18"/>
          <w:szCs w:val="18"/>
          <w:color w:val="auto"/>
        </w:rPr>
        <w:t>In July 2020, in consideration for the rights assigned and license conveyed under the Adimab Assignment Agreement, the Company issued 5,000,000 shares of its Series A convertible preferred stock (the “Series A Preferred Stock”), then having a fair value of $40.0 million, to Adimab. Concurrently, Adimab relinquished 4,250,000 shares of the Company’s common stock to the Company, then having a fair value of $85,000. Additionally, 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 xml:space="preserve">the second Product under the agreement that achieves such specified milestones. The maximum aggregate amount of milestone payments payable under the agreement for any and all Products is $24.6 million; however, milestone payments do not accrue for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devices consisting of or containing CoV Antibodies.</w:t>
      </w:r>
    </w:p>
    <w:p>
      <w:pPr>
        <w:spacing w:after="0" w:line="184" w:lineRule="exact"/>
        <w:rPr>
          <w:sz w:val="20"/>
          <w:szCs w:val="20"/>
          <w:color w:val="auto"/>
        </w:rPr>
      </w:pPr>
    </w:p>
    <w:p>
      <w:pPr>
        <w:jc w:val="both"/>
        <w:ind w:left="120" w:right="20" w:firstLine="440"/>
        <w:spacing w:after="0" w:line="291" w:lineRule="auto"/>
        <w:rPr>
          <w:sz w:val="20"/>
          <w:szCs w:val="20"/>
          <w:color w:val="auto"/>
        </w:rPr>
      </w:pPr>
      <w:r>
        <w:rPr>
          <w:rFonts w:ascii="Arial" w:cs="Arial" w:eastAsia="Arial" w:hAnsi="Arial"/>
          <w:sz w:val="16"/>
          <w:szCs w:val="16"/>
          <w:color w:val="auto"/>
        </w:rPr>
        <w:t>In February 2021, the Company achieved the first specified milestone under the agreement upon dosing of the first patient in a Phase 1 clinical trial evaluating ADG20, which obligated the Company to make a $1.0 million milestone payment to Adimab. In April 2021, the Company achieved the second specified milestone under the agreement upon dosing of the first patient in a Phase 2 clinical trial evaluating ADG20 for the prevention of COVID-19, which obligated the Company to make a $2.5 million milestone payment. The Company recognized the expense related to the expected achievement of the second milestone in early April, when certain Phase 1 clinical trial data was submitted to the FDA for review and the second milestone under the agreement became probable of achievement. The next potential milestone payment that the Company may be obligated to make under the agreement is a $4.0 million milestone payment for the first dosing of the first subject in the first Phase 3 clinical trial of a Product.</w:t>
      </w:r>
    </w:p>
    <w:p>
      <w:pPr>
        <w:spacing w:after="0" w:line="166" w:lineRule="exact"/>
        <w:rPr>
          <w:sz w:val="20"/>
          <w:szCs w:val="20"/>
          <w:color w:val="auto"/>
        </w:rPr>
      </w:pPr>
    </w:p>
    <w:p>
      <w:pPr>
        <w:jc w:val="both"/>
        <w:ind w:left="120" w:right="20" w:firstLine="440"/>
        <w:spacing w:after="0" w:line="254" w:lineRule="auto"/>
        <w:rPr>
          <w:sz w:val="20"/>
          <w:szCs w:val="20"/>
          <w:color w:val="auto"/>
        </w:rPr>
      </w:pPr>
      <w:r>
        <w:rPr>
          <w:rFonts w:ascii="Arial" w:cs="Arial" w:eastAsia="Arial" w:hAnsi="Arial"/>
          <w:sz w:val="18"/>
          <w:szCs w:val="18"/>
          <w:color w:val="auto"/>
        </w:rPr>
        <w:t>The Company is also obligated to pay Adimab royalties of a mid single-digit percentage based on net sales of any Products, once commercialized.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expiration of the last valid claim of a patent covering such Product in such country (“Royalty Term”). In addition, the Company is obligated to pay Adimab royalties of a specified percentage in the range of 45% to 55% of any compulsory sublicense consideration received by the Company in lieu of certain royalty payments. Except for the first milestone payment of $1.0 million, which was paid by the Company to Adimab in March 2021, no other milestone, royalty or other contingent payments had become due to Adimab through December 31, 2020 or March 31, 2021 (unaudited).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Either party may terminate the agreement in the event of a material breach by the other party that is not cured within specified periods, except that after the initiation of the first clinical trial of a Product,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164"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 Therefore, the aggregate acquisition cost was recognized as acquired in-process research and development expense. For the period from June 3, 2020 (inception) to December 31, 2020 and for the three months ended March 31, 2021 (unaudited), the Company recognized $39.9 million and $1.0 million, respectively, as IPR&amp;D expense in connection with upfront consideration and contingent consideration payable under the Adimab Assignment Agreement. The $39.9 million of costs to acquire the IPR&amp;D assets was determined as a result of the Company’s allocation of the $40.0 million aggregate fair value of the 5,000,000 shares of the Series A Preferred Stock that the Company issued to Adimab on the acquisition date in exchange for (i) the IPR&amp;D assets acquired from Adimab and (ii) 4,250,000 shares of the Company’s common stock that it repurchased from Adimab on that same date. The Company allocated the $40.0 million fair value of the 5,000,000 shares of Series A Preferred Stock to the IPR&amp;D assets and to the repurchased common stock based on their relative fair values on the acquisition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date. As of that date and before allocation, the Company determined that the fair value of the repurchased common stock was $85,000, based on the results of a third-party valuation, and that the fair value of the IPR&amp;D assets was $40.0 million. The Company determined the fair value of the 5,000,000 shares of Series A Preferred Stock based on the $8.00 price per share paid for the stock by new investors in the Company’s Series A Preferred Stock financing, which closed on the same date as the date on which the Company acquired the CoV Antibodies and Adimab CoV Assets under the Adimab Assignment Agreement.</w:t>
      </w:r>
    </w:p>
    <w:p>
      <w:pPr>
        <w:spacing w:after="0" w:line="188"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Amounts paid with respect to services performed by Adimab on the Company’s behalf under the Adimab Assignment Agreement are recognized as research and development expense as such amounts are incurred. For the period from June 3, 2020 (inception) to December 31, 2020 and for the three months ended March 31, 2021 (unaudited), the Company recognized $0.6 million and $0.2 million, respectively, of expense in connection with services provided by Adimab.</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WuXi Cell Line License Agreement</w:t>
      </w:r>
    </w:p>
    <w:p>
      <w:pPr>
        <w:spacing w:after="0" w:line="11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In December 2020, the Company entered into a Cell Line License Agreement with WuXi Biologics (Hong Kong) Limited (“WuXi”) (the “Cell Line License Agreement”), under which WuXi granted to the Company a non-exclusive, non-transferable, worldwide, royalty-bearing, sublicensable license to certain of its intellectual property, including certain patent rights associated with a proprietary cell line developed by WuXi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(each of such transformed or transfected cell lines, a “Licensed Cell Line”).</w:t>
      </w:r>
    </w:p>
    <w:p>
      <w:pPr>
        <w:spacing w:after="0" w:line="192" w:lineRule="exact"/>
        <w:rPr>
          <w:sz w:val="20"/>
          <w:szCs w:val="20"/>
          <w:color w:val="auto"/>
        </w:rPr>
      </w:pPr>
    </w:p>
    <w:p>
      <w:pPr>
        <w:jc w:val="both"/>
        <w:ind w:left="120" w:firstLine="440"/>
        <w:spacing w:after="0" w:line="270" w:lineRule="auto"/>
        <w:rPr>
          <w:sz w:val="20"/>
          <w:szCs w:val="20"/>
          <w:color w:val="auto"/>
        </w:rPr>
      </w:pPr>
      <w:r>
        <w:rPr>
          <w:rFonts w:ascii="Arial" w:cs="Arial" w:eastAsia="Arial" w:hAnsi="Arial"/>
          <w:sz w:val="17"/>
          <w:szCs w:val="17"/>
          <w:color w:val="auto"/>
        </w:rPr>
        <w:t>The Company was obligated to pay an upfront fee of $0.2 million to WuXi upon completion of cell bank generation for the first Licensed Cell Line created under the arrangement. Such amount became due in December 2020 and was an accrued expense as of December 31, 2020 and March 31, 2021 (unaudited). The Company is also obligated to pay royalties in the range of 0.3% to 0.5% to WuXi based on net sales of any Licensed Products manufactured by the Company or a third party on its behalf. However, if the Company uses WuXi to manufacture all of its commercial supplies, no royalties would be owed by the Company to WuXi for net sales of Licensed Products. The Company has an option to buy out its royalty obligations on a Licensed Cell Line-by-Licensed Cell Line basis by making a one-time payment of $15.0 million to WuXi. Royalties are due on a Licensed Product-by-Licensed Product basis commencing on the date of the first commercial sale of the applicable product and continue for so long as the Company commercializes Licensed Products or until the Company exercises its option to buy out the royalty obligations. Through December 31, 2020 and March 31, 2021 (unaudited), no royalties had become due to WuXi.</w:t>
      </w:r>
    </w:p>
    <w:p>
      <w:pPr>
        <w:spacing w:after="0" w:line="181"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Cell Line License Agreement remains in effect until it is terminated. The Company may terminate the Cell Line License Agreement at any time with notice to WuXi. WuXi may terminate the Cell Line License Agreement in the event the Company fails to make a payment when due under the arrangement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to the Company will continue in full force and effect with respect to all Licensed Products manufactured using the Licensed Cell Line already generated under the arrangement, provided that the Company continues to pay its royalty obligations, if any.</w:t>
      </w:r>
    </w:p>
    <w:p>
      <w:pPr>
        <w:spacing w:after="0" w:line="16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concluded that the Cell Line License Agreement represented an asset acquisition of IPR&amp;D with no alternative future use. The arrangement did not qualify as a business combination because substantially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all of the fair value of the assets acquired was concentrated in a single asset. Therefore, the aggregate acquisition cost of $0.2 million, consisting solely of the upfront fee, was recognized as acquired IPR&amp;D expense for the period from June 3, 2020 (inception) to December 31, 2020.</w:t>
      </w:r>
    </w:p>
    <w:p>
      <w:pPr>
        <w:spacing w:after="0" w:line="250" w:lineRule="exact"/>
        <w:rPr>
          <w:sz w:val="20"/>
          <w:szCs w:val="20"/>
          <w:color w:val="auto"/>
        </w:rPr>
      </w:pPr>
    </w:p>
    <w:p>
      <w:pPr>
        <w:ind w:left="560" w:right="8300" w:hanging="444"/>
        <w:spacing w:after="0" w:line="453" w:lineRule="auto"/>
        <w:tabs>
          <w:tab w:leader="none" w:pos="300"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License Agreements</w:t>
      </w:r>
    </w:p>
    <w:p>
      <w:pPr>
        <w:ind w:left="560"/>
        <w:spacing w:after="0"/>
        <w:rPr>
          <w:rFonts w:ascii="Arial" w:cs="Arial" w:eastAsia="Arial" w:hAnsi="Arial"/>
          <w:sz w:val="15"/>
          <w:szCs w:val="15"/>
          <w:b w:val="1"/>
          <w:bCs w:val="1"/>
          <w:color w:val="auto"/>
        </w:rPr>
      </w:pPr>
      <w:r>
        <w:rPr>
          <w:rFonts w:ascii="Arial" w:cs="Arial" w:eastAsia="Arial" w:hAnsi="Arial"/>
          <w:sz w:val="18"/>
          <w:szCs w:val="18"/>
          <w:color w:val="auto"/>
        </w:rPr>
        <w:t>The Company has entered into license agreements with Adimab and WuXi (see Note 6).</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Manufacturing Agreements</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December 2020, the Company entered into a Commercial Manufacturing Services Agreement with WuXi (the “Commercial Manufacturing Agreement”). The Commercial Manufacturing Agreement outlines the terms and conditions under which WuXi will manufacture ADG20 drug substance for commercial use.</w:t>
      </w:r>
    </w:p>
    <w:p>
      <w:pPr>
        <w:spacing w:after="0" w:line="184"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As of December 31, 2020 and March 31, 2021 (unaudited), the Company committed to minimum non-cancelable purchase obligations of $142.4 million related to batches of ADG20 drug substance and $0.5 million related to certain services with respect to the product requirements for 2021 and 2022, the payments for which will extend into 2023. Future minimum payments under non-cancelable purchase obligations associated with the Commercial Manufacturing Agreement as of December 31, 2020 are expected to be as follows (in thousands):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8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9"/>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8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21,799</w:t>
            </w:r>
          </w:p>
        </w:tc>
        <w:tc>
          <w:tcPr>
            <w:tcW w:w="60" w:type="dxa"/>
            <w:vAlign w:val="bottom"/>
            <w:shd w:val="clear" w:color="auto" w:fill="CCEEFF"/>
          </w:tcPr>
          <w:p>
            <w:pPr>
              <w:spacing w:after="0"/>
              <w:rPr>
                <w:sz w:val="18"/>
                <w:szCs w:val="18"/>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2022</w:t>
            </w:r>
          </w:p>
        </w:tc>
        <w:tc>
          <w:tcPr>
            <w:tcW w:w="8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66,972</w:t>
            </w:r>
          </w:p>
        </w:tc>
        <w:tc>
          <w:tcPr>
            <w:tcW w:w="60" w:type="dxa"/>
            <w:vAlign w:val="bottom"/>
          </w:tcPr>
          <w:p>
            <w:pPr>
              <w:spacing w:after="0"/>
              <w:rPr>
                <w:sz w:val="18"/>
                <w:szCs w:val="18"/>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54,094</w:t>
            </w:r>
          </w:p>
        </w:tc>
        <w:tc>
          <w:tcPr>
            <w:tcW w:w="60" w:type="dxa"/>
            <w:vAlign w:val="bottom"/>
            <w:shd w:val="clear" w:color="auto" w:fill="CCEEFF"/>
          </w:tcPr>
          <w:p>
            <w:pPr>
              <w:spacing w:after="0"/>
              <w:rPr>
                <w:sz w:val="18"/>
                <w:szCs w:val="18"/>
                <w:color w:val="auto"/>
              </w:rPr>
            </w:pPr>
          </w:p>
        </w:tc>
      </w:tr>
      <w:tr>
        <w:trPr>
          <w:trHeight w:val="223"/>
        </w:trPr>
        <w:tc>
          <w:tcPr>
            <w:tcW w:w="164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142,865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As of December 31, 2020 and March 31, 2021 (unaudited), the Company had neither made any payments under the Commercial Manufacturing Agreement nor made any incremental purchases under the Commercial Manufacturing Agreement.</w:t>
      </w:r>
    </w:p>
    <w:p>
      <w:pPr>
        <w:spacing w:after="0" w:line="170"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Unless earlier terminated, the Commercial Manufacturing Agreement remains in effect for an initial period of five years and thereafter automatically renews for further successive periods of five years each. Either party may terminate the agreement upon the breach or default by the other party, other than a non-payment breach, that is not cured within 90 days after notice.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cured within 30 days after notice.</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Contracts</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The Company has agreements with third parties that it enters into in the ordinary course of business for various products and services, including those related to research, preclinical and clinical operations, manufacturing and support. These contracts do not contain any minimum purchase commitments. Certain of these agreements provide for termination rights subject to the payment of termination fees and/or wind-down</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2020 and March 31, 2021 (unaudited), the Company was not a party to any material legal proceedings.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firstLine="440"/>
        <w:spacing w:after="0" w:line="291" w:lineRule="auto"/>
        <w:rPr>
          <w:sz w:val="20"/>
          <w:szCs w:val="20"/>
          <w:color w:val="auto"/>
        </w:rPr>
      </w:pPr>
      <w:r>
        <w:rPr>
          <w:rFonts w:ascii="Arial" w:cs="Arial" w:eastAsia="Arial" w:hAnsi="Arial"/>
          <w:sz w:val="16"/>
          <w:szCs w:val="16"/>
          <w:color w:val="auto"/>
        </w:rPr>
        <w:t>In the ordinary course of business, the Company may provide indemnification of varying scope and terms to its vendors, lessors, contract research organizations, contract manufacturing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has issued Series A Preferred Stock and Series B convertible preferred stock (the “Series B Preferred Stock” and, together with the Series A Preferred Stock, the “Preferred Stock”).</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July 2020, the Company issued and sold 6,237,500 shares of Series A Preferred Stock, at a price of $8.00 per share, for gross proceeds of $49.9 million and incurred $0.2 million of issuance costs. Concurrently, the Company issued 5,000,000 shares of Series A Preferred Stock to Adimab as consideration payable pursuant to the Adimab Assignment Agreement (see Note 6).</w:t>
      </w:r>
    </w:p>
    <w:p>
      <w:pPr>
        <w:spacing w:after="0" w:line="184"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In October and November 2020, the Company issued and sold 1,410,434 shares of Series B Preferred Stock, at a price of $56.72 per share, for gross proceeds of $80.0 million and incurred $0.2 million of issuance costs. The issuance of the Series B Preferred Stock resulted in changes to certain terms of the Series A Preferred Stock. The Company concluded that such changes were not significant and resulted in a modification, rather than an extinguishment, of the Series A Preferred Stock. The changes to the terms of the Series A Preferred Stock did not result in incremental value to the stockholders. Therefore, there was no impact to the accounting for the Series A Preferred Stock.</w:t>
      </w:r>
    </w:p>
    <w:p>
      <w:pPr>
        <w:spacing w:after="0" w:line="176"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Upon issuance of each series of Preferred Stock, the Company assessed the embedded conversion and liquidation features of the securities and determined that such features did not require the Company to separately account for these features. The Company also concluded that no beneficial conversion feature existed on the issuance date of each series of Preferred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issued and sold 4,296,550 shares of Series C convertible preferred stock, at a purchase price of $78.09 per share, for aggregate gross proceeds of $335.5 million (see Note 15).</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balance sheet dates, Preferred Stock consisted of the following (in thousands, except share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8"/>
          </w:tcPr>
          <w:p>
            <w:pPr>
              <w:jc w:val="center"/>
              <w:ind w:right="100"/>
              <w:spacing w:after="0"/>
              <w:rPr>
                <w:sz w:val="20"/>
                <w:szCs w:val="20"/>
                <w:color w:val="auto"/>
              </w:rPr>
            </w:pPr>
            <w:r>
              <w:rPr>
                <w:rFonts w:ascii="Arial" w:cs="Arial" w:eastAsia="Arial" w:hAnsi="Arial"/>
                <w:sz w:val="14"/>
                <w:szCs w:val="14"/>
                <w:b w:val="1"/>
                <w:bCs w:val="1"/>
                <w:color w:val="auto"/>
                <w:w w:val="93"/>
              </w:rPr>
              <w:t>December 31, 2020 and March 31, 2021 (unaudited)</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5"/>
              </w:rPr>
              <w:t>Shares Issued</w:t>
            </w:r>
          </w:p>
        </w:tc>
        <w:tc>
          <w:tcPr>
            <w:tcW w:w="100" w:type="dxa"/>
            <w:vAlign w:val="bottom"/>
          </w:tcPr>
          <w:p>
            <w:pPr>
              <w:spacing w:after="0"/>
              <w:rPr>
                <w:sz w:val="10"/>
                <w:szCs w:val="10"/>
                <w:color w:val="auto"/>
              </w:rPr>
            </w:pPr>
          </w:p>
        </w:tc>
        <w:tc>
          <w:tcPr>
            <w:tcW w:w="9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110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Liquidation</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Common Stock</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9"/>
              </w:rPr>
              <w:t>Preference</w:t>
            </w:r>
          </w:p>
        </w:tc>
        <w:tc>
          <w:tcPr>
            <w:tcW w:w="11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09"/>
        </w:trPr>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Preferred Stock</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89,900</w:t>
            </w: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11,237,500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1,410,434</w:t>
            </w:r>
          </w:p>
        </w:tc>
        <w:tc>
          <w:tcPr>
            <w:tcW w:w="2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1,410,434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79,842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1,410,434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12,647,934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169,548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169,900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12,647,934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holders of Preferred Stock have the following rights and preferences: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w:t>
      </w:r>
    </w:p>
    <w:p>
      <w:pPr>
        <w:spacing w:after="0" w:line="117"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The holders of the Preferred Stock are entitled to vote, together with the holders of common stock, on matters submitted to stockholders for a vote. Each holder of Preferred Stock is entitled to the number of votes equal to the number of whole shares of common stock into which the shares of Preferred Stock held by such holder is convertible as of the record date for determination of stockholders entitled to vote. The holders of Preferred Stock vote together with the holders of common stock as a single class on an as-converted basis. At any time when there are at least 2,250,000 shares of Series A Preferred Stock or at least 300,000 shares of Series B Preferred Stock (in each case, subject to appropriate adjustment in the event of any stock dividend, stock split, combination or other similar recapitalization) outstanding, certain actions such as mergers, acquisition, liquidation, dissolution, winding-up of the business, and deemed liquidation events, must be approved by a majority in voting power of the outstanding shares of Preferred Stock, voting as a single class.</w:t>
      </w:r>
    </w:p>
    <w:p>
      <w:pPr>
        <w:spacing w:after="0" w:line="178"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the holders of shares of Series A Preferred Stock, voting exclusively and as a separate class, are entitled to elect four directors of the Company. The holders of shares of common stock and any other class or series of voting stock (including the Preferred Stock), exclusively and voting together as a single class, are entitled to elect the balance of the total number of directors of the Company.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jc w:val="both"/>
        <w:ind w:left="120" w:right="20" w:firstLine="440"/>
        <w:spacing w:after="0" w:line="275" w:lineRule="auto"/>
        <w:rPr>
          <w:sz w:val="20"/>
          <w:szCs w:val="20"/>
          <w:color w:val="auto"/>
        </w:rPr>
      </w:pPr>
      <w:r>
        <w:rPr>
          <w:rFonts w:ascii="Arial" w:cs="Arial" w:eastAsia="Arial" w:hAnsi="Arial"/>
          <w:sz w:val="17"/>
          <w:szCs w:val="17"/>
          <w:color w:val="auto"/>
        </w:rPr>
        <w:t>Each share of Preferred Stock is convertible at the option of the holder, at any time, and without the payment of additional consideration by the holder. In addition, each share of Preferred Stock will be automatically converted into shares of common stock at the then-effective applicable conversion ratio upon either (i) the closing of a firm commitment public offering of common stock at a price of at least $85.08 per share (subject to appropriate adjustment in the event of any stock dividend, stock split, combination or other similar recapitalization), or (ii) the date specified by vote or written consent of the holders of a majority in voting power of the outstanding shares of Preferred Stock, voting as a single class.</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conversion ratio of each series of Preferred Stock is determined by dividing the Original Issue Price of each series by the Conversion Price of each series. The Original Issue Price is $8.00 per share for the Series A Preferred Stock and $56.72 per share for the Series B Preferred Stock. The Conversion Price is $8.00 per share for the Series A Preferred Stock and $56.72 per share for the Series B Preferred Stock (in each case subject to appropriate adjustment in the event of any stock dividend, stock split, combination or other similar recapitalization and other adjustments as set forth in the Company’s certificate of incorporation, as amended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77" w:lineRule="auto"/>
        <w:rPr>
          <w:sz w:val="20"/>
          <w:szCs w:val="20"/>
          <w:color w:val="auto"/>
        </w:rPr>
      </w:pPr>
      <w:r>
        <w:rPr>
          <w:rFonts w:ascii="Arial" w:cs="Arial" w:eastAsia="Arial" w:hAnsi="Arial"/>
          <w:sz w:val="18"/>
          <w:szCs w:val="18"/>
          <w:color w:val="auto"/>
        </w:rPr>
        <w:t>restated). As of December 31, 2020 and March 31, 2021 (unaudited), each share of Preferred Stock was convertible into common stock on a one-for-one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20" w:firstLine="440"/>
        <w:spacing w:after="0" w:line="270" w:lineRule="auto"/>
        <w:rPr>
          <w:sz w:val="20"/>
          <w:szCs w:val="20"/>
          <w:color w:val="auto"/>
        </w:rPr>
      </w:pPr>
      <w:r>
        <w:rPr>
          <w:rFonts w:ascii="Arial" w:cs="Arial" w:eastAsia="Arial" w:hAnsi="Arial"/>
          <w:sz w:val="17"/>
          <w:szCs w:val="17"/>
          <w:color w:val="auto"/>
        </w:rPr>
        <w:t>The Company may not declare, pay or set aside any dividends on shares of any other class or series of capital stock (other than dividends on shares of common stock payable in shares of common stock) unless the holders of the Preferred Stock then outstanding first receive, or simultaneously receive, a dividend on each outstanding share of Preferred Stock in an amount at least equal to (i) in the case of a dividend being distributed to common stock or any class or series that is convertible into common stock, the equivalent dividend on an as-converted basis or (ii) in the case of a dividend being distributed on a class or series that is not convertible into common stock, a dividend equal to a dividend rate on each series of Preferred Stock calculated based on the respective Original Issue Price of each series of Preferred Stock. If the Company declares, pays or sets aside dividends on more than one class or series of capital stock, then the dividend payable to the holders of Preferred Stock will be calculated based on the dividend on the class or series of capital stock that would result in the highest dividend to the holders of Preferred Stock. Through December 31, 2020 and March 31, 2021 (unaudited), no dividends had been declared or paid by the Company.</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 xml:space="preserve">In the event of any voluntary or involuntary liquidation, dissolution or winding up of the Company, or upon the occurrence of a Deemed Liquidation Event (as defined below), the holders of shares of Preferred Stock then outstanding are entitled,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be paid out of the assets or funds of the Company available for distribution to stockholders before any payment is made to the holders of common stock. The holders of Preferred Stock are entitled to an amount per share equal to the greater of (i) the applicable Original Issue Price of such series of Preferred Stock, plus any dividends declared but unpaid thereon, or (ii) the amount that would have been payable had all shares of each series of Preferred Stock been converted into common stock immediately prior to such liquidation, dissolution, winding up or Deemed Liquidation Event. If upon any such liquidation event, the assets or funds of the Company available for distribution to stockholders are insufficient to pay the holders of shares of Preferred Stock the full amount to which they are entitled, then the holders of shares of Preferred Stock will share ratably in any distribution of the assets or funds available for distribution in proportion to the respective amounts which would otherwise be payable if it were paid in full.</w:t>
      </w:r>
    </w:p>
    <w:p>
      <w:pPr>
        <w:spacing w:after="0" w:line="166"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Unless (i) the holders of a majority in voting power of the outstanding shares of Preferred Stock and (ii) with respect to the Series B Preferred Stock only, the holders of at least 65% of the outstanding shares of Series B Preferred Stock, elect otherwise, a Deemed Liquidation Event shall include a merger, consolidation, or share exchange (other than one in which stockholders of the Company own a majority by voting power of the outstanding shares of the surviving or acquiring corporation) or a sale, lease, transfer, exclusive license or other disposition of all or substantially all of the assets of the Company.</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Preferred Stock does not have redemption rights, except for the contingent redemption upon the occurrence of a Deemed Liquidation Event.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voting, dividend and liquidation rights of the holders of shares of the Company’s common stock are subject to and qualified by the rights, powers and preferences of the holders of the Preferred Stock set forth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above. Each share of common stock entitles the holder to one vote for each share of common stock, together with the holders of Preferred Stock, on all matters submitted to the stockholders for a vote.</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As of December 31, 2020 and March 31, 2021 (unaudited), the Company had reserved 16,093,347 shares of common stock for the potential conversion of shares of Preferred Stock into common stock, the exercise of outstanding stock options and the issuance of awards available for grant under the 2020 Equity Incentive Plan.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In June 2020, the Company issued and sold 4,250,000 shares of its common stock to Adimab upon formation of the Company for $0.0001 per share, equal to the par value of the common stock. In July 2020, such shares of common stock were repurchased by the Company from Adimab contemporaneous with the execution of the Adimab Assignment Agreement, pursuant to which the Company acquired certain intellectual property rights in exchange for the issuance of 5,000,000 shares of its Series A Preferred Stock. As of December 31, 2020 and March 31, 2021 (unaudited), the shares of common stock repurchased from Adimab were recorded as treasury stock in the accompanying consolidated balance sheets and consolidated statements of convertible preferred stock and stockholders’ deficit as such shares were not retired. The fair value of the repurchased common stock was $0.02 per share, or $85,000 in the aggregate, as determined based on a third-party valuation (see Note 6).</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April and May 2021, an aggregate of 4,520,000 shares of common stock held in treasury were retired (see Note 15).</w:t>
      </w:r>
    </w:p>
    <w:p>
      <w:pPr>
        <w:spacing w:after="0" w:line="329" w:lineRule="exact"/>
        <w:rPr>
          <w:sz w:val="20"/>
          <w:szCs w:val="20"/>
          <w:color w:val="auto"/>
        </w:rPr>
      </w:pPr>
    </w:p>
    <w:p>
      <w:pPr>
        <w:ind w:left="560" w:right="8560" w:hanging="444"/>
        <w:spacing w:after="0" w:line="425" w:lineRule="auto"/>
        <w:tabs>
          <w:tab w:leader="none" w:pos="389" w:val="left"/>
        </w:tabs>
        <w:numPr>
          <w:ilvl w:val="0"/>
          <w:numId w:val="15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2020 Equity Incentive Plan</w:t>
      </w:r>
    </w:p>
    <w:p>
      <w:pPr>
        <w:jc w:val="both"/>
        <w:ind w:left="120" w:firstLine="440"/>
        <w:spacing w:after="0" w:line="255" w:lineRule="auto"/>
        <w:rPr>
          <w:sz w:val="20"/>
          <w:szCs w:val="20"/>
          <w:color w:val="auto"/>
        </w:rPr>
      </w:pPr>
      <w:r>
        <w:rPr>
          <w:rFonts w:ascii="Arial" w:cs="Arial" w:eastAsia="Arial" w:hAnsi="Arial"/>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192" w:lineRule="exact"/>
        <w:rPr>
          <w:sz w:val="20"/>
          <w:szCs w:val="20"/>
          <w:color w:val="auto"/>
        </w:rPr>
      </w:pPr>
    </w:p>
    <w:p>
      <w:pPr>
        <w:jc w:val="both"/>
        <w:ind w:left="120" w:firstLine="440"/>
        <w:spacing w:after="0" w:line="293" w:lineRule="auto"/>
        <w:rPr>
          <w:sz w:val="20"/>
          <w:szCs w:val="20"/>
          <w:color w:val="auto"/>
        </w:rPr>
      </w:pPr>
      <w:r>
        <w:rPr>
          <w:rFonts w:ascii="Arial" w:cs="Arial" w:eastAsia="Arial" w:hAnsi="Arial"/>
          <w:sz w:val="16"/>
          <w:szCs w:val="16"/>
          <w:color w:val="auto"/>
        </w:rPr>
        <w:t>The number of shares of common stock initially reserved for issuances under the 2020 Plan was 1,985,294 shares. In October 2020, the Company’s board of directors increased the number of shares of common stock reserved for issuance under the plan from 1,985,294 shares to 4,564,061 shares. Accordingly, there were a total of 4,564,061 shares of common stock authorized for issuance under the 2020 Plan at December 31, 2020 and March 31, 2021 (unaudited). Shares of unused common stock that cover awards that expire or lapse or are terminated, surrendered or canceled without having been fully exercised or are forfeited will again be available for the grant of awards under the 2020 Plan. As of December 31, 2020 and March 31, 2021 (unaudited), there were 2,851,799 shares and 2,372,199 shares, respectively, remaining available for future grant under the 2020 Plan.</w:t>
      </w:r>
    </w:p>
    <w:p>
      <w:pPr>
        <w:spacing w:after="0" w:line="164"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The Company’s board of directors determines the fair value the Company’s common stock, taking into consideration its most recently available valuation of common stock performed by third parties as well as additional factors which may have changed since the date of the most recent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57" w:lineRule="auto"/>
        <w:rPr>
          <w:sz w:val="20"/>
          <w:szCs w:val="20"/>
          <w:color w:val="auto"/>
        </w:rPr>
      </w:pPr>
      <w:r>
        <w:rPr>
          <w:rFonts w:ascii="Arial" w:cs="Arial" w:eastAsia="Arial" w:hAnsi="Arial"/>
          <w:sz w:val="18"/>
          <w:szCs w:val="18"/>
          <w:color w:val="auto"/>
        </w:rPr>
        <w:t>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jc w:val="both"/>
        <w:ind w:left="120" w:right="20" w:firstLine="440"/>
        <w:spacing w:after="0" w:line="272" w:lineRule="auto"/>
        <w:rPr>
          <w:sz w:val="20"/>
          <w:szCs w:val="20"/>
          <w:color w:val="auto"/>
        </w:rPr>
      </w:pPr>
      <w:r>
        <w:rPr>
          <w:rFonts w:ascii="Arial" w:cs="Arial" w:eastAsia="Arial" w:hAnsi="Arial"/>
          <w:sz w:val="17"/>
          <w:szCs w:val="17"/>
          <w:color w:val="auto"/>
        </w:rPr>
        <w:t>The fair value of stock option grants is estimated using the Black-Scholes option-pricing model. The Company historically has been a private company and lacks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w:t>
      </w:r>
    </w:p>
    <w:p>
      <w:pPr>
        <w:spacing w:after="0" w:line="17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table presents, on a weighted-average basis, the assumptions used in the Black-Scholes option-pricing model to determine the fair value of stock options granted: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94"/>
              </w:rPr>
              <w:t>Period from</w:t>
            </w:r>
          </w:p>
        </w:tc>
        <w:tc>
          <w:tcPr>
            <w:tcW w:w="11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10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gridSpan w:val="3"/>
          </w:tcPr>
          <w:p>
            <w:pPr>
              <w:jc w:val="center"/>
              <w:ind w:right="1120"/>
              <w:spacing w:after="0"/>
              <w:rPr>
                <w:sz w:val="20"/>
                <w:szCs w:val="20"/>
                <w:color w:val="auto"/>
              </w:rPr>
            </w:pPr>
            <w:r>
              <w:rPr>
                <w:rFonts w:ascii="Arial" w:cs="Arial" w:eastAsia="Arial" w:hAnsi="Arial"/>
                <w:sz w:val="14"/>
                <w:szCs w:val="14"/>
                <w:b w:val="1"/>
                <w:bCs w:val="1"/>
                <w:color w:val="auto"/>
                <w:w w:val="91"/>
              </w:rPr>
              <w:t>December 31, 2020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common stock</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6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4"/>
                <w:szCs w:val="24"/>
                <w:color w:val="auto"/>
              </w:rPr>
            </w:pPr>
          </w:p>
        </w:tc>
        <w:tc>
          <w:tcPr>
            <w:tcW w:w="4020" w:type="dxa"/>
            <w:vAlign w:val="bottom"/>
            <w:gridSpan w:val="2"/>
          </w:tcPr>
          <w:p>
            <w:pPr>
              <w:jc w:val="right"/>
              <w:ind w:right="1948"/>
              <w:spacing w:after="0"/>
              <w:rPr>
                <w:sz w:val="20"/>
                <w:szCs w:val="20"/>
                <w:color w:val="auto"/>
              </w:rPr>
            </w:pPr>
            <w:r>
              <w:rPr>
                <w:rFonts w:ascii="Arial" w:cs="Arial" w:eastAsia="Arial" w:hAnsi="Arial"/>
                <w:sz w:val="18"/>
                <w:szCs w:val="18"/>
                <w:color w:val="auto"/>
              </w:rPr>
              <w:t>F-28</w:t>
            </w: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stock option activity since June 3,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42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Number of</w:t>
            </w: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 2020 (inception)</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1,982,262</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(1,388,648)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0.01</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593,614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rPr>
                <w:sz w:val="1"/>
                <w:szCs w:val="1"/>
                <w:color w:val="auto"/>
              </w:rPr>
            </w:pPr>
          </w:p>
        </w:tc>
      </w:tr>
      <w:tr>
        <w:trPr>
          <w:trHeight w:val="216"/>
        </w:trPr>
        <w:tc>
          <w:tcPr>
            <w:tcW w:w="6420" w:type="dxa"/>
            <w:vAlign w:val="bottom"/>
          </w:tcPr>
          <w:p>
            <w:pPr>
              <w:ind w:left="360"/>
              <w:spacing w:after="0"/>
              <w:rPr>
                <w:sz w:val="20"/>
                <w:szCs w:val="20"/>
                <w:color w:val="auto"/>
              </w:rPr>
            </w:pPr>
            <w:r>
              <w:rPr>
                <w:rFonts w:ascii="Arial" w:cs="Arial" w:eastAsia="Arial" w:hAnsi="Arial"/>
                <w:sz w:val="18"/>
                <w:szCs w:val="18"/>
                <w:color w:val="auto"/>
              </w:rPr>
              <w:t>Granted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502,600</w:t>
            </w:r>
          </w:p>
        </w:tc>
        <w:tc>
          <w:tcPr>
            <w:tcW w:w="12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360"/>
              <w:spacing w:after="0"/>
              <w:rPr>
                <w:sz w:val="20"/>
                <w:szCs w:val="20"/>
                <w:color w:val="auto"/>
              </w:rPr>
            </w:pPr>
            <w:r>
              <w:rPr>
                <w:rFonts w:ascii="Arial" w:cs="Arial" w:eastAsia="Arial" w:hAnsi="Arial"/>
                <w:sz w:val="18"/>
                <w:szCs w:val="18"/>
                <w:color w:val="auto"/>
              </w:rPr>
              <w:t>Forfeited (unaudited)</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(23,000)</w:t>
            </w:r>
          </w:p>
        </w:tc>
        <w:tc>
          <w:tcPr>
            <w:tcW w:w="1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23.04</w:t>
            </w: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2021 (unaudited)</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1,073,214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Vested and expected to vest at December 31, 2020</w:t>
            </w:r>
          </w:p>
        </w:tc>
        <w:tc>
          <w:tcPr>
            <w:tcW w:w="1360" w:type="dxa"/>
            <w:vAlign w:val="bottom"/>
            <w:gridSpan w:val="2"/>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3.90</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9.8</w:t>
            </w:r>
          </w:p>
        </w:tc>
        <w:tc>
          <w:tcPr>
            <w:tcW w:w="320" w:type="dxa"/>
            <w:vAlign w:val="bottom"/>
            <w:gridSpan w:val="2"/>
            <w:vMerge w:val="restart"/>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11,362</w:t>
            </w:r>
          </w:p>
        </w:tc>
        <w:tc>
          <w:tcPr>
            <w:tcW w:w="0" w:type="dxa"/>
            <w:vAlign w:val="bottom"/>
          </w:tcPr>
          <w:p>
            <w:pPr>
              <w:spacing w:after="0" w:line="20" w:lineRule="exact"/>
              <w:rPr>
                <w:sz w:val="1"/>
                <w:szCs w:val="1"/>
                <w:color w:val="auto"/>
              </w:rPr>
            </w:pPr>
          </w:p>
        </w:tc>
      </w:tr>
      <w:tr>
        <w:trPr>
          <w:trHeight w:val="210"/>
        </w:trPr>
        <w:tc>
          <w:tcPr>
            <w:tcW w:w="642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593,614</w:t>
            </w:r>
          </w:p>
        </w:tc>
        <w:tc>
          <w:tcPr>
            <w:tcW w:w="5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 2020</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Vested and expected to vest at March 31, 2021 (unaudited)</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1,073,214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12.45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31,495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March 31, 2021 (unaudited)</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2020 and March 31, 2021 (unaudited), as applicable. All stock options exercised during the period from June 3, 2020 (inception) to December 31, 2020 were made pursuant to awards that contain early-exercise provisions. The intrinsic value of the options that were exercised for the period from June 3, 2020 (inception) to December 31, 2020 was $14,000.</w:t>
      </w:r>
    </w:p>
    <w:p>
      <w:pPr>
        <w:spacing w:after="0" w:line="188"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weighted-average grant date fair value of stock options granted during the period from June 3, 2020 (inception) to December 31, 2020 and for the three months ended March 31, 2021 (unaudited) was $1.03 and $14.74, respectively, per 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Early Exercise of Stock Options into Restricted Stock</w:t>
      </w:r>
    </w:p>
    <w:p>
      <w:pPr>
        <w:spacing w:after="0" w:line="11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Company’s restricted stock activity during the period from June 3, 2020 (inception) to December 31, 2020 is solely due to shares of restricted common stock issued pursuant to the permitted early exercise of stock options. Shares of common stock issued upon exercise of unvested stock options are restricted and continue to vest in accordance with the original vesting schedule applicable to the associated stock option award. The Company has the right to repurchase any unvested shares of restricted common stock, at the original purchase price, upon any voluntary or involuntary termination of the service relationship during the vesting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A summary of the Company’s unvested common stock from option early exercises that is subject to repurchase by the Company is as follows: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w:t>
            </w:r>
          </w:p>
        </w:tc>
      </w:tr>
      <w:tr>
        <w:trPr>
          <w:trHeight w:val="171"/>
        </w:trPr>
        <w:tc>
          <w:tcPr>
            <w:tcW w:w="1002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of Shares</w:t>
            </w:r>
          </w:p>
        </w:tc>
      </w:tr>
      <w:tr>
        <w:trPr>
          <w:trHeight w:val="209"/>
        </w:trPr>
        <w:tc>
          <w:tcPr>
            <w:tcW w:w="10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restricted stock at June 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1,388,648</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(270,000)</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December 31, 2020</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1,118,648</w:t>
            </w:r>
          </w:p>
        </w:tc>
        <w:tc>
          <w:tcPr>
            <w:tcW w:w="140" w:type="dxa"/>
            <w:vAlign w:val="bottom"/>
            <w:shd w:val="clear" w:color="auto" w:fill="CCEEFF"/>
          </w:tcPr>
          <w:p>
            <w:pPr>
              <w:spacing w:after="0"/>
              <w:rPr>
                <w:sz w:val="18"/>
                <w:szCs w:val="18"/>
                <w:color w:val="auto"/>
              </w:rPr>
            </w:pPr>
          </w:p>
        </w:tc>
      </w:tr>
      <w:tr>
        <w:trPr>
          <w:trHeight w:val="216"/>
        </w:trPr>
        <w:tc>
          <w:tcPr>
            <w:tcW w:w="10020" w:type="dxa"/>
            <w:vAlign w:val="bottom"/>
          </w:tcPr>
          <w:p>
            <w:pPr>
              <w:ind w:left="360"/>
              <w:spacing w:after="0"/>
              <w:rPr>
                <w:sz w:val="20"/>
                <w:szCs w:val="20"/>
                <w:color w:val="auto"/>
              </w:rPr>
            </w:pPr>
            <w:r>
              <w:rPr>
                <w:rFonts w:ascii="Arial" w:cs="Arial" w:eastAsia="Arial" w:hAnsi="Arial"/>
                <w:sz w:val="18"/>
                <w:szCs w:val="18"/>
                <w:color w:val="auto"/>
              </w:rPr>
              <w:t>Issued (unaudited)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10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ind w:left="360"/>
              <w:spacing w:after="0"/>
              <w:rPr>
                <w:sz w:val="20"/>
                <w:szCs w:val="20"/>
                <w:color w:val="auto"/>
              </w:rPr>
            </w:pPr>
            <w:r>
              <w:rPr>
                <w:rFonts w:ascii="Arial" w:cs="Arial" w:eastAsia="Arial" w:hAnsi="Arial"/>
                <w:sz w:val="18"/>
                <w:szCs w:val="18"/>
                <w:color w:val="auto"/>
              </w:rPr>
              <w:t>Repurchased (unaudited)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stock at March 31, 2021 (unaudited)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1,118,648</w:t>
            </w:r>
          </w:p>
        </w:tc>
      </w:tr>
      <w:tr>
        <w:trPr>
          <w:trHeight w:val="20"/>
        </w:trPr>
        <w:tc>
          <w:tcPr>
            <w:tcW w:w="100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Proceeds from the early exercise of stock options are recorded as an early-exercise liability on the consolidated balance sheets. The liability for unvested common stock subject to repurchase is then reclassified to common stock and additional paid-in capital as the Company’s repurchase right lapses. Shares issued pursuant to the early exercise of stock options are not considered to be outstanding for accounting purposes until the shares vest. As of December 31, 2020 and March 31, 2021 (unaudited), the liability related to the payments for unvested shares from early-exercised options was $11,000 at each date.</w:t>
      </w:r>
    </w:p>
    <w:p>
      <w:pPr>
        <w:spacing w:after="0" w:line="18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December 2020, the Company repurchased 270,000 shares of restricted common stock for $2,700, which was recorded as a reduction of the early-exercise liability and as shares of treasury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The Company recorded stock-based compensation expense in the following expense categories of its consolidated statements of operations and comprehensive loss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Period from</w:t>
            </w:r>
          </w:p>
        </w:tc>
        <w:tc>
          <w:tcPr>
            <w:tcW w:w="540" w:type="dxa"/>
            <w:vAlign w:val="bottom"/>
          </w:tcPr>
          <w:p>
            <w:pPr>
              <w:spacing w:after="0"/>
              <w:rPr>
                <w:sz w:val="14"/>
                <w:szCs w:val="14"/>
                <w:color w:val="auto"/>
              </w:rPr>
            </w:pPr>
          </w:p>
        </w:tc>
        <w:tc>
          <w:tcPr>
            <w:tcW w:w="10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5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7780" w:type="dxa"/>
            <w:vAlign w:val="bottom"/>
          </w:tcPr>
          <w:p>
            <w:pPr>
              <w:spacing w:after="0"/>
              <w:rPr>
                <w:sz w:val="14"/>
                <w:szCs w:val="14"/>
                <w:color w:val="auto"/>
              </w:rPr>
            </w:pPr>
          </w:p>
        </w:tc>
        <w:tc>
          <w:tcPr>
            <w:tcW w:w="16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1"/>
              </w:rPr>
              <w:t>December 31, 2020</w:t>
            </w:r>
          </w:p>
        </w:tc>
        <w:tc>
          <w:tcPr>
            <w:tcW w:w="54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4"/>
              </w:rPr>
              <w:t>March 31, 2021</w:t>
            </w:r>
          </w:p>
        </w:tc>
        <w:tc>
          <w:tcPr>
            <w:tcW w:w="0" w:type="dxa"/>
            <w:vAlign w:val="bottom"/>
          </w:tcPr>
          <w:p>
            <w:pPr>
              <w:spacing w:after="0"/>
              <w:rPr>
                <w:sz w:val="1"/>
                <w:szCs w:val="1"/>
                <w:color w:val="auto"/>
              </w:rPr>
            </w:pPr>
          </w:p>
        </w:tc>
      </w:tr>
      <w:tr>
        <w:trPr>
          <w:trHeight w:val="142"/>
        </w:trPr>
        <w:tc>
          <w:tcPr>
            <w:tcW w:w="7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center"/>
              <w:ind w:right="17"/>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As of December 31, 2020, total unrecognized stock-based compensation cost related to unvested awards was $1.9 million and the weighted-average period over which such expense is expected to be recognized is 3.5 years. As of March 31, 2021 (unaudited), total unrecognized stock-based compensation cost related to unvested awards was $8.4 million and the weighted-average period over which such expense is expected to be recognized is 3.3 years.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During the period from June 3, 2020 (inception) to December 31, 2020 and three months ended March 31, 2021 (unaudited), the Company did not record income tax benefits for the net operating losses incurred or for the research and development tax credits generated in each period, due to its uncertainty of realizing a benefit from those items. All of the Company’s operating losses since inception have been generated in the United States.</w:t>
      </w:r>
    </w:p>
    <w:p>
      <w:pPr>
        <w:spacing w:after="0" w:line="149"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March 2020, the Coronavirus Aid, Relief, and Economic Security (“CARES”) Act was enacted. Among the business provisions, the CARES Act provided for various payroll tax incentives, changes to net operating loss carryback and carryforward rules, business interest expense limitation increases, and bonus depreciation on qualified improvement property. The Company determined that the CARES Act did not have a significant impact on its provision for income taxes.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June 3, 2020</w:t>
            </w:r>
          </w:p>
        </w:tc>
        <w:tc>
          <w:tcPr>
            <w:tcW w:w="0" w:type="dxa"/>
            <w:vAlign w:val="bottom"/>
          </w:tcPr>
          <w:p>
            <w:pPr>
              <w:spacing w:after="0"/>
              <w:rPr>
                <w:sz w:val="1"/>
                <w:szCs w:val="1"/>
                <w:color w:val="auto"/>
              </w:rPr>
            </w:pPr>
          </w:p>
        </w:tc>
      </w:tr>
      <w:tr>
        <w:trPr>
          <w:trHeight w:val="148"/>
        </w:trPr>
        <w:tc>
          <w:tcPr>
            <w:tcW w:w="9600" w:type="dxa"/>
            <w:vAlign w:val="bottom"/>
          </w:tcPr>
          <w:p>
            <w:pPr>
              <w:spacing w:after="0"/>
              <w:rPr>
                <w:sz w:val="12"/>
                <w:szCs w:val="12"/>
                <w:color w:val="auto"/>
              </w:rPr>
            </w:pPr>
          </w:p>
        </w:tc>
        <w:tc>
          <w:tcPr>
            <w:tcW w:w="142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2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State income taxes, net of federal benefit</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and state research and development tax credits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Non-deductible IPR&amp;D expense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asset valuation allowance</w:t>
            </w:r>
          </w:p>
        </w:tc>
        <w:tc>
          <w:tcPr>
            <w:tcW w:w="46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60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vMerge w:val="restart"/>
          </w:tcPr>
          <w:p>
            <w:pPr>
              <w:ind w:left="440"/>
              <w:spacing w:after="0"/>
              <w:rPr>
                <w:sz w:val="20"/>
                <w:szCs w:val="20"/>
                <w:color w:val="auto"/>
              </w:rPr>
            </w:pPr>
            <w:r>
              <w:rPr>
                <w:rFonts w:ascii="Arial" w:cs="Arial" w:eastAsia="Arial" w:hAnsi="Arial"/>
                <w:sz w:val="18"/>
                <w:szCs w:val="18"/>
                <w:color w:val="auto"/>
              </w:rPr>
              <w:t>The Company’s net deferred tax assets consisted of the following (in thousands):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6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6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6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5,340</w:t>
            </w: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credits carryforwards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9600" w:type="dxa"/>
            <w:vAlign w:val="bottom"/>
          </w:tcPr>
          <w:p>
            <w:pPr>
              <w:ind w:left="3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600" w:type="dxa"/>
            <w:vAlign w:val="bottom"/>
          </w:tcPr>
          <w:p>
            <w:pPr>
              <w:spacing w:after="0"/>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6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20" w:firstLine="440"/>
        <w:spacing w:after="0" w:line="273" w:lineRule="auto"/>
        <w:rPr>
          <w:sz w:val="20"/>
          <w:szCs w:val="20"/>
          <w:color w:val="auto"/>
        </w:rPr>
      </w:pPr>
      <w:r>
        <w:rPr>
          <w:rFonts w:ascii="Arial" w:cs="Arial" w:eastAsia="Arial" w:hAnsi="Arial"/>
          <w:sz w:val="17"/>
          <w:szCs w:val="17"/>
          <w:color w:val="auto"/>
        </w:rPr>
        <w:t>As of December 31, 2020, the Company had U.S. federal net operating loss carryforwards of $24.4 million, which may be available to reduce future taxable income. All of the U.S. federal net operating loss carryforwards have an indefinite carryforward period but are limited in their usage to an annual deduction equal to 80% of annual taxable income. In addition, as of December 31, 2020, the Company had state net operating loss carryforwards of $3.7 million, which may be available to reduce future taxable income, of which $0.3 million have an indefinite carryforward period while the remaining $3.4 million begin to expire in 2040. As of December 31, 2020, the Company also had U.S. federal and state research and development tax credit carryforwards of $0.1 million and $16,000, respectively, which may be available to reduce future tax liabilities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ind w:left="120" w:right="3160" w:firstLine="3150"/>
        <w:spacing w:after="0" w:line="454" w:lineRule="auto"/>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color w:val="auto"/>
        </w:rPr>
        <w:t>and expire at various dates beginning in 2040 and 2035, respectively.</w:t>
      </w:r>
    </w:p>
    <w:p>
      <w:pPr>
        <w:spacing w:after="0" w:line="17"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Utilization of the U.S. federal and state net operating loss carryforwards and research and development tax credit carryforwards may be subject to a substantial annual limitation under Sections 382 and 383 of the Internal Revenue Code of 1986,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research and development tax credit carryforwards before their utilization. Further, until a study is completed by the Company and any limitation is known, no amounts are being presented as an uncertain tax position.</w:t>
      </w:r>
    </w:p>
    <w:p>
      <w:pPr>
        <w:spacing w:after="0" w:line="168" w:lineRule="exact"/>
        <w:rPr>
          <w:sz w:val="20"/>
          <w:szCs w:val="20"/>
          <w:color w:val="auto"/>
        </w:rPr>
      </w:pPr>
    </w:p>
    <w:p>
      <w:pPr>
        <w:jc w:val="both"/>
        <w:ind w:left="120" w:firstLine="440"/>
        <w:spacing w:after="0" w:line="272"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2020 and March 31, 2021 (unaudited). Management reevaluates the positive and negative evidence at each reporting period. During the period from June 3, 2020 (inception) to December 31, 2020, the Company increased its valuation allowance by $5.7 million, with such increase recognized as income tax expense, in order to maintain a full valuation allowance against its deferred tax assets, and there were no changes recorded to the allowance during the period.</w:t>
      </w:r>
    </w:p>
    <w:p>
      <w:pPr>
        <w:spacing w:after="0" w:line="177" w:lineRule="exact"/>
        <w:rPr>
          <w:sz w:val="20"/>
          <w:szCs w:val="20"/>
          <w:color w:val="auto"/>
        </w:rPr>
      </w:pPr>
    </w:p>
    <w:p>
      <w:pPr>
        <w:jc w:val="both"/>
        <w:ind w:left="120" w:right="20" w:firstLine="440"/>
        <w:spacing w:after="0" w:line="296" w:lineRule="auto"/>
        <w:rPr>
          <w:sz w:val="20"/>
          <w:szCs w:val="20"/>
          <w:color w:val="auto"/>
        </w:rPr>
      </w:pPr>
      <w:r>
        <w:rPr>
          <w:rFonts w:ascii="Arial" w:cs="Arial" w:eastAsia="Arial" w:hAnsi="Arial"/>
          <w:sz w:val="16"/>
          <w:szCs w:val="16"/>
          <w:color w:val="auto"/>
        </w:rPr>
        <w:t>The Company assesses the uncertainty in its income tax positions to determine whether a tax position of the Company is more likely than not to be sustained upon examination, including resolution of any related appeals of litigation processes, based on the technical merits of the position. For tax positions meeting the more-likely-than-not threshold, the tax amount recognized in the financial statements is reduced by the largest benefit that has a greater than 50% likelihood of being realized upon the ultimate settlement with the relevant taxing authority. As of December 31, 2020 and March 31, 2021 (unaudited), the Company had not recorded any reserves for uncertain tax positions or related interest and penalties.</w:t>
      </w:r>
    </w:p>
    <w:p>
      <w:pPr>
        <w:spacing w:after="0" w:line="16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Company files income tax returns in the U.S. federal and various state jurisdictions and is not currently under examination by any taxing authority for any open tax year. Due to net operating loss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Defined Contribution Plan</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maintains a 401(k) Plan (the “401(k) Plan”) for the benefit of eligible employees. The 401(k) Plan is a defined contribution plan under Section 401(k) of the Internal Revenue Code of 1986 that covers all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employees who meet defined minimum age and service requirements and allows participants to defer a portion of their annual compensation on a pre-tax basis. Pursuant to the terms of the 401(k) Plan, the Company is required to make non-elective contributions of 3% of eligible participants’ compensation. For the period from June 3, 2020 (inception) to December 31, 2020 and the three months ended March 31, 2021 (unaudited), the Company made contributions of $36,000 and $0.1 million, respectively, to the 401(k) Plan.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Basic and diluted net loss per share attributable to common stockholders was calculated as follows (in thousands, except share and per share amounts):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Period from</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9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9740" w:type="dxa"/>
            <w:vAlign w:val="bottom"/>
          </w:tcPr>
          <w:p>
            <w:pPr>
              <w:spacing w:after="0"/>
              <w:rPr>
                <w:sz w:val="14"/>
                <w:szCs w:val="14"/>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r>
      <w:tr>
        <w:trPr>
          <w:trHeight w:val="196"/>
        </w:trPr>
        <w:tc>
          <w:tcPr>
            <w:tcW w:w="9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(65,319)</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7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basic and diluted</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721,698</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7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(90.51)</w:t>
            </w:r>
          </w:p>
        </w:tc>
      </w:tr>
      <w:tr>
        <w:trPr>
          <w:trHeight w:val="20"/>
        </w:trPr>
        <w:tc>
          <w:tcPr>
            <w:tcW w:w="9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71" w:lineRule="auto"/>
        <w:rPr>
          <w:sz w:val="20"/>
          <w:szCs w:val="20"/>
          <w:color w:val="auto"/>
        </w:rPr>
      </w:pPr>
      <w:r>
        <w:rPr>
          <w:rFonts w:ascii="Arial" w:cs="Arial" w:eastAsia="Arial" w:hAnsi="Arial"/>
          <w:sz w:val="17"/>
          <w:szCs w:val="17"/>
          <w:color w:val="auto"/>
        </w:rPr>
        <w:t>Net loss per share data is not applicable for the three months ended March 31, 2021 (unaudited) as the Company had no shares of common stock outstanding for accounting purposes during that period. All of the 1,118,648 shares of common stock issued and outstanding as of December 31, 2020 and March 31, 2021 (unaudited) were shares of unvested restricted common stock issued by the Company upon the early exercise of stock options granted in June 2020. As a result, such shares are not considered outstanding for accounting purposes until vested and were excluded from the calculations of basic net loss per share attributable to common stockholders for the period from June 3, 2020 (inception) to December 31, 2020 and for the three months ended March 31, 2021 (unaudited). For the period from June 3, 2020 (inception) to December 31, 2020, the 721,698 shares of common stock outstanding solely reflect the weighted-average period that 4,250,000 shares of common stock repurchased by the Company from Adimab (see Note 6) were outstanding during that period.</w:t>
      </w:r>
    </w:p>
    <w:p>
      <w:pPr>
        <w:spacing w:after="0" w:line="178"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Period from</w:t>
            </w:r>
          </w:p>
        </w:tc>
      </w:tr>
      <w:tr>
        <w:trPr>
          <w:trHeight w:val="149"/>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June 3, 2020</w:t>
            </w:r>
          </w:p>
        </w:tc>
      </w:tr>
      <w:tr>
        <w:trPr>
          <w:trHeight w:val="148"/>
        </w:trPr>
        <w:tc>
          <w:tcPr>
            <w:tcW w:w="48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(Inception) to</w:t>
            </w:r>
          </w:p>
        </w:tc>
      </w:tr>
      <w:tr>
        <w:trPr>
          <w:trHeight w:val="171"/>
        </w:trPr>
        <w:tc>
          <w:tcPr>
            <w:tcW w:w="484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(as converted to common stock)</w:t>
            </w:r>
          </w:p>
        </w:tc>
        <w:tc>
          <w:tcPr>
            <w:tcW w:w="49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12,647,934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6180" w:type="dxa"/>
            <w:vAlign w:val="bottom"/>
            <w:gridSpan w:val="3"/>
          </w:tcPr>
          <w:p>
            <w:pPr>
              <w:jc w:val="right"/>
              <w:ind w:right="60"/>
              <w:spacing w:after="0"/>
              <w:rPr>
                <w:sz w:val="20"/>
                <w:szCs w:val="20"/>
                <w:color w:val="auto"/>
              </w:rPr>
            </w:pPr>
            <w:r>
              <w:rPr>
                <w:rFonts w:ascii="Arial" w:cs="Arial" w:eastAsia="Arial" w:hAnsi="Arial"/>
                <w:sz w:val="18"/>
                <w:szCs w:val="18"/>
                <w:color w:val="auto"/>
              </w:rPr>
              <w:t>593,614</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Unvested restricted common stock</w:t>
            </w:r>
          </w:p>
        </w:tc>
        <w:tc>
          <w:tcPr>
            <w:tcW w:w="6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1,118,648</w:t>
            </w:r>
          </w:p>
        </w:tc>
      </w:tr>
      <w:tr>
        <w:trPr>
          <w:trHeight w:val="223"/>
        </w:trPr>
        <w:tc>
          <w:tcPr>
            <w:tcW w:w="484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14,360,196</w:t>
            </w:r>
          </w:p>
        </w:tc>
        <w:tc>
          <w:tcPr>
            <w:tcW w:w="60" w:type="dxa"/>
            <w:vAlign w:val="bottom"/>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4840" w:type="dxa"/>
            <w:vAlign w:val="bottom"/>
          </w:tcPr>
          <w:p>
            <w:pPr>
              <w:spacing w:after="0"/>
              <w:rPr>
                <w:sz w:val="24"/>
                <w:szCs w:val="24"/>
                <w:color w:val="auto"/>
              </w:rPr>
            </w:pPr>
          </w:p>
        </w:tc>
        <w:tc>
          <w:tcPr>
            <w:tcW w:w="6180" w:type="dxa"/>
            <w:vAlign w:val="bottom"/>
            <w:gridSpan w:val="3"/>
          </w:tcPr>
          <w:p>
            <w:pPr>
              <w:ind w:left="500"/>
              <w:spacing w:after="0"/>
              <w:rPr>
                <w:sz w:val="20"/>
                <w:szCs w:val="20"/>
                <w:color w:val="auto"/>
              </w:rPr>
            </w:pPr>
            <w:r>
              <w:rPr>
                <w:rFonts w:ascii="Arial" w:cs="Arial" w:eastAsia="Arial" w:hAnsi="Arial"/>
                <w:sz w:val="18"/>
                <w:szCs w:val="18"/>
                <w:color w:val="auto"/>
              </w:rPr>
              <w:t>F-33</w:t>
            </w:r>
          </w:p>
        </w:tc>
      </w:tr>
    </w:tbl>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121"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Under the Adimab Assignment Agreement, Adimab, a principal stockholder of the Company, received upfront consideration in the form of Series A Preferred Stock, is entitled to receive milestone and royalty payments upon specified conditions, and receives payments from the Company for providing ongoing services under the agreement (see Note 6). As of December 31, 2020 and March 31, 2021 (unaudited), $0.6 million and $0.2 million, respectively, was due to Adimab by the Company. As of December 31, 2020 and March 31, 2021 (unaudited), no amounts were due from Adimab to the Company.</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May 21, 2021, the Company entered into a collaboration agreement with Adimab (see Note 15).</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For its consolidated financial statements as of December 31, 2020 for the period from June 3, 2020 (inception) to December 31, 2020 and for its interim consolidated financial statements as of March 31, 2021 and for the three months then ended, the Company evaluated subsequent events through May 21, 2021, the date on which those financial statements were issued.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firstLine="440"/>
        <w:spacing w:after="0" w:line="296" w:lineRule="auto"/>
        <w:rPr>
          <w:sz w:val="20"/>
          <w:szCs w:val="20"/>
          <w:color w:val="auto"/>
        </w:rPr>
      </w:pPr>
      <w:r>
        <w:rPr>
          <w:rFonts w:ascii="Arial" w:cs="Arial" w:eastAsia="Arial" w:hAnsi="Arial"/>
          <w:sz w:val="16"/>
          <w:szCs w:val="16"/>
          <w:color w:val="auto"/>
        </w:rPr>
        <w:t>In January 2021, the Company granted options for the purchase of an aggregate of 502,600 shares of common stock, at an exercise price of $23.04 per share. In April 2021, the Company granted options for the purchase of an aggregate of 239,750 shares of common stock, at an exercise price of $41.80 per share. On May 7, 2021, the Company granted options for the purchase of an aggregate of 1,268,348 shares of common stock, at an exercise price of $50.68 per share. The aggregate grant-date fair value of the options granted under these three option grants was $56.3 million, which is expected to be recognized as stock-based compensation expense over a weighted-average period of approximately 3.8 years.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Milestone Achievements under the Adimab Assignment Agreement</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February 2021, the Company dosed the first patient in a Phase 1 clinical trial evaluating ADG20, which resulted in a milestone payment of $1.0 million being due by the Company under the Adimab Assignment Agreement. In March 2021, the Company made the $1.0 million payment to Adimab.</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 dosed the first patient in a Phase 2 clinical trial evaluating ADG20 for the prevention of COVID-19, which resulted in a milestone payment of $2.5 million being due by the Company under the Adimab Assignment Agreement.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Authorized Number of Shares of Common Stock and Preferred Stock</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April 2021, the Company increased the number of shares of common stock authorized for issuance from 19,000,000 shares to 23,251,555 shares and increased the number of shares of preferred stock authorized for issuance from 12,647,934 shares to 16,944,484 shares, of which 4,296,550 shares were designated as Series C convertible preferred stock (the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Increase in Shares Reserved for Issuance under the 2020 Plan</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the Company’s board of directors increased the number of shares of common stock reserved for issuance under the plan from 4,564,061 shares to 5,850,958 shares.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Treasury Stock Retirement</w:t>
      </w:r>
    </w:p>
    <w:p>
      <w:pPr>
        <w:spacing w:after="0" w:line="117"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and May 2021, the Company retired an aggregate of 4,520,000 shares of its common stock held in treasury. Upon retirement, the shares were redesignated as authorized but unissued shares of the Company’s common stock.</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and Sale of Series C Convertible Preferred Stock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April 2021, the Company issued and sold 4,296,550 shares of its Series C Preferred Stock, at a purchase price of $78.08578 per share, for aggregate gross proceeds of $335.5 million. Adimab, a related party, participated in the Series C Preferred Stock financing by purchasing 128,064 shares of Series C Preferred Stock for an aggregate purchase price of $10.0 million.</w:t>
      </w:r>
    </w:p>
    <w:p>
      <w:pPr>
        <w:spacing w:after="0" w:line="184" w:lineRule="exact"/>
        <w:rPr>
          <w:sz w:val="20"/>
          <w:szCs w:val="20"/>
          <w:color w:val="auto"/>
        </w:rPr>
      </w:pPr>
    </w:p>
    <w:p>
      <w:pPr>
        <w:jc w:val="both"/>
        <w:ind w:left="120" w:firstLine="440"/>
        <w:spacing w:after="0" w:line="273" w:lineRule="auto"/>
        <w:rPr>
          <w:sz w:val="20"/>
          <w:szCs w:val="20"/>
          <w:color w:val="auto"/>
        </w:rPr>
      </w:pPr>
      <w:r>
        <w:rPr>
          <w:rFonts w:ascii="Arial" w:cs="Arial" w:eastAsia="Arial" w:hAnsi="Arial"/>
          <w:sz w:val="17"/>
          <w:szCs w:val="17"/>
          <w:color w:val="auto"/>
        </w:rPr>
        <w:t>The terms of the Series C Preferred Stock are substantially the same as the terms of the Series A Preferred Stock and Series B Preferred Stock (see Note 8), except that the Original Issue Price per share and the Conversion Price per share of the Series C Preferred Stock is $78.08578. In addition, in connection with the Series C Preferred Stock financing, the definition of a qualifying initial public offering requiring the automatic conversion of all shares of outstanding preferred stock into common stock was amended to be the closing of a firm commitment public offering of common stock at a price of at least $85.08 per share (subject to appropriate adjustment in the event of any stock dividend, stock split, combination or other similar recapitalization), resulting in at least $75.0 million of gross proceeds to the Company.</w:t>
      </w:r>
    </w:p>
    <w:p>
      <w:pPr>
        <w:spacing w:after="0" w:line="17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issuance of these shares of Series C Preferred Stock, the Company assessed the embedded conversion and liquidation features of the shares and determined that such features did not require the Company to separately account for these features. The Company also concluded that no beneficial conversion feature existed as of the issuance date of the shares of Series C Preferred Stock.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Adimab Collaboration Agreement</w:t>
      </w:r>
    </w:p>
    <w:p>
      <w:pPr>
        <w:spacing w:after="0" w:line="117" w:lineRule="exact"/>
        <w:rPr>
          <w:sz w:val="20"/>
          <w:szCs w:val="20"/>
          <w:color w:val="auto"/>
        </w:rPr>
      </w:pPr>
    </w:p>
    <w:p>
      <w:pPr>
        <w:jc w:val="both"/>
        <w:ind w:left="120" w:firstLine="440"/>
        <w:spacing w:after="0" w:line="268" w:lineRule="auto"/>
        <w:rPr>
          <w:sz w:val="20"/>
          <w:szCs w:val="20"/>
          <w:color w:val="auto"/>
        </w:rPr>
      </w:pPr>
      <w:r>
        <w:rPr>
          <w:rFonts w:ascii="Arial" w:cs="Arial" w:eastAsia="Arial" w:hAnsi="Arial"/>
          <w:sz w:val="17"/>
          <w:szCs w:val="17"/>
          <w:color w:val="auto"/>
        </w:rPr>
        <w:t>On May 21, 2021, the Company entered into a collaboration agreement with Adimab (the “Adimab Collaboration Agreement”) for the discovery and optimization of proprietary antibodies as potential therapeutic product candidates. Under the agreement, the Company and Adimab will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non-exclusive, non-sublicensable license to certain of the Company’s patents and intellectual property solely to perform Adimab’s responsibilities under the research plans. Under the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research program.</w:t>
      </w:r>
    </w:p>
    <w:p>
      <w:pPr>
        <w:spacing w:after="0" w:line="184"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Company is obligated to pay Adimab a quarterly fee of $1.3 million, which obligation may be cancelled at the Company’s option at any time. For so long as the Company is paying such quarterly fee (or earlier if (i)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ADAGIO THERAPEUTICS,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2"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Company experiences a change of control after the third anniversary of the Adimab Collaboration Agreement or (ii) Adimab owns less than a specified percentage of the Company’s equity), Adimab and its affiliates will not assist or direct certain third parties to discover or optimize antibodies that are intended to bind to coronaviruses or influenza viruses. The Company may also elect to decrease the scope of Adimab’s exclusivity obligations and obtain a corresponding decrease in the quarterly fee. 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w:t>
      </w:r>
    </w:p>
    <w:p>
      <w:pPr>
        <w:spacing w:after="0" w:line="177" w:lineRule="exact"/>
        <w:rPr>
          <w:sz w:val="20"/>
          <w:szCs w:val="20"/>
          <w:color w:val="auto"/>
        </w:rPr>
      </w:pPr>
    </w:p>
    <w:p>
      <w:pPr>
        <w:jc w:val="both"/>
        <w:ind w:left="120" w:firstLine="440"/>
        <w:spacing w:after="0" w:line="255" w:lineRule="auto"/>
        <w:rPr>
          <w:sz w:val="20"/>
          <w:szCs w:val="20"/>
          <w:color w:val="auto"/>
        </w:rPr>
      </w:pPr>
      <w:r>
        <w:rPr>
          <w:rFonts w:ascii="Arial" w:cs="Arial" w:eastAsia="Arial" w:hAnsi="Arial"/>
          <w:sz w:val="18"/>
          <w:szCs w:val="18"/>
          <w:color w:val="auto"/>
        </w:rPr>
        <w:t>The Company is obligated to pay Adimab up to $18.0 million upon the achievement of specified development and regulatory milestones for each product under the agreement that achieves such milestones. The Company is also obligated to pay Adimab royalties of a mid single-digit percentage based on net sales of any product under the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192"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w:t>
      </w:r>
    </w:p>
    <w:p>
      <w:pPr>
        <w:spacing w:after="0" w:line="187"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16. Subsequent Events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Grant of Stock Options under the 2020 Plan</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In June 2021, the Company granted options for the purchase of an aggregate of 405,014 shares of common stock, at an exercise price of $64.01 per share. On July 4, 2021, the Company granted options for the purchase of an aggregate of 372,292 shares of common stock, at an exercise price of $64.01 per share. The aggregate grant-date fair value of the options granted under these two option grants was $32.0 million, which is expected to be recognized as stock-based compensation expense over a weighted-average period of approximately 3.9 years.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720"/>
        <w:spacing w:after="0"/>
        <w:rPr>
          <w:sz w:val="20"/>
          <w:szCs w:val="20"/>
          <w:color w:val="auto"/>
        </w:rPr>
      </w:pPr>
      <w:r>
        <w:rPr>
          <w:rFonts w:ascii="Arial" w:cs="Arial" w:eastAsia="Arial" w:hAnsi="Arial"/>
          <w:sz w:val="32"/>
          <w:szCs w:val="32"/>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490220</wp:posOffset>
            </wp:positionV>
            <wp:extent cx="1388745" cy="3771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38874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22"/>
          <w:szCs w:val="22"/>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19"/>
        <w:spacing w:after="0"/>
        <w:rPr>
          <w:sz w:val="20"/>
          <w:szCs w:val="20"/>
          <w:color w:val="auto"/>
        </w:rPr>
      </w:pPr>
      <w:r>
        <w:rPr>
          <w:rFonts w:ascii="Arial" w:cs="Arial" w:eastAsia="Arial" w:hAnsi="Arial"/>
          <w:sz w:val="29"/>
          <w:szCs w:val="29"/>
          <w:i w:val="1"/>
          <w:iCs w:val="1"/>
          <w:color w:val="auto"/>
        </w:rPr>
        <w:t>PROSPECTUS</w:t>
      </w: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Joint Book-Running Managers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60"/>
        <w:spacing w:after="0"/>
        <w:tabs>
          <w:tab w:leader="none" w:pos="3720" w:val="left"/>
          <w:tab w:leader="none" w:pos="5560" w:val="left"/>
          <w:tab w:leader="none" w:pos="7900" w:val="left"/>
        </w:tabs>
        <w:rPr>
          <w:sz w:val="20"/>
          <w:szCs w:val="20"/>
          <w:color w:val="auto"/>
        </w:rPr>
      </w:pPr>
      <w:r>
        <w:rPr>
          <w:rFonts w:ascii="Arial" w:cs="Arial" w:eastAsia="Arial" w:hAnsi="Arial"/>
          <w:sz w:val="21"/>
          <w:szCs w:val="21"/>
          <w:i w:val="1"/>
          <w:iCs w:val="1"/>
          <w:color w:val="auto"/>
        </w:rPr>
        <w:t>MORGAN STANLEY</w:t>
      </w:r>
      <w:r>
        <w:rPr>
          <w:sz w:val="20"/>
          <w:szCs w:val="20"/>
          <w:color w:val="auto"/>
        </w:rPr>
        <w:tab/>
      </w:r>
      <w:r>
        <w:rPr>
          <w:rFonts w:ascii="Arial" w:cs="Arial" w:eastAsia="Arial" w:hAnsi="Arial"/>
          <w:sz w:val="21"/>
          <w:szCs w:val="21"/>
          <w:i w:val="1"/>
          <w:iCs w:val="1"/>
          <w:color w:val="auto"/>
        </w:rPr>
        <w:t>JEFFERIES</w:t>
      </w:r>
      <w:r>
        <w:rPr>
          <w:sz w:val="20"/>
          <w:szCs w:val="20"/>
          <w:color w:val="auto"/>
        </w:rPr>
        <w:tab/>
      </w:r>
      <w:r>
        <w:rPr>
          <w:rFonts w:ascii="Arial" w:cs="Arial" w:eastAsia="Arial" w:hAnsi="Arial"/>
          <w:sz w:val="21"/>
          <w:szCs w:val="21"/>
          <w:i w:val="1"/>
          <w:iCs w:val="1"/>
          <w:color w:val="auto"/>
        </w:rPr>
        <w:t>STIFEL</w:t>
      </w:r>
      <w:r>
        <w:rPr>
          <w:sz w:val="20"/>
          <w:szCs w:val="20"/>
          <w:color w:val="auto"/>
        </w:rPr>
        <w:tab/>
      </w:r>
      <w:r>
        <w:rPr>
          <w:rFonts w:ascii="Arial" w:cs="Arial" w:eastAsia="Arial" w:hAnsi="Arial"/>
          <w:sz w:val="19"/>
          <w:szCs w:val="19"/>
          <w:i w:val="1"/>
          <w:i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i w:val="1"/>
          <w:iCs w:val="1"/>
          <w:color w:val="auto"/>
        </w:rPr>
        <w:t>Until , 2021 (25 days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2021</w:t>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following table indicates the expenses to be incurred in connection with the offering described in this registration statement, other than underwriting discounts and commissions, all of which will be paid by us. All amounts are estimated except the Securities and Exchange Commission, or SEC, registration fee, the Financial Industry Regulatory Authority, Inc., or FINRA, filing fee and the Nasdaq Global Market initial listing fee.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gridSpan w:val="2"/>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10,910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FINRA filing fee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15,500</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initial listing fee</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Accountants’ fees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Blue sky fees and expenses</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agent’s fees and expenses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Printing</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0" w:type="dxa"/>
            <w:vAlign w:val="bottom"/>
          </w:tcPr>
          <w:p>
            <w:pPr>
              <w:ind w:left="7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76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77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0"/>
              <w:spacing w:after="0"/>
              <w:rPr>
                <w:sz w:val="20"/>
                <w:szCs w:val="20"/>
                <w:color w:val="auto"/>
              </w:rPr>
            </w:pPr>
            <w:r>
              <w:rPr>
                <w:rFonts w:ascii="Arial" w:cs="Arial" w:eastAsia="Arial" w:hAnsi="Arial"/>
                <w:sz w:val="18"/>
                <w:szCs w:val="18"/>
                <w:color w:val="auto"/>
                <w:w w:val="84"/>
              </w:rPr>
              <w:t>*</w:t>
            </w:r>
          </w:p>
        </w:tc>
        <w:tc>
          <w:tcPr>
            <w:tcW w:w="8720" w:type="dxa"/>
            <w:vAlign w:val="bottom"/>
            <w:gridSpan w:val="3"/>
          </w:tcPr>
          <w:p>
            <w:pPr>
              <w:ind w:left="160"/>
              <w:spacing w:after="0"/>
              <w:rPr>
                <w:sz w:val="20"/>
                <w:szCs w:val="20"/>
                <w:color w:val="auto"/>
              </w:rPr>
            </w:pPr>
            <w:r>
              <w:rPr>
                <w:rFonts w:ascii="Arial" w:cs="Arial" w:eastAsia="Arial" w:hAnsi="Arial"/>
                <w:sz w:val="18"/>
                <w:szCs w:val="18"/>
                <w:color w:val="auto"/>
              </w:rPr>
              <w:t>To be provided by amendment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are incorporated under the laws of the State of Delaware. Section 102 of the Delaware General Corporation Law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8" w:lineRule="exact"/>
        <w:rPr>
          <w:sz w:val="20"/>
          <w:szCs w:val="20"/>
          <w:color w:val="auto"/>
        </w:rPr>
      </w:pPr>
    </w:p>
    <w:p>
      <w:pPr>
        <w:jc w:val="both"/>
        <w:ind w:left="120" w:firstLine="440"/>
        <w:spacing w:after="0" w:line="289" w:lineRule="auto"/>
        <w:rPr>
          <w:sz w:val="20"/>
          <w:szCs w:val="20"/>
          <w:color w:val="auto"/>
        </w:rPr>
      </w:pPr>
      <w:r>
        <w:rPr>
          <w:rFonts w:ascii="Arial" w:cs="Arial" w:eastAsia="Arial" w:hAnsi="Arial"/>
          <w:sz w:val="16"/>
          <w:szCs w:val="16"/>
          <w:color w:val="auto"/>
        </w:rPr>
        <w:t>Section 145 of the Delaware General Corporation Law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is or is threatened to be made a party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66"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As permitted by the Delaware General Corporation Law, our amended and restated certificate of incorporation and bylaws to be in effect upon the closing of this offering will provide that: (i) we are required to indemnify our directors to the fullest extent permitted by the Delaware General Corporation Law; (ii) we may, in our discretion, indemnify our officers, employees and agents as set forth in the Delaware General Corporation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Law; (iii) we are required, upon satisfaction of certain conditions, to advance all expenses incurred by our directors in connection with certain legal proceedings; (iv) the rights conferred in the bylaws are not exclusive; and (v) we are authorized to enter into indemnification agreements with our directors, officers, employees and agents.</w:t>
      </w:r>
    </w:p>
    <w:p>
      <w:pPr>
        <w:spacing w:after="0" w:line="184" w:lineRule="exact"/>
        <w:rPr>
          <w:sz w:val="20"/>
          <w:szCs w:val="20"/>
          <w:color w:val="auto"/>
        </w:rPr>
      </w:pPr>
    </w:p>
    <w:p>
      <w:pPr>
        <w:jc w:val="both"/>
        <w:ind w:left="120" w:firstLine="440"/>
        <w:spacing w:after="0" w:line="290" w:lineRule="auto"/>
        <w:rPr>
          <w:sz w:val="20"/>
          <w:szCs w:val="20"/>
          <w:color w:val="auto"/>
        </w:rPr>
      </w:pPr>
      <w:r>
        <w:rPr>
          <w:rFonts w:ascii="Arial" w:cs="Arial" w:eastAsia="Arial" w:hAnsi="Arial"/>
          <w:sz w:val="16"/>
          <w:szCs w:val="16"/>
          <w:color w:val="auto"/>
        </w:rPr>
        <w:t>In connection with this offering, we expect to enter into indemnification agreements with each of our directors and executive officers that require us to indemnify them against expenses, judgments, fines, settlements and other amounts that any such person becomes legally obligated to pay (including with respect to a derivative action) in connection with any proceeding, whether actual or threatened, to which such person may be made a party by reason of the fact that such person is or was a director or officer of us or any of our affiliates, provided such person acted in good faith and in a manner such person reasonably believed to be in, or not opposed to, our best interests. The indemnification agreements will also set forth certain procedures that will apply in the event of a claim for indemnification thereunder. We intend to enter into similar indemnification agreements with our executive officers prior to the completion of this offering. At present, no litigation or proceeding is pending that involves any of our directors or officers regarding which indemnification is sought, nor are we aware of any threatened litigation that may result in claims for indemnification.</w:t>
      </w:r>
    </w:p>
    <w:p>
      <w:pPr>
        <w:spacing w:after="0" w:line="165"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We maintain a directors’ and officers’ liability insurance policy. The policy insures directors and officers against unindemnified losses arising from certain wrongful acts in their capacities as directors and officers and reimburses us for those losses for which we have lawfully indemnified the directors and officers. The policy contains various exclusions.</w:t>
      </w:r>
    </w:p>
    <w:p>
      <w:pPr>
        <w:spacing w:after="0" w:line="184"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addition, the underwriting agreement filed as Exhibit 1.1 to this Registration Statement provides for indemnification by the underwriters of us and our officers and directors for certain liabilities arising under the Securities Act, or otherwise. Our amended and restated investor rights agreement with certain investors also provides for cross-indemnification in connection with the registration of our common stock on behalf of such investors.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The following list sets forth information regarding all unregistered securities sold by us since our inception through the date of the prospectus that forms a part of this registration statement.</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July 2020, we issued and sold an aggregate of 6,237,500 shares of our Series A preferred stock to 24 investors at a purchase price of $8.00 per share, for aggregate consideration of $49.9 million.</w:t>
      </w:r>
    </w:p>
    <w:p>
      <w:pPr>
        <w:spacing w:after="0" w:line="170"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In July 2020, we issued 5,000,000 shares of our Series A preferred stock to Adimab in connection with the assignment and license agreement pursuant to which Adimab assigned to us all coronavirus antibodies controlled by it and certain related intellectual property and granted us a license to its platform technology to research, develop, make, use and sell coronavirus antibodies and products containing or comprising coronavirus antibodies.</w:t>
      </w:r>
    </w:p>
    <w:p>
      <w:pPr>
        <w:spacing w:after="0" w:line="149"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In October and November 2020, we issued and sold an aggregate of 1,410,434 shares of our Series B preferred stock to 16 investors at a purchase price of $56.72 per share, for aggregate consideration of $80.0 million.</w:t>
      </w:r>
    </w:p>
    <w:p>
      <w:pPr>
        <w:spacing w:after="0" w:line="17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In April 2021, we issued and sold an aggregate of 4,296,550 shares of our Series C preferred stock to 36 investors at a purchase price of $78.08578 per share, for aggregate consideration of $335.5 million.</w:t>
      </w:r>
    </w:p>
    <w:p>
      <w:pPr>
        <w:spacing w:after="0" w:line="170"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From June 3, 2020 (the date of our inception) through the date of this registration statement, we granted options under our 2020 Equity Incentive Plan to purchase an aggregate of 4,770,266 shares of common stock, at a weighted-average exercise price of $28.92 per share, to our employees, directors and consultants. Of these, 1,388,648 shares have been issued upon the exercise of options for aggregate consideration of $13,886 and options for the purchase of 23,000 shares of common stock have been forfeited, expired or cancelled.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below are filed as part of this registration.</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20" w:type="dxa"/>
            <w:vAlign w:val="bottom"/>
            <w:gridSpan w:val="9"/>
            <w:vMerge w:val="restart"/>
          </w:tcPr>
          <w:p>
            <w:pPr>
              <w:ind w:left="10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62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1.1*</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261">
              <w:r>
                <w:rPr>
                  <w:rFonts w:ascii="Arial" w:cs="Arial" w:eastAsia="Arial" w:hAnsi="Arial"/>
                  <w:sz w:val="18"/>
                  <w:szCs w:val="18"/>
                  <w:color w:val="0000EE"/>
                </w:rPr>
                <w:t>Amended and Restated Certificate of Incorporation of the Registrant (as amended and currently in effect).</w:t>
              </w:r>
            </w:hyperlink>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7620" w:type="dxa"/>
            <w:vAlign w:val="bottom"/>
            <w:tcBorders>
              <w:top w:val="single" w:sz="8" w:color="0000EE"/>
            </w:tcBorders>
            <w:gridSpan w:val="7"/>
          </w:tcPr>
          <w:p>
            <w:pPr>
              <w:spacing w:after="0"/>
              <w:rPr>
                <w:rFonts w:ascii="Arial" w:cs="Arial" w:eastAsia="Arial" w:hAnsi="Arial"/>
                <w:sz w:val="18"/>
                <w:szCs w:val="18"/>
                <w:color w:val="0000EE"/>
              </w:rPr>
            </w:pPr>
            <w:hyperlink w:anchor="page286">
              <w:r>
                <w:rPr>
                  <w:rFonts w:ascii="Arial" w:cs="Arial" w:eastAsia="Arial" w:hAnsi="Arial"/>
                  <w:sz w:val="18"/>
                  <w:szCs w:val="18"/>
                  <w:color w:val="0000EE"/>
                </w:rPr>
                <w:t>Bylaws of the Registrant (currently in effect).</w:t>
              </w:r>
            </w:hyperlink>
          </w:p>
        </w:tc>
        <w:tc>
          <w:tcPr>
            <w:tcW w:w="22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w w:val="99"/>
              </w:rPr>
              <w:t>Form of Amended and Restated Certificate of Incorporation of the Registrant (to be effective upon the closing of this offering).</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3.4*</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Form of Amended and Restated Bylaws of the Registrant (to be effective upon the closing of this offering).</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99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313">
              <w:r>
                <w:rPr>
                  <w:rFonts w:ascii="Arial" w:cs="Arial" w:eastAsia="Arial" w:hAnsi="Arial"/>
                  <w:sz w:val="18"/>
                  <w:szCs w:val="18"/>
                  <w:color w:val="0000EE"/>
                  <w:w w:val="90"/>
                </w:rPr>
                <w:t>Second Amended and Restated Investors’ Rights Agreement, by and among the Registrant and certain of its stockholders, dated April 16,</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13">
              <w:r>
                <w:rPr>
                  <w:rFonts w:ascii="Arial" w:cs="Arial" w:eastAsia="Arial" w:hAnsi="Arial"/>
                  <w:sz w:val="18"/>
                  <w:szCs w:val="18"/>
                  <w:color w:val="0000EE"/>
                  <w:w w:val="84"/>
                </w:rPr>
                <w:t>2021.</w:t>
              </w:r>
            </w:hyperlink>
          </w:p>
        </w:tc>
        <w:tc>
          <w:tcPr>
            <w:tcW w:w="10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rPr>
            </w:pPr>
            <w:hyperlink w:anchor="page365">
              <w:r>
                <w:rPr>
                  <w:rFonts w:ascii="Arial" w:cs="Arial" w:eastAsia="Arial" w:hAnsi="Arial"/>
                  <w:sz w:val="18"/>
                  <w:szCs w:val="18"/>
                  <w:color w:val="0000EE"/>
                </w:rPr>
                <w:t>2020 Equity Incentive Plan and Forms of Stock Option Agreement, Notice of Stock Option Grant and Notice of Exercise.</w:t>
              </w:r>
            </w:hyperlink>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5540" w:type="dxa"/>
            <w:vAlign w:val="bottom"/>
            <w:gridSpan w:val="4"/>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w w:val="93"/>
              </w:rPr>
              <w:t>2021 Equity Incentive Plan and Forms of Option Grant Notice and Agreement, Exercise Notice, Early Exercise Notice and Restricted</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Stock Award Notice.</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2021 Employee Stock Purchase Plan.</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520" w:type="dxa"/>
            <w:vAlign w:val="bottom"/>
          </w:tcPr>
          <w:p>
            <w:pPr>
              <w:spacing w:after="0"/>
              <w:rPr>
                <w:sz w:val="24"/>
                <w:szCs w:val="24"/>
                <w:color w:val="auto"/>
              </w:rPr>
            </w:pPr>
          </w:p>
        </w:tc>
        <w:tc>
          <w:tcPr>
            <w:tcW w:w="9900" w:type="dxa"/>
            <w:vAlign w:val="bottom"/>
            <w:gridSpan w:val="12"/>
          </w:tcPr>
          <w:p>
            <w:pPr>
              <w:spacing w:after="0"/>
              <w:rPr>
                <w:sz w:val="20"/>
                <w:szCs w:val="20"/>
                <w:color w:val="auto"/>
              </w:rPr>
            </w:pPr>
            <w:r>
              <w:rPr>
                <w:rFonts w:ascii="Arial" w:cs="Arial" w:eastAsia="Arial" w:hAnsi="Arial"/>
                <w:sz w:val="18"/>
                <w:szCs w:val="18"/>
                <w:color w:val="auto"/>
              </w:rPr>
              <w:t>Form of Indemnification Agreement with Executive Officers and Directors.</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520" w:type="dxa"/>
            <w:vAlign w:val="bottom"/>
          </w:tcPr>
          <w:p>
            <w:pPr>
              <w:spacing w:after="0"/>
              <w:rPr>
                <w:sz w:val="24"/>
                <w:szCs w:val="24"/>
                <w:color w:val="auto"/>
              </w:rPr>
            </w:pPr>
          </w:p>
        </w:tc>
        <w:tc>
          <w:tcPr>
            <w:tcW w:w="76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12">
              <w:r>
                <w:rPr>
                  <w:rFonts w:ascii="Arial" w:cs="Arial" w:eastAsia="Arial" w:hAnsi="Arial"/>
                  <w:sz w:val="18"/>
                  <w:szCs w:val="18"/>
                  <w:color w:val="0000EE"/>
                  <w:w w:val="90"/>
                </w:rPr>
                <w:t>Assignment and License Agreement by and between the Registrant and Adimab, LLC, dated July 8, 2020.</w:t>
              </w:r>
            </w:hyperlink>
          </w:p>
        </w:tc>
        <w:tc>
          <w:tcPr>
            <w:tcW w:w="22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520" w:type="dxa"/>
            <w:vAlign w:val="bottom"/>
          </w:tcPr>
          <w:p>
            <w:pPr>
              <w:spacing w:after="0"/>
              <w:rPr>
                <w:sz w:val="24"/>
                <w:szCs w:val="24"/>
                <w:color w:val="auto"/>
              </w:rPr>
            </w:pPr>
          </w:p>
        </w:tc>
        <w:tc>
          <w:tcPr>
            <w:tcW w:w="70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455">
              <w:r>
                <w:rPr>
                  <w:rFonts w:ascii="Arial" w:cs="Arial" w:eastAsia="Arial" w:hAnsi="Arial"/>
                  <w:sz w:val="18"/>
                  <w:szCs w:val="18"/>
                  <w:color w:val="0000EE"/>
                  <w:w w:val="91"/>
                </w:rPr>
                <w:t>Collaboration Agreement by and between the Registrant and Adimab, LLC, dated May 21, 2021.</w:t>
              </w:r>
            </w:hyperlink>
          </w:p>
        </w:tc>
        <w:tc>
          <w:tcPr>
            <w:tcW w:w="2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52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w w:val="97"/>
              </w:rPr>
            </w:pPr>
            <w:hyperlink w:anchor="page503">
              <w:r>
                <w:rPr>
                  <w:rFonts w:ascii="Arial" w:cs="Arial" w:eastAsia="Arial" w:hAnsi="Arial"/>
                  <w:sz w:val="18"/>
                  <w:szCs w:val="18"/>
                  <w:color w:val="0000EE"/>
                  <w:w w:val="97"/>
                </w:rPr>
                <w:t>Commercial Manufacturing Services Agreement by and between the Registrant and WuXi Biologics (Hong Kong) Limited, dated</w:t>
              </w:r>
            </w:hyperlink>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3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3">
              <w:r>
                <w:rPr>
                  <w:rFonts w:ascii="Arial" w:cs="Arial" w:eastAsia="Arial" w:hAnsi="Arial"/>
                  <w:sz w:val="18"/>
                  <w:szCs w:val="18"/>
                  <w:color w:val="0000EE"/>
                </w:rPr>
                <w:t>December 24, 2020.</w:t>
              </w:r>
            </w:hyperlink>
          </w:p>
        </w:tc>
        <w:tc>
          <w:tcPr>
            <w:tcW w:w="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792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520" w:type="dxa"/>
            <w:vAlign w:val="bottom"/>
          </w:tcPr>
          <w:p>
            <w:pPr>
              <w:spacing w:after="0"/>
              <w:rPr>
                <w:sz w:val="24"/>
                <w:szCs w:val="24"/>
                <w:color w:val="auto"/>
              </w:rPr>
            </w:pPr>
          </w:p>
        </w:tc>
        <w:tc>
          <w:tcPr>
            <w:tcW w:w="9900" w:type="dxa"/>
            <w:vAlign w:val="bottom"/>
            <w:gridSpan w:val="12"/>
          </w:tcPr>
          <w:p>
            <w:pPr>
              <w:spacing w:after="0"/>
              <w:rPr>
                <w:rFonts w:ascii="Arial" w:cs="Arial" w:eastAsia="Arial" w:hAnsi="Arial"/>
                <w:sz w:val="18"/>
                <w:szCs w:val="18"/>
                <w:color w:val="0000EE"/>
                <w:w w:val="96"/>
              </w:rPr>
            </w:pPr>
            <w:hyperlink w:anchor="page537">
              <w:r>
                <w:rPr>
                  <w:rFonts w:ascii="Arial" w:cs="Arial" w:eastAsia="Arial" w:hAnsi="Arial"/>
                  <w:sz w:val="18"/>
                  <w:szCs w:val="18"/>
                  <w:color w:val="0000EE"/>
                  <w:w w:val="96"/>
                </w:rPr>
                <w:t>Cell Line License Agreement by and between the Registrant and WuXi Biologics (Hong Kong) Limited, dated December 2, 2020.</w:t>
              </w:r>
            </w:hyperlink>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520" w:type="dxa"/>
            <w:vAlign w:val="bottom"/>
          </w:tcPr>
          <w:p>
            <w:pPr>
              <w:spacing w:after="0"/>
              <w:rPr>
                <w:sz w:val="24"/>
                <w:szCs w:val="24"/>
                <w:color w:val="auto"/>
              </w:rPr>
            </w:pPr>
          </w:p>
        </w:tc>
        <w:tc>
          <w:tcPr>
            <w:tcW w:w="93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Form of Employment Agreement to be entered into by and between the Registrant and Tillman U. Gerngross.</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20" w:type="dxa"/>
            <w:vAlign w:val="bottom"/>
            <w:gridSpan w:val="9"/>
          </w:tcPr>
          <w:p>
            <w:pPr>
              <w:ind w:left="98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8"/>
              </w:rPr>
              <w:t>Exhibit</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40" w:type="dxa"/>
            <w:vAlign w:val="bottom"/>
            <w:gridSpan w:val="4"/>
            <w:vMerge w:val="restart"/>
          </w:tcPr>
          <w:p>
            <w:pPr>
              <w:ind w:left="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2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6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00" w:type="dxa"/>
            <w:vAlign w:val="bottom"/>
            <w:gridSpan w:val="3"/>
          </w:tcPr>
          <w:p>
            <w:pPr>
              <w:spacing w:after="0"/>
              <w:rPr>
                <w:sz w:val="20"/>
                <w:szCs w:val="20"/>
                <w:color w:val="auto"/>
              </w:rPr>
            </w:pPr>
            <w:r>
              <w:rPr>
                <w:rFonts w:ascii="Arial" w:cs="Arial" w:eastAsia="Arial" w:hAnsi="Arial"/>
                <w:sz w:val="18"/>
                <w:szCs w:val="18"/>
                <w:color w:val="auto"/>
              </w:rPr>
              <w:t>10.10+*</w:t>
            </w:r>
          </w:p>
        </w:tc>
        <w:tc>
          <w:tcPr>
            <w:tcW w:w="9120" w:type="dxa"/>
            <w:vAlign w:val="bottom"/>
            <w:gridSpan w:val="6"/>
          </w:tcPr>
          <w:p>
            <w:pPr>
              <w:spacing w:after="0"/>
              <w:rPr>
                <w:sz w:val="20"/>
                <w:szCs w:val="20"/>
                <w:color w:val="auto"/>
              </w:rPr>
            </w:pPr>
            <w:r>
              <w:rPr>
                <w:rFonts w:ascii="Arial" w:cs="Arial" w:eastAsia="Arial" w:hAnsi="Arial"/>
                <w:sz w:val="18"/>
                <w:szCs w:val="18"/>
                <w:color w:val="auto"/>
                <w:w w:val="90"/>
              </w:rPr>
              <w:t>Form of Amended and Restated Employment Agreement to be entered into by and between the Registrant and Lynn Connolly.</w:t>
            </w:r>
          </w:p>
        </w:tc>
        <w:tc>
          <w:tcPr>
            <w:tcW w:w="0" w:type="dxa"/>
            <w:vAlign w:val="bottom"/>
          </w:tcPr>
          <w:p>
            <w:pPr>
              <w:spacing w:after="0"/>
              <w:rPr>
                <w:sz w:val="1"/>
                <w:szCs w:val="1"/>
                <w:color w:val="auto"/>
              </w:rPr>
            </w:pP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89"/>
              </w:rPr>
              <w:t>10.11+*</w:t>
            </w:r>
          </w:p>
        </w:tc>
        <w:tc>
          <w:tcPr>
            <w:tcW w:w="520" w:type="dxa"/>
            <w:vAlign w:val="bottom"/>
          </w:tcPr>
          <w:p>
            <w:pPr>
              <w:spacing w:after="0"/>
              <w:rPr>
                <w:sz w:val="24"/>
                <w:szCs w:val="24"/>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rPr>
              <w:t>Form of Employment Agreement to be entered into by and between the Registrant and Rebecca Dabora.</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520" w:type="dxa"/>
            <w:vAlign w:val="bottom"/>
          </w:tcPr>
          <w:p>
            <w:pPr>
              <w:spacing w:after="0"/>
              <w:rPr>
                <w:sz w:val="24"/>
                <w:szCs w:val="24"/>
                <w:color w:val="auto"/>
              </w:rPr>
            </w:pPr>
          </w:p>
        </w:tc>
        <w:tc>
          <w:tcPr>
            <w:tcW w:w="2180" w:type="dxa"/>
            <w:vAlign w:val="bottom"/>
            <w:tcBorders>
              <w:bottom w:val="single" w:sz="8" w:color="0000EE"/>
            </w:tcBorders>
          </w:tcPr>
          <w:p>
            <w:pPr>
              <w:spacing w:after="0"/>
              <w:rPr>
                <w:rFonts w:ascii="Arial" w:cs="Arial" w:eastAsia="Arial" w:hAnsi="Arial"/>
                <w:sz w:val="18"/>
                <w:szCs w:val="18"/>
                <w:color w:val="0000EE"/>
                <w:w w:val="89"/>
              </w:rPr>
            </w:pPr>
            <w:hyperlink w:anchor="page554">
              <w:r>
                <w:rPr>
                  <w:rFonts w:ascii="Arial" w:cs="Arial" w:eastAsia="Arial" w:hAnsi="Arial"/>
                  <w:sz w:val="18"/>
                  <w:szCs w:val="18"/>
                  <w:color w:val="0000EE"/>
                  <w:w w:val="89"/>
                </w:rPr>
                <w:t>Subsidiaries of the Registrant.</w:t>
              </w:r>
            </w:hyperlink>
          </w:p>
        </w:tc>
        <w:tc>
          <w:tcPr>
            <w:tcW w:w="69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gridSpan w:val="2"/>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64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555">
              <w:r>
                <w:rPr>
                  <w:rFonts w:ascii="Arial" w:cs="Arial" w:eastAsia="Arial" w:hAnsi="Arial"/>
                  <w:sz w:val="18"/>
                  <w:szCs w:val="18"/>
                  <w:color w:val="0000EE"/>
                  <w:w w:val="90"/>
                </w:rPr>
                <w:t>Consent of PricewaterhouseCoopers LLP, independent registered public accounting firm.</w:t>
              </w:r>
            </w:hyperlink>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gridSpan w:val="2"/>
          </w:tcPr>
          <w:p>
            <w:pPr>
              <w:spacing w:after="0"/>
              <w:rPr>
                <w:sz w:val="20"/>
                <w:szCs w:val="20"/>
                <w:color w:val="auto"/>
              </w:rPr>
            </w:pPr>
            <w:r>
              <w:rPr>
                <w:rFonts w:ascii="Arial" w:cs="Arial" w:eastAsia="Arial" w:hAnsi="Arial"/>
                <w:sz w:val="18"/>
                <w:szCs w:val="18"/>
                <w:color w:val="auto"/>
              </w:rPr>
              <w:t>23.2*</w:t>
            </w:r>
          </w:p>
        </w:tc>
        <w:tc>
          <w:tcPr>
            <w:tcW w:w="520" w:type="dxa"/>
            <w:vAlign w:val="bottom"/>
          </w:tcPr>
          <w:p>
            <w:pPr>
              <w:spacing w:after="0"/>
              <w:rPr>
                <w:sz w:val="24"/>
                <w:szCs w:val="24"/>
                <w:color w:val="auto"/>
              </w:rPr>
            </w:pPr>
          </w:p>
        </w:tc>
        <w:tc>
          <w:tcPr>
            <w:tcW w:w="9120" w:type="dxa"/>
            <w:vAlign w:val="bottom"/>
            <w:gridSpan w:val="6"/>
          </w:tcPr>
          <w:p>
            <w:pPr>
              <w:spacing w:after="0"/>
              <w:rPr>
                <w:sz w:val="20"/>
                <w:szCs w:val="20"/>
                <w:color w:val="auto"/>
              </w:rPr>
            </w:pPr>
            <w:r>
              <w:rPr>
                <w:rFonts w:ascii="Arial" w:cs="Arial" w:eastAsia="Arial" w:hAnsi="Arial"/>
                <w:sz w:val="18"/>
                <w:szCs w:val="18"/>
                <w:color w:val="auto"/>
              </w:rPr>
              <w:t>Consent of Cooley LLP (included in Exhibit 5.1).</w:t>
            </w:r>
          </w:p>
        </w:tc>
        <w:tc>
          <w:tcPr>
            <w:tcW w:w="0" w:type="dxa"/>
            <w:vAlign w:val="bottom"/>
          </w:tcPr>
          <w:p>
            <w:pPr>
              <w:spacing w:after="0"/>
              <w:rPr>
                <w:sz w:val="1"/>
                <w:szCs w:val="1"/>
                <w:color w:val="auto"/>
              </w:rPr>
            </w:pPr>
          </w:p>
        </w:tc>
      </w:tr>
      <w:tr>
        <w:trPr>
          <w:trHeight w:val="283"/>
        </w:trPr>
        <w:tc>
          <w:tcPr>
            <w:tcW w:w="580" w:type="dxa"/>
            <w:vAlign w:val="bottom"/>
            <w:gridSpan w:val="2"/>
          </w:tcPr>
          <w:p>
            <w:pPr>
              <w:spacing w:after="0"/>
              <w:rPr>
                <w:sz w:val="20"/>
                <w:szCs w:val="20"/>
                <w:color w:val="auto"/>
              </w:rPr>
            </w:pPr>
            <w:r>
              <w:rPr>
                <w:rFonts w:ascii="Arial" w:cs="Arial" w:eastAsia="Arial" w:hAnsi="Arial"/>
                <w:sz w:val="18"/>
                <w:szCs w:val="18"/>
                <w:color w:val="auto"/>
              </w:rPr>
              <w:t>24.1</w:t>
            </w:r>
          </w:p>
        </w:tc>
        <w:tc>
          <w:tcPr>
            <w:tcW w:w="520" w:type="dxa"/>
            <w:vAlign w:val="bottom"/>
          </w:tcPr>
          <w:p>
            <w:pPr>
              <w:spacing w:after="0"/>
              <w:rPr>
                <w:sz w:val="24"/>
                <w:szCs w:val="24"/>
                <w:color w:val="auto"/>
              </w:rPr>
            </w:pPr>
          </w:p>
        </w:tc>
        <w:tc>
          <w:tcPr>
            <w:tcW w:w="9120" w:type="dxa"/>
            <w:vAlign w:val="bottom"/>
            <w:gridSpan w:val="6"/>
          </w:tcPr>
          <w:p>
            <w:pPr>
              <w:spacing w:after="0"/>
              <w:rPr>
                <w:rFonts w:ascii="Arial" w:cs="Arial" w:eastAsia="Arial" w:hAnsi="Arial"/>
                <w:sz w:val="18"/>
                <w:szCs w:val="18"/>
                <w:color w:val="0000EE"/>
              </w:rPr>
            </w:pPr>
            <w:hyperlink w:anchor="page260">
              <w:r>
                <w:rPr>
                  <w:rFonts w:ascii="Arial" w:cs="Arial" w:eastAsia="Arial" w:hAnsi="Arial"/>
                  <w:sz w:val="18"/>
                  <w:szCs w:val="18"/>
                  <w:color w:val="0000EE"/>
                </w:rPr>
                <w:t>Power of Attorney (included on signature page).</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3" w:lineRule="exact"/>
        <w:rPr>
          <w:sz w:val="20"/>
          <w:szCs w:val="20"/>
          <w:color w:val="auto"/>
        </w:rPr>
      </w:pPr>
    </w:p>
    <w:p>
      <w:pPr>
        <w:ind w:left="540" w:right="20" w:hanging="424"/>
        <w:spacing w:after="0" w:line="250" w:lineRule="auto"/>
        <w:tabs>
          <w:tab w:leader="none" w:pos="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Certain portions of this exhibit (indicated by asterisks) have been omitted because they are not material and are the type that the Registrant treats as private or confidential.</w:t>
      </w:r>
    </w:p>
    <w:p>
      <w:pPr>
        <w:spacing w:after="0" w:line="1" w:lineRule="exact"/>
        <w:rPr>
          <w:sz w:val="20"/>
          <w:szCs w:val="20"/>
          <w:color w:val="auto"/>
        </w:rPr>
      </w:pPr>
    </w:p>
    <w:p>
      <w:pPr>
        <w:ind w:left="540" w:hanging="424"/>
        <w:spacing w:after="0"/>
        <w:tabs>
          <w:tab w:leader="none" w:pos="5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9" w:lineRule="exact"/>
        <w:rPr>
          <w:sz w:val="20"/>
          <w:szCs w:val="20"/>
          <w:color w:val="auto"/>
        </w:rPr>
      </w:pPr>
    </w:p>
    <w:p>
      <w:pPr>
        <w:ind w:left="540" w:right="20" w:hanging="424"/>
        <w:spacing w:after="0" w:line="260" w:lineRule="auto"/>
        <w:tabs>
          <w:tab w:leader="none" w:pos="5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Certain schedules to this agreement have been omitted in accordance with Item 601(b)(2) of Regulation S-K. A copy of any omitted schedules will be furnished supplementally to the SEC upon request.</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Schedules not listed above have been omitted because the information required to be set forth therein is not applicable or is shown in the financial statements or notes thereto.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jc w:val="both"/>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6" w:lineRule="exact"/>
        <w:rPr>
          <w:sz w:val="20"/>
          <w:szCs w:val="20"/>
          <w:color w:val="auto"/>
        </w:rPr>
      </w:pPr>
    </w:p>
    <w:p>
      <w:pPr>
        <w:jc w:val="both"/>
        <w:ind w:left="120" w:firstLine="440"/>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jc w:val="both"/>
        <w:ind w:left="1080" w:hanging="418"/>
        <w:spacing w:after="0" w:line="291"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1080" w:right="20" w:firstLine="8"/>
        <w:spacing w:after="0" w:line="260" w:lineRule="auto"/>
        <w:tabs>
          <w:tab w:leader="none" w:pos="13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or (4) or 497(h) under the Securities Act shall be deemed to be part of this Registration Statement as of the time it was declared effective.</w:t>
      </w:r>
    </w:p>
    <w:p>
      <w:pPr>
        <w:spacing w:after="0" w:line="90" w:lineRule="exact"/>
        <w:rPr>
          <w:rFonts w:ascii="Arial" w:cs="Arial" w:eastAsia="Arial" w:hAnsi="Arial"/>
          <w:sz w:val="18"/>
          <w:szCs w:val="18"/>
          <w:color w:val="auto"/>
        </w:rPr>
      </w:pPr>
    </w:p>
    <w:p>
      <w:pPr>
        <w:jc w:val="both"/>
        <w:ind w:left="1080" w:right="20" w:hanging="418"/>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left="120" w:right="20" w:firstLine="440"/>
        <w:spacing w:after="0" w:line="258"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Waltham, Massachusetts, on this 16th day of July, 2021.</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ind w:left="6740"/>
        <w:spacing w:after="0"/>
        <w:tabs>
          <w:tab w:leader="none" w:pos="7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Tillman U. Gerngross,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14605</wp:posOffset>
            </wp:positionV>
            <wp:extent cx="25374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6"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Tillman U. Gerngross, Ph.D.</w:t>
      </w:r>
    </w:p>
    <w:p>
      <w:pPr>
        <w:spacing w:after="0" w:line="23"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Co-Founder, Chief Executive Officer and Director</w:t>
      </w:r>
    </w:p>
    <w:p>
      <w:pPr>
        <w:spacing w:after="0" w:line="211" w:lineRule="exact"/>
        <w:rPr>
          <w:sz w:val="20"/>
          <w:szCs w:val="20"/>
          <w:color w:val="auto"/>
        </w:rPr>
      </w:pPr>
    </w:p>
    <w:p>
      <w:pPr>
        <w:jc w:val="both"/>
        <w:ind w:left="120" w:firstLine="440"/>
        <w:spacing w:after="0" w:line="288" w:lineRule="auto"/>
        <w:rPr>
          <w:sz w:val="20"/>
          <w:szCs w:val="20"/>
          <w:color w:val="auto"/>
        </w:rPr>
      </w:pPr>
      <w:r>
        <w:rPr>
          <w:rFonts w:ascii="Arial" w:cs="Arial" w:eastAsia="Arial" w:hAnsi="Arial"/>
          <w:sz w:val="16"/>
          <w:szCs w:val="16"/>
          <w:color w:val="auto"/>
        </w:rPr>
        <w:t>KNOW ALL BY THESE PRESENTS, that each person whose signature appears below hereby constitutes and appoints Tillman U. Gerngross, Ph.D. and Jane Pritchett Henderson, and each of them, as his or her true and lawful agents, proxies and attorneys-in-fact,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might or could do in person, hereby approving, ratifying and confirming all that such agent, proxy and attorney-in-fact or any of his substitutes may lawfully do or cause to be done by virtue thereof.</w:t>
      </w:r>
    </w:p>
    <w:p>
      <w:pPr>
        <w:spacing w:after="0" w:line="168"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Signature</w:t>
            </w:r>
          </w:p>
        </w:tc>
        <w:tc>
          <w:tcPr>
            <w:tcW w:w="21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Title</w:t>
            </w:r>
          </w:p>
        </w:tc>
        <w:tc>
          <w:tcPr>
            <w:tcW w:w="1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Date</w:t>
            </w:r>
          </w:p>
        </w:tc>
        <w:tc>
          <w:tcPr>
            <w:tcW w:w="500" w:type="dxa"/>
            <w:vAlign w:val="bottom"/>
          </w:tcPr>
          <w:p>
            <w:pPr>
              <w:spacing w:after="0"/>
              <w:rPr>
                <w:sz w:val="14"/>
                <w:szCs w:val="14"/>
                <w:color w:val="auto"/>
              </w:rPr>
            </w:pPr>
          </w:p>
        </w:tc>
      </w:tr>
      <w:tr>
        <w:trPr>
          <w:trHeight w:val="21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Tillman U. Gerngross, Ph.D.</w:t>
            </w:r>
          </w:p>
        </w:tc>
        <w:tc>
          <w:tcPr>
            <w:tcW w:w="2180" w:type="dxa"/>
            <w:vAlign w:val="bottom"/>
            <w:tcBorders>
              <w:bottom w:val="single" w:sz="8" w:color="auto"/>
            </w:tcBorders>
          </w:tcPr>
          <w:p>
            <w:pPr>
              <w:spacing w:after="0"/>
              <w:rPr>
                <w:sz w:val="18"/>
                <w:szCs w:val="18"/>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Co-Founder, Chief Executive Officer and 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Tillman U. Gerngross, Ph.D.</w:t>
            </w:r>
          </w:p>
        </w:tc>
        <w:tc>
          <w:tcPr>
            <w:tcW w:w="2180" w:type="dxa"/>
            <w:vAlign w:val="bottom"/>
          </w:tcPr>
          <w:p>
            <w:pPr>
              <w:spacing w:after="0"/>
              <w:rPr>
                <w:sz w:val="19"/>
                <w:szCs w:val="19"/>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i w:val="1"/>
                <w:iCs w:val="1"/>
                <w:color w:val="auto"/>
              </w:rPr>
              <w:t>(Principal Executive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Jane Pritchett Henderson</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Chief Financial Officer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Jane Pritchett Henderson</w:t>
            </w:r>
          </w:p>
        </w:tc>
        <w:tc>
          <w:tcPr>
            <w:tcW w:w="2180" w:type="dxa"/>
            <w:vAlign w:val="bottom"/>
          </w:tcPr>
          <w:p>
            <w:pPr>
              <w:spacing w:after="0"/>
              <w:rPr>
                <w:sz w:val="19"/>
                <w:szCs w:val="19"/>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i w:val="1"/>
                <w:iCs w:val="1"/>
                <w:color w:val="auto"/>
              </w:rPr>
              <w:t>(Principal Financial and Accounting Officer)</w:t>
            </w: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René Russo, Pharm.D.</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Co-Founder, Director and Chair of the Board</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René Russo, Pharm.D.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Terrance McGuire</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Terrance McGuire</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Ajay Royan</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Ajay Royan</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Howard Mayer, M.D.</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Howard Mayer, 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Anand Shah, M.D.</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Anand Shah, M.D.</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50"/>
        </w:trPr>
        <w:tc>
          <w:tcPr>
            <w:tcW w:w="2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Tom Heyman</w:t>
            </w:r>
          </w:p>
        </w:tc>
        <w:tc>
          <w:tcPr>
            <w:tcW w:w="2180" w:type="dxa"/>
            <w:vAlign w:val="bottom"/>
            <w:tcBorders>
              <w:bottom w:val="single" w:sz="8" w:color="auto"/>
            </w:tcBorders>
          </w:tcPr>
          <w:p>
            <w:pPr>
              <w:spacing w:after="0"/>
              <w:rPr>
                <w:sz w:val="24"/>
                <w:szCs w:val="24"/>
                <w:color w:val="auto"/>
              </w:rPr>
            </w:pPr>
          </w:p>
        </w:tc>
        <w:tc>
          <w:tcPr>
            <w:tcW w:w="4340" w:type="dxa"/>
            <w:vAlign w:val="bottom"/>
            <w:gridSpan w:val="3"/>
          </w:tcPr>
          <w:p>
            <w:pPr>
              <w:ind w:left="60"/>
              <w:spacing w:after="0"/>
              <w:rPr>
                <w:sz w:val="20"/>
                <w:szCs w:val="20"/>
                <w:color w:val="auto"/>
              </w:rPr>
            </w:pPr>
            <w:r>
              <w:rPr>
                <w:rFonts w:ascii="Arial" w:cs="Arial" w:eastAsia="Arial" w:hAnsi="Arial"/>
                <w:sz w:val="18"/>
                <w:szCs w:val="18"/>
                <w:color w:val="auto"/>
              </w:rPr>
              <w:t>Director</w:t>
            </w:r>
          </w:p>
        </w:tc>
        <w:tc>
          <w:tcPr>
            <w:tcW w:w="1640" w:type="dxa"/>
            <w:vAlign w:val="bottom"/>
            <w:gridSpan w:val="3"/>
          </w:tcPr>
          <w:p>
            <w:pPr>
              <w:ind w:left="660"/>
              <w:spacing w:after="0"/>
              <w:rPr>
                <w:sz w:val="20"/>
                <w:szCs w:val="20"/>
                <w:color w:val="auto"/>
              </w:rPr>
            </w:pPr>
            <w:r>
              <w:rPr>
                <w:rFonts w:ascii="Arial" w:cs="Arial" w:eastAsia="Arial" w:hAnsi="Arial"/>
                <w:sz w:val="18"/>
                <w:szCs w:val="18"/>
                <w:color w:val="auto"/>
                <w:w w:val="89"/>
              </w:rPr>
              <w:t>July 16, 2021</w:t>
            </w:r>
          </w:p>
        </w:tc>
      </w:tr>
      <w:tr>
        <w:trPr>
          <w:trHeight w:val="224"/>
        </w:trPr>
        <w:tc>
          <w:tcPr>
            <w:tcW w:w="2780" w:type="dxa"/>
            <w:vAlign w:val="bottom"/>
            <w:gridSpan w:val="2"/>
          </w:tcPr>
          <w:p>
            <w:pPr>
              <w:spacing w:after="0"/>
              <w:rPr>
                <w:sz w:val="20"/>
                <w:szCs w:val="20"/>
                <w:color w:val="auto"/>
              </w:rPr>
            </w:pPr>
            <w:r>
              <w:rPr>
                <w:rFonts w:ascii="Arial" w:cs="Arial" w:eastAsia="Arial" w:hAnsi="Arial"/>
                <w:sz w:val="18"/>
                <w:szCs w:val="18"/>
                <w:color w:val="auto"/>
              </w:rPr>
              <w:t>Tom Heyman</w:t>
            </w:r>
          </w:p>
        </w:tc>
        <w:tc>
          <w:tcPr>
            <w:tcW w:w="21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7"/>
        </w:trPr>
        <w:tc>
          <w:tcPr>
            <w:tcW w:w="2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340" w:type="dxa"/>
            <w:vAlign w:val="bottom"/>
            <w:gridSpan w:val="3"/>
          </w:tcPr>
          <w:p>
            <w:pPr>
              <w:ind w:left="400"/>
              <w:spacing w:after="0"/>
              <w:rPr>
                <w:sz w:val="20"/>
                <w:szCs w:val="20"/>
                <w:color w:val="auto"/>
              </w:rPr>
            </w:pPr>
            <w:r>
              <w:rPr>
                <w:rFonts w:ascii="Arial" w:cs="Arial" w:eastAsia="Arial" w:hAnsi="Arial"/>
                <w:sz w:val="18"/>
                <w:szCs w:val="18"/>
                <w:color w:val="auto"/>
              </w:rPr>
              <w:t>II-5</w:t>
            </w: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ADAGIO THERAPEUTICS,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Adagio Therapeutics, Inc., a corporation organized and existing under and by virtue of the provisions of the General Corporation Law of the State of Delaware (the “</w:t>
      </w:r>
      <w:r>
        <w:rPr>
          <w:rFonts w:ascii="Arial" w:cs="Arial" w:eastAsia="Arial" w:hAnsi="Arial"/>
          <w:sz w:val="18"/>
          <w:szCs w:val="18"/>
          <w:b w:val="1"/>
          <w:bCs w:val="1"/>
          <w:color w:val="auto"/>
        </w:rPr>
        <w:t>General Corporation Law</w:t>
      </w:r>
      <w:r>
        <w:rPr>
          <w:rFonts w:ascii="Arial" w:cs="Arial" w:eastAsia="Arial" w:hAnsi="Arial"/>
          <w:sz w:val="18"/>
          <w:szCs w:val="18"/>
          <w:color w:val="auto"/>
        </w:rPr>
        <w:t>”),</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320" w:firstLine="436"/>
        <w:spacing w:after="0" w:line="277" w:lineRule="auto"/>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That the name of this corporation is Adagio Therapeutics, Inc., and that this corporation was originally incorporated pursuant to the General Corporation Law on June 3, 2020.</w:t>
      </w:r>
    </w:p>
    <w:p>
      <w:pPr>
        <w:spacing w:after="0" w:line="170" w:lineRule="exact"/>
        <w:rPr>
          <w:rFonts w:ascii="Arial" w:cs="Arial" w:eastAsia="Arial" w:hAnsi="Arial"/>
          <w:sz w:val="18"/>
          <w:szCs w:val="18"/>
          <w:b w:val="1"/>
          <w:bCs w:val="1"/>
          <w:color w:val="auto"/>
        </w:rPr>
      </w:pPr>
    </w:p>
    <w:p>
      <w:pPr>
        <w:ind w:right="320" w:firstLine="436"/>
        <w:spacing w:after="0" w:line="259" w:lineRule="auto"/>
        <w:tabs>
          <w:tab w:leader="none" w:pos="620" w:val="left"/>
        </w:tabs>
        <w:numPr>
          <w:ilvl w:val="0"/>
          <w:numId w:val="162"/>
        </w:numPr>
        <w:rPr>
          <w:rFonts w:ascii="Arial" w:cs="Arial" w:eastAsia="Arial" w:hAnsi="Arial"/>
          <w:sz w:val="18"/>
          <w:szCs w:val="18"/>
          <w:b w:val="1"/>
          <w:bCs w:val="1"/>
          <w:color w:val="auto"/>
        </w:rPr>
      </w:pPr>
      <w:r>
        <w:rPr>
          <w:rFonts w:ascii="Arial" w:cs="Arial" w:eastAsia="Arial" w:hAnsi="Arial"/>
          <w:sz w:val="18"/>
          <w:szCs w:val="18"/>
          <w:color w:val="auto"/>
        </w:rPr>
        <w:t>That the Board of Directors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Adagio Therapeutics, Inc.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1209 Orange Street,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19801. The name of its registered agent at such address is The Corporation Trust Company.</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FOURTH: </w:t>
      </w:r>
      <w:r>
        <w:rPr>
          <w:rFonts w:ascii="Arial" w:cs="Arial" w:eastAsia="Arial" w:hAnsi="Arial"/>
          <w:sz w:val="18"/>
          <w:szCs w:val="18"/>
          <w:color w:val="auto"/>
        </w:rPr>
        <w:t>The total number of shares of all classes of stock which the Corporation shall have authority to issue is 40,196,039, consisting of (i)</w:t>
      </w:r>
      <w:r>
        <w:rPr>
          <w:rFonts w:ascii="Arial" w:cs="Arial" w:eastAsia="Arial" w:hAnsi="Arial"/>
          <w:sz w:val="18"/>
          <w:szCs w:val="18"/>
          <w:b w:val="1"/>
          <w:bCs w:val="1"/>
          <w:color w:val="auto"/>
        </w:rPr>
        <w:t xml:space="preserve"> </w:t>
      </w:r>
      <w:r>
        <w:rPr>
          <w:rFonts w:ascii="Arial" w:cs="Arial" w:eastAsia="Arial" w:hAnsi="Arial"/>
          <w:sz w:val="18"/>
          <w:szCs w:val="18"/>
          <w:color w:val="auto"/>
        </w:rPr>
        <w:t>23,251,555 shares of Common Stock, $0.0001 par value per share (“</w:t>
      </w:r>
      <w:r>
        <w:rPr>
          <w:rFonts w:ascii="Arial" w:cs="Arial" w:eastAsia="Arial" w:hAnsi="Arial"/>
          <w:sz w:val="18"/>
          <w:szCs w:val="18"/>
          <w:b w:val="1"/>
          <w:bCs w:val="1"/>
          <w:color w:val="auto"/>
        </w:rPr>
        <w:t>Common Stock</w:t>
      </w:r>
      <w:r>
        <w:rPr>
          <w:rFonts w:ascii="Arial" w:cs="Arial" w:eastAsia="Arial" w:hAnsi="Arial"/>
          <w:sz w:val="18"/>
          <w:szCs w:val="18"/>
          <w:color w:val="auto"/>
        </w:rPr>
        <w:t>”), and (ii) 16,944,484 shares of Preferred Stock, $0.0001 par value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261" w:name="page262"/>
    <w:bookmarkEnd w:id="261"/>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is a statement of the designations and the powers, privileges and rights, and the qualifications, limitations or restrictions thereof in respect of each class of capital stock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COMMON STOCK</w:t>
      </w:r>
    </w:p>
    <w:p>
      <w:pPr>
        <w:spacing w:after="0" w:line="225" w:lineRule="exact"/>
        <w:rPr>
          <w:sz w:val="20"/>
          <w:szCs w:val="20"/>
          <w:color w:val="auto"/>
        </w:rPr>
      </w:pPr>
    </w:p>
    <w:p>
      <w:pPr>
        <w:ind w:right="400" w:firstLine="987"/>
        <w:spacing w:after="0" w:line="277" w:lineRule="auto"/>
        <w:tabs>
          <w:tab w:leader="none" w:pos="1171"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987"/>
        <w:spacing w:after="0" w:line="269" w:lineRule="auto"/>
        <w:tabs>
          <w:tab w:leader="none" w:pos="1171" w:val="left"/>
        </w:tabs>
        <w:numPr>
          <w:ilvl w:val="1"/>
          <w:numId w:val="163"/>
        </w:numPr>
        <w:rPr>
          <w:rFonts w:ascii="Arial" w:cs="Arial" w:eastAsia="Arial" w:hAnsi="Arial"/>
          <w:sz w:val="17"/>
          <w:szCs w:val="17"/>
          <w:color w:val="auto"/>
        </w:rPr>
      </w:pPr>
      <w:r>
        <w:rPr>
          <w:rFonts w:ascii="Arial" w:cs="Arial" w:eastAsia="Arial" w:hAnsi="Arial"/>
          <w:sz w:val="17"/>
          <w:szCs w:val="17"/>
          <w:u w:val="single" w:color="auto"/>
          <w:color w:val="auto"/>
        </w:rPr>
        <w:t>Voting</w:t>
      </w:r>
      <w:r>
        <w:rPr>
          <w:rFonts w:ascii="Arial" w:cs="Arial" w:eastAsia="Arial" w:hAnsi="Arial"/>
          <w:sz w:val="17"/>
          <w:szCs w:val="17"/>
          <w:color w:val="auto"/>
        </w:rPr>
        <w:t xml:space="preserve">. The holders of the Common Stock are entitled to one vote for each share of Common Stock held at all meetings of stockholders (and written actions in lieu of meetings);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except as otherwise required by law, holders of Common Stock, as such, shall not be entitled to vote on any amendment to this Amended and Restated Certificate of Incorporation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or pursuant to the General Corporation Law.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85" w:lineRule="exact"/>
        <w:rPr>
          <w:rFonts w:ascii="Arial" w:cs="Arial" w:eastAsia="Arial" w:hAnsi="Arial"/>
          <w:sz w:val="17"/>
          <w:szCs w:val="17"/>
          <w:color w:val="auto"/>
        </w:rPr>
      </w:pPr>
    </w:p>
    <w:p>
      <w:pPr>
        <w:ind w:left="640" w:hanging="204"/>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1" w:lineRule="exact"/>
        <w:rPr>
          <w:sz w:val="20"/>
          <w:szCs w:val="20"/>
          <w:color w:val="auto"/>
        </w:rPr>
      </w:pPr>
    </w:p>
    <w:p>
      <w:pPr>
        <w:ind w:right="140" w:firstLine="440"/>
        <w:spacing w:after="0" w:line="277" w:lineRule="auto"/>
        <w:rPr>
          <w:sz w:val="20"/>
          <w:szCs w:val="20"/>
          <w:color w:val="auto"/>
        </w:rPr>
      </w:pPr>
      <w:r>
        <w:rPr>
          <w:rFonts w:ascii="Arial" w:cs="Arial" w:eastAsia="Arial" w:hAnsi="Arial"/>
          <w:sz w:val="17"/>
          <w:szCs w:val="17"/>
          <w:color w:val="auto"/>
        </w:rPr>
        <w:t>11,237,500 shares of the authorized Preferred Stock of the Corporation are hereby designated “</w:t>
      </w:r>
      <w:r>
        <w:rPr>
          <w:rFonts w:ascii="Arial" w:cs="Arial" w:eastAsia="Arial" w:hAnsi="Arial"/>
          <w:sz w:val="17"/>
          <w:szCs w:val="17"/>
          <w:b w:val="1"/>
          <w:bCs w:val="1"/>
          <w:color w:val="auto"/>
        </w:rPr>
        <w:t>Series A Preferred Stock</w:t>
      </w:r>
      <w:r>
        <w:rPr>
          <w:rFonts w:ascii="Arial" w:cs="Arial" w:eastAsia="Arial" w:hAnsi="Arial"/>
          <w:sz w:val="17"/>
          <w:szCs w:val="17"/>
          <w:color w:val="auto"/>
        </w:rPr>
        <w:t>”, 1,410,434 shares of the authorized Preferred Stock of the Corporation are hereby designated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 4,296,550 shares of the authorized Preferred Stock of the Corporation are hereby designated “</w:t>
      </w:r>
      <w:r>
        <w:rPr>
          <w:rFonts w:ascii="Arial" w:cs="Arial" w:eastAsia="Arial" w:hAnsi="Arial"/>
          <w:sz w:val="17"/>
          <w:szCs w:val="17"/>
          <w:b w:val="1"/>
          <w:bCs w:val="1"/>
          <w:color w:val="auto"/>
        </w:rPr>
        <w:t>Series C Preferred Stock</w:t>
      </w:r>
      <w:r>
        <w:rPr>
          <w:rFonts w:ascii="Arial" w:cs="Arial" w:eastAsia="Arial" w:hAnsi="Arial"/>
          <w:sz w:val="17"/>
          <w:szCs w:val="17"/>
          <w:color w:val="auto"/>
        </w:rPr>
        <w:t>”, each with the following rights, preferences, powers, privileges and restrictions, qualifications and limitations. Unless otherwise indicated, references to “Sections” or “Subsections” in this Part B of this Article Fourth refer to sections and subsections of Part B of this Article Fourth.</w:t>
      </w:r>
    </w:p>
    <w:p>
      <w:pPr>
        <w:spacing w:after="0" w:line="172" w:lineRule="exact"/>
        <w:rPr>
          <w:sz w:val="20"/>
          <w:szCs w:val="20"/>
          <w:color w:val="auto"/>
        </w:rPr>
      </w:pPr>
    </w:p>
    <w:p>
      <w:pPr>
        <w:ind w:firstLine="987"/>
        <w:spacing w:after="0" w:line="288" w:lineRule="auto"/>
        <w:tabs>
          <w:tab w:leader="none" w:pos="1171"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The Corporation shall not declare, pay or set aside any dividends on shares of any other class or series of capital stock of the Corporation (other than dividends on shares of Common Stock payable in shares of Common Stock) unless (in addition to the obtaining of any consents required elsewhere in this Amended and Restated Certificate of Incorporation) the holders of the Preferred Stock then outstanding shall first receive, or simultaneously receive, a dividend on each outstanding share of Preferred Stock in an amount at least equal to (i) in the case of a dividend on Common Stock or any class or series that is convertible into Common Stock, that dividend per share of such series of Preferred Stock as would equal the product of (A) the dividend payable on each share of such class or series determined, if applicable, as if all shares of such class or series had been converted into Common Stock and (B) the number of shares of Common Stock issuable upon conversion of a share of such series of Preferred Stock, in each case calculated on the record date for determination of holders entitled to receive such dividend or (ii) in the case of a dividend on any class or series that is not convertible into Common Stock, at a rate per share of Preferred Stock determined by (A) dividing the amount of the dividend payable on each share of such class or series of capital stock by the original issuance price of such</w:t>
      </w:r>
    </w:p>
    <w:p>
      <w:pPr>
        <w:spacing w:after="0" w:line="100" w:lineRule="exact"/>
        <w:rPr>
          <w:rFonts w:ascii="Arial" w:cs="Arial" w:eastAsia="Arial" w:hAnsi="Arial"/>
          <w:sz w:val="16"/>
          <w:szCs w:val="16"/>
          <w:color w:val="auto"/>
        </w:rPr>
      </w:pPr>
    </w:p>
    <w:p>
      <w:pPr>
        <w:ind w:left="5460" w:hanging="106"/>
        <w:spacing w:after="0"/>
        <w:tabs>
          <w:tab w:leader="none" w:pos="54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960"/>
          </w:cols>
          <w:pgMar w:left="440" w:top="274" w:right="499" w:bottom="1440" w:gutter="0" w:footer="0" w:header="0"/>
        </w:sectPr>
      </w:pPr>
    </w:p>
    <w:bookmarkStart w:id="262" w:name="page263"/>
    <w:bookmarkEnd w:id="26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class or series of capital stock (subject to appropriate adjustment in the event of any stock dividend, stock split, combination or other similar recapitalization with respect to such class or series) and (B) multiplying such fraction by an amount equal to the Applicable Original Issue Price (as defined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Corporation declares, pays or sets aside, on the same date, a dividend on shares of more than one class or series of capital stock of the Corporation, the dividend payable to the holders of Preferred Stock pursuant to this Section 1 shall be calculated based upon the dividend on the class or series of capital stock that would result in the highest dividend to the holders of each series of Preferred Stock. The “</w:t>
      </w:r>
      <w:r>
        <w:rPr>
          <w:rFonts w:ascii="Arial" w:cs="Arial" w:eastAsia="Arial" w:hAnsi="Arial"/>
          <w:sz w:val="17"/>
          <w:szCs w:val="17"/>
          <w:b w:val="1"/>
          <w:bCs w:val="1"/>
          <w:color w:val="auto"/>
        </w:rPr>
        <w:t>Applicable</w:t>
      </w:r>
      <w:r>
        <w:rPr>
          <w:rFonts w:ascii="Arial" w:cs="Arial" w:eastAsia="Arial" w:hAnsi="Arial"/>
          <w:sz w:val="17"/>
          <w:szCs w:val="17"/>
          <w:color w:val="auto"/>
        </w:rPr>
        <w:t xml:space="preserve"> </w:t>
      </w:r>
      <w:r>
        <w:rPr>
          <w:rFonts w:ascii="Arial" w:cs="Arial" w:eastAsia="Arial" w:hAnsi="Arial"/>
          <w:sz w:val="17"/>
          <w:szCs w:val="17"/>
          <w:b w:val="1"/>
          <w:bCs w:val="1"/>
          <w:color w:val="auto"/>
        </w:rPr>
        <w:t>Original Issue Price</w:t>
      </w:r>
      <w:r>
        <w:rPr>
          <w:rFonts w:ascii="Arial" w:cs="Arial" w:eastAsia="Arial" w:hAnsi="Arial"/>
          <w:sz w:val="17"/>
          <w:szCs w:val="17"/>
          <w:color w:val="auto"/>
        </w:rPr>
        <w:t>” means (a) $8.00 per share of Series A Preferred Stock; (b) $56.72 per share of Series B Preferred Stock and (c) $78.08578 per</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Series C Preferred Stock, in each case subject to appropriate adjustment in the event of any stock dividend, stock split, combination or other similar recapitalization with respect to the applicable Preferred Stock.</w:t>
      </w:r>
    </w:p>
    <w:p>
      <w:pPr>
        <w:spacing w:after="0" w:line="178" w:lineRule="exact"/>
        <w:rPr>
          <w:sz w:val="20"/>
          <w:szCs w:val="20"/>
          <w:color w:val="auto"/>
        </w:rPr>
      </w:pPr>
    </w:p>
    <w:p>
      <w:pPr>
        <w:ind w:left="1160" w:hanging="173"/>
        <w:spacing w:after="0"/>
        <w:tabs>
          <w:tab w:leader="none" w:pos="116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xml:space="preserve">. In the event of any voluntary or involuntary liquidation, dissolution or winding up of the Corporation, the holders of shares of Preferred Stock then outstanding,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shall be entitled to be paid out of the assets of the Corporation available for distribution to its stockholders, and in the event of a Deemed Liquidation Event (as defined below), the holders of shares of Preferred Stock then outstanding shall be entitled to be paid,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out of the consideration payable to stockholders in such Deemed Liquidation Event or out of the Available Proceeds (as defined below), as applicable, before any payment shall be made to the holders of Common Stock by reason of their ownership thereof, an amount per share equal to the greater of (i) the Applicable Original Issue Price, plus any dividends declared but unpaid thereon or (ii) such amount per share as would have been payable had all shares of the applicable series of Preferred Stock been converted into Common Stock pursuant to Section 4 immediately prior to such liquidation, dissolution, winding up or Deemed Liquidation Event (the amount payable pursuant to this sentence is hereinafter referred to, for each series of Preferred Stock, as applicable, as the “</w:t>
      </w:r>
      <w:r>
        <w:rPr>
          <w:rFonts w:ascii="Arial" w:cs="Arial" w:eastAsia="Arial" w:hAnsi="Arial"/>
          <w:sz w:val="16"/>
          <w:szCs w:val="16"/>
          <w:b w:val="1"/>
          <w:bCs w:val="1"/>
          <w:color w:val="auto"/>
        </w:rPr>
        <w:t>Applicable Liquidation Amount</w:t>
      </w:r>
      <w:r>
        <w:rPr>
          <w:rFonts w:ascii="Arial" w:cs="Arial" w:eastAsia="Arial" w:hAnsi="Arial"/>
          <w:sz w:val="16"/>
          <w:szCs w:val="16"/>
          <w:color w:val="auto"/>
        </w:rPr>
        <w:t>”). If upon any such liquidation, dissolution or winding up of the Corporation or Deemed Liquidation Event, the assets of the Corporation available for distribution to its stockholders or consideration payable to stockholders, as the case may be, shall be insufficient to pay the holders of shares of Preferred Stock the full amount to which they shall be entitled under this Section 2.1, the holders of shares of Preferred Stock shall share ratably in any distribution of the assets available for distribution or consideration payable to stockholders in proportion to the respective amounts which would otherwise be payable in respect of the shares held by them upon such distribution if all amounts payable on or with respect to such shares were paid in full.</w:t>
      </w:r>
    </w:p>
    <w:p>
      <w:pPr>
        <w:spacing w:after="0" w:line="171" w:lineRule="exact"/>
        <w:rPr>
          <w:sz w:val="20"/>
          <w:szCs w:val="20"/>
          <w:color w:val="auto"/>
        </w:rPr>
      </w:pPr>
    </w:p>
    <w:p>
      <w:pPr>
        <w:ind w:right="120" w:firstLine="991"/>
        <w:spacing w:after="0" w:line="275"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Payments to Holders of Common Stock</w:t>
      </w:r>
      <w:r>
        <w:rPr>
          <w:rFonts w:ascii="Arial" w:cs="Arial" w:eastAsia="Arial" w:hAnsi="Arial"/>
          <w:sz w:val="17"/>
          <w:szCs w:val="17"/>
          <w:color w:val="auto"/>
        </w:rPr>
        <w:t>. In the event of any voluntary or involuntary liquidation, dissolution or winding up of the Corporation, after the payment in full of all Applicable Liquidation Amounts required to be paid to the holders of shares of Preferred Stock, the remaining assets of the Corporation available for distribution to its stockholders or, in the case of a Deemed Liquidation Event, the consideration not payable to the holders of shares of Preferred Stock pursuant to Section 2.1 or the remaining Available Proceeds, as the case may be, shall be distributed among the holders of shares of Common Stock, pro rata based on the number of shares held by each such holder.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000"/>
          </w:cols>
          <w:pgMar w:left="440" w:top="274" w:right="459" w:bottom="1440" w:gutter="0" w:footer="0" w:header="0"/>
        </w:sectPr>
      </w:pPr>
    </w:p>
    <w:bookmarkStart w:id="263" w:name="page264"/>
    <w:bookmarkEnd w:id="263"/>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1" w:lineRule="exact"/>
        <w:rPr>
          <w:sz w:val="20"/>
          <w:szCs w:val="20"/>
          <w:color w:val="auto"/>
        </w:rPr>
      </w:pPr>
    </w:p>
    <w:p>
      <w:pPr>
        <w:ind w:left="4" w:right="60" w:firstLine="1432"/>
        <w:spacing w:after="0" w:line="298"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Definition</w:t>
      </w:r>
      <w:r>
        <w:rPr>
          <w:rFonts w:ascii="Arial" w:cs="Arial" w:eastAsia="Arial" w:hAnsi="Arial"/>
          <w:sz w:val="16"/>
          <w:szCs w:val="16"/>
          <w:color w:val="auto"/>
        </w:rPr>
        <w:t>. Each of the following events shall be considered a “</w:t>
      </w:r>
      <w:r>
        <w:rPr>
          <w:rFonts w:ascii="Arial" w:cs="Arial" w:eastAsia="Arial" w:hAnsi="Arial"/>
          <w:sz w:val="16"/>
          <w:szCs w:val="16"/>
          <w:b w:val="1"/>
          <w:bCs w:val="1"/>
          <w:color w:val="auto"/>
        </w:rPr>
        <w:t>Deemed Liquidation Event</w:t>
      </w:r>
      <w:r>
        <w:rPr>
          <w:rFonts w:ascii="Arial" w:cs="Arial" w:eastAsia="Arial" w:hAnsi="Arial"/>
          <w:sz w:val="16"/>
          <w:szCs w:val="16"/>
          <w:color w:val="auto"/>
        </w:rPr>
        <w:t>” unless (i) the holders of a majority in voting power of the outstanding shares of Preferred Stock (the “</w:t>
      </w:r>
      <w:r>
        <w:rPr>
          <w:rFonts w:ascii="Arial" w:cs="Arial" w:eastAsia="Arial" w:hAnsi="Arial"/>
          <w:sz w:val="16"/>
          <w:szCs w:val="16"/>
          <w:b w:val="1"/>
          <w:bCs w:val="1"/>
          <w:color w:val="auto"/>
        </w:rPr>
        <w:t>Requisite Holders</w:t>
      </w:r>
      <w:r>
        <w:rPr>
          <w:rFonts w:ascii="Arial" w:cs="Arial" w:eastAsia="Arial" w:hAnsi="Arial"/>
          <w:sz w:val="16"/>
          <w:szCs w:val="16"/>
          <w:color w:val="auto"/>
        </w:rPr>
        <w:t>”), (ii) with respect to the Series B Preferred Stock only, the holders of at least 65% of the then outstanding shares of Series B Preferred Stock (the “</w:t>
      </w:r>
      <w:r>
        <w:rPr>
          <w:rFonts w:ascii="Arial" w:cs="Arial" w:eastAsia="Arial" w:hAnsi="Arial"/>
          <w:sz w:val="16"/>
          <w:szCs w:val="16"/>
          <w:b w:val="1"/>
          <w:bCs w:val="1"/>
          <w:color w:val="auto"/>
        </w:rPr>
        <w:t>Requisite Series B Holders</w:t>
      </w:r>
      <w:r>
        <w:rPr>
          <w:rFonts w:ascii="Arial" w:cs="Arial" w:eastAsia="Arial" w:hAnsi="Arial"/>
          <w:sz w:val="16"/>
          <w:szCs w:val="16"/>
          <w:color w:val="auto"/>
        </w:rPr>
        <w:t>”) and (iii) with respect to the Series C Preferred Stock only, the holders of a majority of the then outstanding shares of Series C Preferred Stock (the “</w:t>
      </w:r>
      <w:r>
        <w:rPr>
          <w:rFonts w:ascii="Arial" w:cs="Arial" w:eastAsia="Arial" w:hAnsi="Arial"/>
          <w:sz w:val="16"/>
          <w:szCs w:val="16"/>
          <w:b w:val="1"/>
          <w:bCs w:val="1"/>
          <w:color w:val="auto"/>
        </w:rPr>
        <w:t>Requisite Series C Holders</w:t>
      </w:r>
      <w:r>
        <w:rPr>
          <w:rFonts w:ascii="Arial" w:cs="Arial" w:eastAsia="Arial" w:hAnsi="Arial"/>
          <w:sz w:val="16"/>
          <w:szCs w:val="16"/>
          <w:color w:val="auto"/>
        </w:rPr>
        <w:t>”), elect otherwise by written notice sent to the Corporation at least ten (10) days prior to the effective date of any such event:</w:t>
      </w:r>
    </w:p>
    <w:p>
      <w:pPr>
        <w:spacing w:after="0" w:line="158" w:lineRule="exact"/>
        <w:rPr>
          <w:sz w:val="20"/>
          <w:szCs w:val="20"/>
          <w:color w:val="auto"/>
        </w:rPr>
      </w:pPr>
    </w:p>
    <w:p>
      <w:pPr>
        <w:ind w:left="2224" w:hanging="241"/>
        <w:spacing w:after="0"/>
        <w:tabs>
          <w:tab w:leader="none" w:pos="222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2644" w:hanging="221"/>
        <w:spacing w:after="0"/>
        <w:tabs>
          <w:tab w:leader="none" w:pos="264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left="2684" w:hanging="261"/>
        <w:spacing w:after="0"/>
        <w:tabs>
          <w:tab w:leader="none" w:pos="2684"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 subsidiary of the Corporation is a constituent party and the Corporation issues shares of its capital stock pursuant</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to such merger or consolidation,</w:t>
      </w:r>
    </w:p>
    <w:p>
      <w:pPr>
        <w:spacing w:after="0" w:line="211" w:lineRule="exact"/>
        <w:rPr>
          <w:sz w:val="20"/>
          <w:szCs w:val="20"/>
          <w:color w:val="auto"/>
        </w:rPr>
      </w:pPr>
    </w:p>
    <w:p>
      <w:pPr>
        <w:jc w:val="both"/>
        <w:ind w:left="4" w:right="180"/>
        <w:spacing w:after="0" w:line="287" w:lineRule="auto"/>
        <w:rPr>
          <w:sz w:val="20"/>
          <w:szCs w:val="20"/>
          <w:color w:val="auto"/>
        </w:rPr>
      </w:pPr>
      <w:r>
        <w:rPr>
          <w:rFonts w:ascii="Arial" w:cs="Arial" w:eastAsia="Arial" w:hAnsi="Arial"/>
          <w:sz w:val="16"/>
          <w:szCs w:val="16"/>
          <w:color w:val="auto"/>
        </w:rPr>
        <w:t>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 majority, by voting power, of the capital stock of (1) the surviving or resulting corporation or</w:t>
      </w:r>
    </w:p>
    <w:p>
      <w:pPr>
        <w:spacing w:after="0" w:line="2" w:lineRule="exact"/>
        <w:rPr>
          <w:sz w:val="20"/>
          <w:szCs w:val="20"/>
          <w:color w:val="auto"/>
        </w:rPr>
      </w:pPr>
    </w:p>
    <w:p>
      <w:pPr>
        <w:ind w:left="4" w:right="180" w:hanging="4"/>
        <w:spacing w:after="0" w:line="260"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the surviving or resulting corporation is a wholly owned subsidiary of another corporation immediately following such merger or consolidation, the parent corporation of such surviving or resulting corporation; or</w:t>
      </w:r>
    </w:p>
    <w:p>
      <w:pPr>
        <w:spacing w:after="0" w:line="185" w:lineRule="exact"/>
        <w:rPr>
          <w:rFonts w:ascii="Arial" w:cs="Arial" w:eastAsia="Arial" w:hAnsi="Arial"/>
          <w:sz w:val="18"/>
          <w:szCs w:val="18"/>
          <w:color w:val="auto"/>
        </w:rPr>
      </w:pPr>
    </w:p>
    <w:p>
      <w:pPr>
        <w:jc w:val="both"/>
        <w:ind w:left="4" w:right="80" w:firstLine="1979"/>
        <w:spacing w:after="0" w:line="291" w:lineRule="auto"/>
        <w:tabs>
          <w:tab w:leader="none" w:pos="2242" w:val="left"/>
        </w:tabs>
        <w:numPr>
          <w:ilvl w:val="1"/>
          <w:numId w:val="168"/>
        </w:numPr>
        <w:rPr>
          <w:rFonts w:ascii="Arial" w:cs="Arial" w:eastAsia="Arial" w:hAnsi="Arial"/>
          <w:sz w:val="16"/>
          <w:szCs w:val="16"/>
          <w:color w:val="auto"/>
        </w:rPr>
      </w:pPr>
      <w:r>
        <w:rPr>
          <w:rFonts w:ascii="Arial" w:cs="Arial" w:eastAsia="Arial" w:hAnsi="Arial"/>
          <w:sz w:val="16"/>
          <w:szCs w:val="16"/>
          <w:color w:val="auto"/>
        </w:rPr>
        <w:t>(1) the sale, lease, transfer, exclusive license or other disposition, in a single transaction or series of related transactions, by the Corporation or any subsidiary of the Corporation of all or substantially all the assets of the Corporation and its subsidiaries taken as a whole, or</w:t>
      </w:r>
    </w:p>
    <w:p>
      <w:pPr>
        <w:ind w:left="4" w:right="100" w:hanging="4"/>
        <w:spacing w:after="0" w:line="253" w:lineRule="auto"/>
        <w:tabs>
          <w:tab w:leader="none" w:pos="25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sale or disposition (whether by merger, consolidation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9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4" w:right="100" w:firstLine="1979"/>
        <w:spacing w:after="0" w:line="259" w:lineRule="auto"/>
        <w:tabs>
          <w:tab w:leader="none" w:pos="223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Corporation shall not have the power to effect a Deemed Liquidation Event referred to in </w:t>
      </w:r>
      <w:r>
        <w:rPr>
          <w:rFonts w:ascii="Arial" w:cs="Arial" w:eastAsia="Arial" w:hAnsi="Arial"/>
          <w:sz w:val="18"/>
          <w:szCs w:val="18"/>
          <w:u w:val="single" w:color="auto"/>
          <w:color w:val="auto"/>
        </w:rPr>
        <w:t>Subsection 2.3.1(a)(i)</w:t>
      </w:r>
      <w:r>
        <w:rPr>
          <w:rFonts w:ascii="Arial" w:cs="Arial" w:eastAsia="Arial" w:hAnsi="Arial"/>
          <w:sz w:val="18"/>
          <w:szCs w:val="18"/>
          <w:color w:val="auto"/>
        </w:rPr>
        <w:t xml:space="preserve"> unless the agreement or plan of merger or consolidation for such transaction (the “</w:t>
      </w:r>
      <w:r>
        <w:rPr>
          <w:rFonts w:ascii="Arial" w:cs="Arial" w:eastAsia="Arial" w:hAnsi="Arial"/>
          <w:sz w:val="18"/>
          <w:szCs w:val="18"/>
          <w:b w:val="1"/>
          <w:bCs w:val="1"/>
          <w:color w:val="auto"/>
        </w:rPr>
        <w:t>Merger Agreement</w:t>
      </w:r>
      <w:r>
        <w:rPr>
          <w:rFonts w:ascii="Arial" w:cs="Arial" w:eastAsia="Arial" w:hAnsi="Arial"/>
          <w:sz w:val="18"/>
          <w:szCs w:val="18"/>
          <w:color w:val="auto"/>
        </w:rPr>
        <w:t xml:space="preserve">”) provides that the consideration payable to the stockholders of the Corporation in such Deemed Liquidation Event shall be paid to the holders of capital stock of the Corporation in accordance with </w:t>
      </w:r>
      <w:r>
        <w:rPr>
          <w:rFonts w:ascii="Arial" w:cs="Arial" w:eastAsia="Arial" w:hAnsi="Arial"/>
          <w:sz w:val="18"/>
          <w:szCs w:val="18"/>
          <w:u w:val="single" w:color="auto"/>
          <w:color w:val="auto"/>
        </w:rPr>
        <w:t>Subsections 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2.2</w:t>
      </w:r>
      <w:r>
        <w:rPr>
          <w:rFonts w:ascii="Arial" w:cs="Arial" w:eastAsia="Arial" w:hAnsi="Arial"/>
          <w:sz w:val="18"/>
          <w:szCs w:val="18"/>
          <w:color w:val="auto"/>
        </w:rPr>
        <w:t>.</w:t>
      </w:r>
    </w:p>
    <w:p>
      <w:pPr>
        <w:spacing w:after="0" w:line="119" w:lineRule="exact"/>
        <w:rPr>
          <w:rFonts w:ascii="Arial" w:cs="Arial" w:eastAsia="Arial" w:hAnsi="Arial"/>
          <w:sz w:val="18"/>
          <w:szCs w:val="18"/>
          <w:color w:val="auto"/>
        </w:rPr>
      </w:pPr>
    </w:p>
    <w:p>
      <w:pPr>
        <w:ind w:left="5464" w:hanging="106"/>
        <w:spacing w:after="0"/>
        <w:tabs>
          <w:tab w:leader="none" w:pos="546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44"/>
          </w:cols>
          <w:pgMar w:left="436" w:top="274" w:right="519" w:bottom="1440" w:gutter="0" w:footer="0" w:header="0"/>
        </w:sectPr>
      </w:pPr>
    </w:p>
    <w:bookmarkStart w:id="264" w:name="page265"/>
    <w:bookmarkEnd w:id="264"/>
    <w:p>
      <w:pPr>
        <w:ind w:left="-1000" w:firstLine="1979"/>
        <w:spacing w:after="0" w:line="284" w:lineRule="auto"/>
        <w:tabs>
          <w:tab w:leader="none" w:pos="1238" w:val="left"/>
        </w:tabs>
        <w:numPr>
          <w:ilvl w:val="0"/>
          <w:numId w:val="1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if the Corporation does not effect a dissolution of the Corporation under the General Corporation Law within ninety (90) days after such Deemed Liquidation Event, then (i) the Corporation shall send a written notice to each holder of Preferred Stock no later than the ninetieth (90</w:t>
      </w:r>
      <w:r>
        <w:rPr>
          <w:rFonts w:ascii="Arial" w:cs="Arial" w:eastAsia="Arial" w:hAnsi="Arial"/>
          <w:sz w:val="13"/>
          <w:szCs w:val="13"/>
          <w:color w:val="auto"/>
        </w:rPr>
        <w:t>th</w:t>
      </w:r>
      <w:r>
        <w:rPr>
          <w:rFonts w:ascii="Arial" w:cs="Arial" w:eastAsia="Arial" w:hAnsi="Arial"/>
          <w:sz w:val="16"/>
          <w:szCs w:val="16"/>
          <w:color w:val="auto"/>
        </w:rPr>
        <w:t xml:space="preserve">) day after the Deemed Liquidation Event advising such holders of their right (and the requirements to be met to secure such right) pursuant to the terms of the following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to require the redemption of such shares of Preferred Stock, and (ii) if the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of Directors of the Corporation (the “</w:t>
      </w:r>
      <w:r>
        <w:rPr>
          <w:rFonts w:ascii="Arial" w:cs="Arial" w:eastAsia="Arial" w:hAnsi="Arial"/>
          <w:sz w:val="16"/>
          <w:szCs w:val="16"/>
          <w:b w:val="1"/>
          <w:bCs w:val="1"/>
          <w:color w:val="auto"/>
        </w:rPr>
        <w:t>Board of Directors</w:t>
      </w:r>
      <w:r>
        <w:rPr>
          <w:rFonts w:ascii="Arial" w:cs="Arial" w:eastAsia="Arial" w:hAnsi="Arial"/>
          <w:sz w:val="16"/>
          <w:szCs w:val="16"/>
          <w:color w:val="auto"/>
        </w:rPr>
        <w:t>”)),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color w:val="auto"/>
        </w:rPr>
        <w:t>Available Proceeds</w:t>
      </w:r>
      <w:r>
        <w:rPr>
          <w:rFonts w:ascii="Arial" w:cs="Arial" w:eastAsia="Arial" w:hAnsi="Arial"/>
          <w:sz w:val="16"/>
          <w:szCs w:val="16"/>
          <w:color w:val="auto"/>
        </w:rPr>
        <w:t>”), on the one hundred fiftieth (150</w:t>
      </w:r>
      <w:r>
        <w:rPr>
          <w:rFonts w:ascii="Arial" w:cs="Arial" w:eastAsia="Arial" w:hAnsi="Arial"/>
          <w:sz w:val="13"/>
          <w:szCs w:val="13"/>
          <w:color w:val="auto"/>
        </w:rPr>
        <w:t>th</w:t>
      </w:r>
      <w:r>
        <w:rPr>
          <w:rFonts w:ascii="Arial" w:cs="Arial" w:eastAsia="Arial" w:hAnsi="Arial"/>
          <w:sz w:val="16"/>
          <w:szCs w:val="16"/>
          <w:color w:val="auto"/>
        </w:rPr>
        <w:t>) day after such Deemed Liquidation Event, to redeem all outstanding shares of Preferred Stock at a price per share equal to Applicable Liquidation Amount. Notwithstanding the foregoing, in the event of a redemption pursuant to the preceding sentence, if the Available Proceeds are not sufficient to redeem all outstanding shares of Preferred Stock, the Corporation shall redeem a pro rata portion of each holder’s shares of Preferred Stock to the fullest extent of such Available Proceeds, based on the respective amounts which would otherwise be payable in respect of the shares to be redeemed if the Available Proceeds were sufficient to redeem all such shares, and shall redeem the remaining shares as soon as it may lawfully do so under Delaware law governing distributions to stockholders. The Corporation shall send written notice of the mandatory redemption (the “</w:t>
      </w:r>
      <w:r>
        <w:rPr>
          <w:rFonts w:ascii="Arial" w:cs="Arial" w:eastAsia="Arial" w:hAnsi="Arial"/>
          <w:sz w:val="16"/>
          <w:szCs w:val="16"/>
          <w:b w:val="1"/>
          <w:bCs w:val="1"/>
          <w:color w:val="auto"/>
        </w:rPr>
        <w:t>Redemption</w:t>
      </w:r>
      <w:r>
        <w:rPr>
          <w:rFonts w:ascii="Arial" w:cs="Arial" w:eastAsia="Arial" w:hAnsi="Arial"/>
          <w:sz w:val="16"/>
          <w:szCs w:val="16"/>
          <w:color w:val="auto"/>
        </w:rPr>
        <w:t xml:space="preserve"> </w:t>
      </w:r>
      <w:r>
        <w:rPr>
          <w:rFonts w:ascii="Arial" w:cs="Arial" w:eastAsia="Arial" w:hAnsi="Arial"/>
          <w:sz w:val="16"/>
          <w:szCs w:val="16"/>
          <w:b w:val="1"/>
          <w:bCs w:val="1"/>
          <w:color w:val="auto"/>
        </w:rPr>
        <w:t>Notice</w:t>
      </w:r>
      <w:r>
        <w:rPr>
          <w:rFonts w:ascii="Arial" w:cs="Arial" w:eastAsia="Arial" w:hAnsi="Arial"/>
          <w:sz w:val="16"/>
          <w:szCs w:val="16"/>
          <w:color w:val="auto"/>
        </w:rPr>
        <w:t>”) to each holder of record of Preferred Stock not less than forty (40) days prior to the date of any such redemption (the “</w:t>
      </w:r>
      <w:r>
        <w:rPr>
          <w:rFonts w:ascii="Arial" w:cs="Arial" w:eastAsia="Arial" w:hAnsi="Arial"/>
          <w:sz w:val="16"/>
          <w:szCs w:val="16"/>
          <w:b w:val="1"/>
          <w:bCs w:val="1"/>
          <w:color w:val="auto"/>
        </w:rPr>
        <w:t>Redemption Date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Redemption Notice shall state: (1) the number of shares of each series of Preferred Stock held by the holder that the Corporation shall redeem on the Redemption Date specified in the Redemption Notice; (2) the Redemption Date, the Applicable Liquidation Amount; (3) the date upon which the holder’s right to convert such shares terminates (as determined in accordance with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and (4) for holders of shares in certificated form, that the holder is to surrender to the Corporation, in the manner and at the place designated, his, her or its certificate or certificates representing the shares of Preferred Stock to be redeemed. On or before the Redemption Date, each holder of shares of Preferred Stock to be redeemed on the Redemption Date, unless such holder has exercised his, her or its right to convert such shares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shall, if a holder of shares in certificated form, surrender the certificate or certificates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Applicable Liquidation Amount for such shares shall be payable to the order of the person whose name appears on such certificate or certificates as the owner thereof. In the event less than all of the shares of Preferred Stock represented by a certificate are redeemed, a new certificate, instrument or book entry representing the unredeemed shares of</w:t>
      </w:r>
    </w:p>
    <w:p>
      <w:pPr>
        <w:spacing w:after="0" w:line="100" w:lineRule="exact"/>
        <w:rPr>
          <w:rFonts w:ascii="Arial" w:cs="Arial" w:eastAsia="Arial" w:hAnsi="Arial"/>
          <w:sz w:val="16"/>
          <w:szCs w:val="16"/>
          <w:color w:val="auto"/>
        </w:rPr>
      </w:pPr>
    </w:p>
    <w:p>
      <w:pPr>
        <w:ind w:left="4460" w:hanging="106"/>
        <w:spacing w:after="0"/>
        <w:tabs>
          <w:tab w:leader="none" w:pos="446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000"/>
          </w:cols>
          <w:pgMar w:left="1440" w:top="274" w:right="459" w:bottom="1440" w:gutter="0" w:footer="0" w:header="0"/>
        </w:sectPr>
      </w:pPr>
    </w:p>
    <w:bookmarkStart w:id="265" w:name="page266"/>
    <w:bookmarkEnd w:id="265"/>
    <w:p>
      <w:pPr>
        <w:ind w:right="1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Preferred Stock shall promptly be issued to such holder. If the Redemption Notice shall have been duly given, and if on the Redemption Date the Applicable Liquidation Amount payable upon redemption of the Preferred Stock to be redeemed on the Redemption Date is paid or tendered for payment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of Preferred Stock shall forthwith after the Redemption Date terminate, except only the right of the holders to receive the Applicable Liquidation Amount without interest upon surrender of any such certificate or certificates therefor. Prior to the distribution or redemption provided for in this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2.3.2(b)</w:t>
      </w:r>
      <w:r>
        <w:rPr>
          <w:rFonts w:ascii="Arial" w:cs="Arial" w:eastAsia="Arial" w:hAnsi="Arial"/>
          <w:sz w:val="17"/>
          <w:szCs w:val="17"/>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78" w:lineRule="exact"/>
        <w:rPr>
          <w:sz w:val="20"/>
          <w:szCs w:val="20"/>
          <w:color w:val="auto"/>
        </w:rPr>
      </w:pPr>
    </w:p>
    <w:p>
      <w:pPr>
        <w:ind w:right="60" w:firstLine="1432"/>
        <w:spacing w:after="0" w:line="301"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Amount Deemed Paid or Distributed</w:t>
      </w:r>
      <w:r>
        <w:rPr>
          <w:rFonts w:ascii="Arial" w:cs="Arial" w:eastAsia="Arial" w:hAnsi="Arial"/>
          <w:sz w:val="16"/>
          <w:szCs w:val="16"/>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to be paid or distributed to such holders pursuant to such Deemed Liquidation Event. The value of such property, rights or securities shall be determined in good faith by the Board of Directors, including the approval of a majority of the Series A Directors (as defined below).</w:t>
      </w:r>
    </w:p>
    <w:p>
      <w:pPr>
        <w:spacing w:after="0" w:line="157" w:lineRule="exact"/>
        <w:rPr>
          <w:sz w:val="20"/>
          <w:szCs w:val="20"/>
          <w:color w:val="auto"/>
        </w:rPr>
      </w:pPr>
    </w:p>
    <w:p>
      <w:pPr>
        <w:ind w:left="1420"/>
        <w:spacing w:after="0"/>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Allocation of Escrow and Contingent Consideration</w:t>
      </w:r>
      <w:r>
        <w:rPr>
          <w:rFonts w:ascii="Arial" w:cs="Arial" w:eastAsia="Arial" w:hAnsi="Arial"/>
          <w:sz w:val="17"/>
          <w:szCs w:val="17"/>
          <w:color w:val="auto"/>
        </w:rPr>
        <w:t xml:space="preserve">. In the event of a Deemed Liquidation Event pursuant to </w:t>
      </w:r>
      <w:r>
        <w:rPr>
          <w:rFonts w:ascii="Arial" w:cs="Arial" w:eastAsia="Arial" w:hAnsi="Arial"/>
          <w:sz w:val="17"/>
          <w:szCs w:val="17"/>
          <w:u w:val="single" w:color="auto"/>
          <w:color w:val="auto"/>
        </w:rPr>
        <w:t>Subsection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2.3.1(a)(i)</w:t>
      </w:r>
      <w:r>
        <w:rPr>
          <w:rFonts w:ascii="Arial" w:cs="Arial" w:eastAsia="Arial" w:hAnsi="Arial"/>
          <w:sz w:val="17"/>
          <w:szCs w:val="17"/>
          <w:color w:val="auto"/>
        </w:rPr>
        <w:t>, if any portion of the consideration payable to the stockholders of the Corporation is payable only upon satisfaction of contingencies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Consideration</w:t>
      </w:r>
      <w:r>
        <w:rPr>
          <w:rFonts w:ascii="Arial" w:cs="Arial" w:eastAsia="Arial" w:hAnsi="Arial"/>
          <w:sz w:val="16"/>
          <w:szCs w:val="16"/>
          <w:color w:val="auto"/>
        </w:rPr>
        <w:t>”), the Merger Agreement shall provide that (a) the portion of such consideration that is not Additional Consideration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the “</w:t>
      </w:r>
      <w:r>
        <w:rPr>
          <w:rFonts w:ascii="Arial" w:cs="Arial" w:eastAsia="Arial" w:hAnsi="Arial"/>
          <w:sz w:val="16"/>
          <w:szCs w:val="16"/>
          <w:b w:val="1"/>
          <w:b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2.2</w:t>
      </w:r>
      <w:r>
        <w:rPr>
          <w:rFonts w:ascii="Arial" w:cs="Arial" w:eastAsia="Arial" w:hAnsi="Arial"/>
          <w:sz w:val="17"/>
          <w:szCs w:val="17"/>
          <w:color w:val="auto"/>
        </w:rPr>
        <w:t xml:space="preserve"> as if the Initial Consideration were the only consideration payable in connection with such Deemed Liquidation Event; and (b) any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Consideration which becomes payable to the stockholders of the Corporation upon satisfaction of such contingencies shall be allocated among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holders of capital stock of the Corporation in accordance with </w:t>
      </w:r>
      <w:r>
        <w:rPr>
          <w:rFonts w:ascii="Arial" w:cs="Arial" w:eastAsia="Arial" w:hAnsi="Arial"/>
          <w:sz w:val="17"/>
          <w:szCs w:val="17"/>
          <w:u w:val="single" w:color="auto"/>
          <w:color w:val="auto"/>
        </w:rPr>
        <w:t>Subsections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w:t>
      </w:r>
      <w:r>
        <w:rPr>
          <w:rFonts w:ascii="Arial" w:cs="Arial" w:eastAsia="Arial" w:hAnsi="Arial"/>
          <w:sz w:val="17"/>
          <w:szCs w:val="17"/>
          <w:color w:val="auto"/>
        </w:rPr>
        <w:t xml:space="preserve"> after taking into account the previous payment of the Initial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Consideration as part of the same transaction.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a holdback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for satisfaction of indemnification or similar obligations in connection with such Deemed Liquidation Event shall be deemed to be Additional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Consideration.</w:t>
      </w:r>
    </w:p>
    <w:p>
      <w:pPr>
        <w:spacing w:after="0" w:line="211" w:lineRule="exact"/>
        <w:rPr>
          <w:sz w:val="20"/>
          <w:szCs w:val="20"/>
          <w:color w:val="auto"/>
        </w:rPr>
      </w:pPr>
    </w:p>
    <w:p>
      <w:pPr>
        <w:ind w:left="1160" w:hanging="173"/>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General</w:t>
      </w:r>
      <w:r>
        <w:rPr>
          <w:rFonts w:ascii="Arial" w:cs="Arial" w:eastAsia="Arial" w:hAnsi="Arial"/>
          <w:sz w:val="18"/>
          <w:szCs w:val="18"/>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this Amended and Restated Certificate of Incorporation, holders of Preferred Stock shall vote together with the holders of Common Stock as a single class and on an as-converted to Common Stock basis.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00"/>
          </w:cols>
          <w:pgMar w:left="440" w:top="274" w:right="459" w:bottom="1440" w:gutter="0" w:footer="0" w:header="0"/>
        </w:sectPr>
      </w:pPr>
    </w:p>
    <w:bookmarkStart w:id="266" w:name="page267"/>
    <w:bookmarkEnd w:id="266"/>
    <w:p>
      <w:pPr>
        <w:ind w:firstLine="99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Arial" w:cs="Arial" w:eastAsia="Arial" w:hAnsi="Arial"/>
          <w:sz w:val="16"/>
          <w:szCs w:val="16"/>
          <w:u w:val="single" w:color="auto"/>
          <w:color w:val="auto"/>
        </w:rPr>
        <w:t>Election of Directors</w:t>
      </w:r>
      <w:r>
        <w:rPr>
          <w:rFonts w:ascii="Arial" w:cs="Arial" w:eastAsia="Arial" w:hAnsi="Arial"/>
          <w:sz w:val="16"/>
          <w:szCs w:val="16"/>
          <w:color w:val="auto"/>
        </w:rPr>
        <w:t>. The holders of record of the shares of Series A Preferred Stock, exclusively and as a separate class, shall be entitled to elect four (4) directors of the Corporation (the “</w:t>
      </w:r>
      <w:r>
        <w:rPr>
          <w:rFonts w:ascii="Arial" w:cs="Arial" w:eastAsia="Arial" w:hAnsi="Arial"/>
          <w:sz w:val="16"/>
          <w:szCs w:val="16"/>
          <w:b w:val="1"/>
          <w:bCs w:val="1"/>
          <w:color w:val="auto"/>
        </w:rPr>
        <w:t>Series A Directors</w:t>
      </w:r>
      <w:r>
        <w:rPr>
          <w:rFonts w:ascii="Arial" w:cs="Arial" w:eastAsia="Arial" w:hAnsi="Arial"/>
          <w:sz w:val="16"/>
          <w:szCs w:val="16"/>
          <w:color w:val="auto"/>
        </w:rPr>
        <w:t xml:space="preserve">”). Any director elected as provided in the preceding sentence may be removed without cause by, and only by, the affirmative vote of the holders of shares of Series A Preferred Stock, given either at a special meeting of such stockholders duly called for that purpose or pursuant to a written consent of stockholders. If the holders of shares of Series A Preferred Stock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A Preferred Stock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The rights of the holders of the Series A Preferred Stock under the first sentence of this Subsection 3.2 shall terminate on the first date on which there are issued and outstanding less than 2,250,000 shares of Series A Preferred Stock (subject to appropriate adjustment in the event of any stock dividend, stock split, combination, or other similar recapitalization with respect to the Series A Preferred Stock).</w:t>
      </w:r>
    </w:p>
    <w:p>
      <w:pPr>
        <w:spacing w:after="0" w:line="174" w:lineRule="exact"/>
        <w:rPr>
          <w:sz w:val="20"/>
          <w:szCs w:val="20"/>
          <w:color w:val="auto"/>
        </w:rPr>
      </w:pPr>
    </w:p>
    <w:p>
      <w:pPr>
        <w:ind w:right="20" w:firstLine="991"/>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Preferred Stock Protective Provisions</w:t>
      </w:r>
      <w:r>
        <w:rPr>
          <w:rFonts w:ascii="Arial" w:cs="Arial" w:eastAsia="Arial" w:hAnsi="Arial"/>
          <w:sz w:val="16"/>
          <w:szCs w:val="16"/>
          <w:color w:val="auto"/>
        </w:rPr>
        <w:t xml:space="preserve">. At any time when at least 2,250,000 shares of Series A Preferred Stock, 300,000 shares of Series B Preferred Stock or 850,000 shares of Series C Preferred Stock (in each case, subject to appropriate adjustment in the event of any stock dividend, stock split, combination or other similar recapitalization with respect to such Preferred Stock) are outstanding, the Corporation shall not, either directly or indirectly by amendment, merger, consolidation, recapitalization, reclassification, or otherwise, do any of the following without (in addition to any other vote required by law or this Amended and Restated Certificate of Incorporation or the Bylaws of the Corporation) the written consent or affirmative vote of the Requisite Holders given in writing or by vote at a meeting, consenting or voting (as the case may be) together as a single class, and any such act or transaction entered into without such consent or vote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and of no force or effect:</w:t>
      </w:r>
    </w:p>
    <w:p>
      <w:pPr>
        <w:spacing w:after="0" w:line="166" w:lineRule="exact"/>
        <w:rPr>
          <w:sz w:val="20"/>
          <w:szCs w:val="20"/>
          <w:color w:val="auto"/>
        </w:rPr>
      </w:pPr>
    </w:p>
    <w:p>
      <w:pPr>
        <w:ind w:right="440" w:firstLine="1432"/>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4" w:right="459" w:bottom="1440" w:gutter="0" w:footer="0" w:header="0"/>
        </w:sectPr>
      </w:pPr>
    </w:p>
    <w:bookmarkStart w:id="267" w:name="page268"/>
    <w:bookmarkEnd w:id="267"/>
    <w:p>
      <w:pPr>
        <w:ind w:left="14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3.3.2 amend, alter or repeal any provision of this Amended and Restated Certificate of Incorporation or Bylaws of the Corporation;</w:t>
      </w:r>
    </w:p>
    <w:p>
      <w:pPr>
        <w:spacing w:after="0" w:line="248" w:lineRule="exact"/>
        <w:rPr>
          <w:sz w:val="20"/>
          <w:szCs w:val="20"/>
          <w:color w:val="auto"/>
        </w:rPr>
      </w:pPr>
    </w:p>
    <w:p>
      <w:pPr>
        <w:jc w:val="both"/>
        <w:ind w:left="4" w:right="140" w:firstLine="1432"/>
        <w:spacing w:after="0" w:line="263" w:lineRule="auto"/>
        <w:rPr>
          <w:sz w:val="20"/>
          <w:szCs w:val="20"/>
          <w:color w:val="auto"/>
        </w:rPr>
      </w:pPr>
      <w:r>
        <w:rPr>
          <w:rFonts w:ascii="Arial" w:cs="Arial" w:eastAsia="Arial" w:hAnsi="Arial"/>
          <w:sz w:val="18"/>
          <w:szCs w:val="18"/>
          <w:color w:val="auto"/>
        </w:rPr>
        <w:t>3.3.3 create, or authorize the creation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84" w:lineRule="exact"/>
        <w:rPr>
          <w:sz w:val="20"/>
          <w:szCs w:val="20"/>
          <w:color w:val="auto"/>
        </w:rPr>
      </w:pPr>
    </w:p>
    <w:p>
      <w:pPr>
        <w:ind w:left="4" w:right="160" w:firstLine="1432"/>
        <w:spacing w:after="0" w:line="263" w:lineRule="auto"/>
        <w:rPr>
          <w:sz w:val="20"/>
          <w:szCs w:val="20"/>
          <w:color w:val="auto"/>
        </w:rPr>
      </w:pPr>
      <w:r>
        <w:rPr>
          <w:rFonts w:ascii="Arial" w:cs="Arial" w:eastAsia="Arial" w:hAnsi="Arial"/>
          <w:sz w:val="18"/>
          <w:szCs w:val="18"/>
          <w:color w:val="auto"/>
        </w:rPr>
        <w:t>3.3.4 cause or permit the Corporation or any of its subsidiaries to sell, issue, sponsor, create or distribute any digital tokens, cryptocurrency or other blockchain-based assets (collectively, “</w:t>
      </w:r>
      <w:r>
        <w:rPr>
          <w:rFonts w:ascii="Arial" w:cs="Arial" w:eastAsia="Arial" w:hAnsi="Arial"/>
          <w:sz w:val="18"/>
          <w:szCs w:val="18"/>
          <w:b w:val="1"/>
          <w:bCs w:val="1"/>
          <w:color w:val="auto"/>
        </w:rPr>
        <w:t>Tokens</w:t>
      </w:r>
      <w:r>
        <w:rPr>
          <w:rFonts w:ascii="Arial" w:cs="Arial" w:eastAsia="Arial" w:hAnsi="Arial"/>
          <w:sz w:val="18"/>
          <w:szCs w:val="18"/>
          <w:color w:val="auto"/>
        </w:rPr>
        <w:t>”), including through a pre-sale, initial coin offering, token distribution event or crowdfunding, or through the issuance of any instrument convertible into or exchangeable for Tokens;</w:t>
      </w:r>
    </w:p>
    <w:p>
      <w:pPr>
        <w:spacing w:after="0" w:line="184" w:lineRule="exact"/>
        <w:rPr>
          <w:sz w:val="20"/>
          <w:szCs w:val="20"/>
          <w:color w:val="auto"/>
        </w:rPr>
      </w:pPr>
    </w:p>
    <w:p>
      <w:pPr>
        <w:ind w:left="4" w:right="180" w:firstLine="1432"/>
        <w:spacing w:after="0" w:line="259" w:lineRule="auto"/>
        <w:rPr>
          <w:sz w:val="20"/>
          <w:szCs w:val="20"/>
          <w:color w:val="auto"/>
        </w:rPr>
      </w:pPr>
      <w:r>
        <w:rPr>
          <w:rFonts w:ascii="Arial" w:cs="Arial" w:eastAsia="Arial" w:hAnsi="Arial"/>
          <w:sz w:val="18"/>
          <w:szCs w:val="18"/>
          <w:color w:val="auto"/>
        </w:rPr>
        <w:t>3.3.5 reclassify, alter or amend any existing security of the Corporation that is junior to the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the Preferred Stock in respect of any such right, preference or privilege;</w:t>
      </w:r>
    </w:p>
    <w:p>
      <w:pPr>
        <w:spacing w:after="0" w:line="187" w:lineRule="exact"/>
        <w:rPr>
          <w:sz w:val="20"/>
          <w:szCs w:val="20"/>
          <w:color w:val="auto"/>
        </w:rPr>
      </w:pPr>
    </w:p>
    <w:p>
      <w:pPr>
        <w:ind w:left="4" w:right="160" w:firstLine="1432"/>
        <w:spacing w:after="0" w:line="287" w:lineRule="auto"/>
        <w:rPr>
          <w:sz w:val="20"/>
          <w:szCs w:val="20"/>
          <w:color w:val="auto"/>
        </w:rPr>
      </w:pPr>
      <w:r>
        <w:rPr>
          <w:rFonts w:ascii="Arial" w:cs="Arial" w:eastAsia="Arial" w:hAnsi="Arial"/>
          <w:sz w:val="16"/>
          <w:szCs w:val="16"/>
          <w:color w:val="auto"/>
        </w:rPr>
        <w:t>3.3.6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dividends or other distributions payable on the Common Stock solely in the form of additional shares of Common Stock,</w:t>
      </w:r>
    </w:p>
    <w:p>
      <w:pPr>
        <w:spacing w:after="0" w:line="2" w:lineRule="exact"/>
        <w:rPr>
          <w:sz w:val="20"/>
          <w:szCs w:val="20"/>
          <w:color w:val="auto"/>
        </w:rPr>
      </w:pPr>
    </w:p>
    <w:p>
      <w:pPr>
        <w:ind w:left="324" w:hanging="324"/>
        <w:spacing w:after="0"/>
        <w:tabs>
          <w:tab w:leader="none" w:pos="324" w:val="left"/>
        </w:tabs>
        <w:numPr>
          <w:ilvl w:val="0"/>
          <w:numId w:val="173"/>
        </w:numPr>
        <w:rPr>
          <w:rFonts w:ascii="Arial" w:cs="Arial" w:eastAsia="Arial" w:hAnsi="Arial"/>
          <w:sz w:val="16"/>
          <w:szCs w:val="16"/>
          <w:color w:val="auto"/>
        </w:rPr>
      </w:pPr>
      <w:r>
        <w:rPr>
          <w:rFonts w:ascii="Arial" w:cs="Arial" w:eastAsia="Arial" w:hAnsi="Arial"/>
          <w:sz w:val="16"/>
          <w:szCs w:val="16"/>
          <w:color w:val="auto"/>
        </w:rPr>
        <w:t>repurchases of stock from former employees, officers, directors, consultants or other persons who performed services for the Corporation or any</w:t>
      </w:r>
    </w:p>
    <w:p>
      <w:pPr>
        <w:spacing w:after="0" w:line="32" w:lineRule="exact"/>
        <w:rPr>
          <w:rFonts w:ascii="Arial" w:cs="Arial" w:eastAsia="Arial" w:hAnsi="Arial"/>
          <w:sz w:val="16"/>
          <w:szCs w:val="16"/>
          <w:color w:val="auto"/>
        </w:rPr>
      </w:pPr>
    </w:p>
    <w:p>
      <w:pPr>
        <w:ind w:left="4"/>
        <w:spacing w:after="0" w:line="260" w:lineRule="auto"/>
        <w:rPr>
          <w:rFonts w:ascii="Arial" w:cs="Arial" w:eastAsia="Arial" w:hAnsi="Arial"/>
          <w:sz w:val="16"/>
          <w:szCs w:val="16"/>
          <w:color w:val="auto"/>
        </w:rPr>
      </w:pPr>
      <w:r>
        <w:rPr>
          <w:rFonts w:ascii="Arial" w:cs="Arial" w:eastAsia="Arial" w:hAnsi="Arial"/>
          <w:sz w:val="18"/>
          <w:szCs w:val="18"/>
          <w:color w:val="auto"/>
        </w:rPr>
        <w:t>subsidiary in connection with the cessation of such employment or service at no greater than the original purchase price or (iv) as approved by the Board of Directors;</w:t>
      </w:r>
    </w:p>
    <w:p>
      <w:pPr>
        <w:spacing w:after="0" w:line="185" w:lineRule="exact"/>
        <w:rPr>
          <w:sz w:val="20"/>
          <w:szCs w:val="20"/>
          <w:color w:val="auto"/>
        </w:rPr>
      </w:pPr>
    </w:p>
    <w:p>
      <w:pPr>
        <w:ind w:left="4" w:right="40" w:firstLine="1432"/>
        <w:spacing w:after="0" w:line="293" w:lineRule="auto"/>
        <w:rPr>
          <w:sz w:val="20"/>
          <w:szCs w:val="20"/>
          <w:color w:val="auto"/>
        </w:rPr>
      </w:pPr>
      <w:r>
        <w:rPr>
          <w:rFonts w:ascii="Arial" w:cs="Arial" w:eastAsia="Arial" w:hAnsi="Arial"/>
          <w:sz w:val="16"/>
          <w:szCs w:val="16"/>
          <w:color w:val="auto"/>
        </w:rPr>
        <w:t>3.3.7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the Corporation and its subsidiaries for borrowed money following such action would exceed $500,000 other than equipment leases, bank lines of credit or trade payables incurred in the ordinary course;</w:t>
      </w:r>
    </w:p>
    <w:p>
      <w:pPr>
        <w:spacing w:after="0" w:line="164" w:lineRule="exact"/>
        <w:rPr>
          <w:sz w:val="20"/>
          <w:szCs w:val="20"/>
          <w:color w:val="auto"/>
        </w:rPr>
      </w:pPr>
    </w:p>
    <w:p>
      <w:pPr>
        <w:ind w:left="4" w:right="60" w:firstLine="1432"/>
        <w:spacing w:after="0" w:line="257" w:lineRule="auto"/>
        <w:rPr>
          <w:sz w:val="20"/>
          <w:szCs w:val="20"/>
          <w:color w:val="auto"/>
        </w:rPr>
      </w:pPr>
      <w:r>
        <w:rPr>
          <w:rFonts w:ascii="Arial" w:cs="Arial" w:eastAsia="Arial" w:hAnsi="Arial"/>
          <w:sz w:val="18"/>
          <w:szCs w:val="18"/>
          <w:color w:val="auto"/>
        </w:rPr>
        <w:t>3.3.8 create, or hold capital stock in, any subsidiary that is not wholly owned (either directly or through one (1) or more other subsidiaries) by the Corporation, or permit any subsidiary to create, or authorize the creation of, or issue or obligate itself to issue, any shares of any class or series 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04"/>
          </w:cols>
          <w:pgMar w:left="436" w:top="274" w:right="459" w:bottom="1440" w:gutter="0" w:footer="0" w:header="0"/>
        </w:sectPr>
      </w:pPr>
    </w:p>
    <w:bookmarkStart w:id="268" w:name="page269"/>
    <w:bookmarkEnd w:id="268"/>
    <w:p>
      <w:pPr>
        <w:ind w:right="260" w:firstLine="1432"/>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3.3.9 effect any acquisition of the capital stock of another entity which results in the consolidation of that entity into the results of operations of the Corporation or acquisition or all or substantially all of the assets of another entity.</w:t>
      </w:r>
    </w:p>
    <w:p>
      <w:pPr>
        <w:spacing w:after="0" w:line="170" w:lineRule="exact"/>
        <w:rPr>
          <w:sz w:val="20"/>
          <w:szCs w:val="20"/>
          <w:color w:val="auto"/>
        </w:rPr>
      </w:pPr>
    </w:p>
    <w:p>
      <w:pPr>
        <w:ind w:left="1160" w:hanging="173"/>
        <w:spacing w:after="0"/>
        <w:tabs>
          <w:tab w:leader="none" w:pos="116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color w:val="auto"/>
        </w:rPr>
        <w:t>Conversion Rights</w:t>
      </w:r>
      <w:r>
        <w:rPr>
          <w:rFonts w:ascii="Arial" w:cs="Arial" w:eastAsia="Arial" w:hAnsi="Arial"/>
          <w:sz w:val="18"/>
          <w:szCs w:val="18"/>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right="40" w:firstLine="1432"/>
        <w:spacing w:after="0" w:line="273"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Ratios</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Applicable Original Issue Price by the Applicable Conversion Price (as defined below) in effect at the time of conversion. “</w:t>
      </w:r>
      <w:r>
        <w:rPr>
          <w:rFonts w:ascii="Arial" w:cs="Arial" w:eastAsia="Arial" w:hAnsi="Arial"/>
          <w:sz w:val="17"/>
          <w:szCs w:val="17"/>
          <w:b w:val="1"/>
          <w:bCs w:val="1"/>
          <w:color w:val="auto"/>
        </w:rPr>
        <w:t>Applicable Conversion Price</w:t>
      </w:r>
      <w:r>
        <w:rPr>
          <w:rFonts w:ascii="Arial" w:cs="Arial" w:eastAsia="Arial" w:hAnsi="Arial"/>
          <w:sz w:val="17"/>
          <w:szCs w:val="17"/>
          <w:color w:val="auto"/>
        </w:rPr>
        <w:t xml:space="preserve">” shall mean, in the case of the Series A Preferred Stock, a per share amount initially equal to $8.00, in the case of the Series B Preferred Stock, a per share amount initially equal to $56.72 and in the case of the Series C Preferred Stock, a per share amount initially equal to $78.08578, in each case subject to adjustment as provided in this </w:t>
      </w:r>
      <w:r>
        <w:rPr>
          <w:rFonts w:ascii="Arial" w:cs="Arial" w:eastAsia="Arial" w:hAnsi="Arial"/>
          <w:sz w:val="17"/>
          <w:szCs w:val="17"/>
          <w:u w:val="single" w:color="auto"/>
          <w:color w:val="auto"/>
        </w:rPr>
        <w:t>Section 4</w:t>
      </w:r>
      <w:r>
        <w:rPr>
          <w:rFonts w:ascii="Arial" w:cs="Arial" w:eastAsia="Arial" w:hAnsi="Arial"/>
          <w:sz w:val="17"/>
          <w:szCs w:val="17"/>
          <w:color w:val="auto"/>
        </w:rPr>
        <w:t>.</w:t>
      </w:r>
    </w:p>
    <w:p>
      <w:pPr>
        <w:spacing w:after="0" w:line="178" w:lineRule="exact"/>
        <w:rPr>
          <w:sz w:val="20"/>
          <w:szCs w:val="20"/>
          <w:color w:val="auto"/>
        </w:rPr>
      </w:pPr>
    </w:p>
    <w:p>
      <w:pPr>
        <w:ind w:firstLine="1432"/>
        <w:spacing w:after="0" w:line="255"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xml:space="preserve">. In the event of a notice of redemption of any shares of Preferred Stock pursuant to </w:t>
      </w:r>
      <w:r>
        <w:rPr>
          <w:rFonts w:ascii="Arial" w:cs="Arial" w:eastAsia="Arial" w:hAnsi="Arial"/>
          <w:sz w:val="18"/>
          <w:szCs w:val="18"/>
          <w:u w:val="single" w:color="auto"/>
          <w:color w:val="auto"/>
        </w:rPr>
        <w:t>Subsection 2.3.2(b)</w:t>
      </w:r>
      <w:r>
        <w:rPr>
          <w:rFonts w:ascii="Arial" w:cs="Arial" w:eastAsia="Arial" w:hAnsi="Arial"/>
          <w:sz w:val="18"/>
          <w:szCs w:val="18"/>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92" w:lineRule="exact"/>
        <w:rPr>
          <w:sz w:val="20"/>
          <w:szCs w:val="20"/>
          <w:color w:val="auto"/>
        </w:rPr>
      </w:pPr>
    </w:p>
    <w:p>
      <w:pPr>
        <w:ind w:right="40" w:firstLine="991"/>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of Directors.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000"/>
          </w:cols>
          <w:pgMar w:left="440" w:top="274" w:right="459" w:bottom="1440" w:gutter="0" w:footer="0" w:header="0"/>
        </w:sectPr>
      </w:pPr>
    </w:p>
    <w:bookmarkStart w:id="269" w:name="page270"/>
    <w:bookmarkEnd w:id="2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60" w:firstLine="1432"/>
        <w:spacing w:after="0" w:line="284"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xml:space="preserve">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(x) in the event such shares are certificated,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and (y) in the event such shares are uncertificated, a notice of issuance of uncertificated shares and may, upon written request, issue and deliver a certificate for the number of full shares of Common Stock issuable upon such conversion in accordance with the provisions hereof and may, if applicable and upon written request, issue and deliver a certificate for the number (if any) of shares of Preferred Stock represented by any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8" w:lineRule="exact"/>
        <w:rPr>
          <w:sz w:val="20"/>
          <w:szCs w:val="20"/>
          <w:color w:val="auto"/>
        </w:rPr>
      </w:pPr>
    </w:p>
    <w:p>
      <w:pPr>
        <w:ind w:firstLine="1432"/>
        <w:spacing w:after="0" w:line="288"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this Amended and Restated Certificate of Incorporation.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00"/>
          </w:cols>
          <w:pgMar w:left="440" w:top="274" w:right="459" w:bottom="1440" w:gutter="0" w:footer="0" w:header="0"/>
        </w:sectPr>
      </w:pPr>
    </w:p>
    <w:bookmarkStart w:id="270" w:name="page271"/>
    <w:bookmarkEnd w:id="270"/>
    <w:p>
      <w:pPr>
        <w:ind w:firstLine="1432"/>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such series of Preferred Stock accordingly.</w:t>
      </w:r>
    </w:p>
    <w:p>
      <w:pPr>
        <w:spacing w:after="0" w:line="195" w:lineRule="exact"/>
        <w:rPr>
          <w:sz w:val="20"/>
          <w:szCs w:val="20"/>
          <w:color w:val="auto"/>
        </w:rPr>
      </w:pPr>
    </w:p>
    <w:p>
      <w:pPr>
        <w:ind w:right="220" w:firstLine="1432"/>
        <w:spacing w:after="0" w:line="308"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46" w:lineRule="exact"/>
        <w:rPr>
          <w:sz w:val="20"/>
          <w:szCs w:val="20"/>
          <w:color w:val="auto"/>
        </w:rPr>
      </w:pPr>
    </w:p>
    <w:p>
      <w:pPr>
        <w:ind w:right="160" w:firstLine="1432"/>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Conversion Price for Diluting Issues</w:t>
      </w:r>
      <w:r>
        <w:rPr>
          <w:rFonts w:ascii="Arial" w:cs="Arial" w:eastAsia="Arial" w:hAnsi="Arial"/>
          <w:sz w:val="18"/>
          <w:szCs w:val="18"/>
          <w:color w:val="auto"/>
        </w:rPr>
        <w:t>.</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Fourth, the following definitions shall apply:</w:t>
      </w:r>
    </w:p>
    <w:p>
      <w:pPr>
        <w:spacing w:after="0" w:line="113"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07" w:lineRule="exact"/>
        <w:rPr>
          <w:sz w:val="20"/>
          <w:szCs w:val="20"/>
          <w:color w:val="auto"/>
        </w:rPr>
      </w:pPr>
    </w:p>
    <w:p>
      <w:pPr>
        <w:ind w:left="2240" w:hanging="261"/>
        <w:spacing w:after="0"/>
        <w:tabs>
          <w:tab w:leader="none" w:pos="22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shall mean the date on which the first share of Series C Preferred Stock was issued.</w:t>
      </w:r>
    </w:p>
    <w:p>
      <w:pPr>
        <w:spacing w:after="0" w:line="225" w:lineRule="exact"/>
        <w:rPr>
          <w:rFonts w:ascii="Arial" w:cs="Arial" w:eastAsia="Arial" w:hAnsi="Arial"/>
          <w:sz w:val="18"/>
          <w:szCs w:val="18"/>
          <w:color w:val="auto"/>
        </w:rPr>
      </w:pPr>
    </w:p>
    <w:p>
      <w:pPr>
        <w:ind w:right="460" w:firstLine="1979"/>
        <w:spacing w:after="0" w:line="282" w:lineRule="auto"/>
        <w:tabs>
          <w:tab w:leader="none" w:pos="2227"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61" w:lineRule="exact"/>
        <w:rPr>
          <w:rFonts w:ascii="Arial" w:cs="Arial" w:eastAsia="Arial" w:hAnsi="Arial"/>
          <w:sz w:val="18"/>
          <w:szCs w:val="18"/>
          <w:color w:val="auto"/>
        </w:rPr>
      </w:pPr>
    </w:p>
    <w:p>
      <w:pPr>
        <w:ind w:right="20" w:firstLine="1979"/>
        <w:spacing w:after="0" w:line="314" w:lineRule="auto"/>
        <w:tabs>
          <w:tab w:leader="none" w:pos="2238" w:val="left"/>
        </w:tabs>
        <w:numPr>
          <w:ilvl w:val="0"/>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Original Issue Date, other than (1) the following shares of Common Stock and (2) shares of Common Stock deemed issued pursuant to the following Options and Convertible Securities (clauses (1) and (2), collectively, “</w:t>
      </w:r>
      <w:r>
        <w:rPr>
          <w:rFonts w:ascii="Arial" w:cs="Arial" w:eastAsia="Arial" w:hAnsi="Arial"/>
          <w:sz w:val="16"/>
          <w:szCs w:val="16"/>
          <w:b w:val="1"/>
          <w:bCs w:val="1"/>
          <w:color w:val="auto"/>
        </w:rPr>
        <w:t>Exempted Securities</w:t>
      </w:r>
      <w:r>
        <w:rPr>
          <w:rFonts w:ascii="Arial" w:cs="Arial" w:eastAsia="Arial" w:hAnsi="Arial"/>
          <w:sz w:val="16"/>
          <w:szCs w:val="16"/>
          <w:color w:val="auto"/>
        </w:rPr>
        <w:t>”):</w:t>
      </w:r>
    </w:p>
    <w:p>
      <w:pPr>
        <w:spacing w:after="0" w:line="145" w:lineRule="exact"/>
        <w:rPr>
          <w:rFonts w:ascii="Arial" w:cs="Arial" w:eastAsia="Arial" w:hAnsi="Arial"/>
          <w:sz w:val="16"/>
          <w:szCs w:val="16"/>
          <w:color w:val="auto"/>
        </w:rPr>
      </w:pPr>
    </w:p>
    <w:p>
      <w:pPr>
        <w:ind w:left="2640" w:hanging="221"/>
        <w:spacing w:after="0"/>
        <w:tabs>
          <w:tab w:leader="none" w:pos="264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Preferred Stock;</w:t>
      </w:r>
    </w:p>
    <w:p>
      <w:pPr>
        <w:spacing w:after="0" w:line="180" w:lineRule="exact"/>
        <w:rPr>
          <w:rFonts w:ascii="Arial" w:cs="Arial" w:eastAsia="Arial" w:hAnsi="Arial"/>
          <w:sz w:val="16"/>
          <w:szCs w:val="16"/>
          <w:color w:val="auto"/>
        </w:rPr>
      </w:pPr>
    </w:p>
    <w:p>
      <w:pPr>
        <w:ind w:left="5420" w:hanging="108"/>
        <w:spacing w:after="0"/>
        <w:tabs>
          <w:tab w:leader="none" w:pos="5420" w:val="left"/>
        </w:tabs>
        <w:numPr>
          <w:ilvl w:val="2"/>
          <w:numId w:val="175"/>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4" w:right="459" w:bottom="1440" w:gutter="0" w:footer="0" w:header="0"/>
        </w:sectPr>
      </w:pPr>
    </w:p>
    <w:bookmarkStart w:id="271" w:name="page272"/>
    <w:bookmarkEnd w:id="271"/>
    <w:p>
      <w:pPr>
        <w:ind w:right="120" w:firstLine="2419"/>
        <w:spacing w:after="0" w:line="277" w:lineRule="auto"/>
        <w:tabs>
          <w:tab w:leader="none" w:pos="2688" w:val="left"/>
        </w:tabs>
        <w:numPr>
          <w:ilvl w:val="0"/>
          <w:numId w:val="1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660" w:firstLine="2419"/>
        <w:spacing w:after="0" w:line="308" w:lineRule="auto"/>
        <w:tabs>
          <w:tab w:leader="none" w:pos="2738"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shares of Common Stock or Options issued to employees or directors of, or consultants or advisors to, the Corporation or any of its subsidiaries pursuant to a plan, agreement or arrangement approved by the Board of Directors;</w:t>
      </w:r>
    </w:p>
    <w:p>
      <w:pPr>
        <w:spacing w:after="0" w:line="146" w:lineRule="exact"/>
        <w:rPr>
          <w:rFonts w:ascii="Arial" w:cs="Arial" w:eastAsia="Arial" w:hAnsi="Arial"/>
          <w:sz w:val="17"/>
          <w:szCs w:val="17"/>
          <w:color w:val="auto"/>
        </w:rPr>
      </w:pPr>
    </w:p>
    <w:p>
      <w:pPr>
        <w:ind w:right="100" w:firstLine="2419"/>
        <w:spacing w:after="0" w:line="263" w:lineRule="auto"/>
        <w:tabs>
          <w:tab w:leader="none" w:pos="27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83" w:lineRule="exact"/>
        <w:rPr>
          <w:rFonts w:ascii="Arial" w:cs="Arial" w:eastAsia="Arial" w:hAnsi="Arial"/>
          <w:sz w:val="18"/>
          <w:szCs w:val="18"/>
          <w:color w:val="auto"/>
        </w:rPr>
      </w:pPr>
    </w:p>
    <w:p>
      <w:pPr>
        <w:ind w:firstLine="2419"/>
        <w:spacing w:after="0" w:line="277" w:lineRule="auto"/>
        <w:tabs>
          <w:tab w:leader="none" w:pos="26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of Common Stock issued in connection with the Corporation’s first underwritten public offering of Common Stock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40" w:firstLine="2419"/>
        <w:spacing w:after="0" w:line="263" w:lineRule="auto"/>
        <w:tabs>
          <w:tab w:leader="none" w:pos="272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of Directors; or</w:t>
      </w:r>
    </w:p>
    <w:p>
      <w:pPr>
        <w:spacing w:after="0" w:line="183" w:lineRule="exact"/>
        <w:rPr>
          <w:rFonts w:ascii="Arial" w:cs="Arial" w:eastAsia="Arial" w:hAnsi="Arial"/>
          <w:sz w:val="18"/>
          <w:szCs w:val="18"/>
          <w:color w:val="auto"/>
        </w:rPr>
      </w:pPr>
    </w:p>
    <w:p>
      <w:pPr>
        <w:ind w:right="440" w:firstLine="2419"/>
        <w:spacing w:after="0" w:line="263" w:lineRule="auto"/>
        <w:tabs>
          <w:tab w:leader="none" w:pos="2778"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original equipment manufacturing, marketing or other similar agreements or strategic partnerships approved by the Board of Directors.</w:t>
      </w:r>
    </w:p>
    <w:p>
      <w:pPr>
        <w:spacing w:after="0" w:line="184" w:lineRule="exact"/>
        <w:rPr>
          <w:sz w:val="20"/>
          <w:szCs w:val="20"/>
          <w:color w:val="auto"/>
        </w:rPr>
      </w:pPr>
    </w:p>
    <w:p>
      <w:pPr>
        <w:ind w:right="80" w:firstLine="1432"/>
        <w:spacing w:after="0" w:line="269"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No Adjustment of Applicable Conversion Price</w:t>
      </w:r>
      <w:r>
        <w:rPr>
          <w:rFonts w:ascii="Arial" w:cs="Arial" w:eastAsia="Arial" w:hAnsi="Arial"/>
          <w:sz w:val="17"/>
          <w:szCs w:val="17"/>
          <w:color w:val="auto"/>
        </w:rPr>
        <w:t>. No adjustment in the Applicable Conversion Price shall be made with respect to the Series A Preferred Stock as the result of the issuance or deemed issuance of Additional Shares of Common Stock if the Corporation receives written notice from the holders of a majority of the then outstanding shares of Series A Preferred Stock agreeing that no such adjustment shall be made as the result of the issuance or deemed issuance of such Additional Shares of Common Stock. No adjustment in the Applicable Conversion Price shall be made with respect to the Series B Preferred Stock as the result of the issuance or deemed issuance of Additional Shares of Common Stock if the Corporation receives written notice from the Requisite Series B Holders agreeing that no such adjustment shall be made as the result of the issuance or deemed issuance of such Additional Shares of Common Stock. No adjustment in the Applicable Conversion Price shall be made with respect to the Series C Preferred Stock as the result of the issuance or deemed issuance of Additional Shares of Common Stock if the Corporation receives written notice from the Requisite Series C Holders agreeing that no such adjustment shall be made as the result of the issuance or deemed issuance of such Additional Shares of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00"/>
          </w:cols>
          <w:pgMar w:left="440" w:top="274" w:right="459" w:bottom="1440" w:gutter="0" w:footer="0" w:header="0"/>
        </w:sectPr>
      </w:pPr>
    </w:p>
    <w:bookmarkStart w:id="272" w:name="page273"/>
    <w:bookmarkEnd w:id="272"/>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left="-1000" w:right="40" w:firstLine="1979"/>
        <w:spacing w:after="0" w:line="291" w:lineRule="auto"/>
        <w:tabs>
          <w:tab w:leader="none" w:pos="1227"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Corporation at any time or from time to time after the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66" w:lineRule="exact"/>
        <w:rPr>
          <w:rFonts w:ascii="Arial" w:cs="Arial" w:eastAsia="Arial" w:hAnsi="Arial"/>
          <w:sz w:val="16"/>
          <w:szCs w:val="16"/>
          <w:color w:val="auto"/>
        </w:rPr>
      </w:pPr>
    </w:p>
    <w:p>
      <w:pPr>
        <w:ind w:left="-1000" w:firstLine="1979"/>
        <w:spacing w:after="0" w:line="286" w:lineRule="auto"/>
        <w:tabs>
          <w:tab w:leader="none" w:pos="123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xml:space="preserve">,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Conversion Price as would have been obtained had such revised terms been in effect upon the original date of issuance of such Option or Convertible Security. Notwithstanding the foregoing, no readjustment pursuant to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73" w:lineRule="exact"/>
        <w:rPr>
          <w:rFonts w:ascii="Arial" w:cs="Arial" w:eastAsia="Arial" w:hAnsi="Arial"/>
          <w:sz w:val="16"/>
          <w:szCs w:val="16"/>
          <w:color w:val="auto"/>
        </w:rPr>
      </w:pPr>
    </w:p>
    <w:p>
      <w:pPr>
        <w:ind w:left="-1000" w:firstLine="1979"/>
        <w:spacing w:after="0" w:line="271" w:lineRule="auto"/>
        <w:tabs>
          <w:tab w:leader="none" w:pos="122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of the Additional Shares of Common Stock subject thereto was equal to or greater than the Applicable Conversion Price then in effect, or because such Option or Convertible Security was issued before the Original Issue Date), are revised after the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w:t>
      </w:r>
    </w:p>
    <w:p>
      <w:pPr>
        <w:spacing w:after="0" w:line="110" w:lineRule="exact"/>
        <w:rPr>
          <w:rFonts w:ascii="Arial" w:cs="Arial" w:eastAsia="Arial" w:hAnsi="Arial"/>
          <w:sz w:val="17"/>
          <w:szCs w:val="17"/>
          <w:color w:val="auto"/>
        </w:rPr>
      </w:pPr>
    </w:p>
    <w:p>
      <w:pPr>
        <w:ind w:left="4420" w:hanging="111"/>
        <w:spacing w:after="0"/>
        <w:tabs>
          <w:tab w:leader="none" w:pos="44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9980"/>
          </w:cols>
          <w:pgMar w:left="1440" w:top="274" w:right="479" w:bottom="1440" w:gutter="0" w:footer="0" w:header="0"/>
        </w:sectPr>
      </w:pPr>
    </w:p>
    <w:bookmarkStart w:id="273" w:name="page274"/>
    <w:bookmarkEnd w:id="273"/>
    <w:p>
      <w:pPr>
        <w:ind w:right="2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8"/>
          <w:szCs w:val="18"/>
          <w:u w:val="single" w:color="auto"/>
          <w:color w:val="auto"/>
        </w:rPr>
        <w:t>Subsection 4.4.3(a)</w:t>
      </w:r>
      <w:r>
        <w:rPr>
          <w:rFonts w:ascii="Arial" w:cs="Arial" w:eastAsia="Arial" w:hAnsi="Arial"/>
          <w:sz w:val="18"/>
          <w:szCs w:val="18"/>
          <w:color w:val="auto"/>
        </w:rPr>
        <w:t xml:space="preserve"> shall be deemed to have been issued effective upon such increase or decrease becoming effective.</w:t>
      </w:r>
    </w:p>
    <w:p>
      <w:pPr>
        <w:spacing w:after="0" w:line="184" w:lineRule="exact"/>
        <w:rPr>
          <w:sz w:val="20"/>
          <w:szCs w:val="20"/>
          <w:color w:val="auto"/>
        </w:rPr>
      </w:pPr>
    </w:p>
    <w:p>
      <w:pPr>
        <w:ind w:right="60" w:firstLine="1979"/>
        <w:spacing w:after="0" w:line="279" w:lineRule="auto"/>
        <w:tabs>
          <w:tab w:leader="none" w:pos="223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the Applicable Conversion Price shall be readjusted to such Applicable Conversion Price as would have been obtained had such Option or Convertible Security (or portion thereof) never been issued.</w:t>
      </w:r>
    </w:p>
    <w:p>
      <w:pPr>
        <w:spacing w:after="0" w:line="171" w:lineRule="exact"/>
        <w:rPr>
          <w:rFonts w:ascii="Arial" w:cs="Arial" w:eastAsia="Arial" w:hAnsi="Arial"/>
          <w:sz w:val="17"/>
          <w:szCs w:val="17"/>
          <w:color w:val="auto"/>
        </w:rPr>
      </w:pPr>
    </w:p>
    <w:p>
      <w:pPr>
        <w:ind w:firstLine="1979"/>
        <w:spacing w:after="0" w:line="287" w:lineRule="auto"/>
        <w:tabs>
          <w:tab w:leader="none" w:pos="2227"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2" w:lineRule="exact"/>
        <w:rPr>
          <w:sz w:val="20"/>
          <w:szCs w:val="20"/>
          <w:color w:val="auto"/>
        </w:rPr>
      </w:pPr>
    </w:p>
    <w:p>
      <w:pPr>
        <w:ind w:right="40" w:firstLine="1432"/>
        <w:spacing w:after="0" w:line="296" w:lineRule="auto"/>
        <w:rPr>
          <w:sz w:val="20"/>
          <w:szCs w:val="20"/>
          <w:color w:val="auto"/>
        </w:rPr>
      </w:pPr>
      <w:r>
        <w:rPr>
          <w:rFonts w:ascii="Arial" w:cs="Arial" w:eastAsia="Arial" w:hAnsi="Arial"/>
          <w:sz w:val="16"/>
          <w:szCs w:val="16"/>
          <w:color w:val="auto"/>
        </w:rPr>
        <w:t xml:space="preserve">4.4.4 </w:t>
      </w:r>
      <w:r>
        <w:rPr>
          <w:rFonts w:ascii="Arial" w:cs="Arial" w:eastAsia="Arial" w:hAnsi="Arial"/>
          <w:sz w:val="16"/>
          <w:szCs w:val="16"/>
          <w:u w:val="single" w:color="auto"/>
          <w:color w:val="auto"/>
        </w:rPr>
        <w:t>Adjustment of Applicable Conversion Price Upon Issuance of Additional Shares of Common Stock</w:t>
      </w:r>
      <w:r>
        <w:rPr>
          <w:rFonts w:ascii="Arial" w:cs="Arial" w:eastAsia="Arial" w:hAnsi="Arial"/>
          <w:sz w:val="16"/>
          <w:szCs w:val="16"/>
          <w:color w:val="auto"/>
        </w:rPr>
        <w:t xml:space="preserve">. In the event the Corporation shall at any time or from time to time after the Original Issue Date issue Additional Shares of Common Stock (including Additional Shares of Common Stock deemed to be issued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without consideration or for a consideration per share less than the Applicable Conversion Price in effect immediately prior to such issuance or deemed issuance, then the Applicable Conversion Price shall be reduced, concurrently with such issue, to a price (calculated to the nearest one-hundredth of a cent) determined in accordance with the following formula:</w:t>
      </w:r>
    </w:p>
    <w:p>
      <w:pPr>
        <w:spacing w:after="0" w:line="16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xml:space="preserve"> * (A + B) ÷ (A +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foregoing formula, the following definitions shall apply:</w:t>
      </w:r>
    </w:p>
    <w:p>
      <w:pPr>
        <w:spacing w:after="0" w:line="117" w:lineRule="exact"/>
        <w:rPr>
          <w:sz w:val="20"/>
          <w:szCs w:val="20"/>
          <w:color w:val="auto"/>
        </w:rPr>
      </w:pPr>
    </w:p>
    <w:p>
      <w:pPr>
        <w:ind w:right="440" w:firstLine="1979"/>
        <w:spacing w:after="0" w:line="277" w:lineRule="auto"/>
        <w:tabs>
          <w:tab w:leader="none" w:pos="2227"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in effect immediately after such issuance or deemed issuance of Additional Shares of Common Stock;</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60"/>
          </w:cols>
          <w:pgMar w:left="440" w:top="274" w:right="499" w:bottom="1440" w:gutter="0" w:footer="0" w:header="0"/>
        </w:sectPr>
      </w:pPr>
    </w:p>
    <w:bookmarkStart w:id="274" w:name="page275"/>
    <w:bookmarkEnd w:id="274"/>
    <w:p>
      <w:pPr>
        <w:ind w:right="280" w:firstLine="1979"/>
        <w:spacing w:after="0" w:line="277" w:lineRule="auto"/>
        <w:tabs>
          <w:tab w:leader="none" w:pos="22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in effect immediately prior to such issuance or deemed issuance of Additional Shares of Common Stock;</w:t>
      </w:r>
    </w:p>
    <w:p>
      <w:pPr>
        <w:spacing w:after="0" w:line="170" w:lineRule="exact"/>
        <w:rPr>
          <w:rFonts w:ascii="Arial" w:cs="Arial" w:eastAsia="Arial" w:hAnsi="Arial"/>
          <w:sz w:val="18"/>
          <w:szCs w:val="18"/>
          <w:color w:val="auto"/>
        </w:rPr>
      </w:pPr>
    </w:p>
    <w:p>
      <w:pPr>
        <w:ind w:right="20" w:firstLine="1979"/>
        <w:spacing w:after="0" w:line="279" w:lineRule="auto"/>
        <w:tabs>
          <w:tab w:leader="none" w:pos="2227"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issue);</w:t>
      </w:r>
    </w:p>
    <w:p>
      <w:pPr>
        <w:spacing w:after="0" w:line="171" w:lineRule="exact"/>
        <w:rPr>
          <w:rFonts w:ascii="Arial" w:cs="Arial" w:eastAsia="Arial" w:hAnsi="Arial"/>
          <w:sz w:val="17"/>
          <w:szCs w:val="17"/>
          <w:color w:val="auto"/>
        </w:rPr>
      </w:pPr>
    </w:p>
    <w:p>
      <w:pPr>
        <w:ind w:right="80" w:firstLine="1979"/>
        <w:spacing w:after="0" w:line="275" w:lineRule="auto"/>
        <w:tabs>
          <w:tab w:leader="none" w:pos="2238" w:val="left"/>
        </w:tabs>
        <w:numPr>
          <w:ilvl w:val="0"/>
          <w:numId w:val="180"/>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or deemed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220" w:hanging="241"/>
        <w:spacing w:after="0"/>
        <w:tabs>
          <w:tab w:leader="none" w:pos="22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340" w:firstLine="1432"/>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issuance or deemed issuance of any Additional Shares of Common Stock shall be computed as follows:</w:t>
      </w:r>
    </w:p>
    <w:p>
      <w:pPr>
        <w:spacing w:after="0" w:line="62" w:lineRule="exact"/>
        <w:rPr>
          <w:sz w:val="20"/>
          <w:szCs w:val="20"/>
          <w:color w:val="auto"/>
        </w:rPr>
      </w:pPr>
    </w:p>
    <w:p>
      <w:pPr>
        <w:ind w:left="2220" w:hanging="241"/>
        <w:spacing w:after="0"/>
        <w:tabs>
          <w:tab w:leader="none" w:pos="2220"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right="160" w:firstLine="2419"/>
        <w:spacing w:after="0" w:line="277" w:lineRule="auto"/>
        <w:tabs>
          <w:tab w:leader="none" w:pos="263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right="220" w:firstLine="2419"/>
        <w:spacing w:after="0" w:line="277" w:lineRule="auto"/>
        <w:tabs>
          <w:tab w:leader="none" w:pos="268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of Directors; and</w:t>
      </w:r>
    </w:p>
    <w:p>
      <w:pPr>
        <w:spacing w:after="0" w:line="170" w:lineRule="exact"/>
        <w:rPr>
          <w:rFonts w:ascii="Arial" w:cs="Arial" w:eastAsia="Arial" w:hAnsi="Arial"/>
          <w:sz w:val="18"/>
          <w:szCs w:val="18"/>
          <w:color w:val="auto"/>
        </w:rPr>
      </w:pPr>
    </w:p>
    <w:p>
      <w:pPr>
        <w:jc w:val="both"/>
        <w:ind w:right="60" w:firstLine="2419"/>
        <w:spacing w:after="0" w:line="263" w:lineRule="auto"/>
        <w:tabs>
          <w:tab w:leader="none" w:pos="273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 xml:space="preserve">in the event Additional Shares of Common Stock are issued together with other shares or securities or other assets of the Corporation for consideration which covers both, be the proportion of such consideration so received, computed as provided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as determined in good faith by the Board of Directors.</w:t>
      </w:r>
    </w:p>
    <w:p>
      <w:pPr>
        <w:spacing w:after="0" w:line="183" w:lineRule="exact"/>
        <w:rPr>
          <w:rFonts w:ascii="Arial" w:cs="Arial" w:eastAsia="Arial" w:hAnsi="Arial"/>
          <w:sz w:val="18"/>
          <w:szCs w:val="18"/>
          <w:color w:val="auto"/>
        </w:rPr>
      </w:pPr>
    </w:p>
    <w:p>
      <w:pPr>
        <w:ind w:right="320" w:firstLine="1979"/>
        <w:spacing w:after="0" w:line="263" w:lineRule="auto"/>
        <w:tabs>
          <w:tab w:leader="none" w:pos="2237"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183" w:lineRule="exact"/>
        <w:rPr>
          <w:rFonts w:ascii="Arial" w:cs="Arial" w:eastAsia="Arial" w:hAnsi="Arial"/>
          <w:sz w:val="18"/>
          <w:szCs w:val="18"/>
          <w:color w:val="auto"/>
        </w:rPr>
      </w:pPr>
    </w:p>
    <w:p>
      <w:pPr>
        <w:ind w:firstLine="2419"/>
        <w:spacing w:after="0" w:line="257" w:lineRule="auto"/>
        <w:tabs>
          <w:tab w:leader="none" w:pos="263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181"/>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0"/>
          </w:cols>
          <w:pgMar w:left="440" w:top="274" w:right="459" w:bottom="1440" w:gutter="0" w:footer="0" w:header="0"/>
        </w:sectPr>
      </w:pPr>
    </w:p>
    <w:bookmarkStart w:id="275" w:name="page276"/>
    <w:bookmarkEnd w:id="275"/>
    <w:p>
      <w:pPr>
        <w:ind w:right="20" w:firstLine="2419"/>
        <w:spacing w:after="0" w:line="259" w:lineRule="auto"/>
        <w:tabs>
          <w:tab w:leader="none" w:pos="2688"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right="80" w:firstLine="1432"/>
        <w:spacing w:after="0" w:line="255" w:lineRule="auto"/>
        <w:rPr>
          <w:sz w:val="20"/>
          <w:szCs w:val="20"/>
          <w:color w:val="auto"/>
        </w:rPr>
      </w:pPr>
      <w:r>
        <w:rPr>
          <w:rFonts w:ascii="Arial" w:cs="Arial" w:eastAsia="Arial" w:hAnsi="Arial"/>
          <w:sz w:val="18"/>
          <w:szCs w:val="18"/>
          <w:color w:val="auto"/>
        </w:rPr>
        <w:t xml:space="preserve">4.4.6 </w:t>
      </w:r>
      <w:r>
        <w:rPr>
          <w:rFonts w:ascii="Arial" w:cs="Arial" w:eastAsia="Arial" w:hAnsi="Arial"/>
          <w:sz w:val="18"/>
          <w:szCs w:val="18"/>
          <w:u w:val="single" w:color="auto"/>
          <w:color w:val="auto"/>
        </w:rPr>
        <w:t>Multiple Closing Dates</w:t>
      </w:r>
      <w:r>
        <w:rPr>
          <w:rFonts w:ascii="Arial" w:cs="Arial" w:eastAsia="Arial" w:hAnsi="Arial"/>
          <w:sz w:val="18"/>
          <w:szCs w:val="18"/>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92" w:lineRule="exact"/>
        <w:rPr>
          <w:sz w:val="20"/>
          <w:szCs w:val="20"/>
          <w:color w:val="auto"/>
        </w:rPr>
      </w:pPr>
    </w:p>
    <w:p>
      <w:pPr>
        <w:ind w:right="60" w:firstLine="991"/>
        <w:spacing w:after="0" w:line="290"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Adjustment for Stock Splits and Combinations</w:t>
      </w:r>
      <w:r>
        <w:rPr>
          <w:rFonts w:ascii="Arial" w:cs="Arial" w:eastAsia="Arial" w:hAnsi="Arial"/>
          <w:sz w:val="16"/>
          <w:szCs w:val="16"/>
          <w:color w:val="auto"/>
        </w:rPr>
        <w:t>. If the Corporation shall at any time or from time to time after the Original Issue Date effect a subdivision of the outstanding Common Stock, the Applicable Conversion Price in effect immediately before such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Original Issue Date combine the outstanding shares of Common Stock, the Applicable Conversion Price in effect immediately before such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65"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Adjustment for Certain Dividends and Distributions</w:t>
      </w:r>
      <w:r>
        <w:rPr>
          <w:rFonts w:ascii="Arial" w:cs="Arial" w:eastAsia="Arial" w:hAnsi="Arial"/>
          <w:sz w:val="17"/>
          <w:szCs w:val="17"/>
          <w:color w:val="auto"/>
        </w:rPr>
        <w:t>. In the event the Corporation at any time or from time to time after the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76" w:lineRule="exact"/>
        <w:rPr>
          <w:sz w:val="20"/>
          <w:szCs w:val="20"/>
          <w:color w:val="auto"/>
        </w:rPr>
      </w:pPr>
    </w:p>
    <w:p>
      <w:pPr>
        <w:ind w:right="280" w:firstLine="1428"/>
        <w:spacing w:after="0" w:line="277" w:lineRule="auto"/>
        <w:tabs>
          <w:tab w:leader="none" w:pos="1687"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4" w:right="459" w:bottom="1440" w:gutter="0" w:footer="0" w:header="0"/>
        </w:sectPr>
      </w:pPr>
    </w:p>
    <w:bookmarkStart w:id="276" w:name="page277"/>
    <w:bookmarkEnd w:id="276"/>
    <w:p>
      <w:pPr>
        <w:jc w:val="both"/>
        <w:ind w:right="120" w:firstLine="1428"/>
        <w:spacing w:after="0" w:line="263" w:lineRule="auto"/>
        <w:tabs>
          <w:tab w:leader="none" w:pos="1687" w:val="left"/>
        </w:tabs>
        <w:numPr>
          <w:ilvl w:val="0"/>
          <w:numId w:val="1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 (b) no such adjustment shall be made if the holders of the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92"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77"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Adjustment for Merger or Reorganization, etc</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Subsection 2.3</w:t>
      </w:r>
      <w:r>
        <w:rPr>
          <w:rFonts w:ascii="Arial" w:cs="Arial" w:eastAsia="Arial" w:hAnsi="Arial"/>
          <w:sz w:val="16"/>
          <w:szCs w:val="16"/>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6"/>
          <w:szCs w:val="16"/>
          <w:u w:val="single" w:color="auto"/>
          <w:color w:val="auto"/>
        </w:rPr>
        <w:t>Subsections 4.5</w:t>
      </w:r>
      <w:r>
        <w:rPr>
          <w:rFonts w:ascii="Arial" w:cs="Arial" w:eastAsia="Arial" w:hAnsi="Arial"/>
          <w:sz w:val="16"/>
          <w:szCs w:val="16"/>
          <w:color w:val="auto"/>
        </w:rPr>
        <w:t xml:space="preserve">, </w:t>
      </w:r>
      <w:r>
        <w:rPr>
          <w:rFonts w:ascii="Arial" w:cs="Arial" w:eastAsia="Arial" w:hAnsi="Arial"/>
          <w:sz w:val="16"/>
          <w:szCs w:val="16"/>
          <w:u w:val="single" w:color="auto"/>
          <w:color w:val="auto"/>
        </w:rPr>
        <w:t>4.6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4.7</w:t>
      </w:r>
      <w:r>
        <w:rPr>
          <w:rFonts w:ascii="Arial" w:cs="Arial" w:eastAsia="Arial" w:hAnsi="Arial"/>
          <w:sz w:val="16"/>
          <w:szCs w:val="16"/>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Preferred Stock immediately prior to such reorganization, recapitalization, reclassification, consolidation or merger would have been entitled to receive pursuant to such transaction; and, in such case, appropriate adjustment (as determined in good faith by the Board of Directors) shall be made in the application of the provisions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the rights and interests thereafter of the holders of Preferred Stock, to the end that the provisions set forth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4" w:right="459" w:bottom="1440" w:gutter="0" w:footer="0" w:header="0"/>
        </w:sectPr>
      </w:pPr>
    </w:p>
    <w:bookmarkStart w:id="277" w:name="page278"/>
    <w:bookmarkEnd w:id="277"/>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4.9 </w:t>
      </w:r>
      <w:r>
        <w:rPr>
          <w:rFonts w:ascii="Arial" w:cs="Arial" w:eastAsia="Arial" w:hAnsi="Arial"/>
          <w:sz w:val="17"/>
          <w:szCs w:val="17"/>
          <w:u w:val="single" w:color="auto"/>
          <w:color w:val="auto"/>
        </w:rPr>
        <w:t>Certificate as to Adjustments</w:t>
      </w:r>
      <w:r>
        <w:rPr>
          <w:rFonts w:ascii="Arial" w:cs="Arial" w:eastAsia="Arial" w:hAnsi="Arial"/>
          <w:sz w:val="17"/>
          <w:szCs w:val="17"/>
          <w:color w:val="auto"/>
        </w:rPr>
        <w:t xml:space="preserve">. Upon the occurrence of each adjustment or readjustment of the Applicable Conversion Price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the Corporation at its expense shall, as promptly as reasonably practicable, but in any event not later than ten (10) days thereafter, compute such adjustment or readjustment in accordance with the terms hereof and furnish to each holder of Preferred Stock a certificate setting forth such adjustment or readjustment (including the kind and amount of securities, cash or other property into which the Preferred Stock is convertible) and showing in detail the facts upon which such adjustment or readjustment is based. The Corporation shall, as promptly as reasonably practicable after the written request at any time of any holder of Preferred Stock furnish or cause to be furnished to such holder a certificate setting forth (i) the Applicable Conversion Price then in effect, and (ii) the number of shares of Common Stock and the amount, if any, of other securities, cash or property which then would be received upon the conversion of Preferred Stock.</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20" w:firstLine="1979"/>
        <w:spacing w:after="0" w:line="311" w:lineRule="auto"/>
        <w:tabs>
          <w:tab w:leader="none" w:pos="2227"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8" w:lineRule="exact"/>
        <w:rPr>
          <w:rFonts w:ascii="Arial" w:cs="Arial" w:eastAsia="Arial" w:hAnsi="Arial"/>
          <w:sz w:val="16"/>
          <w:szCs w:val="16"/>
          <w:color w:val="auto"/>
        </w:rPr>
      </w:pPr>
    </w:p>
    <w:p>
      <w:pPr>
        <w:ind w:left="2240" w:hanging="261"/>
        <w:spacing w:after="0"/>
        <w:tabs>
          <w:tab w:leader="none" w:pos="22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of any capital reorganization of the Corporation, any reclassification of the Common Stock of the Corporation,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Deemed Liquidation Event; or</w:t>
      </w:r>
    </w:p>
    <w:p>
      <w:pPr>
        <w:spacing w:after="0" w:line="210" w:lineRule="exact"/>
        <w:rPr>
          <w:rFonts w:ascii="Arial" w:cs="Arial" w:eastAsia="Arial" w:hAnsi="Arial"/>
          <w:sz w:val="16"/>
          <w:szCs w:val="16"/>
          <w:color w:val="auto"/>
        </w:rPr>
      </w:pPr>
    </w:p>
    <w:p>
      <w:pPr>
        <w:ind w:firstLine="1979"/>
        <w:spacing w:after="0" w:line="270" w:lineRule="auto"/>
        <w:tabs>
          <w:tab w:leader="none" w:pos="222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of the voluntary or involuntary dissolution, liquidation or winding-up of the Corporation, 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 (10) days prior to the record date or effective date for the event specified in such notice.</w:t>
      </w:r>
    </w:p>
    <w:p>
      <w:pPr>
        <w:spacing w:after="0" w:line="113" w:lineRule="exact"/>
        <w:rPr>
          <w:rFonts w:ascii="Arial" w:cs="Arial" w:eastAsia="Arial" w:hAnsi="Arial"/>
          <w:sz w:val="17"/>
          <w:szCs w:val="17"/>
          <w:color w:val="auto"/>
        </w:rPr>
      </w:pPr>
    </w:p>
    <w:p>
      <w:pPr>
        <w:ind w:left="5420" w:hanging="111"/>
        <w:spacing w:after="0"/>
        <w:tabs>
          <w:tab w:leader="none" w:pos="54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60"/>
          </w:cols>
          <w:pgMar w:left="440" w:top="274" w:right="499" w:bottom="1440" w:gutter="0" w:footer="0" w:header="0"/>
        </w:sectPr>
      </w:pPr>
    </w:p>
    <w:bookmarkStart w:id="278" w:name="page279"/>
    <w:bookmarkEnd w:id="278"/>
    <w:p>
      <w:pPr>
        <w:ind w:left="1164" w:hanging="173"/>
        <w:spacing w:after="0"/>
        <w:tabs>
          <w:tab w:leader="none" w:pos="1164"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Conversion</w:t>
      </w:r>
      <w:r>
        <w:rPr>
          <w:rFonts w:ascii="Arial" w:cs="Arial" w:eastAsia="Arial" w:hAnsi="Arial"/>
          <w:sz w:val="18"/>
          <w:szCs w:val="18"/>
          <w:color w:val="auto"/>
        </w:rPr>
        <w:t>.</w:t>
      </w:r>
    </w:p>
    <w:p>
      <w:pPr>
        <w:spacing w:after="0" w:line="225" w:lineRule="exact"/>
        <w:rPr>
          <w:sz w:val="20"/>
          <w:szCs w:val="20"/>
          <w:color w:val="auto"/>
        </w:rPr>
      </w:pPr>
    </w:p>
    <w:p>
      <w:pPr>
        <w:ind w:left="4" w:right="60" w:firstLine="991"/>
        <w:spacing w:after="0" w:line="29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$85.08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$75,000,000 of gross proceeds to the Corporation, or (b) the date and time, or the occurrence of an event, specified by vote or written consent of the Requisite Holders and, if the Series C Preferred Stock is being converted, the Requisite Series C Holders (the time of such closing or the date and time specified or the time of the event specified in such vote or written consent is referred to herein as the “</w:t>
      </w:r>
      <w:r>
        <w:rPr>
          <w:rFonts w:ascii="Arial" w:cs="Arial" w:eastAsia="Arial" w:hAnsi="Arial"/>
          <w:sz w:val="16"/>
          <w:szCs w:val="16"/>
          <w:b w:val="1"/>
          <w:bCs w:val="1"/>
          <w:color w:val="auto"/>
        </w:rPr>
        <w:t>Mandatory Conversion Time</w:t>
      </w:r>
      <w:r>
        <w:rPr>
          <w:rFonts w:ascii="Arial" w:cs="Arial" w:eastAsia="Arial" w:hAnsi="Arial"/>
          <w:sz w:val="16"/>
          <w:szCs w:val="16"/>
          <w:color w:val="auto"/>
        </w:rPr>
        <w:t xml:space="preserve">”), then (i) all outstanding shares of Preferred Stock shall automatically be converted into shares of Common Stock, at the then effective conversion rate as calculated 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and (ii) such shares may not be reissued by the Corporation.</w:t>
      </w:r>
    </w:p>
    <w:p>
      <w:pPr>
        <w:spacing w:after="0" w:line="165" w:lineRule="exact"/>
        <w:rPr>
          <w:sz w:val="20"/>
          <w:szCs w:val="20"/>
          <w:color w:val="auto"/>
        </w:rPr>
      </w:pPr>
    </w:p>
    <w:p>
      <w:pPr>
        <w:ind w:left="4" w:firstLine="991"/>
        <w:spacing w:after="0" w:line="283"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Procedural Requirements</w:t>
      </w:r>
      <w:r>
        <w:rPr>
          <w:rFonts w:ascii="Arial" w:cs="Arial" w:eastAsia="Arial" w:hAnsi="Arial"/>
          <w:sz w:val="16"/>
          <w:szCs w:val="16"/>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a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Arial" w:cs="Arial" w:eastAsia="Arial" w:hAnsi="Arial"/>
          <w:sz w:val="16"/>
          <w:szCs w:val="16"/>
          <w:u w:val="single" w:color="auto"/>
          <w:color w:val="auto"/>
        </w:rPr>
        <w:t>Subsection 5.1</w:t>
      </w:r>
      <w:r>
        <w:rPr>
          <w:rFonts w:ascii="Arial" w:cs="Arial" w:eastAsia="Arial" w:hAnsi="Arial"/>
          <w:sz w:val="16"/>
          <w:szCs w:val="16"/>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6"/>
          <w:szCs w:val="16"/>
          <w:u w:val="single" w:color="auto"/>
          <w:color w:val="auto"/>
        </w:rPr>
        <w:t>Subsection 5.2</w:t>
      </w:r>
      <w:r>
        <w:rPr>
          <w:rFonts w:ascii="Arial" w:cs="Arial" w:eastAsia="Arial" w:hAnsi="Arial"/>
          <w:sz w:val="16"/>
          <w:szCs w:val="16"/>
          <w:color w:val="auto"/>
        </w:rPr>
        <w:t>. As soon as practicable after the Mandatory Conversion Time and, if applicable, the surrender of any certificate or certificates (or lost certificate affidavit and agreement) for Preferred Stock, the Corporation shall (a) (x) in the event that such shares are certificated, issue and deliver to such holder, or to his, her or its nominees, a certificate or certificates for the number of full shares of Common Stock issuable on such conversion in accordance with the provisions hereof, or</w:t>
      </w:r>
    </w:p>
    <w:p>
      <w:pPr>
        <w:ind w:left="4" w:right="40" w:hanging="4"/>
        <w:spacing w:after="0" w:line="252" w:lineRule="auto"/>
        <w:tabs>
          <w:tab w:leader="none" w:pos="25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in the event that such shares are uncertificated, issue and deliver to such holder, or to his, her or its nominee, a notice of issuance of uncertificated shares and may, upon written request, issue and deliver a certificate for the number of full shares of Common Stock issuable upon such conversion in accordance with the provisions hereof, and (b) pay cash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each applicable series of Preferred Stock accordingly.</w:t>
      </w:r>
    </w:p>
    <w:p>
      <w:pPr>
        <w:spacing w:after="0" w:line="192" w:lineRule="exact"/>
        <w:rPr>
          <w:rFonts w:ascii="Arial" w:cs="Arial" w:eastAsia="Arial" w:hAnsi="Arial"/>
          <w:sz w:val="18"/>
          <w:szCs w:val="18"/>
          <w:color w:val="auto"/>
        </w:rPr>
      </w:pPr>
    </w:p>
    <w:p>
      <w:pPr>
        <w:ind w:left="1164" w:hanging="173"/>
        <w:spacing w:after="0"/>
        <w:tabs>
          <w:tab w:leader="none" w:pos="1164" w:val="left"/>
        </w:tabs>
        <w:numPr>
          <w:ilvl w:val="1"/>
          <w:numId w:val="187"/>
        </w:numPr>
        <w:rPr>
          <w:rFonts w:ascii="Arial" w:cs="Arial" w:eastAsia="Arial" w:hAnsi="Arial"/>
          <w:sz w:val="17"/>
          <w:szCs w:val="17"/>
          <w:color w:val="auto"/>
        </w:rPr>
      </w:pPr>
      <w:r>
        <w:rPr>
          <w:rFonts w:ascii="Arial" w:cs="Arial" w:eastAsia="Arial" w:hAnsi="Arial"/>
          <w:sz w:val="17"/>
          <w:szCs w:val="17"/>
          <w:u w:val="single" w:color="auto"/>
          <w:color w:val="auto"/>
        </w:rPr>
        <w:t>Redemption</w:t>
      </w:r>
      <w:r>
        <w:rPr>
          <w:rFonts w:ascii="Arial" w:cs="Arial" w:eastAsia="Arial" w:hAnsi="Arial"/>
          <w:sz w:val="17"/>
          <w:szCs w:val="17"/>
          <w:color w:val="auto"/>
        </w:rPr>
        <w:t>. Other than as set forth in Section 2.3.2(b), the Preferred Stock is not redeemable at the option of the holder or the</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Corporation.</w:t>
      </w:r>
    </w:p>
    <w:p>
      <w:pPr>
        <w:spacing w:after="0" w:line="210" w:lineRule="exact"/>
        <w:rPr>
          <w:rFonts w:ascii="Arial" w:cs="Arial" w:eastAsia="Arial" w:hAnsi="Arial"/>
          <w:sz w:val="17"/>
          <w:szCs w:val="17"/>
          <w:color w:val="auto"/>
        </w:rPr>
      </w:pPr>
    </w:p>
    <w:p>
      <w:pPr>
        <w:ind w:left="4" w:right="60" w:firstLine="987"/>
        <w:spacing w:after="0" w:line="259" w:lineRule="auto"/>
        <w:tabs>
          <w:tab w:leader="none" w:pos="1175"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Redeemed or Otherwise Acquired Shares</w:t>
      </w:r>
      <w:r>
        <w:rPr>
          <w:rFonts w:ascii="Arial" w:cs="Arial" w:eastAsia="Arial" w:hAnsi="Arial"/>
          <w:sz w:val="18"/>
          <w:szCs w:val="18"/>
          <w:color w:val="auto"/>
        </w:rPr>
        <w:t>. Any shares of Preferred Stock that are redeemed, converted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 conversion or acquisition.</w:t>
      </w:r>
    </w:p>
    <w:p>
      <w:pPr>
        <w:spacing w:after="0" w:line="119" w:lineRule="exact"/>
        <w:rPr>
          <w:rFonts w:ascii="Arial" w:cs="Arial" w:eastAsia="Arial" w:hAnsi="Arial"/>
          <w:sz w:val="18"/>
          <w:szCs w:val="18"/>
          <w:color w:val="auto"/>
        </w:rPr>
      </w:pPr>
    </w:p>
    <w:p>
      <w:pPr>
        <w:ind w:left="5424" w:hanging="111"/>
        <w:spacing w:after="0"/>
        <w:tabs>
          <w:tab w:leader="none" w:pos="5424" w:val="left"/>
        </w:tabs>
        <w:numPr>
          <w:ilvl w:val="2"/>
          <w:numId w:val="18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1004"/>
          </w:cols>
          <w:pgMar w:left="436" w:top="274" w:right="459" w:bottom="1440" w:gutter="0" w:footer="0" w:header="0"/>
        </w:sectPr>
      </w:pPr>
    </w:p>
    <w:bookmarkStart w:id="279" w:name="page280"/>
    <w:bookmarkEnd w:id="279"/>
    <w:p>
      <w:pPr>
        <w:ind w:firstLine="987"/>
        <w:spacing w:after="0" w:line="270" w:lineRule="auto"/>
        <w:tabs>
          <w:tab w:leader="none" w:pos="1171"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w:t>
      </w:r>
      <w:r>
        <w:rPr>
          <w:rFonts w:ascii="Arial" w:cs="Arial" w:eastAsia="Arial" w:hAnsi="Arial"/>
          <w:sz w:val="17"/>
          <w:szCs w:val="17"/>
          <w:color w:val="auto"/>
        </w:rPr>
        <w:t>. Any of the rights, powers, preferences and other terms of the Series A Preferred Stock set forth herein may be waived, either prospectively or retrospectively, on behalf of all holders of Series A Preferred Stock by the affirmative written consent or vote of the holders of a majority of the shares of Series A Preferred Stock then outstanding. Any of the rights, powers, preferences and other terms of the Series B Preferred Stock set forth herein may be waived, either prospectively or retrospectively, on behalf of all holders of Series B Preferred Stock by the affirmative written consent or vote of the Requisite Series B Holders. Any of the rights, powers, preferences and other terms of the Series C Preferred Stock set forth herein may be waived, either prospectively or retrospectively, on behalf of all holders of Series C Preferred Stock by the affirmative written consent or vote of the Requisite Series C Holders. Any of the rights, powers, preferences and other terms of the Preferred Stock set forth herein, except as otherwise provided in this Section 7, may be waived, either prospectively or retrospectively, on behalf of all holders of Preferred Stock by the affirmative written consent or vote of the Requisite Holders.</w:t>
      </w:r>
    </w:p>
    <w:p>
      <w:pPr>
        <w:spacing w:after="0" w:line="180" w:lineRule="exact"/>
        <w:rPr>
          <w:rFonts w:ascii="Arial" w:cs="Arial" w:eastAsia="Arial" w:hAnsi="Arial"/>
          <w:sz w:val="17"/>
          <w:szCs w:val="17"/>
          <w:color w:val="auto"/>
        </w:rPr>
      </w:pPr>
    </w:p>
    <w:p>
      <w:pPr>
        <w:ind w:right="140" w:firstLine="987"/>
        <w:spacing w:after="0" w:line="311" w:lineRule="auto"/>
        <w:tabs>
          <w:tab w:leader="none" w:pos="1171"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14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Subject to any additional vote required by this Amended and Restated Certificate of Incorporation or Bylaws of the Corporation,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furtherance and not in limitation of the powers conferred by statute, the Board of Directors is expressly authorized to make, repeal, alter, amend and rescind any or all of the Bylaws of the Corporation.</w:t>
      </w:r>
    </w:p>
    <w:p>
      <w:pPr>
        <w:spacing w:after="0" w:line="176" w:lineRule="exact"/>
        <w:rPr>
          <w:sz w:val="20"/>
          <w:szCs w:val="20"/>
          <w:color w:val="auto"/>
        </w:rPr>
      </w:pPr>
    </w:p>
    <w:p>
      <w:pPr>
        <w:ind w:right="300" w:firstLine="440"/>
        <w:spacing w:after="0" w:line="274" w:lineRule="auto"/>
        <w:rPr>
          <w:sz w:val="20"/>
          <w:szCs w:val="20"/>
          <w:color w:val="auto"/>
        </w:rPr>
      </w:pPr>
      <w:r>
        <w:rPr>
          <w:rFonts w:ascii="Arial" w:cs="Arial" w:eastAsia="Arial" w:hAnsi="Arial"/>
          <w:sz w:val="17"/>
          <w:szCs w:val="17"/>
          <w:b w:val="1"/>
          <w:bCs w:val="1"/>
          <w:color w:val="auto"/>
        </w:rPr>
        <w:t xml:space="preserve">SIXTH: </w:t>
      </w:r>
      <w:r>
        <w:rPr>
          <w:rFonts w:ascii="Arial" w:cs="Arial" w:eastAsia="Arial" w:hAnsi="Arial"/>
          <w:sz w:val="17"/>
          <w:szCs w:val="17"/>
          <w:color w:val="auto"/>
        </w:rPr>
        <w:t>Subject to any additional vote required by this Amended and Restated Certificate of Incorporation, the number of directors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shall be determined in the manner set forth in the Bylaws of the Corporation. Each director shall be entitled to one vote on each matter presented to the Board of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so long as the holders of Series A Preferred Stock are entitled to elect the Series A Directors, the affirmative vote of a majority of the Series A Directors shall be required for the authorization by the Board of Directors of any of the matters set forth in Section 5.4 of the Investors’ Rights Agreement, dated on or about the date hereof, by and among the Corporation and the other parties thereto, as such agreement may be amended and/or restated from time to time.</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of Directors or in the Bylaws of the Corporation.</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0880"/>
          </w:cols>
          <w:pgMar w:left="440" w:top="274" w:right="579" w:bottom="1440" w:gutter="0" w:footer="0" w:header="0"/>
        </w:sectPr>
      </w:pPr>
    </w:p>
    <w:bookmarkStart w:id="280" w:name="page281"/>
    <w:bookmarkEnd w:id="280"/>
    <w:p>
      <w:pPr>
        <w:ind w:left="4" w:right="20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NINTH: </w:t>
      </w:r>
      <w:r>
        <w:rPr>
          <w:rFonts w:ascii="Arial" w:cs="Arial" w:eastAsia="Arial" w:hAnsi="Arial"/>
          <w:sz w:val="18"/>
          <w:szCs w:val="18"/>
          <w:color w:val="auto"/>
        </w:rPr>
        <w:t>To the fullest extent permitted by law, a director of the Corporation shall not be personally liable to the Corporation or its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87"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80" w:lineRule="exact"/>
        <w:rPr>
          <w:sz w:val="20"/>
          <w:szCs w:val="20"/>
          <w:color w:val="auto"/>
        </w:rPr>
      </w:pPr>
    </w:p>
    <w:p>
      <w:pPr>
        <w:ind w:left="4" w:right="120" w:firstLine="440"/>
        <w:spacing w:after="0" w:line="286" w:lineRule="auto"/>
        <w:rPr>
          <w:sz w:val="20"/>
          <w:szCs w:val="20"/>
          <w:color w:val="auto"/>
        </w:rPr>
      </w:pPr>
      <w:r>
        <w:rPr>
          <w:rFonts w:ascii="Arial" w:cs="Arial" w:eastAsia="Arial" w:hAnsi="Arial"/>
          <w:sz w:val="16"/>
          <w:szCs w:val="16"/>
          <w:b w:val="1"/>
          <w:bCs w:val="1"/>
          <w:color w:val="auto"/>
        </w:rPr>
        <w:t xml:space="preserve">TENTH: </w:t>
      </w:r>
      <w:r>
        <w:rPr>
          <w:rFonts w:ascii="Arial" w:cs="Arial" w:eastAsia="Arial" w:hAnsi="Arial"/>
          <w:sz w:val="16"/>
          <w:szCs w:val="16"/>
          <w:color w:val="auto"/>
        </w:rPr>
        <w:t>The Corporation renounces, to the fullest extent permitted by law, any interest or expectancy of the Corporation in, or in being offered</w:t>
      </w:r>
      <w:r>
        <w:rPr>
          <w:rFonts w:ascii="Arial" w:cs="Arial" w:eastAsia="Arial" w:hAnsi="Arial"/>
          <w:sz w:val="16"/>
          <w:szCs w:val="16"/>
          <w:b w:val="1"/>
          <w:bCs w:val="1"/>
          <w:color w:val="auto"/>
        </w:rPr>
        <w:t xml:space="preserve"> </w:t>
      </w:r>
      <w:r>
        <w:rPr>
          <w:rFonts w:ascii="Arial" w:cs="Arial" w:eastAsia="Arial" w:hAnsi="Arial"/>
          <w:sz w:val="16"/>
          <w:szCs w:val="16"/>
          <w:color w:val="auto"/>
        </w:rPr>
        <w:t>an opportunity to participate in, any Excluded Opportunity. An “</w:t>
      </w:r>
      <w:r>
        <w:rPr>
          <w:rFonts w:ascii="Arial" w:cs="Arial" w:eastAsia="Arial" w:hAnsi="Arial"/>
          <w:sz w:val="16"/>
          <w:szCs w:val="16"/>
          <w:b w:val="1"/>
          <w:bCs w:val="1"/>
          <w:color w:val="auto"/>
        </w:rPr>
        <w:t>Excluded Opportunity</w:t>
      </w:r>
      <w:r>
        <w:rPr>
          <w:rFonts w:ascii="Arial" w:cs="Arial" w:eastAsia="Arial" w:hAnsi="Arial"/>
          <w:sz w:val="16"/>
          <w:szCs w:val="16"/>
          <w:color w:val="auto"/>
        </w:rPr>
        <w:t>” is any matter, transaction or interest that is presented to, or acquired, created or developed by, or which otherwise comes into the possession of, (a) any director of the Corporation who is not an employee of the Corporation or any of its subsidiaries, or (b) any holder of Preferred Stock or any partner, member, director, stockholder, employee, affiliate or agent of any such holder, other than someone who is an employee of the Corporation or any of its subsidiaries (collectively, the persons referred to in clauses</w:t>
      </w:r>
    </w:p>
    <w:p>
      <w:pPr>
        <w:spacing w:after="0" w:line="2" w:lineRule="exact"/>
        <w:rPr>
          <w:sz w:val="20"/>
          <w:szCs w:val="20"/>
          <w:color w:val="auto"/>
        </w:rPr>
      </w:pPr>
    </w:p>
    <w:p>
      <w:pPr>
        <w:ind w:left="4" w:hanging="4"/>
        <w:spacing w:after="0" w:line="270" w:lineRule="auto"/>
        <w:tabs>
          <w:tab w:leader="none" w:pos="249"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and (b) are “</w:t>
      </w:r>
      <w:r>
        <w:rPr>
          <w:rFonts w:ascii="Arial" w:cs="Arial" w:eastAsia="Arial" w:hAnsi="Arial"/>
          <w:sz w:val="17"/>
          <w:szCs w:val="17"/>
          <w:b w:val="1"/>
          <w:bCs w:val="1"/>
          <w:color w:val="auto"/>
        </w:rPr>
        <w:t>Covered Persons</w:t>
      </w:r>
      <w:r>
        <w:rPr>
          <w:rFonts w:ascii="Arial" w:cs="Arial" w:eastAsia="Arial" w:hAnsi="Arial"/>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 while such Covered Person is performing services in such capacity. Any repeal or modification of this Article Tenth will only be prospective and will not affect the rights under this Article Tenth in effect at the time of the occurrence of any actions or omissions to act giving rise to liability. Notwithstanding anything to the contrary contained elsewhere in this Amended and Restated Certificate of Incorporation, the affirmative vote of the Requisite Holders will be required to amend or repeal, or to adopt any provisions inconsistent with this Article Tenth.</w:t>
      </w:r>
    </w:p>
    <w:p>
      <w:pPr>
        <w:spacing w:after="0" w:line="174"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Unless the Corporation consents in writing to the selection of an alternative forum, the Court of Chancery in the State of Delaware</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 (iv) any action asserting a claim against the Corporation, its directors, officers or employees governed by the internal affairs doctrine, except for, as to each of</w:t>
      </w:r>
    </w:p>
    <w:p>
      <w:pPr>
        <w:spacing w:after="0" w:line="3" w:lineRule="exact"/>
        <w:rPr>
          <w:sz w:val="20"/>
          <w:szCs w:val="20"/>
          <w:color w:val="auto"/>
        </w:rPr>
      </w:pPr>
    </w:p>
    <w:p>
      <w:pPr>
        <w:ind w:left="4" w:right="160" w:hanging="4"/>
        <w:spacing w:after="0" w:line="253" w:lineRule="auto"/>
        <w:tabs>
          <w:tab w:leader="none" w:pos="21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004"/>
          </w:cols>
          <w:pgMar w:left="436" w:top="270" w:right="459" w:bottom="1440" w:gutter="0" w:footer="0" w:header="0"/>
        </w:sectPr>
      </w:pPr>
    </w:p>
    <w:bookmarkStart w:id="281" w:name="page282"/>
    <w:bookmarkEnd w:id="281"/>
    <w:p>
      <w:pPr>
        <w:ind w:right="1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Eleventh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Eleventh (including, without limitation, each portion of any sentence of this Article Eleventh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TWELFTH: </w:t>
      </w:r>
      <w:r>
        <w:rPr>
          <w:rFonts w:ascii="Arial" w:cs="Arial" w:eastAsia="Arial" w:hAnsi="Arial"/>
          <w:sz w:val="18"/>
          <w:szCs w:val="18"/>
          <w:color w:val="auto"/>
        </w:rPr>
        <w:t>The following indemnification provisions shall apply to the persons enumerated below.</w:t>
      </w:r>
    </w:p>
    <w:p>
      <w:pPr>
        <w:spacing w:after="0" w:line="229" w:lineRule="exact"/>
        <w:rPr>
          <w:sz w:val="20"/>
          <w:szCs w:val="20"/>
          <w:color w:val="auto"/>
        </w:rPr>
      </w:pPr>
    </w:p>
    <w:p>
      <w:pPr>
        <w:ind w:firstLine="987"/>
        <w:spacing w:after="0" w:line="288" w:lineRule="auto"/>
        <w:tabs>
          <w:tab w:leader="none" w:pos="1171"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of Directors and Officers</w:t>
      </w:r>
      <w:r>
        <w:rPr>
          <w:rFonts w:ascii="Arial" w:cs="Arial" w:eastAsia="Arial" w:hAnsi="Arial"/>
          <w:sz w:val="16"/>
          <w:szCs w:val="16"/>
          <w:color w:val="auto"/>
        </w:rPr>
        <w:t>. The Corporation shall indemnify and hold harmless, to the fullest extent permitted by applicable law as it presently exists or may hereafter be amended, any person (an “</w:t>
      </w:r>
      <w:r>
        <w:rPr>
          <w:rFonts w:ascii="Arial" w:cs="Arial" w:eastAsia="Arial" w:hAnsi="Arial"/>
          <w:sz w:val="16"/>
          <w:szCs w:val="16"/>
          <w:b w:val="1"/>
          <w:bCs w:val="1"/>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b w:val="1"/>
          <w:bCs w:val="1"/>
          <w:color w:val="auto"/>
        </w:rPr>
        <w:t>Proceeding</w:t>
      </w:r>
      <w:r>
        <w:rPr>
          <w:rFonts w:ascii="Arial" w:cs="Arial" w:eastAsia="Arial" w:hAnsi="Arial"/>
          <w:sz w:val="16"/>
          <w:szCs w:val="16"/>
          <w:color w:val="auto"/>
        </w:rPr>
        <w:t xml:space="preserve">”),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Article Twelfth,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rFonts w:ascii="Arial" w:cs="Arial" w:eastAsia="Arial" w:hAnsi="Arial"/>
          <w:sz w:val="16"/>
          <w:szCs w:val="16"/>
          <w:color w:val="auto"/>
        </w:rPr>
      </w:pPr>
    </w:p>
    <w:p>
      <w:pPr>
        <w:ind w:firstLine="987"/>
        <w:spacing w:after="0" w:line="257" w:lineRule="auto"/>
        <w:tabs>
          <w:tab w:leader="none" w:pos="1171"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Prepayment of Expenses of Directors and Officers</w:t>
      </w:r>
      <w:r>
        <w:rPr>
          <w:rFonts w:ascii="Arial" w:cs="Arial" w:eastAsia="Arial" w:hAnsi="Arial"/>
          <w:sz w:val="18"/>
          <w:szCs w:val="18"/>
          <w:color w:val="auto"/>
        </w:rPr>
        <w:t xml:space="preserve">.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Twelfth or otherwise.</w:t>
      </w:r>
    </w:p>
    <w:p>
      <w:pPr>
        <w:spacing w:after="0" w:line="187" w:lineRule="exact"/>
        <w:rPr>
          <w:rFonts w:ascii="Arial" w:cs="Arial" w:eastAsia="Arial" w:hAnsi="Arial"/>
          <w:sz w:val="18"/>
          <w:szCs w:val="18"/>
          <w:color w:val="auto"/>
        </w:rPr>
      </w:pPr>
    </w:p>
    <w:p>
      <w:pPr>
        <w:ind w:firstLine="987"/>
        <w:spacing w:after="0" w:line="257" w:lineRule="auto"/>
        <w:tabs>
          <w:tab w:leader="none" w:pos="1171"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Claims by Directors and Officers</w:t>
      </w:r>
      <w:r>
        <w:rPr>
          <w:rFonts w:ascii="Arial" w:cs="Arial" w:eastAsia="Arial" w:hAnsi="Arial"/>
          <w:sz w:val="18"/>
          <w:szCs w:val="18"/>
          <w:color w:val="auto"/>
        </w:rPr>
        <w:t>. If a claim for indemnification or advancement of expenses under this Article Twelfth is not paid in full within thirty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80"/>
          </w:cols>
          <w:pgMar w:left="440" w:top="274" w:right="479" w:bottom="1440" w:gutter="0" w:footer="0" w:header="0"/>
        </w:sectPr>
      </w:pPr>
    </w:p>
    <w:bookmarkStart w:id="282" w:name="page283"/>
    <w:bookmarkEnd w:id="282"/>
    <w:p>
      <w:pPr>
        <w:ind w:left="-987" w:firstLine="987"/>
        <w:spacing w:after="0" w:line="270" w:lineRule="auto"/>
        <w:tabs>
          <w:tab w:leader="none" w:pos="18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of Employees and Agents</w:t>
      </w:r>
      <w:r>
        <w:rPr>
          <w:rFonts w:ascii="Arial" w:cs="Arial" w:eastAsia="Arial" w:hAnsi="Arial"/>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180" w:lineRule="exact"/>
        <w:rPr>
          <w:rFonts w:ascii="Arial" w:cs="Arial" w:eastAsia="Arial" w:hAnsi="Arial"/>
          <w:sz w:val="17"/>
          <w:szCs w:val="17"/>
          <w:color w:val="auto"/>
        </w:rPr>
      </w:pPr>
    </w:p>
    <w:p>
      <w:pPr>
        <w:ind w:left="-987" w:right="80" w:firstLine="987"/>
        <w:spacing w:after="0" w:line="263" w:lineRule="auto"/>
        <w:tabs>
          <w:tab w:leader="none" w:pos="18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Advancement of Expenses of Employees and Agents</w:t>
      </w:r>
      <w:r>
        <w:rPr>
          <w:rFonts w:ascii="Arial" w:cs="Arial" w:eastAsia="Arial" w:hAnsi="Arial"/>
          <w:sz w:val="18"/>
          <w:szCs w:val="18"/>
          <w:color w:val="auto"/>
        </w:rPr>
        <w:t>. The Corporation may pay the expenses (including attorneys’ fees) incurred by an employee or agent in defending any Proceeding in advance of its final disposition on such terms and conditions as may be determined by the Board of Directors.</w:t>
      </w:r>
    </w:p>
    <w:p>
      <w:pPr>
        <w:spacing w:after="0" w:line="183" w:lineRule="exact"/>
        <w:rPr>
          <w:rFonts w:ascii="Arial" w:cs="Arial" w:eastAsia="Arial" w:hAnsi="Arial"/>
          <w:sz w:val="18"/>
          <w:szCs w:val="18"/>
          <w:color w:val="auto"/>
        </w:rPr>
      </w:pPr>
    </w:p>
    <w:p>
      <w:pPr>
        <w:ind w:left="-987" w:right="180" w:firstLine="987"/>
        <w:spacing w:after="0" w:line="286" w:lineRule="auto"/>
        <w:tabs>
          <w:tab w:leader="none" w:pos="18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conferred on any person by this Article Twelfth shall not be exclusive of any other rights which such person may have or hereafter acquire under any statute, provision of this Amended and Restated Certificate of Incorporation, the Bylaws of the Corporation, or any agreement, or pursuant to any vote of stockholders or disinterested directors or otherwise.</w:t>
      </w:r>
    </w:p>
    <w:p>
      <w:pPr>
        <w:spacing w:after="0" w:line="165" w:lineRule="exact"/>
        <w:rPr>
          <w:rFonts w:ascii="Arial" w:cs="Arial" w:eastAsia="Arial" w:hAnsi="Arial"/>
          <w:sz w:val="17"/>
          <w:szCs w:val="17"/>
          <w:color w:val="auto"/>
        </w:rPr>
      </w:pPr>
    </w:p>
    <w:p>
      <w:pPr>
        <w:jc w:val="both"/>
        <w:ind w:left="-987" w:right="100" w:firstLine="987"/>
        <w:spacing w:after="0" w:line="259" w:lineRule="auto"/>
        <w:tabs>
          <w:tab w:leader="none" w:pos="18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Other Indemnification</w:t>
      </w:r>
      <w:r>
        <w:rPr>
          <w:rFonts w:ascii="Arial" w:cs="Arial" w:eastAsia="Arial" w:hAnsi="Arial"/>
          <w:sz w:val="18"/>
          <w:szCs w:val="18"/>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6" w:lineRule="exact"/>
        <w:rPr>
          <w:rFonts w:ascii="Arial" w:cs="Arial" w:eastAsia="Arial" w:hAnsi="Arial"/>
          <w:sz w:val="18"/>
          <w:szCs w:val="18"/>
          <w:color w:val="auto"/>
        </w:rPr>
      </w:pPr>
    </w:p>
    <w:p>
      <w:pPr>
        <w:ind w:left="-987" w:firstLine="987"/>
        <w:spacing w:after="0" w:line="257" w:lineRule="auto"/>
        <w:tabs>
          <w:tab w:leader="none" w:pos="184"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Twelfth; and (b) to indemnify or insure directors, officers and employees against liability in instances in which they may not otherwise be indemnified by the Corporation under the provisions of this Article Twelfth.</w:t>
      </w:r>
    </w:p>
    <w:p>
      <w:pPr>
        <w:spacing w:after="0" w:line="187" w:lineRule="exact"/>
        <w:rPr>
          <w:rFonts w:ascii="Arial" w:cs="Arial" w:eastAsia="Arial" w:hAnsi="Arial"/>
          <w:sz w:val="18"/>
          <w:szCs w:val="18"/>
          <w:color w:val="auto"/>
        </w:rPr>
      </w:pPr>
    </w:p>
    <w:p>
      <w:pPr>
        <w:ind w:left="-987" w:right="340" w:firstLine="987"/>
        <w:spacing w:after="0" w:line="286" w:lineRule="auto"/>
        <w:tabs>
          <w:tab w:leader="none" w:pos="184" w:val="left"/>
        </w:tabs>
        <w:numPr>
          <w:ilvl w:val="0"/>
          <w:numId w:val="192"/>
        </w:numPr>
        <w:rPr>
          <w:rFonts w:ascii="Arial" w:cs="Arial" w:eastAsia="Arial" w:hAnsi="Arial"/>
          <w:sz w:val="17"/>
          <w:szCs w:val="17"/>
          <w:color w:val="auto"/>
        </w:rPr>
      </w:pPr>
      <w:r>
        <w:rPr>
          <w:rFonts w:ascii="Arial" w:cs="Arial" w:eastAsia="Arial" w:hAnsi="Arial"/>
          <w:sz w:val="17"/>
          <w:szCs w:val="17"/>
          <w:u w:val="single" w:color="auto"/>
          <w:color w:val="auto"/>
        </w:rPr>
        <w:t>Amendment or Repeal</w:t>
      </w:r>
      <w:r>
        <w:rPr>
          <w:rFonts w:ascii="Arial" w:cs="Arial" w:eastAsia="Arial" w:hAnsi="Arial"/>
          <w:sz w:val="17"/>
          <w:szCs w:val="17"/>
          <w:color w:val="auto"/>
        </w:rPr>
        <w:t>. Any repeal or modification of the foregoing provisions of this Article Twelfth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165" w:lineRule="exact"/>
        <w:rPr>
          <w:rFonts w:ascii="Arial" w:cs="Arial" w:eastAsia="Arial" w:hAnsi="Arial"/>
          <w:sz w:val="17"/>
          <w:szCs w:val="17"/>
          <w:color w:val="auto"/>
        </w:rPr>
      </w:pPr>
    </w:p>
    <w:p>
      <w:pPr>
        <w:ind w:left="4193"/>
        <w:spacing w:after="0"/>
        <w:rPr>
          <w:rFonts w:ascii="Arial" w:cs="Arial" w:eastAsia="Arial" w:hAnsi="Arial"/>
          <w:sz w:val="17"/>
          <w:szCs w:val="17"/>
          <w:color w:val="auto"/>
        </w:rPr>
      </w:pPr>
      <w:r>
        <w:rPr>
          <w:rFonts w:ascii="Arial" w:cs="Arial" w:eastAsia="Arial" w:hAnsi="Arial"/>
          <w:sz w:val="18"/>
          <w:szCs w:val="18"/>
          <w:color w:val="auto"/>
        </w:rPr>
        <w:t>*  *  *</w:t>
      </w:r>
    </w:p>
    <w:p>
      <w:pPr>
        <w:spacing w:after="0" w:line="157" w:lineRule="exact"/>
        <w:rPr>
          <w:rFonts w:ascii="Arial" w:cs="Arial" w:eastAsia="Arial" w:hAnsi="Arial"/>
          <w:sz w:val="17"/>
          <w:szCs w:val="17"/>
          <w:color w:val="auto"/>
        </w:rPr>
      </w:pPr>
    </w:p>
    <w:p>
      <w:pPr>
        <w:ind w:left="4433" w:hanging="111"/>
        <w:spacing w:after="0"/>
        <w:tabs>
          <w:tab w:leader="none" w:pos="4433" w:val="left"/>
        </w:tabs>
        <w:numPr>
          <w:ilvl w:val="2"/>
          <w:numId w:val="19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9993"/>
          </w:cols>
          <w:pgMar w:left="1427" w:top="274" w:right="479" w:bottom="1440" w:gutter="0" w:footer="0" w:header="0"/>
        </w:sectPr>
      </w:pPr>
    </w:p>
    <w:bookmarkStart w:id="283" w:name="page284"/>
    <w:bookmarkEnd w:id="283"/>
    <w:p>
      <w:pPr>
        <w:ind w:left="-60" w:firstLine="436"/>
        <w:spacing w:after="0" w:line="277" w:lineRule="auto"/>
        <w:tabs>
          <w:tab w:leader="none" w:pos="560" w:val="left"/>
        </w:tabs>
        <w:numPr>
          <w:ilvl w:val="0"/>
          <w:numId w:val="193"/>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b w:val="1"/>
          <w:bCs w:val="1"/>
          <w:color w:val="auto"/>
        </w:rPr>
      </w:pPr>
    </w:p>
    <w:p>
      <w:pPr>
        <w:jc w:val="both"/>
        <w:ind w:left="-60" w:right="800" w:firstLine="436"/>
        <w:spacing w:after="0" w:line="342" w:lineRule="auto"/>
        <w:tabs>
          <w:tab w:leader="none" w:pos="560" w:val="left"/>
        </w:tabs>
        <w:numPr>
          <w:ilvl w:val="0"/>
          <w:numId w:val="193"/>
        </w:numPr>
        <w:rPr>
          <w:rFonts w:ascii="Arial" w:cs="Arial" w:eastAsia="Arial" w:hAnsi="Arial"/>
          <w:sz w:val="16"/>
          <w:szCs w:val="16"/>
          <w:b w:val="1"/>
          <w:bCs w:val="1"/>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Remainder of Page Intentionally Left Blank</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0880"/>
          </w:cols>
          <w:pgMar w:left="500" w:top="274" w:right="519" w:bottom="1440" w:gutter="0" w:footer="0" w:header="0"/>
        </w:sectPr>
      </w:pPr>
    </w:p>
    <w:bookmarkStart w:id="284" w:name="page285"/>
    <w:bookmarkEnd w:id="28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this Amended and Restated Certificate of Incorporation has been executed by a duly authorized officer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this 15</w:t>
      </w:r>
      <w:r>
        <w:rPr>
          <w:rFonts w:ascii="Arial" w:cs="Arial" w:eastAsia="Arial" w:hAnsi="Arial"/>
          <w:sz w:val="15"/>
          <w:szCs w:val="15"/>
          <w:color w:val="auto"/>
        </w:rPr>
        <w:t>th</w:t>
      </w:r>
      <w:r>
        <w:rPr>
          <w:rFonts w:ascii="Arial" w:cs="Arial" w:eastAsia="Arial" w:hAnsi="Arial"/>
          <w:sz w:val="18"/>
          <w:szCs w:val="18"/>
          <w:color w:val="auto"/>
        </w:rPr>
        <w:t xml:space="preserve"> day of April, 2021.</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ectPr>
          <w:pgSz w:w="11900" w:h="16838" w:orient="portrait"/>
          <w:cols w:equalWidth="0" w:num="1">
            <w:col w:w="10460"/>
          </w:cols>
          <w:pgMar w:left="440" w:top="270" w:right="9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BYLAWS</w:t>
      </w:r>
    </w:p>
    <w:p>
      <w:pPr>
        <w:spacing w:after="0" w:line="11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pacing w:after="0" w:line="99"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Adopted on June 3, 2020</w:t>
      </w:r>
    </w:p>
    <w:p>
      <w:pPr>
        <w:sectPr>
          <w:pgSz w:w="11900" w:h="16838" w:orient="portrait"/>
          <w:cols w:equalWidth="0" w:num="1">
            <w:col w:w="10020"/>
          </w:cols>
          <w:pgMar w:left="1440" w:top="121" w:right="4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924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0680" w:type="dxa"/>
            <w:vAlign w:val="bottom"/>
            <w:gridSpan w:val="2"/>
            <w:vMerge w:val="restart"/>
          </w:tcPr>
          <w:p>
            <w:pPr>
              <w:spacing w:after="0"/>
              <w:rPr>
                <w:sz w:val="20"/>
                <w:szCs w:val="20"/>
                <w:color w:val="auto"/>
              </w:rPr>
            </w:pPr>
            <w:r>
              <w:rPr>
                <w:rFonts w:ascii="Arial" w:cs="Arial" w:eastAsia="Arial" w:hAnsi="Arial"/>
                <w:sz w:val="18"/>
                <w:szCs w:val="18"/>
                <w:color w:val="auto"/>
              </w:rPr>
              <w:t>ARTICLE I. IDENTIFICATION; OFFICES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gridSpan w:val="2"/>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5"/>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NAME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PRINCIPAL AND BUSINESS OFFICES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REGISTERED AGENT AND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CORPORATE RECORDS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 STOCKHOLDERS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ANNUAL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PLACE OF STOCKHOLDER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ADJOURNED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FIXING OF RECORD DATE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VOTING LIST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PROXIES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RATIFICATION OF ACTS OF DIRECTORS AND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CONDUCT OF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ACTION WITHOUT MEETING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III.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POWERS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NUMBER AND TENURE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9240" w:type="dxa"/>
            <w:vAlign w:val="bottom"/>
          </w:tcPr>
          <w:p>
            <w:pPr>
              <w:ind w:left="40"/>
              <w:spacing w:after="0"/>
              <w:rPr>
                <w:sz w:val="20"/>
                <w:szCs w:val="20"/>
                <w:color w:val="auto"/>
              </w:rPr>
            </w:pPr>
            <w:r>
              <w:rPr>
                <w:rFonts w:ascii="Arial" w:cs="Arial" w:eastAsia="Arial" w:hAnsi="Arial"/>
                <w:sz w:val="18"/>
                <w:szCs w:val="18"/>
                <w:color w:val="auto"/>
              </w:rPr>
              <w:t>CHAIRMAN OF THE BOARD; VICE CHAIRMAN OF THE BOARD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9240" w:type="dxa"/>
            <w:vAlign w:val="bottom"/>
          </w:tcPr>
          <w:p>
            <w:pPr>
              <w:ind w:left="40"/>
              <w:spacing w:after="0"/>
              <w:rPr>
                <w:sz w:val="20"/>
                <w:szCs w:val="20"/>
                <w:color w:val="auto"/>
              </w:rPr>
            </w:pPr>
            <w:r>
              <w:rPr>
                <w:rFonts w:ascii="Arial" w:cs="Arial" w:eastAsia="Arial" w:hAnsi="Arial"/>
                <w:sz w:val="18"/>
                <w:szCs w:val="18"/>
                <w:color w:val="auto"/>
              </w:rPr>
              <w:t>QUORUM</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9240" w:type="dxa"/>
            <w:vAlign w:val="bottom"/>
          </w:tcPr>
          <w:p>
            <w:pPr>
              <w:ind w:left="40"/>
              <w:spacing w:after="0"/>
              <w:rPr>
                <w:sz w:val="20"/>
                <w:szCs w:val="20"/>
                <w:color w:val="auto"/>
              </w:rPr>
            </w:pPr>
            <w:r>
              <w:rPr>
                <w:rFonts w:ascii="Arial" w:cs="Arial" w:eastAsia="Arial" w:hAnsi="Arial"/>
                <w:sz w:val="18"/>
                <w:szCs w:val="18"/>
                <w:color w:val="auto"/>
              </w:rPr>
              <w:t>VOTING</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9240" w:type="dxa"/>
            <w:vAlign w:val="bottom"/>
          </w:tcPr>
          <w:p>
            <w:pPr>
              <w:ind w:left="40"/>
              <w:spacing w:after="0"/>
              <w:rPr>
                <w:sz w:val="20"/>
                <w:szCs w:val="20"/>
                <w:color w:val="auto"/>
              </w:rPr>
            </w:pPr>
            <w:r>
              <w:rPr>
                <w:rFonts w:ascii="Arial" w:cs="Arial" w:eastAsia="Arial" w:hAnsi="Arial"/>
                <w:sz w:val="18"/>
                <w:szCs w:val="18"/>
                <w:color w:val="auto"/>
              </w:rPr>
              <w:t>VACANCIES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9240" w:type="dxa"/>
            <w:vAlign w:val="bottom"/>
          </w:tcPr>
          <w:p>
            <w:pPr>
              <w:ind w:left="40"/>
              <w:spacing w:after="0"/>
              <w:rPr>
                <w:sz w:val="20"/>
                <w:szCs w:val="20"/>
                <w:color w:val="auto"/>
              </w:rPr>
            </w:pPr>
            <w:r>
              <w:rPr>
                <w:rFonts w:ascii="Arial" w:cs="Arial" w:eastAsia="Arial" w:hAnsi="Arial"/>
                <w:sz w:val="18"/>
                <w:szCs w:val="18"/>
                <w:color w:val="auto"/>
              </w:rPr>
              <w:t>REMOVAL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9240" w:type="dxa"/>
            <w:vAlign w:val="bottom"/>
          </w:tcPr>
          <w:p>
            <w:pPr>
              <w:ind w:left="40"/>
              <w:spacing w:after="0"/>
              <w:rPr>
                <w:sz w:val="20"/>
                <w:szCs w:val="20"/>
                <w:color w:val="auto"/>
              </w:rPr>
            </w:pPr>
            <w:r>
              <w:rPr>
                <w:rFonts w:ascii="Arial" w:cs="Arial" w:eastAsia="Arial" w:hAnsi="Arial"/>
                <w:sz w:val="18"/>
                <w:szCs w:val="18"/>
                <w:color w:val="auto"/>
              </w:rPr>
              <w:t>REGULAR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9240" w:type="dxa"/>
            <w:vAlign w:val="bottom"/>
          </w:tcPr>
          <w:p>
            <w:pPr>
              <w:ind w:left="40"/>
              <w:spacing w:after="0"/>
              <w:rPr>
                <w:sz w:val="20"/>
                <w:szCs w:val="20"/>
                <w:color w:val="auto"/>
              </w:rPr>
            </w:pPr>
            <w:r>
              <w:rPr>
                <w:rFonts w:ascii="Arial" w:cs="Arial" w:eastAsia="Arial" w:hAnsi="Arial"/>
                <w:sz w:val="18"/>
                <w:szCs w:val="18"/>
                <w:color w:val="auto"/>
              </w:rPr>
              <w:t>SPECIAL MEETINGS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9240" w:type="dxa"/>
            <w:vAlign w:val="bottom"/>
          </w:tcPr>
          <w:p>
            <w:pPr>
              <w:ind w:left="40"/>
              <w:spacing w:after="0"/>
              <w:rPr>
                <w:sz w:val="20"/>
                <w:szCs w:val="20"/>
                <w:color w:val="auto"/>
              </w:rPr>
            </w:pPr>
            <w:r>
              <w:rPr>
                <w:rFonts w:ascii="Arial" w:cs="Arial" w:eastAsia="Arial" w:hAnsi="Arial"/>
                <w:sz w:val="18"/>
                <w:szCs w:val="18"/>
                <w:color w:val="auto"/>
              </w:rPr>
              <w:t>NOTICE OF SPECIAL MEETINGS OF THE BOARD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9240" w:type="dxa"/>
            <w:vAlign w:val="bottom"/>
          </w:tcPr>
          <w:p>
            <w:pPr>
              <w:ind w:left="40"/>
              <w:spacing w:after="0"/>
              <w:rPr>
                <w:sz w:val="20"/>
                <w:szCs w:val="20"/>
                <w:color w:val="auto"/>
              </w:rPr>
            </w:pPr>
            <w:r>
              <w:rPr>
                <w:rFonts w:ascii="Arial" w:cs="Arial" w:eastAsia="Arial" w:hAnsi="Arial"/>
                <w:sz w:val="18"/>
                <w:szCs w:val="18"/>
                <w:color w:val="auto"/>
              </w:rPr>
              <w:t>WRITTEN ACTION BY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9240" w:type="dxa"/>
            <w:vAlign w:val="bottom"/>
          </w:tcPr>
          <w:p>
            <w:pPr>
              <w:ind w:left="40"/>
              <w:spacing w:after="0"/>
              <w:rPr>
                <w:sz w:val="20"/>
                <w:szCs w:val="20"/>
                <w:color w:val="auto"/>
              </w:rPr>
            </w:pPr>
            <w:r>
              <w:rPr>
                <w:rFonts w:ascii="Arial" w:cs="Arial" w:eastAsia="Arial" w:hAnsi="Arial"/>
                <w:sz w:val="18"/>
                <w:szCs w:val="18"/>
                <w:color w:val="auto"/>
              </w:rPr>
              <w:t>PARTICIPATION BY CONFERENCE TELEPHONE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9240" w:type="dxa"/>
            <w:vAlign w:val="bottom"/>
          </w:tcPr>
          <w:p>
            <w:pPr>
              <w:ind w:left="40"/>
              <w:spacing w:after="0"/>
              <w:rPr>
                <w:sz w:val="20"/>
                <w:szCs w:val="20"/>
                <w:color w:val="auto"/>
              </w:rPr>
            </w:pPr>
            <w:r>
              <w:rPr>
                <w:rFonts w:ascii="Arial" w:cs="Arial" w:eastAsia="Arial" w:hAnsi="Arial"/>
                <w:sz w:val="18"/>
                <w:szCs w:val="18"/>
                <w:color w:val="auto"/>
              </w:rPr>
              <w:t>COMMITTEES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16.</w:t>
            </w:r>
          </w:p>
        </w:tc>
        <w:tc>
          <w:tcPr>
            <w:tcW w:w="9240" w:type="dxa"/>
            <w:vAlign w:val="bottom"/>
          </w:tcPr>
          <w:p>
            <w:pPr>
              <w:ind w:left="40"/>
              <w:spacing w:after="0"/>
              <w:rPr>
                <w:sz w:val="20"/>
                <w:szCs w:val="20"/>
                <w:color w:val="auto"/>
              </w:rPr>
            </w:pPr>
            <w:r>
              <w:rPr>
                <w:rFonts w:ascii="Arial" w:cs="Arial" w:eastAsia="Arial" w:hAnsi="Arial"/>
                <w:sz w:val="18"/>
                <w:szCs w:val="18"/>
                <w:color w:val="auto"/>
              </w:rPr>
              <w:t>COMPENSATION OF DIRECTORS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24"/>
        </w:trPr>
        <w:tc>
          <w:tcPr>
            <w:tcW w:w="10680" w:type="dxa"/>
            <w:vAlign w:val="bottom"/>
            <w:gridSpan w:val="2"/>
          </w:tcPr>
          <w:p>
            <w:pPr>
              <w:spacing w:after="0"/>
              <w:rPr>
                <w:sz w:val="20"/>
                <w:szCs w:val="20"/>
                <w:color w:val="auto"/>
              </w:rPr>
            </w:pPr>
            <w:r>
              <w:rPr>
                <w:rFonts w:ascii="Arial" w:cs="Arial" w:eastAsia="Arial" w:hAnsi="Arial"/>
                <w:sz w:val="18"/>
                <w:szCs w:val="18"/>
                <w:color w:val="auto"/>
              </w:rPr>
              <w:t>ARTICLE IV.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9240" w:type="dxa"/>
            <w:vAlign w:val="bottom"/>
          </w:tcPr>
          <w:p>
            <w:pPr>
              <w:ind w:left="40"/>
              <w:spacing w:after="0"/>
              <w:rPr>
                <w:sz w:val="20"/>
                <w:szCs w:val="20"/>
                <w:color w:val="auto"/>
              </w:rPr>
            </w:pPr>
            <w:r>
              <w:rPr>
                <w:rFonts w:ascii="Arial" w:cs="Arial" w:eastAsia="Arial" w:hAnsi="Arial"/>
                <w:sz w:val="18"/>
                <w:szCs w:val="18"/>
                <w:color w:val="auto"/>
              </w:rPr>
              <w:t>GENERAL PROVISIONS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9240" w:type="dxa"/>
            <w:vAlign w:val="bottom"/>
          </w:tcPr>
          <w:p>
            <w:pPr>
              <w:ind w:left="40"/>
              <w:spacing w:after="0"/>
              <w:rPr>
                <w:sz w:val="20"/>
                <w:szCs w:val="20"/>
                <w:color w:val="auto"/>
              </w:rPr>
            </w:pPr>
            <w:r>
              <w:rPr>
                <w:rFonts w:ascii="Arial" w:cs="Arial" w:eastAsia="Arial" w:hAnsi="Arial"/>
                <w:sz w:val="18"/>
                <w:szCs w:val="18"/>
                <w:color w:val="auto"/>
              </w:rPr>
              <w:t>ELECTION AND TERM OF OFFICE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9240" w:type="dxa"/>
            <w:vAlign w:val="bottom"/>
          </w:tcPr>
          <w:p>
            <w:pPr>
              <w:ind w:left="40"/>
              <w:spacing w:after="0"/>
              <w:rPr>
                <w:sz w:val="20"/>
                <w:szCs w:val="20"/>
                <w:color w:val="auto"/>
              </w:rPr>
            </w:pPr>
            <w:r>
              <w:rPr>
                <w:rFonts w:ascii="Arial" w:cs="Arial" w:eastAsia="Arial" w:hAnsi="Arial"/>
                <w:sz w:val="18"/>
                <w:szCs w:val="18"/>
                <w:color w:val="auto"/>
              </w:rPr>
              <w:t>RESIGNATION AND REMOVAL OF OFFICERS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287" w:name="page288"/>
    <w:bookmarkEnd w:id="287"/>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VACANCIES</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THE CHIEF EXECUTIVE OFFICER</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THE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THE VICE PRESIDENT</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THE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SECRETARY</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7660" w:type="dxa"/>
            <w:vAlign w:val="bottom"/>
          </w:tcPr>
          <w:p>
            <w:pPr>
              <w:ind w:left="40"/>
              <w:spacing w:after="0"/>
              <w:rPr>
                <w:sz w:val="20"/>
                <w:szCs w:val="20"/>
                <w:color w:val="auto"/>
              </w:rPr>
            </w:pPr>
            <w:r>
              <w:rPr>
                <w:rFonts w:ascii="Arial" w:cs="Arial" w:eastAsia="Arial" w:hAnsi="Arial"/>
                <w:sz w:val="18"/>
                <w:szCs w:val="18"/>
                <w:color w:val="auto"/>
              </w:rPr>
              <w:t>THE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7660" w:type="dxa"/>
            <w:vAlign w:val="bottom"/>
          </w:tcPr>
          <w:p>
            <w:pPr>
              <w:ind w:left="40"/>
              <w:spacing w:after="0"/>
              <w:rPr>
                <w:sz w:val="20"/>
                <w:szCs w:val="20"/>
                <w:color w:val="auto"/>
              </w:rPr>
            </w:pPr>
            <w:r>
              <w:rPr>
                <w:rFonts w:ascii="Arial" w:cs="Arial" w:eastAsia="Arial" w:hAnsi="Arial"/>
                <w:sz w:val="18"/>
                <w:szCs w:val="18"/>
                <w:color w:val="auto"/>
              </w:rPr>
              <w:t>THE ASSISTANT TREASURER</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7660" w:type="dxa"/>
            <w:vAlign w:val="bottom"/>
          </w:tcPr>
          <w:p>
            <w:pPr>
              <w:ind w:left="40"/>
              <w:spacing w:after="0"/>
              <w:rPr>
                <w:sz w:val="20"/>
                <w:szCs w:val="20"/>
                <w:color w:val="auto"/>
              </w:rPr>
            </w:pPr>
            <w:r>
              <w:rPr>
                <w:rFonts w:ascii="Arial" w:cs="Arial" w:eastAsia="Arial" w:hAnsi="Arial"/>
                <w:sz w:val="18"/>
                <w:szCs w:val="18"/>
                <w:color w:val="auto"/>
              </w:rPr>
              <w:t>OTHER OFFICERS, ASSISTANT OFFICERS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7660" w:type="dxa"/>
            <w:vAlign w:val="bottom"/>
          </w:tcPr>
          <w:p>
            <w:pPr>
              <w:ind w:left="40"/>
              <w:spacing w:after="0"/>
              <w:rPr>
                <w:sz w:val="20"/>
                <w:szCs w:val="20"/>
                <w:color w:val="auto"/>
              </w:rPr>
            </w:pPr>
            <w:r>
              <w:rPr>
                <w:rFonts w:ascii="Arial" w:cs="Arial" w:eastAsia="Arial" w:hAnsi="Arial"/>
                <w:sz w:val="18"/>
                <w:szCs w:val="18"/>
                <w:color w:val="auto"/>
              </w:rPr>
              <w:t>ABSENCE OF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76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CAPITAL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ISSUANCE OF STOCK</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CERTIFICATES OF SHARES; UNCERTIFICATED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SIGNATURES OF FORMER OFFICER, TRANSFER AGENT OR REGISTRAR</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 OF SHARES</w:t>
            </w:r>
          </w:p>
        </w:tc>
        <w:tc>
          <w:tcPr>
            <w:tcW w:w="1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LOST, DESTROYED OR STOLEN CERTIFICATES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REGULATIONS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 RESTRICTIONS ON TRANSFER AND 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CONSENT TO TRANSFER</w:t>
            </w:r>
          </w:p>
        </w:tc>
        <w:tc>
          <w:tcPr>
            <w:tcW w:w="18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RIGHT OF FIRST REFUSAL</w:t>
            </w:r>
          </w:p>
        </w:tc>
        <w:tc>
          <w:tcPr>
            <w:tcW w:w="18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EXCEPTIONS</w:t>
            </w:r>
          </w:p>
        </w:tc>
        <w:tc>
          <w:tcPr>
            <w:tcW w:w="1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VOID TRANSFERS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LEGENDS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CONFLICTS</w:t>
            </w:r>
          </w:p>
        </w:tc>
        <w:tc>
          <w:tcPr>
            <w:tcW w:w="18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RIGHT TO INDEMNIFICATION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PREPAYMENT OF EXPENSES OF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7660" w:type="dxa"/>
            <w:vAlign w:val="bottom"/>
          </w:tcPr>
          <w:p>
            <w:pPr>
              <w:ind w:left="40"/>
              <w:spacing w:after="0"/>
              <w:rPr>
                <w:sz w:val="20"/>
                <w:szCs w:val="20"/>
                <w:color w:val="auto"/>
              </w:rPr>
            </w:pPr>
            <w:r>
              <w:rPr>
                <w:rFonts w:ascii="Arial" w:cs="Arial" w:eastAsia="Arial" w:hAnsi="Arial"/>
                <w:sz w:val="18"/>
                <w:szCs w:val="18"/>
                <w:color w:val="auto"/>
              </w:rPr>
              <w:t>CLAIMS BY DIRECTORS AND OFFICERS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7660" w:type="dxa"/>
            <w:vAlign w:val="bottom"/>
          </w:tcPr>
          <w:p>
            <w:pPr>
              <w:ind w:left="40"/>
              <w:spacing w:after="0"/>
              <w:rPr>
                <w:sz w:val="20"/>
                <w:szCs w:val="20"/>
                <w:color w:val="auto"/>
              </w:rPr>
            </w:pPr>
            <w:r>
              <w:rPr>
                <w:rFonts w:ascii="Arial" w:cs="Arial" w:eastAsia="Arial" w:hAnsi="Arial"/>
                <w:sz w:val="18"/>
                <w:szCs w:val="18"/>
                <w:color w:val="auto"/>
              </w:rPr>
              <w:t>INDEMNIFICATION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7660" w:type="dxa"/>
            <w:vAlign w:val="bottom"/>
          </w:tcPr>
          <w:p>
            <w:pPr>
              <w:ind w:left="40"/>
              <w:spacing w:after="0"/>
              <w:rPr>
                <w:sz w:val="20"/>
                <w:szCs w:val="20"/>
                <w:color w:val="auto"/>
              </w:rPr>
            </w:pPr>
            <w:r>
              <w:rPr>
                <w:rFonts w:ascii="Arial" w:cs="Arial" w:eastAsia="Arial" w:hAnsi="Arial"/>
                <w:sz w:val="18"/>
                <w:szCs w:val="18"/>
                <w:color w:val="auto"/>
              </w:rPr>
              <w:t>ADVANCEMENT OF EXPENSES OF EMPLOYEES AND AGENTS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7660" w:type="dxa"/>
            <w:vAlign w:val="bottom"/>
          </w:tcPr>
          <w:p>
            <w:pPr>
              <w:ind w:left="40"/>
              <w:spacing w:after="0"/>
              <w:rPr>
                <w:sz w:val="20"/>
                <w:szCs w:val="20"/>
                <w:color w:val="auto"/>
              </w:rPr>
            </w:pPr>
            <w:r>
              <w:rPr>
                <w:rFonts w:ascii="Arial" w:cs="Arial" w:eastAsia="Arial" w:hAnsi="Arial"/>
                <w:sz w:val="18"/>
                <w:szCs w:val="18"/>
                <w:color w:val="auto"/>
              </w:rPr>
              <w:t>NON-EXCLUSIVITY OF RIGHTS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7660" w:type="dxa"/>
            <w:vAlign w:val="bottom"/>
          </w:tcPr>
          <w:p>
            <w:pPr>
              <w:ind w:left="40"/>
              <w:spacing w:after="0"/>
              <w:rPr>
                <w:sz w:val="20"/>
                <w:szCs w:val="20"/>
                <w:color w:val="auto"/>
              </w:rPr>
            </w:pPr>
            <w:r>
              <w:rPr>
                <w:rFonts w:ascii="Arial" w:cs="Arial" w:eastAsia="Arial" w:hAnsi="Arial"/>
                <w:sz w:val="18"/>
                <w:szCs w:val="18"/>
                <w:color w:val="auto"/>
              </w:rPr>
              <w:t>OTHER INDEMNIFICATION</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7660" w:type="dxa"/>
            <w:vAlign w:val="bottom"/>
          </w:tcPr>
          <w:p>
            <w:pPr>
              <w:ind w:left="40"/>
              <w:spacing w:after="0"/>
              <w:rPr>
                <w:sz w:val="20"/>
                <w:szCs w:val="20"/>
                <w:color w:val="auto"/>
              </w:rPr>
            </w:pPr>
            <w:r>
              <w:rPr>
                <w:rFonts w:ascii="Arial" w:cs="Arial" w:eastAsia="Arial" w:hAnsi="Arial"/>
                <w:sz w:val="18"/>
                <w:szCs w:val="18"/>
                <w:color w:val="auto"/>
              </w:rPr>
              <w:t>INSURANCE</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7660" w:type="dxa"/>
            <w:vAlign w:val="bottom"/>
          </w:tcPr>
          <w:p>
            <w:pPr>
              <w:ind w:left="40"/>
              <w:spacing w:after="0"/>
              <w:rPr>
                <w:sz w:val="20"/>
                <w:szCs w:val="20"/>
                <w:color w:val="auto"/>
              </w:rPr>
            </w:pPr>
            <w:r>
              <w:rPr>
                <w:rFonts w:ascii="Arial" w:cs="Arial" w:eastAsia="Arial" w:hAnsi="Arial"/>
                <w:sz w:val="18"/>
                <w:szCs w:val="18"/>
                <w:color w:val="auto"/>
              </w:rPr>
              <w:t>AMENDMENT OR REPEAL</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9100" w:type="dxa"/>
            <w:vAlign w:val="bottom"/>
            <w:gridSpan w:val="2"/>
          </w:tcPr>
          <w:p>
            <w:pPr>
              <w:spacing w:after="0"/>
              <w:rPr>
                <w:sz w:val="20"/>
                <w:szCs w:val="20"/>
                <w:color w:val="auto"/>
              </w:rPr>
            </w:pPr>
            <w:r>
              <w:rPr>
                <w:rFonts w:ascii="Arial" w:cs="Arial" w:eastAsia="Arial" w:hAnsi="Arial"/>
                <w:sz w:val="18"/>
                <w:szCs w:val="18"/>
                <w:color w:val="auto"/>
              </w:rPr>
              <w:t>ARTICLE VIII.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7660" w:type="dxa"/>
            <w:vAlign w:val="bottom"/>
          </w:tcPr>
          <w:p>
            <w:pPr>
              <w:ind w:left="40"/>
              <w:spacing w:after="0"/>
              <w:rPr>
                <w:sz w:val="20"/>
                <w:szCs w:val="20"/>
                <w:color w:val="auto"/>
              </w:rPr>
            </w:pPr>
            <w:r>
              <w:rPr>
                <w:rFonts w:ascii="Arial" w:cs="Arial" w:eastAsia="Arial" w:hAnsi="Arial"/>
                <w:sz w:val="18"/>
                <w:szCs w:val="18"/>
                <w:color w:val="auto"/>
              </w:rPr>
              <w:t>DECLARATIONS OF DIVIDENDS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7660" w:type="dxa"/>
            <w:vAlign w:val="bottom"/>
          </w:tcPr>
          <w:p>
            <w:pPr>
              <w:ind w:left="40"/>
              <w:spacing w:after="0"/>
              <w:rPr>
                <w:sz w:val="20"/>
                <w:szCs w:val="20"/>
                <w:color w:val="auto"/>
              </w:rPr>
            </w:pPr>
            <w:r>
              <w:rPr>
                <w:rFonts w:ascii="Arial" w:cs="Arial" w:eastAsia="Arial" w:hAnsi="Arial"/>
                <w:sz w:val="18"/>
                <w:szCs w:val="18"/>
                <w:color w:val="auto"/>
              </w:rPr>
              <w:t>SPECIAL PURPOSES RESERVES</w:t>
            </w:r>
          </w:p>
        </w:tc>
        <w:tc>
          <w:tcPr>
            <w:tcW w:w="1860" w:type="dxa"/>
            <w:vAlign w:val="bottom"/>
          </w:tcPr>
          <w:p>
            <w:pPr>
              <w:jc w:val="right"/>
              <w:spacing w:after="0"/>
              <w:rPr>
                <w:sz w:val="20"/>
                <w:szCs w:val="20"/>
                <w:color w:val="auto"/>
              </w:rPr>
            </w:pPr>
            <w:r>
              <w:rPr>
                <w:rFonts w:ascii="Arial" w:cs="Arial" w:eastAsia="Arial" w:hAnsi="Arial"/>
                <w:sz w:val="18"/>
                <w:szCs w:val="18"/>
                <w:color w:val="auto"/>
              </w:rPr>
              <w:t>19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ARTICLE IX. 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NOTICE BY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DEFINITION OF ELECTRONIC TRANSMISSION</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INAPPLICABILITY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 GENERAL PROVISIONS</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FISCAL YEAR</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SEAL</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3.</w:t>
            </w:r>
          </w:p>
        </w:tc>
        <w:tc>
          <w:tcPr>
            <w:tcW w:w="6600" w:type="dxa"/>
            <w:vAlign w:val="bottom"/>
          </w:tcPr>
          <w:p>
            <w:pPr>
              <w:ind w:left="40"/>
              <w:spacing w:after="0"/>
              <w:rPr>
                <w:sz w:val="20"/>
                <w:szCs w:val="20"/>
                <w:color w:val="auto"/>
              </w:rPr>
            </w:pPr>
            <w:r>
              <w:rPr>
                <w:rFonts w:ascii="Arial" w:cs="Arial" w:eastAsia="Arial" w:hAnsi="Arial"/>
                <w:sz w:val="18"/>
                <w:szCs w:val="18"/>
                <w:color w:val="auto"/>
              </w:rPr>
              <w:t>WRITTEN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4.</w:t>
            </w:r>
          </w:p>
        </w:tc>
        <w:tc>
          <w:tcPr>
            <w:tcW w:w="6600" w:type="dxa"/>
            <w:vAlign w:val="bottom"/>
          </w:tcPr>
          <w:p>
            <w:pPr>
              <w:ind w:left="40"/>
              <w:spacing w:after="0"/>
              <w:rPr>
                <w:sz w:val="20"/>
                <w:szCs w:val="20"/>
                <w:color w:val="auto"/>
              </w:rPr>
            </w:pPr>
            <w:r>
              <w:rPr>
                <w:rFonts w:ascii="Arial" w:cs="Arial" w:eastAsia="Arial" w:hAnsi="Arial"/>
                <w:sz w:val="18"/>
                <w:szCs w:val="18"/>
                <w:color w:val="auto"/>
              </w:rPr>
              <w:t>ATTENDANCE AS WAIVER OF NOTICE</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5.</w:t>
            </w:r>
          </w:p>
        </w:tc>
        <w:tc>
          <w:tcPr>
            <w:tcW w:w="6600" w:type="dxa"/>
            <w:vAlign w:val="bottom"/>
          </w:tcPr>
          <w:p>
            <w:pPr>
              <w:ind w:left="40"/>
              <w:spacing w:after="0"/>
              <w:rPr>
                <w:sz w:val="20"/>
                <w:szCs w:val="20"/>
                <w:color w:val="auto"/>
              </w:rPr>
            </w:pPr>
            <w:r>
              <w:rPr>
                <w:rFonts w:ascii="Arial" w:cs="Arial" w:eastAsia="Arial" w:hAnsi="Arial"/>
                <w:sz w:val="18"/>
                <w:szCs w:val="18"/>
                <w:color w:val="auto"/>
              </w:rPr>
              <w:t>WAIVER OF SECTION 1501</w:t>
            </w:r>
          </w:p>
        </w:tc>
        <w:tc>
          <w:tcPr>
            <w:tcW w:w="29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6.</w:t>
            </w:r>
          </w:p>
        </w:tc>
        <w:tc>
          <w:tcPr>
            <w:tcW w:w="660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7.</w:t>
            </w:r>
          </w:p>
        </w:tc>
        <w:tc>
          <w:tcPr>
            <w:tcW w:w="6600" w:type="dxa"/>
            <w:vAlign w:val="bottom"/>
          </w:tcPr>
          <w:p>
            <w:pPr>
              <w:ind w:left="40"/>
              <w:spacing w:after="0"/>
              <w:rPr>
                <w:sz w:val="20"/>
                <w:szCs w:val="20"/>
                <w:color w:val="auto"/>
              </w:rPr>
            </w:pPr>
            <w:r>
              <w:rPr>
                <w:rFonts w:ascii="Arial" w:cs="Arial" w:eastAsia="Arial" w:hAnsi="Arial"/>
                <w:sz w:val="18"/>
                <w:szCs w:val="18"/>
                <w:color w:val="auto"/>
              </w:rPr>
              <w:t>LOANS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8.</w:t>
            </w:r>
          </w:p>
        </w:tc>
        <w:tc>
          <w:tcPr>
            <w:tcW w:w="6600" w:type="dxa"/>
            <w:vAlign w:val="bottom"/>
          </w:tcPr>
          <w:p>
            <w:pPr>
              <w:ind w:left="40"/>
              <w:spacing w:after="0"/>
              <w:rPr>
                <w:sz w:val="20"/>
                <w:szCs w:val="20"/>
                <w:color w:val="auto"/>
              </w:rPr>
            </w:pPr>
            <w:r>
              <w:rPr>
                <w:rFonts w:ascii="Arial" w:cs="Arial" w:eastAsia="Arial" w:hAnsi="Arial"/>
                <w:sz w:val="18"/>
                <w:szCs w:val="18"/>
                <w:color w:val="auto"/>
              </w:rPr>
              <w:t>CHECKS, DRAFTS, ETC</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rPr>
              <w:t>SECTION 9.</w:t>
            </w:r>
          </w:p>
        </w:tc>
        <w:tc>
          <w:tcPr>
            <w:tcW w:w="6600" w:type="dxa"/>
            <w:vAlign w:val="bottom"/>
          </w:tcPr>
          <w:p>
            <w:pPr>
              <w:ind w:left="40"/>
              <w:spacing w:after="0"/>
              <w:rPr>
                <w:sz w:val="20"/>
                <w:szCs w:val="20"/>
                <w:color w:val="auto"/>
              </w:rPr>
            </w:pPr>
            <w:r>
              <w:rPr>
                <w:rFonts w:ascii="Arial" w:cs="Arial" w:eastAsia="Arial" w:hAnsi="Arial"/>
                <w:sz w:val="18"/>
                <w:szCs w:val="18"/>
                <w:color w:val="auto"/>
              </w:rPr>
              <w:t>DEPOSITS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10.</w:t>
            </w:r>
          </w:p>
        </w:tc>
        <w:tc>
          <w:tcPr>
            <w:tcW w:w="6600" w:type="dxa"/>
            <w:vAlign w:val="bottom"/>
          </w:tcPr>
          <w:p>
            <w:pPr>
              <w:ind w:left="40"/>
              <w:spacing w:after="0"/>
              <w:rPr>
                <w:sz w:val="20"/>
                <w:szCs w:val="20"/>
                <w:color w:val="auto"/>
              </w:rPr>
            </w:pPr>
            <w:r>
              <w:rPr>
                <w:rFonts w:ascii="Arial" w:cs="Arial" w:eastAsia="Arial" w:hAnsi="Arial"/>
                <w:sz w:val="18"/>
                <w:szCs w:val="18"/>
                <w:color w:val="auto"/>
              </w:rPr>
              <w:t>ANNUAL STATEMENT</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11.</w:t>
            </w:r>
          </w:p>
        </w:tc>
        <w:tc>
          <w:tcPr>
            <w:tcW w:w="6600" w:type="dxa"/>
            <w:vAlign w:val="bottom"/>
          </w:tcPr>
          <w:p>
            <w:pPr>
              <w:ind w:left="40"/>
              <w:spacing w:after="0"/>
              <w:rPr>
                <w:sz w:val="20"/>
                <w:szCs w:val="20"/>
                <w:color w:val="auto"/>
              </w:rPr>
            </w:pPr>
            <w:r>
              <w:rPr>
                <w:rFonts w:ascii="Arial" w:cs="Arial" w:eastAsia="Arial" w:hAnsi="Arial"/>
                <w:sz w:val="18"/>
                <w:szCs w:val="18"/>
                <w:color w:val="auto"/>
              </w:rPr>
              <w:t>VOTING OF SECURITIES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12.</w:t>
            </w:r>
          </w:p>
        </w:tc>
        <w:tc>
          <w:tcPr>
            <w:tcW w:w="6600" w:type="dxa"/>
            <w:vAlign w:val="bottom"/>
          </w:tcPr>
          <w:p>
            <w:pPr>
              <w:ind w:left="40"/>
              <w:spacing w:after="0"/>
              <w:rPr>
                <w:sz w:val="20"/>
                <w:szCs w:val="20"/>
                <w:color w:val="auto"/>
              </w:rPr>
            </w:pPr>
            <w:r>
              <w:rPr>
                <w:rFonts w:ascii="Arial" w:cs="Arial" w:eastAsia="Arial" w:hAnsi="Arial"/>
                <w:sz w:val="18"/>
                <w:szCs w:val="18"/>
                <w:color w:val="auto"/>
              </w:rPr>
              <w:t>EVIDENCE OF AUTHORITY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13.</w:t>
            </w:r>
          </w:p>
        </w:tc>
        <w:tc>
          <w:tcPr>
            <w:tcW w:w="6600" w:type="dxa"/>
            <w:vAlign w:val="bottom"/>
          </w:tcPr>
          <w:p>
            <w:pPr>
              <w:ind w:left="40"/>
              <w:spacing w:after="0"/>
              <w:rPr>
                <w:sz w:val="20"/>
                <w:szCs w:val="20"/>
                <w:color w:val="auto"/>
              </w:rPr>
            </w:pPr>
            <w:r>
              <w:rPr>
                <w:rFonts w:ascii="Arial" w:cs="Arial" w:eastAsia="Arial" w:hAnsi="Arial"/>
                <w:sz w:val="18"/>
                <w:szCs w:val="18"/>
                <w:color w:val="auto"/>
              </w:rPr>
              <w:t>CERTIFICATE OF INCORPORATION</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14.</w:t>
            </w:r>
          </w:p>
        </w:tc>
        <w:tc>
          <w:tcPr>
            <w:tcW w:w="6600" w:type="dxa"/>
            <w:vAlign w:val="bottom"/>
          </w:tcPr>
          <w:p>
            <w:pPr>
              <w:ind w:left="40"/>
              <w:spacing w:after="0"/>
              <w:rPr>
                <w:sz w:val="20"/>
                <w:szCs w:val="20"/>
                <w:color w:val="auto"/>
              </w:rPr>
            </w:pPr>
            <w:r>
              <w:rPr>
                <w:rFonts w:ascii="Arial" w:cs="Arial" w:eastAsia="Arial" w:hAnsi="Arial"/>
                <w:sz w:val="18"/>
                <w:szCs w:val="18"/>
                <w:color w:val="auto"/>
              </w:rPr>
              <w:t>SEVERABILITY</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w w:val="96"/>
              </w:rPr>
              <w:t>SECTION 15.</w:t>
            </w:r>
          </w:p>
        </w:tc>
        <w:tc>
          <w:tcPr>
            <w:tcW w:w="6600" w:type="dxa"/>
            <w:vAlign w:val="bottom"/>
          </w:tcPr>
          <w:p>
            <w:pPr>
              <w:ind w:left="40"/>
              <w:spacing w:after="0"/>
              <w:rPr>
                <w:sz w:val="20"/>
                <w:szCs w:val="20"/>
                <w:color w:val="auto"/>
              </w:rPr>
            </w:pPr>
            <w:r>
              <w:rPr>
                <w:rFonts w:ascii="Arial" w:cs="Arial" w:eastAsia="Arial" w:hAnsi="Arial"/>
                <w:sz w:val="18"/>
                <w:szCs w:val="18"/>
                <w:color w:val="auto"/>
              </w:rPr>
              <w:t>PRONOUNS</w:t>
            </w:r>
          </w:p>
        </w:tc>
        <w:tc>
          <w:tcPr>
            <w:tcW w:w="29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040" w:type="dxa"/>
            <w:vAlign w:val="bottom"/>
            <w:gridSpan w:val="2"/>
          </w:tcPr>
          <w:p>
            <w:pPr>
              <w:spacing w:after="0"/>
              <w:rPr>
                <w:sz w:val="20"/>
                <w:szCs w:val="20"/>
                <w:color w:val="auto"/>
              </w:rPr>
            </w:pPr>
            <w:r>
              <w:rPr>
                <w:rFonts w:ascii="Arial" w:cs="Arial" w:eastAsia="Arial" w:hAnsi="Arial"/>
                <w:sz w:val="18"/>
                <w:szCs w:val="18"/>
                <w:color w:val="auto"/>
              </w:rPr>
              <w:t>ARTICLE XI. AMENDMENTS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440" w:type="dxa"/>
            <w:vAlign w:val="bottom"/>
          </w:tcPr>
          <w:p>
            <w:pPr>
              <w:ind w:left="360"/>
              <w:spacing w:after="0"/>
              <w:rPr>
                <w:sz w:val="20"/>
                <w:szCs w:val="20"/>
                <w:color w:val="auto"/>
              </w:rPr>
            </w:pPr>
            <w:r>
              <w:rPr>
                <w:rFonts w:ascii="Arial" w:cs="Arial" w:eastAsia="Arial" w:hAnsi="Arial"/>
                <w:sz w:val="18"/>
                <w:szCs w:val="18"/>
                <w:color w:val="auto"/>
              </w:rPr>
              <w:t>SECTION 1.</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BOARD OF DIRECTORS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440" w:type="dxa"/>
            <w:vAlign w:val="bottom"/>
          </w:tcPr>
          <w:p>
            <w:pPr>
              <w:ind w:left="360"/>
              <w:spacing w:after="0"/>
              <w:rPr>
                <w:sz w:val="20"/>
                <w:szCs w:val="20"/>
                <w:color w:val="auto"/>
              </w:rPr>
            </w:pPr>
            <w:r>
              <w:rPr>
                <w:rFonts w:ascii="Arial" w:cs="Arial" w:eastAsia="Arial" w:hAnsi="Arial"/>
                <w:sz w:val="18"/>
                <w:szCs w:val="18"/>
                <w:color w:val="auto"/>
              </w:rPr>
              <w:t>SECTION 2.</w:t>
            </w:r>
          </w:p>
        </w:tc>
        <w:tc>
          <w:tcPr>
            <w:tcW w:w="6600" w:type="dxa"/>
            <w:vAlign w:val="bottom"/>
          </w:tcPr>
          <w:p>
            <w:pPr>
              <w:ind w:left="40"/>
              <w:spacing w:after="0"/>
              <w:rPr>
                <w:sz w:val="20"/>
                <w:szCs w:val="20"/>
                <w:color w:val="auto"/>
              </w:rPr>
            </w:pPr>
            <w:r>
              <w:rPr>
                <w:rFonts w:ascii="Arial" w:cs="Arial" w:eastAsia="Arial" w:hAnsi="Arial"/>
                <w:sz w:val="18"/>
                <w:szCs w:val="18"/>
                <w:color w:val="auto"/>
              </w:rPr>
              <w:t>BY THE STOCKHOLDERS</w:t>
            </w:r>
          </w:p>
        </w:tc>
        <w:tc>
          <w:tcPr>
            <w:tcW w:w="292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289" w:name="page290"/>
    <w:bookmarkEnd w:id="2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IDENTIFICATION; OFFICES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NAME. The name of the corporation is Adagio Therapeutics,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SECTION 2. PRINCIPAL AND BUSINESS OFFICES. The Corporation may have such principal and other business offices, either within or outside of the state of Delaware, as the Board of Directors may designate or as the Corporation’s business may require from time to time.</w:t>
      </w:r>
    </w:p>
    <w:p>
      <w:pPr>
        <w:spacing w:after="0" w:line="124" w:lineRule="exact"/>
        <w:rPr>
          <w:sz w:val="20"/>
          <w:szCs w:val="20"/>
          <w:color w:val="auto"/>
        </w:rPr>
      </w:pPr>
    </w:p>
    <w:p>
      <w:pPr>
        <w:ind w:right="340" w:firstLine="440"/>
        <w:spacing w:after="0" w:line="275" w:lineRule="auto"/>
        <w:rPr>
          <w:sz w:val="20"/>
          <w:szCs w:val="20"/>
          <w:color w:val="auto"/>
        </w:rPr>
      </w:pPr>
      <w:r>
        <w:rPr>
          <w:rFonts w:ascii="Arial" w:cs="Arial" w:eastAsia="Arial" w:hAnsi="Arial"/>
          <w:sz w:val="17"/>
          <w:szCs w:val="17"/>
          <w:color w:val="auto"/>
        </w:rPr>
        <w:t>SECTION 3. REGISTERED AGENT AND OFFICE. The Corporation’s registered agent may be changed from time to time by or under the authority of the Board of Directors. The address of the Corporation’s registered agent may change from time to time by or under the authority of the Board of Directors, or the registered agent. The business office of the Corporation’s registered agent shall be identical to the registered office. The Corporation’s registered office may be but need not be identical with the Corporation’s principal office in the state of Delaware. The Corporation’s initial registered office shall be in the City of Wilmington, County of New Castle, State of Delaware.</w:t>
      </w:r>
    </w:p>
    <w:p>
      <w:pPr>
        <w:spacing w:after="0" w:line="176"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SECTION 4. CORPORATE RECORDS. Any records and documents required by law to be kept by the Corporation permanently or administered by the Corporation in the regular course of business may be kept on, or by means of, or be in the form of, any information storage device, method, or one more electronic networks or databases, provided that the records so kept can be converted into clearly legible paper form within a reasonable time and, with respect to the stock ledger, the records so kept comply with Section 224 of the Delaware General Corporation Law. The Corporation shall so convert any records so kept upon the request of any person entitled to inspect such records pursuant to applicable law.</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 xml:space="preserve">SECTION 1. ANNUAL MEETING. An annual meeting of the stockholders shall be held on such date as may be designated by the Board of Directors, the Chairman of the Board, the Chief Executive Officer or the President. At each annual meeting, the stockholders shall elect directors to hold office for the term provided in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Article III of these Bylaws and transact such other business as may properly be brought before the meeting.</w:t>
      </w:r>
    </w:p>
    <w:p>
      <w:pPr>
        <w:spacing w:after="0" w:line="149"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SECTION 2. SPECIAL MEETING. A special meeting of the stockholders for any purpose or purposes may be called at any time only by the President, the Board of Directors, the Chairman of the Board, the Chief Executive Officer or any other person designated by the Board of Directors. The Board of Directors may postpone or reschedule any previously scheduled special meeting of stockholders. Business transacted at any special meeting of stockholders shall be limited to matters relating to the purpose or purposes stated in the notice of meeting.</w:t>
      </w:r>
    </w:p>
    <w:p>
      <w:pPr>
        <w:spacing w:after="0" w:line="17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SECTION 3. PLACE OF STOCKHOLDER MEETINGS. The Board of Directors, the Chairman of the Board, the Chief Executive Officer or the President may designate any place, either within or without the State of Delaware, as the place of meeting for any annual meeting or for any special meeting. If no such place is designated by the Board of Directors, the place of meeting will be the principal business office of the Corporation or the Board of Directors may, in its sole discretion, determine that the meeting shall not be held at any place, but will instead be held solely by means of remote communication as provided under Section 211 of the Delaware General Corporation Law.</w:t>
      </w:r>
    </w:p>
    <w:p>
      <w:pPr>
        <w:sectPr>
          <w:pgSz w:w="11900" w:h="16838" w:orient="portrait"/>
          <w:cols w:equalWidth="0" w:num="1">
            <w:col w:w="10980"/>
          </w:cols>
          <w:pgMar w:left="440" w:top="270" w:right="479" w:bottom="1440" w:gutter="0" w:footer="0" w:header="0"/>
        </w:sectPr>
      </w:pPr>
    </w:p>
    <w:bookmarkStart w:id="290" w:name="page291"/>
    <w:bookmarkEnd w:id="290"/>
    <w:p>
      <w:pPr>
        <w:ind w:right="4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 NOTICE OF MEETINGS. Except as otherwise provided by law or waived as herein provided, whenever stockholders are required or permitted to take any action at a meeting, whether annual or special, notice of the meeting shall be given stating the place, if any, date and hour of the meeting, the means of remote communications, if any, by which stockholders may be deemed to be present in person and vote at such meeting and, in the case of a special meeting, the purpose or purposes for which the meeting is called. Such notice shall be given unless otherwise required by law not less than 10 days nor more than 60 days before the date of the meeting to each stockholder entitled to vote at the meeting.</w:t>
      </w:r>
    </w:p>
    <w:p>
      <w:pPr>
        <w:spacing w:after="0" w:line="161"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When a meeting is adjourned to reconvene at the same or another place, if any, or by means of remote communications, if any, in accordance with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Article II of these Bylaws, notice need not be given of the adjourned meeting if the time and place thereof are announced at the meeting at which the adjournment is taken.</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5. QUORUM. Unless otherwise provided by law, the Corporation’s Certificate of Incorporation or these Bylaws, the holders of a majority in voting power of the shares of the capital stock of the Corporation issued and outstanding and entitled to vote at the meeting, present in person, present by means of remote communication in a manner, if any, authorized by the Board of Directors in its sole discretion, or represented by proxy, shall constitute a quorum for the transaction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where a separate vote by a class or classes or series of capital stock is required by law or the Certificate of Incorporation, the holders of a majority in voting power of the shares of such class or classes or series of the capital stock of the Corporation issued and outstanding and entitled to vote on such matter, present in person, present by means of remote communication in a manner, if any, authorized by the Board of Directors in its sole discretion, or represented by proxy, shall constitute a quorum entitled to take action with respect to the vote on such matter. If a quorum is present in person or represented by proxy at such meeting, such stockholders may continue to transact business until adjournment, notwithstanding the withdrawal of such number of stockholders as may leave less than a quorum.</w:t>
      </w:r>
    </w:p>
    <w:p>
      <w:pPr>
        <w:spacing w:after="0" w:line="166"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SECTION 6. ADJOURNED MEETINGS. Any meeting of stockholders may be adjourned from time to time to any other time and to any other place (or by means of remote communications, if any) at which a meeting of stockholders may be held under these Bylaws by the chairman of the meeting or by a majority of the stockholders present or represented at the meeting and entitled to vote, although less than a quorum. It shall not be necessary to notify any stockholder of any adjournment of less than 30 days if the time and place, if any, of the adjourned meeting, and the means of remote communication, if any, by which stockholders and proxyholders may be deemed to be present in person and vote at such adjourned meeting, are announced at the meeting at which adjournment is taken, unless after the adjournment a new record date is fixed for the adjourned meeting. At the adjourned meeting, the Corporation may transact any business which might have been transacted at the original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91" w:name="page292"/>
    <w:bookmarkEnd w:id="29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FIXING OF RECORD DATE.</w:t>
      </w:r>
    </w:p>
    <w:p>
      <w:pPr>
        <w:spacing w:after="0" w:line="225" w:lineRule="exact"/>
        <w:rPr>
          <w:sz w:val="20"/>
          <w:szCs w:val="20"/>
          <w:color w:val="auto"/>
        </w:rPr>
      </w:pPr>
    </w:p>
    <w:p>
      <w:pPr>
        <w:ind w:right="40" w:firstLine="987"/>
        <w:spacing w:after="0" w:line="254" w:lineRule="auto"/>
        <w:tabs>
          <w:tab w:leader="none" w:pos="123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Board of Directors may fix in advance a date as a record date for the determination of the stockholders entitled to notice of or to vote at any meeting of stockholders or any adjournment thereof. Such record date shall not precede the date upon which the resolution fixing the record date is adopted by the Board of Directors, and which record date shall not be more than 60 days nor less than 10 days before the date of such meeting.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Board of Directors may fix a new record date for the adjourned meeting.</w:t>
      </w:r>
    </w:p>
    <w:p>
      <w:pPr>
        <w:spacing w:after="0" w:line="191" w:lineRule="exact"/>
        <w:rPr>
          <w:rFonts w:ascii="Arial" w:cs="Arial" w:eastAsia="Arial" w:hAnsi="Arial"/>
          <w:sz w:val="18"/>
          <w:szCs w:val="18"/>
          <w:color w:val="auto"/>
        </w:rPr>
      </w:pPr>
    </w:p>
    <w:p>
      <w:pPr>
        <w:ind w:firstLine="987"/>
        <w:spacing w:after="0" w:line="269" w:lineRule="auto"/>
        <w:tabs>
          <w:tab w:leader="none" w:pos="124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For the purpose of determining stockholders entitled to consent to corporate action in writing without a meeting, the Board of Directors may fix a record date, which record date shall not precede the date upon which the resolution fixing the record date is established by the Board of Directors, and which date shall not be more than 10 days after the date 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office, or an officer or agent of the Corporation having custody of the book in which the proceedings of meetings of stockholders are recorded. Delivery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consent to corporate action in writing without a meeting shall be the close of business on the day on which the Board of Directors adopts the resolution taking such prior action.</w:t>
      </w:r>
    </w:p>
    <w:p>
      <w:pPr>
        <w:spacing w:after="0" w:line="181" w:lineRule="exact"/>
        <w:rPr>
          <w:rFonts w:ascii="Arial" w:cs="Arial" w:eastAsia="Arial" w:hAnsi="Arial"/>
          <w:sz w:val="17"/>
          <w:szCs w:val="17"/>
          <w:color w:val="auto"/>
        </w:rPr>
      </w:pPr>
    </w:p>
    <w:p>
      <w:pPr>
        <w:ind w:right="20" w:firstLine="987"/>
        <w:spacing w:after="0" w:line="296" w:lineRule="auto"/>
        <w:tabs>
          <w:tab w:leader="none" w:pos="123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For the purpose of determining the stockholders entitled to receive payment of any dividend or other distribution or allotment of any rights or the stockholders entitled to exercise any rights in respect to any change, conversion or exchange of stock, or for the purpose of any other lawful action, the Board of Directors may fix the record date, which record date shall not precede the date upon which the resolution fixing the record date is adopted, and which record date shall be not more than 60 days prior to such action. If no record date is fixed, the record date for determining the stockholders for any such purpose shall be the close of business on the day on which the Board of Directors adopts the resolution relating thereto.</w:t>
      </w:r>
    </w:p>
    <w:p>
      <w:pPr>
        <w:spacing w:after="0" w:line="161" w:lineRule="exact"/>
        <w:rPr>
          <w:sz w:val="20"/>
          <w:szCs w:val="20"/>
          <w:color w:val="auto"/>
        </w:rPr>
      </w:pPr>
    </w:p>
    <w:p>
      <w:pPr>
        <w:ind w:right="60" w:firstLine="440"/>
        <w:spacing w:after="0" w:line="279" w:lineRule="auto"/>
        <w:rPr>
          <w:sz w:val="20"/>
          <w:szCs w:val="20"/>
          <w:color w:val="auto"/>
        </w:rPr>
      </w:pPr>
      <w:r>
        <w:rPr>
          <w:rFonts w:ascii="Arial" w:cs="Arial" w:eastAsia="Arial" w:hAnsi="Arial"/>
          <w:sz w:val="17"/>
          <w:szCs w:val="17"/>
          <w:color w:val="auto"/>
        </w:rPr>
        <w:t>SECTION 8. VOTING LIST. The officer who has charge of the stock ledger of the Corporation shall prepare and make, at least 10 days before every meeting of stockholders, a complete list of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for a period of at least 10 days prior to the meeting, (i) by a reasonably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92" w:name="page293"/>
    <w:bookmarkEnd w:id="292"/>
    <w:p>
      <w:pPr>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the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the identity of stockholders entitled to examine the list of stockholders required by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to vote in person or by proxy at any meeting of the stockholders. The Corporation shall not be required to include electronic mail addresses or other electronic contact information on such list.</w:t>
      </w:r>
    </w:p>
    <w:p>
      <w:pPr>
        <w:spacing w:after="0" w:line="19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SECTION 9. VOTING. Unless otherwise provided by the Certificate of Incorporation, each stockholder shall be entitled to one vote for each share of capital stock held by each stockholder. When a quorum is present at any meeting, in all matters other than the election of directors, the affirmative vote of the majority of shares present in person or represented by proxy at the meeting and entitled to vote on the subject matter shall be the act of the stockholders, except when a different vote is required by law, the Certificate of Incorporation or these Bylaws. When a quorum is present at any meeting, directors shall be elected by plurality of the votes of the shares present in person or represented by a proxy at the meeting entitled to vote on the election of directors.</w:t>
      </w:r>
    </w:p>
    <w:p>
      <w:pPr>
        <w:spacing w:after="0" w:line="192"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SECTION 10. PROXIES. Each stockholder entitled to vote at a meeting of stockholders or to express consent or dissent to corporate action in writing without a meeting (including by means of remote communications, if any, by which stockholders may be deemed to be present in person and vote at such meeting) may authorize another person or persons to act for him by proxy (executed or transmitted in a manner permitted by the Delaware General Corporation Law),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remain irrevocable regardless of whether the interest with which it is coupled is an interest in the stock itself or an interest in the Corporation generally.</w:t>
      </w:r>
    </w:p>
    <w:p>
      <w:pPr>
        <w:spacing w:after="0" w:line="17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SECTION 11. RATIFICATION OF ACTS OF DIRECTORS AND OFFICERS. Except as otherwise provided by law or by the Certificate of Incorporation of the Corporation, any transaction or contract or act of the Corporation or of the directors or the officers of the Corporation may be ratified by the affirmative vote of the holders of the number of shares which would have been necessary to approve such transaction, contract or act at a meeting of stockholders, or by the written consent of stockholders in lieu of a meeting.</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93" w:name="page294"/>
    <w:bookmarkEnd w:id="29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 CONDUCT OF MEETINGS.</w:t>
      </w:r>
    </w:p>
    <w:p>
      <w:pPr>
        <w:spacing w:after="0" w:line="225" w:lineRule="exact"/>
        <w:rPr>
          <w:sz w:val="20"/>
          <w:szCs w:val="20"/>
          <w:color w:val="auto"/>
        </w:rPr>
      </w:pPr>
    </w:p>
    <w:p>
      <w:pPr>
        <w:ind w:left="4" w:firstLine="987"/>
        <w:spacing w:after="0" w:line="296" w:lineRule="auto"/>
        <w:tabs>
          <w:tab w:leader="none" w:pos="124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Chairman of Meeting</w:t>
      </w:r>
      <w:r>
        <w:rPr>
          <w:rFonts w:ascii="Arial" w:cs="Arial" w:eastAsia="Arial" w:hAnsi="Arial"/>
          <w:sz w:val="16"/>
          <w:szCs w:val="16"/>
          <w:color w:val="auto"/>
        </w:rPr>
        <w:t>. Meetings of stockholders shall be presided over by the Chairman of the Board, if any, or in the Chairman’s absence by the Vice Chairman of the Board, if any, or in the Vice Chairman’s absence by the Chief Executive Officer, or in the Chief Executive Officer’s absence, by the President, or in the President’s absence by a Vice President, or in the absence of all of the foregoing persons by a chairman designated by the Board of Directors, or in the absence of such designation by a chairman chosen by vote of the stockholders at the meeting. The Secretary shall act as secretary of the meeting, but in the Secretary’s absence the chairman of the meeting may appoint any person to act as secretary of the meeting.</w:t>
      </w:r>
    </w:p>
    <w:p>
      <w:pPr>
        <w:spacing w:after="0" w:line="161" w:lineRule="exact"/>
        <w:rPr>
          <w:rFonts w:ascii="Arial" w:cs="Arial" w:eastAsia="Arial" w:hAnsi="Arial"/>
          <w:sz w:val="16"/>
          <w:szCs w:val="16"/>
          <w:color w:val="auto"/>
        </w:rPr>
      </w:pPr>
    </w:p>
    <w:p>
      <w:pPr>
        <w:ind w:left="4" w:right="20" w:firstLine="987"/>
        <w:spacing w:after="0" w:line="283" w:lineRule="auto"/>
        <w:tabs>
          <w:tab w:leader="none" w:pos="1250" w:val="left"/>
        </w:tabs>
        <w:numPr>
          <w:ilvl w:val="1"/>
          <w:numId w:val="195"/>
        </w:numPr>
        <w:rPr>
          <w:rFonts w:ascii="Arial" w:cs="Arial" w:eastAsia="Arial" w:hAnsi="Arial"/>
          <w:sz w:val="16"/>
          <w:szCs w:val="16"/>
          <w:color w:val="auto"/>
        </w:rPr>
      </w:pPr>
      <w:r>
        <w:rPr>
          <w:rFonts w:ascii="Arial" w:cs="Arial" w:eastAsia="Arial" w:hAnsi="Arial"/>
          <w:sz w:val="16"/>
          <w:szCs w:val="16"/>
          <w:u w:val="single" w:color="auto"/>
          <w:color w:val="auto"/>
        </w:rPr>
        <w:t>Rules, Regulations and Procedures</w:t>
      </w:r>
      <w:r>
        <w:rPr>
          <w:rFonts w:ascii="Arial" w:cs="Arial" w:eastAsia="Arial" w:hAnsi="Arial"/>
          <w:sz w:val="16"/>
          <w:szCs w:val="16"/>
          <w:color w:val="auto"/>
        </w:rPr>
        <w:t>. 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participation by means of remote communication of stockholders and proxyholders not physically present at a meeting. Except to the extent inconsistent with such rules, regulations and procedures as adopted by the Board of Directors, the chairman of any meeting of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w:t>
      </w:r>
    </w:p>
    <w:p>
      <w:pPr>
        <w:spacing w:after="0" w:line="5" w:lineRule="exact"/>
        <w:rPr>
          <w:rFonts w:ascii="Arial" w:cs="Arial" w:eastAsia="Arial" w:hAnsi="Arial"/>
          <w:sz w:val="16"/>
          <w:szCs w:val="16"/>
          <w:color w:val="auto"/>
        </w:rPr>
      </w:pPr>
    </w:p>
    <w:p>
      <w:pPr>
        <w:ind w:left="4" w:right="80" w:hanging="4"/>
        <w:spacing w:after="0" w:line="255" w:lineRule="auto"/>
        <w:tabs>
          <w:tab w:leader="none" w:pos="30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13. ACTION WITHOUT MEETING.</w:t>
      </w:r>
    </w:p>
    <w:p>
      <w:pPr>
        <w:spacing w:after="0" w:line="225" w:lineRule="exact"/>
        <w:rPr>
          <w:sz w:val="20"/>
          <w:szCs w:val="20"/>
          <w:color w:val="auto"/>
        </w:rPr>
      </w:pPr>
    </w:p>
    <w:p>
      <w:pPr>
        <w:ind w:left="4" w:right="40" w:firstLine="987"/>
        <w:spacing w:after="0" w:line="259" w:lineRule="auto"/>
        <w:tabs>
          <w:tab w:leader="none" w:pos="124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Any action required or permitted to be taken at any annual or special meeting of stockholders of the Corporation, may be taken without a meeting, without prior notice and without a vote, if a consent or consents in writing, setting forth the action so taken, shall be delivered to the Corporation signed by the holders of outstanding stock having not less than the minimum number of votes that would be necessary to authorize or take such action at a meeting at which all shares entitled to vote thereon were present and voted.</w:t>
      </w:r>
    </w:p>
    <w:p>
      <w:pPr>
        <w:spacing w:after="0" w:line="186" w:lineRule="exact"/>
        <w:rPr>
          <w:rFonts w:ascii="Arial" w:cs="Arial" w:eastAsia="Arial" w:hAnsi="Arial"/>
          <w:sz w:val="18"/>
          <w:szCs w:val="18"/>
          <w:color w:val="auto"/>
        </w:rPr>
      </w:pPr>
    </w:p>
    <w:p>
      <w:pPr>
        <w:ind w:left="4" w:right="80" w:firstLine="987"/>
        <w:spacing w:after="0" w:line="259" w:lineRule="auto"/>
        <w:tabs>
          <w:tab w:leader="none" w:pos="125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to take the action were delivered to the Corporation.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294" w:name="page295"/>
    <w:bookmarkEnd w:id="294"/>
    <w:p>
      <w:pPr>
        <w:ind w:left="4" w:right="280" w:firstLine="987"/>
        <w:spacing w:after="0" w:line="286" w:lineRule="auto"/>
        <w:tabs>
          <w:tab w:leader="none" w:pos="12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electronic transmission consenting to an action to be taken and transmitted by a stockholder or proxy holder, or by a person or persons authorized to act for a stockholder or proxy holder, shall be deemed to be written, signed and dated for the purposes of this section,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w:t>
      </w:r>
    </w:p>
    <w:p>
      <w:pPr>
        <w:spacing w:after="0" w:line="1" w:lineRule="exact"/>
        <w:rPr>
          <w:rFonts w:ascii="Arial" w:cs="Arial" w:eastAsia="Arial" w:hAnsi="Arial"/>
          <w:sz w:val="16"/>
          <w:szCs w:val="16"/>
          <w:color w:val="auto"/>
        </w:rPr>
      </w:pPr>
    </w:p>
    <w:p>
      <w:pPr>
        <w:ind w:left="4" w:right="20" w:hanging="4"/>
        <w:spacing w:after="0" w:line="268" w:lineRule="auto"/>
        <w:tabs>
          <w:tab w:leader="none" w:pos="269"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date on which such stockholder or proxy holder or authorized person or persons transmitted such electronic transmission. A consent given by electronic transmission is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stockholders or members are recorded; (iii) when a paper reproduction of the consent is delivered to the Corporation’s registered office in this State by hand or by certified or registered mail, return receipt requested; or (iv) when delivered in such other manner, if any, provided by resolution of the Board of Directors or governing body of the Corporation.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w:t>
      </w:r>
    </w:p>
    <w:p>
      <w:pPr>
        <w:spacing w:after="0" w:line="391" w:lineRule="exact"/>
        <w:rPr>
          <w:sz w:val="20"/>
          <w:szCs w:val="20"/>
          <w:color w:val="auto"/>
        </w:rPr>
      </w:pPr>
    </w:p>
    <w:p>
      <w:pPr>
        <w:ind w:left="4944"/>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84"/>
        <w:spacing w:after="0"/>
        <w:rPr>
          <w:sz w:val="20"/>
          <w:szCs w:val="20"/>
          <w:color w:val="auto"/>
        </w:rPr>
      </w:pPr>
      <w:r>
        <w:rPr>
          <w:rFonts w:ascii="Arial" w:cs="Arial" w:eastAsia="Arial" w:hAnsi="Arial"/>
          <w:sz w:val="18"/>
          <w:szCs w:val="18"/>
          <w:b w:val="1"/>
          <w:bCs w:val="1"/>
          <w:color w:val="auto"/>
        </w:rPr>
        <w:t>DIRECTORS</w:t>
      </w:r>
    </w:p>
    <w:p>
      <w:pPr>
        <w:spacing w:after="0" w:line="211" w:lineRule="exact"/>
        <w:rPr>
          <w:sz w:val="20"/>
          <w:szCs w:val="20"/>
          <w:color w:val="auto"/>
        </w:rPr>
      </w:pPr>
    </w:p>
    <w:p>
      <w:pPr>
        <w:ind w:left="4" w:right="620" w:firstLine="440"/>
        <w:spacing w:after="0" w:line="342" w:lineRule="auto"/>
        <w:rPr>
          <w:sz w:val="20"/>
          <w:szCs w:val="20"/>
          <w:color w:val="auto"/>
        </w:rPr>
      </w:pPr>
      <w:r>
        <w:rPr>
          <w:rFonts w:ascii="Arial" w:cs="Arial" w:eastAsia="Arial" w:hAnsi="Arial"/>
          <w:sz w:val="16"/>
          <w:szCs w:val="16"/>
          <w:color w:val="auto"/>
        </w:rPr>
        <w:t>SECTION 1. GENERAL POWERS. The business and affairs of the Corporation shall be managed by or under the direction of a Board of Directors, who may exercise all of the powers of the Corporation except as otherwise provided by law or the Certificate of Incorporation.</w:t>
      </w:r>
    </w:p>
    <w:p>
      <w:pPr>
        <w:spacing w:after="0" w:line="124" w:lineRule="exact"/>
        <w:rPr>
          <w:sz w:val="20"/>
          <w:szCs w:val="20"/>
          <w:color w:val="auto"/>
        </w:rPr>
      </w:pPr>
    </w:p>
    <w:p>
      <w:pPr>
        <w:ind w:left="4" w:right="120" w:firstLine="440"/>
        <w:spacing w:after="0" w:line="259" w:lineRule="auto"/>
        <w:rPr>
          <w:sz w:val="20"/>
          <w:szCs w:val="20"/>
          <w:color w:val="auto"/>
        </w:rPr>
      </w:pPr>
      <w:r>
        <w:rPr>
          <w:rFonts w:ascii="Arial" w:cs="Arial" w:eastAsia="Arial" w:hAnsi="Arial"/>
          <w:sz w:val="18"/>
          <w:szCs w:val="18"/>
          <w:color w:val="auto"/>
        </w:rPr>
        <w:t>SECTION 2. NUMBER AND TENURE OF DIRECTORS. Subject to the rights of holders of any class or series of capital stock of the Corporation to elect directors, the number of directors of the Corporation shall be determined from time to time by the stockholders or the Board of Directors in a resolution adopted by the Board of Directors. Each director shall hold office until the next annual meeting of stockholders and until such director’s successor is elected and qualified or until such director’s earlier death, resignation or removal.</w:t>
      </w:r>
    </w:p>
    <w:p>
      <w:pPr>
        <w:spacing w:after="0" w:line="18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SECTION 3. ELECTION OF DIRECTORS. Except as otherwise provided in these Bylaws, directors shall be elected at the annual meeting of stockholders by such stockholders as have the right to vote on such election. Directors need not be residents of the State of Delaware. Directors need not be stockholders of the Corporation. Elections of directors need not be by written ballot.</w:t>
      </w:r>
    </w:p>
    <w:p>
      <w:pPr>
        <w:spacing w:after="0" w:line="184"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SECTION 4. CHAIRMAN OF THE BOARD; VICE CHAIRMAN OF THE BOARD. The Board of Directors may appoint from its members a Chairman of the Board and a Vice Chairman of the Board, neither of whom need be an employee or officer of the Corporation. If the Board of Directors appoints a Chairman of the Board, such Chairman shall perform such duties</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295" w:name="page296"/>
    <w:bookmarkEnd w:id="29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possess such powers as are assigned by the Board of Directors. If the Board of Directors appoints a Vice Chairman of the Board, such Vice Chairman shall perform such duties and possess such powers as are assigned by the Board of Directors. Unless otherwise provided by the Board of Directors, the Chairman of the Board or, in the Chairman’s absence, the Vice Chairman of the Board, if any, shall preside at all meetings of the Board of Directors.</w:t>
      </w:r>
    </w:p>
    <w:p>
      <w:pPr>
        <w:spacing w:after="0" w:line="18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5. QUORUM. The greater of (a) a majority of the directors at any time in office and (b) one-third of the number of directors fixed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Article III of these Bylaws shall constitute a quorum of the Board of Directors. If less than a quorum are present at a meeting of the Board of Directors, a majority of the directors present may adjourn the meeting from time to time without further notice other than announcement at the meeting, until such quorum shall be present.</w:t>
      </w:r>
    </w:p>
    <w:p>
      <w:pPr>
        <w:spacing w:after="0" w:line="187"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SECTION 6. VOTING. The vote of the majority of the directors present at a meeting at which a quorum is present shall be the act of the Board of Directors, unless the Delaware General Corporation Law or the Certificate of Incorporation requires a vote of a greater number.</w:t>
      </w:r>
    </w:p>
    <w:p>
      <w:pPr>
        <w:spacing w:after="0" w:line="146" w:lineRule="exact"/>
        <w:rPr>
          <w:sz w:val="20"/>
          <w:szCs w:val="20"/>
          <w:color w:val="auto"/>
        </w:rPr>
      </w:pPr>
    </w:p>
    <w:p>
      <w:pPr>
        <w:ind w:right="300" w:firstLine="440"/>
        <w:spacing w:after="0" w:line="255" w:lineRule="auto"/>
        <w:rPr>
          <w:sz w:val="20"/>
          <w:szCs w:val="20"/>
          <w:color w:val="auto"/>
        </w:rPr>
      </w:pPr>
      <w:r>
        <w:rPr>
          <w:rFonts w:ascii="Arial" w:cs="Arial" w:eastAsia="Arial" w:hAnsi="Arial"/>
          <w:sz w:val="18"/>
          <w:szCs w:val="18"/>
          <w:color w:val="auto"/>
        </w:rPr>
        <w:t>SECTION 7. VACANCIES. Subject to the rights of holders of any series of Preferred Stock to elect directors, unless and until filled by the stockholders, any vacancy or newly-created directorship on the Board of Directors, however occurring, may be filled by vote of a majority of the directors then in office, although less than a quorum, or by a sole remaining director. A director elected to fill a vacancy shall be elected for the unexpired term of such director’s predecessor in office, and a director chosen to fill a position resulting from a newly-created directorship shall hold office until the next annual meeting of stockholders and until a successor is elected and qualified, or until such director’s earlier death, resignation or removal.</w:t>
      </w:r>
    </w:p>
    <w:p>
      <w:pPr>
        <w:spacing w:after="0" w:line="192"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8. REMOVAL OF DIRECTORS. Except as otherwise provided by the General Corporation Law of the State of Delaware, a director, or the entire Board of Directors, may be removed, with or without cause, by the holders of a majority of the shares then entitled to vote at an election of directors, except that the directors elected by the holders of a particular class or series of stock may be removed without cause only by vote of the holders of a majority of the outstanding shares of such class or series.</w:t>
      </w:r>
    </w:p>
    <w:p>
      <w:pPr>
        <w:spacing w:after="0" w:line="187"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SECTION 9. RESIGNATION. Any director may resign by delivering a resignation in writing or by electronic transmission to the Corporation at its principal office or to the Chairman of the Board, the Chief Executive Officer, the President or the Secretary. Such resignation shall be effective upon delivery unless it is specified to be effective at some later time or upon the happening of some later event.</w:t>
      </w:r>
    </w:p>
    <w:p>
      <w:pPr>
        <w:spacing w:after="0" w:line="16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10. REGULAR MEETINGS. Regular meetings of the Board of Directors may be held without notice at such time, place and manner as shall be determined from time to time by the Board of Directors; provided that any director who is absent when such a determination is made shall be given notice of the determination. A regular meeting of the Board of Directors may be held without notice immediately after and at the same place as the annual meeting of stockholders.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96" w:name="page297"/>
    <w:bookmarkEnd w:id="296"/>
    <w:p>
      <w:pPr>
        <w:ind w:right="1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11. SPECIAL MEETINGS. Special meetings of the Board of Directors may be called by or at the request of the Chairman of the Board, the Chief Executive Officer, the President, two or more directors or by one director in the event that there is only a single director in office. The person or persons authorized to call special meetings of the Board of Directors may fix any time, date or place, either within or without the State of Delaware, for holding any special meeting of the Board of Directors called by them.</w:t>
      </w:r>
    </w:p>
    <w:p>
      <w:pPr>
        <w:spacing w:after="0" w:line="18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SECTION 12. NOTICE OF SPECIAL MEETINGS OF THE BOARD OF DIRECTORS. Notice of the date, place, if any, and time of any special meeting of the Board of Directors shall be given to each director by the Secretary or by the officer or one of the directors calling the meeting. Notice shall be duly given to each director (a) in person, by telephone, fax or by electronic transmission at least 24 hours in advance of the meeting, (b) by sending written notice by reputable overnight courier or delivering written notice by hand, to such director’s last known business, home or facsimile address at least 48 hours in advance of the meeting, or (c) by sending written notice by first-class mail to such director’s last known business or home address at least 72 hours in advance of the meeting. A notice or waiver of notice of a meeting of the Board of Directors need not specify the purposes of the meeting.</w:t>
      </w:r>
    </w:p>
    <w:p>
      <w:pPr>
        <w:spacing w:after="0" w:line="19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SECTION 13. WRITTEN ACTION BY DIRECTORS.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Without limiting the manner by which consent may be given, members of the Board of Directors may consent by delivery of an electronic transmission when such transmission is directed to a facsimile number or electronic mail address at which the Corporation has consented to receive such electronic transmissions, and copies of the electronic transmissions are filed with the minutes of proceedings of the Board of Directors or committee. After an action is taken, the consent or consents relating thereto shall be filed with the minutes of the proceedings of the Board of Directors, or the committee thereof, in the same paper or electronic form as the minutes are maintained.</w:t>
      </w:r>
    </w:p>
    <w:p>
      <w:pPr>
        <w:spacing w:after="0" w:line="178"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SECTION 14. PARTICIPATION BY CONFERENCE TELEPHONE. Members of the Board of Directors, or any committee designated by such board, may participate in a meeting of the Board of Directors, or committee thereof, by means of conference telephone or similar communications equipment as long as all persons participating in the meeting can speak with and hear each other, and participation by a director pursuant to this section shall constitute presence in person at such meeting.</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SECTION 15. COMMITTEES. The Board of Directors may designate one or more committees, each committee to consist of one or more of the directors of the Corporation with such lawfully delegable powers and duties as the Board of Directors thereby confers, to serve at the pleasure of the Board of Directors. The Board may designate one or more directors as alternate members of any committee, who may replace any absent or disqualified member at any meeting of the committee. In the absence or disqualification of a member at any meeting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97" w:name="page298"/>
    <w:bookmarkEnd w:id="29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(other than the election or removal of directors) expressly required by law to be submitted to stockholders for approval or (ii) adopting, amending or repealing any bylaw of the Corporation. Each such committee shall keep minutes and make such reports as the Board of Directors may from time to time request. Except as the Board of Directors may otherwise determine, any committee may make rules for the conduct of its business, but unless otherwise provided by the directors or in such rules, its business shall be conducted as nearly as possible in the same manner as is provided in these Bylaws for the Board of Directors. Except as otherwise provided in the Certificate of Incorporation, these Bylaws, or the resolution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82"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SECTION 16.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therefore. Members of special or standing committees may be allowed like compensation for attending committee meetings.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380" w:firstLine="440"/>
        <w:spacing w:after="0" w:line="296" w:lineRule="auto"/>
        <w:rPr>
          <w:sz w:val="20"/>
          <w:szCs w:val="20"/>
          <w:color w:val="auto"/>
        </w:rPr>
      </w:pPr>
      <w:r>
        <w:rPr>
          <w:rFonts w:ascii="Arial" w:cs="Arial" w:eastAsia="Arial" w:hAnsi="Arial"/>
          <w:sz w:val="16"/>
          <w:szCs w:val="16"/>
          <w:color w:val="auto"/>
        </w:rPr>
        <w:t>SECTION 1. GENERAL PROVISIONS. The officers of the Corporation shall consist of a Chief Executive Officer, a President, a Secretary, a Treasurer and such other officers with such other titles as the Board of Directors shall determine, including one or more Vice Presidents, Assistant Treasurers and Assistant Secretaries. The Board of Directors may appoint such other officers as it may deem appropriate. No officer need be a stockholder. Any two or more offices may be held by the same person. The officers elected by the Board of Directors shall have such duties as are hereafter described and such additional duties as the Board of Directors may from time to time prescribe.</w:t>
      </w:r>
    </w:p>
    <w:p>
      <w:pPr>
        <w:spacing w:after="0" w:line="16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SECTION 2. ELECTION AND TERM OF OFFICE. The Chief Executive Officer, President, Treasurer and Secretary shall be elected annually by the Board of Directors at the regular meeting of the Board of Directors held after each annual meeting of the stockholders. If the election of officers is not held at such meeting, such election shall be held as soon thereafter as may be convenient. Other officers may be appointed at any time, at a meeting or by the written consent of the Board of Directors. Except as otherwise provided by law, by the Certificate of Incorporation or by these Bylaws, each officer shall hold office until his successor has been duly elected and qualified, unless a different term is specified in the resolution electing or appointing such officer, or until his earlier death, resignation or removal. Election or appointment of an officer or agent shall not of itself create contract rights.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98" w:name="page299"/>
    <w:bookmarkEnd w:id="298"/>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 RESIGNATION AND REMOVAL OF OFFICERS. Any officer may resign by delivering a written resignation to the Corporation at its principal office or to the Chief Executive Officer, the President or the Secretary. Such resignation shall be effective upon receipt unless it is specified to be effective at some later time or upon the happening of some later event. Any officer may be removed at any time, with or without cause, by vote of a majority of the directors then in office. Except as the Board of Directors may otherwise determine, no officer who resigns or is removed shall have any right to any compensation as an officer for any period following such officer’s resignation or removal, or any right to damages on account of such removal, whether such officer’s compensation be by the month or by the year or otherwise, unless such compensation is expressly provided for in a duly authorized written agreement with the Corporation.</w:t>
      </w:r>
    </w:p>
    <w:p>
      <w:pPr>
        <w:spacing w:after="0" w:line="177"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SECTION 4. VACANCIES. The Board of Directors may fill any vacancy occurring in any office for any reason and may, in its discretion, leave unfilled for such period as it may determine any offices other than those of Chief Executive Officer, President, Treasurer and Secretary. Each such successor shall hold office for the unexpired term of such officer’s predecessor and until a successor is elected and qualified, or until such officer’s earlier death, resignation or removal.</w:t>
      </w:r>
    </w:p>
    <w:p>
      <w:pPr>
        <w:spacing w:after="0" w:line="187" w:lineRule="exact"/>
        <w:rPr>
          <w:sz w:val="20"/>
          <w:szCs w:val="20"/>
          <w:color w:val="auto"/>
        </w:rPr>
      </w:pPr>
    </w:p>
    <w:p>
      <w:pPr>
        <w:ind w:right="140" w:firstLine="440"/>
        <w:spacing w:after="0" w:line="288" w:lineRule="auto"/>
        <w:rPr>
          <w:sz w:val="20"/>
          <w:szCs w:val="20"/>
          <w:color w:val="auto"/>
        </w:rPr>
      </w:pPr>
      <w:r>
        <w:rPr>
          <w:rFonts w:ascii="Arial" w:cs="Arial" w:eastAsia="Arial" w:hAnsi="Arial"/>
          <w:sz w:val="16"/>
          <w:szCs w:val="16"/>
          <w:color w:val="auto"/>
        </w:rPr>
        <w:t>SECTION 5. THE CHIEF EXECUTIVE OFFICER. Unless the Board of Directors has designated another person as the Corporation’s Chief Executive Officer, the President shall be the Chief Executive Officer of the Corporation. The Chief Executive Officer shall have general charge and supervision of the business and affairs of the Corporation subject to the direction of the Board of Directors, and shall perform all duties and have all powers that are commonly incident to the office of chief executive or that are delegated to such officer by the Board of Directors. The Chief Executive Officer shall preside at all meetings of the Board of Directors and shall see that orders and resolutions of the Board of Directors are carried into effect. The Chief Executive Officer may sign bonds, mortgages, certificates for shares and all other contracts and documents whether or not under the seal of the Corporation except in cases where the signing and execution thereof shall be expressly delegated by law, by the Board of Directors or by these Bylaws to some other officer or agent of the Corporation. The Chief Executive Officer shall have general powers of supervision and shall be the final arbiter of all differences between officers of the Corporation and his decision as to any matter affecting the Corporation shall be final and binding as between the officers of the Corporation subject only to the Board of Directors.</w:t>
      </w:r>
    </w:p>
    <w:p>
      <w:pPr>
        <w:spacing w:after="0" w:line="168"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SECTION 6. THE PRESIDENT. In the absence of the Chief Executive Officer or in the event of his inability or refusal to act, the President shall perform the duties of the Chief Executive Officer, and when so acting, shall have all the powers of and be subject to all the restrictions upon the Chief Executive Officer. At all other times the President shall have the active management of the business of the Corporation under the general supervision of the Chief Executive Officer or the Board of Directors. The President shall have concurrent power with the Chief Executive Officer to sign bonds, mortgages, certificates for shares and other contracts and documents, whether or not under the seal of the Corporation except in cases where the signing and execution thereof shall be expressly delegated by law, by the Board of Directors, or by these Bylaws to some other officer or agent of the Corporation. In general, the President shall perform all duties incident to the office of president and such other duties as the Chief Executive Officer (if the President is not the Chief Executive Officer) or the Board of Directors may from time to time prescribe.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99" w:name="page300"/>
    <w:bookmarkEnd w:id="299"/>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7. THE VICE PRESIDENT. In the absence of the President or in the event of his inability or refusal to act, the Vice President (or in the event there be more than one Vice President, the Executive Vice President and then the other Vice President or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Chief Executive Officer or the Board of Directors may from time to time prescribe.</w:t>
      </w:r>
    </w:p>
    <w:p>
      <w:pPr>
        <w:spacing w:after="0" w:line="176"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SECTION 8. THE SECRETARY. The Secretary shall perform such duties and shall have such powers as the Board of Directors or the Chief Executive Officer may from time to time prescribe. The Secretary shall perform such duties and have such powers as are incident to the office of the secretary, including without limitation the duty and power to attend all meetings of the Board of Directors and all meetings of the stockholders and record all the proceedings in a book to be kept for that purpose and shall perform like duties for the standing committees when required and to maintain a stock ledger and prepare lists of stockholders and their addresses as required. The Secretary shall give, or cause to be given, notice of all meetings of the stockholders and special meetings of the Board of Directors, and shall perform such other duties as may be prescribed by the Board of Directors or the Chief Executive Officer, under whose supervision he shall be. The Secretary shall have custody of the corporate records and the corporate seal of the Corporation and the Secretary, or an Assistant Secretary, shall have authority to affix the same to any instrument requiring it and when so affixed, it may be attested by his signature or by the signature of such Assistant Secretary. The Board of Directors may give general authority to any other officer to affix the seal of the Corporation and to attest the affixing by his signature.</w:t>
      </w:r>
    </w:p>
    <w:p>
      <w:pPr>
        <w:spacing w:after="0" w:line="18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SECTION 9. THE ASSISTANT SECRETARY. The Assistant Secretary, or if there be more than one, the Assistant Secretaries in the order determined by the Board of Directors (or if there be no such determination, then in the order of their election), shall, in the absence of the Secretary or in the event of his inability or refusal to act, perform the duties and exercise the powers of the Secretary and shall perform such other duties and have such other powers as the Chief Executive Officer, the Board of Directors or the Secretary may from time to time prescribe. In the absence of the Secretary or any Assistant Secretary at any meeting of stockholders or directors, the chairman of the meeting shall designate a temporary secretary to keep a record of the meeting.</w:t>
      </w:r>
    </w:p>
    <w:p>
      <w:pPr>
        <w:spacing w:after="0" w:line="192"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SECTION 10. THE TREASURER. The Treasurer shall perform such duties and shall have such powers as may from time to time be assigned by the Board of Directors or the Chief Executive Officer. In addition, the Treasurer shall perform such duties and have such powers as are incident to the office of treasurer, including without limitation, the duty and power to have the custody of the corporate funds and securities and to keep full and accurate accounts of receipts and disbursements in books belonging to the Corporation and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00" w:name="page301"/>
    <w:bookmarkEnd w:id="300"/>
    <w:p>
      <w:pPr>
        <w:ind w:right="2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President and the Board of Directors, as required by the Board of Directors, an account of all his transactions as Treasurer and of the financial condition of the Corporation. If required by the Board of Directors, the Treasurer shall give the Corporation a bond (which shall be renewed every six years)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61" w:lineRule="exact"/>
        <w:rPr>
          <w:sz w:val="20"/>
          <w:szCs w:val="20"/>
          <w:color w:val="auto"/>
        </w:rPr>
      </w:pPr>
    </w:p>
    <w:p>
      <w:pPr>
        <w:jc w:val="both"/>
        <w:ind w:right="20" w:firstLine="440"/>
        <w:spacing w:after="0" w:line="279" w:lineRule="auto"/>
        <w:rPr>
          <w:sz w:val="20"/>
          <w:szCs w:val="20"/>
          <w:color w:val="auto"/>
        </w:rPr>
      </w:pPr>
      <w:r>
        <w:rPr>
          <w:rFonts w:ascii="Arial" w:cs="Arial" w:eastAsia="Arial" w:hAnsi="Arial"/>
          <w:sz w:val="17"/>
          <w:szCs w:val="17"/>
          <w:color w:val="auto"/>
        </w:rPr>
        <w:t>SECTION 11. THE ASSISTANT TREASURER. The Assistant Treasurer, or if there shall be more than one, the Assistant Treasurers in the order determined by the Board of Directors (or if there be no such determination, then in the order of their election), shall, in the absence of the Treasurer or in the event of his inability or refusal to act, perform the duties and exercise the powers of the Treasurer and shall perform such other duties and have such other powers as the Chief Executive Officer, the Board of Directors or the Treasurer may from time to time prescribe.</w:t>
      </w:r>
    </w:p>
    <w:p>
      <w:pPr>
        <w:spacing w:after="0" w:line="171"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SECTION 12. OTHER OFFICERS, ASSISTANT OFFICERS AND AGENTS. Officers, Assistant Officers and Agents, if any, other than those whose duties are provided for in these Bylaws, shall have such authority and perform such duties as may from time to time be prescribed by resolution of the Board of Directors.</w:t>
      </w:r>
    </w:p>
    <w:p>
      <w:pPr>
        <w:spacing w:after="0" w:line="184"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SECTION 13. ABSENCE OF OFFICERS, DELEGATION OF AUTHORITY. In the absence of any officer of the Corporation, or for any other reason the Board of Directors may deem sufficient, the Board of Directors may from time to time delegate the powers or duties, or any of such powers or duties, of any officers or officer to any other officer or to any director.</w:t>
      </w:r>
    </w:p>
    <w:p>
      <w:pPr>
        <w:spacing w:after="0" w:line="184" w:lineRule="exact"/>
        <w:rPr>
          <w:sz w:val="20"/>
          <w:szCs w:val="20"/>
          <w:color w:val="auto"/>
        </w:rPr>
      </w:pPr>
    </w:p>
    <w:p>
      <w:pPr>
        <w:ind w:right="1060" w:firstLine="440"/>
        <w:spacing w:after="0" w:line="277" w:lineRule="auto"/>
        <w:rPr>
          <w:sz w:val="20"/>
          <w:szCs w:val="20"/>
          <w:color w:val="auto"/>
        </w:rPr>
      </w:pPr>
      <w:r>
        <w:rPr>
          <w:rFonts w:ascii="Arial" w:cs="Arial" w:eastAsia="Arial" w:hAnsi="Arial"/>
          <w:sz w:val="18"/>
          <w:szCs w:val="18"/>
          <w:color w:val="auto"/>
        </w:rPr>
        <w:t>SECTION 14. COMPENSATION. The Board of Directors shall have the authority to establish reasonable salaries, compensation or reimbursement of all officers for services to the Corporation.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11"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 ISSUANCE OF STOCK. Subject to the provisions of the Certificate of Incorporation, the whole or any part of any unissued balance of the authorized capital stock of the Corporation or the whole or any part of any shares of the authorized capital stock of the Corporation held in the Corporation’s treasury may be issued, sold, transferred or otherwise disposed of by vote of the Board of Directors in such manner, for such lawful consideration and on such terms as the Board of Directors may determine.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 CERTIFICATES OF SHARES; UNCERTIFICATED SHARES.</w:t>
      </w:r>
    </w:p>
    <w:p>
      <w:pPr>
        <w:spacing w:after="0" w:line="225" w:lineRule="exact"/>
        <w:rPr>
          <w:sz w:val="20"/>
          <w:szCs w:val="20"/>
          <w:color w:val="auto"/>
        </w:rPr>
      </w:pPr>
    </w:p>
    <w:p>
      <w:pPr>
        <w:ind w:firstLine="987"/>
        <w:spacing w:after="0" w:line="255" w:lineRule="auto"/>
        <w:tabs>
          <w:tab w:leader="none" w:pos="123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shares of the Corporation shall be represented by certificates, provided that the Board of Directors of the Corporation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in such form as may be prescribed by law and by the Board of Directors, signed in a manner that complies with Section 158 of the Delaware General Corporation Law, representing the number of shares held by such holder registered in certificate form. Any or all the signatures on the certificate may be a facsimile or pdf.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01" w:name="page302"/>
    <w:bookmarkEnd w:id="301"/>
    <w:p>
      <w:pPr>
        <w:ind w:right="280" w:firstLine="987"/>
        <w:spacing w:after="0" w:line="311" w:lineRule="auto"/>
        <w:tabs>
          <w:tab w:leader="none" w:pos="1246" w:val="left"/>
        </w:tabs>
        <w:numPr>
          <w:ilvl w:val="0"/>
          <w:numId w:val="2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certificate for shares of stock which are subject to any restriction on transfer pursuant to the Certificate of Incorporation, these Bylaws, applicable securities laws or any agreement among any number of stockholders or among such holders and the Corporation shall have conspicuously noted on the face or back of the certificate either the full text of the restriction or a statement of the existence of such restriction.</w:t>
      </w:r>
    </w:p>
    <w:p>
      <w:pPr>
        <w:spacing w:after="0" w:line="148" w:lineRule="exact"/>
        <w:rPr>
          <w:rFonts w:ascii="Arial" w:cs="Arial" w:eastAsia="Arial" w:hAnsi="Arial"/>
          <w:sz w:val="16"/>
          <w:szCs w:val="16"/>
          <w:color w:val="auto"/>
        </w:rPr>
      </w:pPr>
    </w:p>
    <w:p>
      <w:pPr>
        <w:ind w:right="220" w:firstLine="987"/>
        <w:spacing w:after="0" w:line="272" w:lineRule="auto"/>
        <w:tabs>
          <w:tab w:leader="none" w:pos="123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each certificate representing shares of such class or series of stock, provided that in lieu of the foregoing requirements there may be set forth on the face or back of each certificate representing shares of such class or series of stock a statement that the Corporation will furnish without charge to each stockholder who so requests a copy of the full text of the powers, designations, preferences and relative, participating, optional or other special rights of each class of stock or series thereof and the qualifications, limitations or restrictions of such preferences and/or rights.</w:t>
      </w:r>
    </w:p>
    <w:p>
      <w:pPr>
        <w:spacing w:after="0" w:line="177" w:lineRule="exact"/>
        <w:rPr>
          <w:rFonts w:ascii="Arial" w:cs="Arial" w:eastAsia="Arial" w:hAnsi="Arial"/>
          <w:sz w:val="17"/>
          <w:szCs w:val="17"/>
          <w:color w:val="auto"/>
        </w:rPr>
      </w:pPr>
    </w:p>
    <w:p>
      <w:pPr>
        <w:ind w:right="60" w:firstLine="987"/>
        <w:spacing w:after="0" w:line="296" w:lineRule="auto"/>
        <w:tabs>
          <w:tab w:leader="none" w:pos="1246" w:val="left"/>
        </w:tabs>
        <w:numPr>
          <w:ilvl w:val="0"/>
          <w:numId w:val="201"/>
        </w:numPr>
        <w:rPr>
          <w:rFonts w:ascii="Arial" w:cs="Arial" w:eastAsia="Arial" w:hAnsi="Arial"/>
          <w:sz w:val="16"/>
          <w:szCs w:val="16"/>
          <w:color w:val="auto"/>
        </w:rPr>
      </w:pPr>
      <w:r>
        <w:rPr>
          <w:rFonts w:ascii="Arial" w:cs="Arial" w:eastAsia="Arial" w:hAnsi="Arial"/>
          <w:sz w:val="16"/>
          <w:szCs w:val="16"/>
          <w:color w:val="auto"/>
        </w:rPr>
        <w:t>Within a reasonable time after the issuance or transfer of uncertificated shares, the Corporation shall send to the registered owner thereof a written notice containing the information required to be set forth or stated on certificates pursuant to Sections 151, 156, 202(a) or 218(a) of the General Corporation Law of the State of Delaware or, with respect to Section 151 of the General Corporation Law of the State of Delaware,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16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SECTION 3. SIGNATURES OF FORMER OFFICER,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or entity were such officer, transfer agent or registrar at the date of issue.</w:t>
      </w:r>
    </w:p>
    <w:p>
      <w:pPr>
        <w:spacing w:after="0" w:line="187"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SECTION 4. TRANSFER OF SHARES. Transfers of shares of the Corporation shall be made only on the books of the Corporation, or by transfer agents designated to transfer shares of the Corporation. Subject to applicable law, shares of stock represented by certificates shall be transferred only on the books of the Corporation by the surrender to the Corporation or its transfer agent of the certificate representing such shares properly endorsed or accompanied by a written assignment or power of attorney properly executed, and with such proof of authority or the authenticity of signature as the Corporation or its transfer agent may reasonably require. Except as may be otherwise required by law, by the Certificate of Incorporation or by these Bylaws, the Corporation shall be entitled to treat the record holder of stock as shown on its books as the owner of such stock for all purposes, including the payment of dividends and the right to vote with respect to such stock, regardless of any transfer, pledge or other disposition of such stock until the shares have been transferred on the books of the Corporation in accordance with the requirements of these Bylaws.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02" w:name="page303"/>
    <w:bookmarkEnd w:id="302"/>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5. LOST, DESTROYED OR STOLEN CERTIFICATES. Whenever a certificate representing shares of the Corporation has been lost, destroyed or stolen, the holder thereof may file in the office of the Corporation an affidavit setting forth, to the best of his knowledge and belief, the time, place, and circumstance of such loss, destruction or theft together with a statement of indemnity and posting of such bond sufficient in the opinion of the Board of Directors to indemnify the Corporation against any claim that may be made against it on account of the alleged loss of any such certificate. Thereupon the Board may cause to be issued to such person or such person’s legal representative a new certificate or a duplicate of the certificate alleged to have been lost, destroyed or stolen. In the exercise of its discretion, the Board of Directors may waive the indemnification and bond requirements provided herein.</w:t>
      </w:r>
    </w:p>
    <w:p>
      <w:pPr>
        <w:spacing w:after="0" w:line="19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SECTION 6. REGULATIONS. The issue, transfer, conversion and registration of shares of stock of the Corporation shall be governed by such other regulations as the Board of Directors may establish.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RESTRICTIONS ON TRANSFER AND RIGHT OF FIRST REFUSAL.</w:t>
      </w:r>
    </w:p>
    <w:p>
      <w:pPr>
        <w:spacing w:after="0" w:line="211" w:lineRule="exact"/>
        <w:rPr>
          <w:sz w:val="20"/>
          <w:szCs w:val="20"/>
          <w:color w:val="auto"/>
        </w:rPr>
      </w:pPr>
    </w:p>
    <w:p>
      <w:pPr>
        <w:ind w:right="20" w:firstLine="440"/>
        <w:spacing w:after="0" w:line="288" w:lineRule="auto"/>
        <w:rPr>
          <w:sz w:val="20"/>
          <w:szCs w:val="20"/>
          <w:color w:val="auto"/>
        </w:rPr>
      </w:pPr>
      <w:r>
        <w:rPr>
          <w:rFonts w:ascii="Arial" w:cs="Arial" w:eastAsia="Arial" w:hAnsi="Arial"/>
          <w:sz w:val="16"/>
          <w:szCs w:val="16"/>
          <w:color w:val="auto"/>
        </w:rPr>
        <w:t>SECTION 1. TRANSFERS. If a holder of any shares of stock of the Corporation (a “</w:t>
      </w:r>
      <w:r>
        <w:rPr>
          <w:rFonts w:ascii="Arial" w:cs="Arial" w:eastAsia="Arial" w:hAnsi="Arial"/>
          <w:sz w:val="16"/>
          <w:szCs w:val="16"/>
          <w:u w:val="single" w:color="auto"/>
          <w:color w:val="auto"/>
        </w:rPr>
        <w:t>Holder</w:t>
      </w:r>
      <w:r>
        <w:rPr>
          <w:rFonts w:ascii="Arial" w:cs="Arial" w:eastAsia="Arial" w:hAnsi="Arial"/>
          <w:sz w:val="16"/>
          <w:szCs w:val="16"/>
          <w:color w:val="auto"/>
        </w:rPr>
        <w:t>”) proposes to, directly or indirectly, sell, assign, transfer, pledge, hypothecate or otherwise dispose of, by operation of law or otherwise (collectively “</w:t>
      </w:r>
      <w:r>
        <w:rPr>
          <w:rFonts w:ascii="Arial" w:cs="Arial" w:eastAsia="Arial" w:hAnsi="Arial"/>
          <w:sz w:val="16"/>
          <w:szCs w:val="16"/>
          <w:u w:val="single" w:color="auto"/>
          <w:color w:val="auto"/>
        </w:rPr>
        <w:t>Transfer</w:t>
      </w:r>
      <w:r>
        <w:rPr>
          <w:rFonts w:ascii="Arial" w:cs="Arial" w:eastAsia="Arial" w:hAnsi="Arial"/>
          <w:sz w:val="16"/>
          <w:szCs w:val="16"/>
          <w:color w:val="auto"/>
        </w:rPr>
        <w:t>”) any such shares, or any right or interest therein (including, without limitation, the entering into of any swap or other arrangement that Transfers to another, in whole or in part, any of the economic consequences of ownership of the common stock of the Corporation, whether any such transaction described above is to be settled by delivery of common stock of the Corporation or other securities, in cash or otherwise), pursuant to a bona fide offer acceptable to such Holder, then Holder shall first give written notice of the proposed Transfer (the “</w:t>
      </w:r>
      <w:r>
        <w:rPr>
          <w:rFonts w:ascii="Arial" w:cs="Arial" w:eastAsia="Arial" w:hAnsi="Arial"/>
          <w:sz w:val="16"/>
          <w:szCs w:val="16"/>
          <w:u w:val="single" w:color="auto"/>
          <w:color w:val="auto"/>
        </w:rPr>
        <w:t>Transfer Notice</w:t>
      </w:r>
      <w:r>
        <w:rPr>
          <w:rFonts w:ascii="Arial" w:cs="Arial" w:eastAsia="Arial" w:hAnsi="Arial"/>
          <w:sz w:val="16"/>
          <w:szCs w:val="16"/>
          <w:color w:val="auto"/>
        </w:rPr>
        <w:t>”) to the Corporation. The Transfer Notice shall state the name of the proposed transferee, the number of shares Holder proposes to Transfer (the “</w:t>
      </w:r>
      <w:r>
        <w:rPr>
          <w:rFonts w:ascii="Arial" w:cs="Arial" w:eastAsia="Arial" w:hAnsi="Arial"/>
          <w:sz w:val="16"/>
          <w:szCs w:val="16"/>
          <w:u w:val="single" w:color="auto"/>
          <w:color w:val="auto"/>
        </w:rPr>
        <w:t>Offered Shares</w:t>
      </w:r>
      <w:r>
        <w:rPr>
          <w:rFonts w:ascii="Arial" w:cs="Arial" w:eastAsia="Arial" w:hAnsi="Arial"/>
          <w:sz w:val="16"/>
          <w:szCs w:val="16"/>
          <w:color w:val="auto"/>
        </w:rPr>
        <w:t>”), whether the Offered Shares are vested or unvested shares, the price per share and all other material terms and conditions of the Transfer, including any available exemption set forth in Section 4 below from the restrictions set forth in Sections 2 and 3 below and shall include a confirmation from the Holder that the proposed transferee is an accredited investor as defined in Rule 501(a) of Regulation D promulgated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168" w:lineRule="exact"/>
        <w:rPr>
          <w:sz w:val="20"/>
          <w:szCs w:val="20"/>
          <w:color w:val="auto"/>
        </w:rPr>
      </w:pPr>
    </w:p>
    <w:p>
      <w:pPr>
        <w:ind w:right="440" w:firstLine="440"/>
        <w:spacing w:after="0" w:line="255" w:lineRule="auto"/>
        <w:rPr>
          <w:sz w:val="20"/>
          <w:szCs w:val="20"/>
          <w:color w:val="auto"/>
        </w:rPr>
      </w:pPr>
      <w:r>
        <w:rPr>
          <w:rFonts w:ascii="Arial" w:cs="Arial" w:eastAsia="Arial" w:hAnsi="Arial"/>
          <w:sz w:val="18"/>
          <w:szCs w:val="18"/>
          <w:color w:val="auto"/>
        </w:rPr>
        <w:t xml:space="preserve">SECTION 2. CONSENT TO TRANSFER. Following receipt of the Transfer Notice, the prior written consent of the Corporation (upon duly authorized action of its Board of Directors) shall be required (and such consent may be withheld) if such Transfer (a) would be to an individual, company or any other form of entity identified by the Corporation as a competitor or potential competitor; (b) increases the risk of the Corporation having a class of equity security (other than an exempted security) held of record by either (i) 2,000 or more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restriction shall only apply after the Corporation has a class of equity security (other than an exempted security) held of record by more than 1,000 persons or (ii) 500 or more persons who 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03" w:name="page304"/>
    <w:bookmarkEnd w:id="30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accredited investors, as described in Section 12(g) of the Securities and Exchange Act of 1934 (the “</w:t>
      </w:r>
      <w:r>
        <w:rPr>
          <w:rFonts w:ascii="Arial" w:cs="Arial" w:eastAsia="Arial" w:hAnsi="Arial"/>
          <w:sz w:val="17"/>
          <w:szCs w:val="17"/>
          <w:u w:val="single" w:color="auto"/>
          <w:color w:val="auto"/>
        </w:rPr>
        <w:t>1934 Act</w:t>
      </w:r>
      <w:r>
        <w:rPr>
          <w:rFonts w:ascii="Arial" w:cs="Arial" w:eastAsia="Arial" w:hAnsi="Arial"/>
          <w:sz w:val="17"/>
          <w:szCs w:val="17"/>
          <w:color w:val="auto"/>
        </w:rPr>
        <w:t>”), and Rule 12g5-1 promulgated thereunder, or otherwise requiring the Corporation to register any class of securities under the 1934 Act; (c) would result in the loss of any federal or state securities law exemption relied upon by the Corporation in connection with the initial issuance of such shares or the issuance of any other securities; (d) is facilitated in any manner by any public posting, message board, trading portal, internet site or similar method of communication, including without limitation any trading portal or internet site intended to facilitate secondary transfers of securities; (e) is to be effected in a brokered transaction; (f) represents a Transfer of less than all of the shares then held by the stockholder and its affiliates or is to be made to more than a single transferee or (g) is determined by the Corporation’s Board of Directors to require such consent for any legitimate corporate purpose. The provisions of subsections (f) and (g) of this Section 2 shall not apply to any Transfer of Preferred Stock of the Corporation or the shares of Common Stock issued upon conversion thereof. The Corporation shall notify Holder within 30 days of receipt of the Transfer Notice indicating whether the proposed transfer requires such consent and if so, whether such consent has been provided (a “</w:t>
      </w:r>
      <w:r>
        <w:rPr>
          <w:rFonts w:ascii="Arial" w:cs="Arial" w:eastAsia="Arial" w:hAnsi="Arial"/>
          <w:sz w:val="17"/>
          <w:szCs w:val="17"/>
          <w:u w:val="single" w:color="auto"/>
          <w:color w:val="auto"/>
        </w:rPr>
        <w:t>Transfer Approval</w:t>
      </w:r>
      <w:r>
        <w:rPr>
          <w:rFonts w:ascii="Arial" w:cs="Arial" w:eastAsia="Arial" w:hAnsi="Arial"/>
          <w:sz w:val="17"/>
          <w:szCs w:val="17"/>
          <w:color w:val="auto"/>
        </w:rPr>
        <w:t>”) or withheld (a “Transfer Denial” and together with “Transfer Approval”, the “</w:t>
      </w:r>
      <w:r>
        <w:rPr>
          <w:rFonts w:ascii="Arial" w:cs="Arial" w:eastAsia="Arial" w:hAnsi="Arial"/>
          <w:sz w:val="17"/>
          <w:szCs w:val="17"/>
          <w:u w:val="single" w:color="auto"/>
          <w:color w:val="auto"/>
        </w:rPr>
        <w:t>Transfer Determination</w:t>
      </w:r>
      <w:r>
        <w:rPr>
          <w:rFonts w:ascii="Arial" w:cs="Arial" w:eastAsia="Arial" w:hAnsi="Arial"/>
          <w:sz w:val="17"/>
          <w:szCs w:val="17"/>
          <w:color w:val="auto"/>
        </w:rPr>
        <w:t>”). For purposes of clarity, (i) if the Corporation determines no consent is required for the proposed Transfer, then this determination shall constitute a Transfer Approval and (ii) a Holder shall not be entitled to transfer any shares if such proposed Transfer results in a Transfer Denial. Any Transfer made following a Transfer Determination that results in a Transfer Approval shall be effected pursuant to a transfer agreement in a form reasonably acceptable to the Corporation (which form shall include, without limitation, a release in favor of the Corporation and representations from the Holder and transferee that the Corporation is not a party to the transaction and has made no representations to the transferee).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 RIGHT OF FIRST REFUSAL.</w:t>
      </w:r>
    </w:p>
    <w:p>
      <w:pPr>
        <w:spacing w:after="0" w:line="225" w:lineRule="exact"/>
        <w:rPr>
          <w:sz w:val="20"/>
          <w:szCs w:val="20"/>
          <w:color w:val="auto"/>
        </w:rPr>
      </w:pPr>
    </w:p>
    <w:p>
      <w:pPr>
        <w:ind w:right="20" w:firstLine="987"/>
        <w:spacing w:after="0" w:line="269" w:lineRule="auto"/>
        <w:tabs>
          <w:tab w:leader="none" w:pos="1236" w:val="left"/>
        </w:tabs>
        <w:numPr>
          <w:ilvl w:val="0"/>
          <w:numId w:val="202"/>
        </w:numPr>
        <w:rPr>
          <w:rFonts w:ascii="Arial" w:cs="Arial" w:eastAsia="Arial" w:hAnsi="Arial"/>
          <w:sz w:val="17"/>
          <w:szCs w:val="17"/>
          <w:color w:val="auto"/>
        </w:rPr>
      </w:pPr>
      <w:r>
        <w:rPr>
          <w:rFonts w:ascii="Arial" w:cs="Arial" w:eastAsia="Arial" w:hAnsi="Arial"/>
          <w:sz w:val="17"/>
          <w:szCs w:val="17"/>
          <w:color w:val="auto"/>
        </w:rPr>
        <w:t>Subject to the exceptions set forth in Section 3(e) below, for 30 days following a Transfer Determination that results in a Transfer Approval, the Corporation or its assigns shall have the option to purchase all or part of the Offered Shares at the price and upon the terms set forth in the Transfer Notice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 xml:space="preserve">”). In the event the Corporation or its assigns, as applicable, elects to purchase all or part of the Offered Shares, it shall give written notice of such election to the Holder within such 30 day period. Within 10 days after Holder’s receipt of such notice, Holder shall tender to the Corporation at its principal offices the certificate or certificates representing the Offered Shares to be purchased by the Corporation, duly endorsed in blank by Holder or with duly endorsed stock powers attached thereto, all in a form suitable for Transfer of the Offered Shares to the Corporation. Promptly following receipt of such certificate or certificates, the Corporation or its assigns, as applicable, shall deliver or mail to Holder a check in payment of the purchase price for such Offered Shares;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the terms of payment set forth in the Transfer Notice were other than cash against delivery, the Corporation or its assigns, as applicable, may pay for the Offered Shares on the same terms and conditions as were set forth in the Transfer Notice.</w:t>
      </w:r>
    </w:p>
    <w:p>
      <w:pPr>
        <w:spacing w:after="0" w:line="185" w:lineRule="exact"/>
        <w:rPr>
          <w:rFonts w:ascii="Arial" w:cs="Arial" w:eastAsia="Arial" w:hAnsi="Arial"/>
          <w:sz w:val="17"/>
          <w:szCs w:val="17"/>
          <w:color w:val="auto"/>
        </w:rPr>
      </w:pPr>
    </w:p>
    <w:p>
      <w:pPr>
        <w:ind w:right="120" w:firstLine="987"/>
        <w:spacing w:after="0" w:line="263" w:lineRule="auto"/>
        <w:tabs>
          <w:tab w:leader="none" w:pos="124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If the Corporation or its assigns, as applicable, does not elect to acquire any of the Offered Shares, Holder may, within the 30-day period following the expiration of the option granted to the Corporation under Section 3(a) above, Transfer the Offered Shares that the Corporation has not elected to acquire to the proposed transferee,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 shall</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04" w:name="page305"/>
    <w:bookmarkEnd w:id="304"/>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be on terms and conditions more favorable to the transferee than those contained in the Transfer Notice, such Transfer shall be only to a prospective transferee that is an accredited investor as defined in Rule 501(a) of Regulation D promulgated under the Securities Act and such Transfer shall comply with the Securities Act. Notwithstanding any of the above, all Offered Shares transferred pursuant to this Section 3 shall remain subject to these Bylaws and any equity grant agreement such Offered Shares were subject to and such transferee shall, as a condition to such Transfer, deliver to the Corporation a written instrument confirming that such transferee shall be bound by all of the terms and conditions of these Bylaws and any applicable equity grant agreement.</w:t>
      </w:r>
    </w:p>
    <w:p>
      <w:pPr>
        <w:spacing w:after="0" w:line="192" w:lineRule="exact"/>
        <w:rPr>
          <w:sz w:val="20"/>
          <w:szCs w:val="20"/>
          <w:color w:val="auto"/>
        </w:rPr>
      </w:pPr>
    </w:p>
    <w:p>
      <w:pPr>
        <w:jc w:val="both"/>
        <w:ind w:right="140" w:firstLine="987"/>
        <w:spacing w:after="0" w:line="259"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After the time at which the Offered Shares are required to be delivered to the Corporation for Transfer to the Corporation pursuant to subsection 3(a) above, the Corporation shall not pay any dividend to Holder on account of such Offered Shares or permit Holder to exercise any of the privileges or rights of a stockholder with respect to such Offered Shares, but shall, insofar as permitted by law, treat the Corporation as the owner of such Offered Shares.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Corporation may assign its Right of First Refusal in any particular transaction under this Section 3 to one or more persons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entities.</w:t>
      </w:r>
    </w:p>
    <w:p>
      <w:pPr>
        <w:spacing w:after="0" w:line="210" w:lineRule="exact"/>
        <w:rPr>
          <w:rFonts w:ascii="Arial" w:cs="Arial" w:eastAsia="Arial" w:hAnsi="Arial"/>
          <w:sz w:val="17"/>
          <w:szCs w:val="17"/>
          <w:color w:val="auto"/>
        </w:rPr>
      </w:pPr>
    </w:p>
    <w:p>
      <w:pPr>
        <w:ind w:right="140" w:firstLine="987"/>
        <w:spacing w:after="0" w:line="277" w:lineRule="auto"/>
        <w:tabs>
          <w:tab w:leader="none" w:pos="1236"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provisions of this Section 3 shall not apply to any Transfer of Preferred Stock of the Corporation or the shares of Common Stock issued upon conversion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4. EXCEPTIONS.</w:t>
      </w:r>
    </w:p>
    <w:p>
      <w:pPr>
        <w:spacing w:after="0" w:line="225" w:lineRule="exact"/>
        <w:rPr>
          <w:sz w:val="20"/>
          <w:szCs w:val="20"/>
          <w:color w:val="auto"/>
        </w:rPr>
      </w:pPr>
    </w:p>
    <w:p>
      <w:pPr>
        <w:ind w:left="1240" w:hanging="253"/>
        <w:spacing w:after="0"/>
        <w:tabs>
          <w:tab w:leader="none" w:pos="12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provisions of this Article VI may be waived with respect to any Transfer upon duly authorized action of its Board of Directors.</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following transactions shall be exempt from the restrictions set forth in Article VI, Section 3:</w:t>
      </w:r>
    </w:p>
    <w:p>
      <w:pPr>
        <w:spacing w:after="0" w:line="117" w:lineRule="exact"/>
        <w:rPr>
          <w:rFonts w:ascii="Arial" w:cs="Arial" w:eastAsia="Arial" w:hAnsi="Arial"/>
          <w:sz w:val="18"/>
          <w:szCs w:val="18"/>
          <w:color w:val="auto"/>
        </w:rPr>
      </w:pPr>
    </w:p>
    <w:p>
      <w:pPr>
        <w:ind w:right="160" w:firstLine="1428"/>
        <w:spacing w:after="0" w:line="257" w:lineRule="auto"/>
        <w:tabs>
          <w:tab w:leader="none" w:pos="172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Transfer to or for the benefit of (i) any spouse, children, parents, uncles, aunts, siblings or grandchildren of the Holder or any other relatives of the Holder that have been approved by the Board of Directors (collectively, “</w:t>
      </w:r>
      <w:r>
        <w:rPr>
          <w:rFonts w:ascii="Arial" w:cs="Arial" w:eastAsia="Arial" w:hAnsi="Arial"/>
          <w:sz w:val="18"/>
          <w:szCs w:val="18"/>
          <w:u w:val="single" w:color="auto"/>
          <w:color w:val="auto"/>
        </w:rPr>
        <w:t>Approved Relatives</w:t>
      </w:r>
      <w:r>
        <w:rPr>
          <w:rFonts w:ascii="Arial" w:cs="Arial" w:eastAsia="Arial" w:hAnsi="Arial"/>
          <w:sz w:val="18"/>
          <w:szCs w:val="18"/>
          <w:color w:val="auto"/>
        </w:rPr>
        <w:t>”), (ii) a trust established solely for the benefit of the Holder and/or Approved Relatives or (iii) where the Holder is a trust, (x) a trust established solely for the benefit of one or more beneficiaries of the Holder trust and/or Approved Relatives of any such beneficiaries or (y) one or more beneficiaries of the Holder trust and/or Approved Relatives of any such beneficiaries;</w:t>
      </w:r>
    </w:p>
    <w:p>
      <w:pPr>
        <w:spacing w:after="0" w:line="187" w:lineRule="exact"/>
        <w:rPr>
          <w:rFonts w:ascii="Arial" w:cs="Arial" w:eastAsia="Arial" w:hAnsi="Arial"/>
          <w:sz w:val="18"/>
          <w:szCs w:val="18"/>
          <w:color w:val="auto"/>
        </w:rPr>
      </w:pPr>
    </w:p>
    <w:p>
      <w:pPr>
        <w:ind w:right="540" w:firstLine="1428"/>
        <w:spacing w:after="0" w:line="277" w:lineRule="auto"/>
        <w:tabs>
          <w:tab w:leader="none" w:pos="171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Transfer made as part of the sale of all or substantially all of the shares of capital stock of the Corporation (including pursuant to a merger or consolidation);</w:t>
      </w:r>
    </w:p>
    <w:p>
      <w:pPr>
        <w:spacing w:after="0" w:line="170" w:lineRule="exact"/>
        <w:rPr>
          <w:rFonts w:ascii="Arial" w:cs="Arial" w:eastAsia="Arial" w:hAnsi="Arial"/>
          <w:sz w:val="18"/>
          <w:szCs w:val="18"/>
          <w:color w:val="auto"/>
        </w:rPr>
      </w:pPr>
    </w:p>
    <w:p>
      <w:pPr>
        <w:ind w:left="1720" w:hanging="292"/>
        <w:spacing w:after="0"/>
        <w:tabs>
          <w:tab w:leader="none" w:pos="1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Transfer pursuant to an effective registration statement filed by the Corporation under the Securities Act;</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 stockholder’s bona fide pledge or mortgage of any Common Stock with a commercial lending institution;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05" w:name="page306"/>
    <w:bookmarkEnd w:id="305"/>
    <w:p>
      <w:pPr>
        <w:ind w:right="180" w:firstLine="1428"/>
        <w:spacing w:after="0" w:line="263" w:lineRule="auto"/>
        <w:tabs>
          <w:tab w:leader="none" w:pos="1707" w:val="left"/>
        </w:tabs>
        <w:numPr>
          <w:ilvl w:val="1"/>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corporate stockholder’s Transfer of any or all of its shares pursuant to and in accordance with the terms of any merger, consolidation, reclassification of common stock or capital reorganization of the corporate stockholder, or pursuant to a sale of all or substantially all of the stock or assets of a corporate stockholder;</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 corporate stockholder’s Transfer of any or all of its shares to any or all of its stockholders; and</w:t>
      </w:r>
    </w:p>
    <w:p>
      <w:pPr>
        <w:spacing w:after="0" w:line="225" w:lineRule="exact"/>
        <w:rPr>
          <w:rFonts w:ascii="Arial" w:cs="Arial" w:eastAsia="Arial" w:hAnsi="Arial"/>
          <w:sz w:val="18"/>
          <w:szCs w:val="18"/>
          <w:color w:val="auto"/>
        </w:rPr>
      </w:pPr>
    </w:p>
    <w:p>
      <w:pPr>
        <w:ind w:left="1720" w:hanging="292"/>
        <w:spacing w:after="0"/>
        <w:tabs>
          <w:tab w:leader="none" w:pos="172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 Transfer of any or all of the shares held by a stockholder which is a limited or general partnership to any or all of its partners.</w:t>
      </w:r>
    </w:p>
    <w:p>
      <w:pPr>
        <w:spacing w:after="0" w:line="248" w:lineRule="exact"/>
        <w:rPr>
          <w:rFonts w:ascii="Arial" w:cs="Arial" w:eastAsia="Arial" w:hAnsi="Arial"/>
          <w:sz w:val="16"/>
          <w:szCs w:val="16"/>
          <w:color w:val="auto"/>
        </w:rPr>
      </w:pPr>
    </w:p>
    <w:p>
      <w:pPr>
        <w:ind w:right="20" w:firstLine="987"/>
        <w:spacing w:after="0" w:line="259" w:lineRule="auto"/>
        <w:tabs>
          <w:tab w:leader="none" w:pos="123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case of a Transfer pursuant to Sections 4(b)(A) and (D)-(G) above, such shares shall remain subject to these Bylaws and any existing equity grant agreement and such transferee shall, as a condition to such Transfer, deliver to the Corporation a written instrument confirming that such transferee shall be bound by all of the terms and conditions of these Bylaws and any applicable equity grant agreement and there shall be no further Transfer of such shares except in accordance with these Bylaws.</w:t>
      </w:r>
    </w:p>
    <w:p>
      <w:pPr>
        <w:spacing w:after="0" w:line="187" w:lineRule="exact"/>
        <w:rPr>
          <w:sz w:val="20"/>
          <w:szCs w:val="20"/>
          <w:color w:val="auto"/>
        </w:rPr>
      </w:pPr>
    </w:p>
    <w:p>
      <w:pPr>
        <w:ind w:right="700" w:firstLine="440"/>
        <w:spacing w:after="0" w:line="308" w:lineRule="auto"/>
        <w:rPr>
          <w:sz w:val="20"/>
          <w:szCs w:val="20"/>
          <w:color w:val="auto"/>
        </w:rPr>
      </w:pPr>
      <w:r>
        <w:rPr>
          <w:rFonts w:ascii="Arial" w:cs="Arial" w:eastAsia="Arial" w:hAnsi="Arial"/>
          <w:sz w:val="17"/>
          <w:szCs w:val="17"/>
          <w:color w:val="auto"/>
        </w:rPr>
        <w:t>SECTION 5. TERMINATION. The provisions of Article VI shall terminate upon the closing of the sale of shares of common stock in an underwritten public offering pursuant to an effective registration statement filed by the Corporation under the Securities Act.</w:t>
      </w:r>
    </w:p>
    <w:p>
      <w:pPr>
        <w:spacing w:after="0" w:line="146"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SECTION 6. VOID TRANSFERS. The Corporation shall not be required (a) to Transfer on its books any shares which shall have been sold or otherwise transferred in violation of any of the provisions of this Article VI or (b) to treat as owner of such shares or to accord the right to vote or pay dividends to any purchaser or other transferee to whom any such shares shall have been so sold or transferred.</w:t>
      </w:r>
    </w:p>
    <w:p>
      <w:pPr>
        <w:spacing w:after="0" w:line="16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SECTION 7. LEGENDS. The books and records of the Corporation and any certificates representing shares of stock of the Corporation shall contain or bear the following legend so long as the foregoing Transfer restrictions are in effect:</w:t>
      </w:r>
    </w:p>
    <w:p>
      <w:pPr>
        <w:spacing w:after="0" w:line="62" w:lineRule="exact"/>
        <w:rPr>
          <w:sz w:val="20"/>
          <w:szCs w:val="20"/>
          <w:color w:val="auto"/>
        </w:rPr>
      </w:pPr>
    </w:p>
    <w:p>
      <w:pPr>
        <w:ind w:left="980"/>
        <w:spacing w:after="0" w:line="263" w:lineRule="auto"/>
        <w:rPr>
          <w:sz w:val="20"/>
          <w:szCs w:val="20"/>
          <w:color w:val="auto"/>
        </w:rPr>
      </w:pPr>
      <w:r>
        <w:rPr>
          <w:rFonts w:ascii="Arial" w:cs="Arial" w:eastAsia="Arial" w:hAnsi="Arial"/>
          <w:sz w:val="18"/>
          <w:szCs w:val="18"/>
          <w:color w:val="auto"/>
        </w:rPr>
        <w:t>THE SHARES REPRESENTED BY THIS CERTIFICATE ARE SUBJECT TO (i) TRANSFER RESTRICTIONS AND (ii) A RIGHT OF FIRST REFUSAL OPTION IN FAVOR OF THE CORPORATION AND/OR ITS ASSIGNEE(S), EACH AS PROVIDED IN THE BYLAWS OF THE CORPORATION.</w:t>
      </w:r>
    </w:p>
    <w:p>
      <w:pPr>
        <w:spacing w:after="0" w:line="184"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SECTION 8. CONFLICTS. To the extent the Corporation has entered into any written agreement with the stockholder attempting to Transfer shares that contains terms restricting such Transfer and grants the Corporation a right of first refusal with respect thereto (“</w:t>
      </w:r>
      <w:r>
        <w:rPr>
          <w:rFonts w:ascii="Arial" w:cs="Arial" w:eastAsia="Arial" w:hAnsi="Arial"/>
          <w:sz w:val="17"/>
          <w:szCs w:val="17"/>
          <w:u w:val="single" w:color="auto"/>
          <w:color w:val="auto"/>
        </w:rPr>
        <w:t>Separate ROFR Terms</w:t>
      </w:r>
      <w:r>
        <w:rPr>
          <w:rFonts w:ascii="Arial" w:cs="Arial" w:eastAsia="Arial" w:hAnsi="Arial"/>
          <w:sz w:val="17"/>
          <w:szCs w:val="17"/>
          <w:color w:val="auto"/>
        </w:rPr>
        <w:t>”), then such Separate ROFR Terms shall supersede this Article VI and shall control such stockholder’s proposed Transfer of shares.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SECTION 1. RIGHT TO INDEMNIFICATION OF DIRECTORS AND OFFICERS. The Corporation shall indemnify and hold harmless, to the fullest extent permitted by applicable law as it presently exists or may hereafter be amended, any person (an “</w:t>
      </w:r>
      <w:r>
        <w:rPr>
          <w:rFonts w:ascii="Arial" w:cs="Arial" w:eastAsia="Arial" w:hAnsi="Arial"/>
          <w:sz w:val="16"/>
          <w:szCs w:val="16"/>
          <w:u w:val="single" w:color="auto"/>
          <w:color w:val="auto"/>
        </w:rPr>
        <w:t>Indemnified Person</w:t>
      </w:r>
      <w:r>
        <w:rPr>
          <w:rFonts w:ascii="Arial" w:cs="Arial" w:eastAsia="Arial" w:hAnsi="Arial"/>
          <w:sz w:val="16"/>
          <w:szCs w:val="16"/>
          <w:color w:val="auto"/>
        </w:rPr>
        <w:t>”)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such person, or a person for whom such person is the legal 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VII, the Corporation shall be required to indemnify an Indemnified Person in connection with a Proceeding (or part thereof) commenced by such Indemnified Person only if the commencement of such Proceeding (or part thereof) by the Indemnified Person was authorized in advance by the Board of Directors.</w:t>
      </w:r>
    </w:p>
    <w:p>
      <w:pPr>
        <w:spacing w:after="0" w:line="16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2. PREPAYMENT OF EXPENSES OF DIRECTORS AND OFFICERS. The Corporation shall pay the expenses (including attorneys’ fees) incurred by an Indemnified Person in defending any Proceeding in advance of its final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VII or otherwise.</w:t>
      </w:r>
    </w:p>
    <w:p>
      <w:pPr>
        <w:spacing w:after="0" w:line="188"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SECTION 3. CLAIMS BY DIRECTORS AND OFFICERS. If a claim for indemnification or advancement of expenses under this Article VII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88"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SECTION 4. INDEMNIFICATION OF EMPLOYEES AND AGENTS.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 is determined by the Board of Directors in its sole discretion. Notwithstanding the foregoing sentence, the Corporation shall not be required to indemnify a person in connection with a Proceeding initiated by such person if the Proceeding was not authorized in advance by the Board of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307" w:name="page308"/>
    <w:bookmarkEnd w:id="307"/>
    <w:p>
      <w:pPr>
        <w:ind w:right="2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5. ADVANCEMENT OF EXPENSES OF EMPLOYEES AND AGENTS. The Corporation may pay the expenses (including attorneys’ fees) incurred by an employee or agent in defending any Proceeding in advance of its final disposition on such terms and conditions as may be determined by the Board of Directors.</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SECTION 6. NON-EXCLUSIVITY OF RIGHTS. The rights conferred on any person by this Article VII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SECTION 7. OTHER INDEMNIFICATION.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SECTION 8. INSURANCE. The Board of Directors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VII; and (b) to indemnify or insure directors, officers and employees against liability in instances in which they may not otherwise be indemnified by the Corporation under the provisions of this Article VII.</w:t>
      </w:r>
    </w:p>
    <w:p>
      <w:pPr>
        <w:spacing w:after="0" w:line="188"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SECTION 9. AMENDMENT OR REPEAL. Any repeal or modification of the foregoing provisions of this Article VII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w:t>
      </w:r>
    </w:p>
    <w:p>
      <w:pPr>
        <w:spacing w:after="0" w:line="211"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SECTION 1. DECLARATIONS OF DIVIDENDS.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subject to the provisions of the Certificate of Incorporation.</w:t>
      </w:r>
    </w:p>
    <w:p>
      <w:pPr>
        <w:spacing w:after="0" w:line="18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SECTION 2. SPECIAL PURPOSES RESERVES. The Board of Directors may set apart out of any of the funds of the Corporation available for dividends a reserve or reserves for any proper purpose and may abolish any such reserve.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308" w:name="page309"/>
    <w:bookmarkEnd w:id="30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NOTICE BY ELECTRONIC TRANSMISSION</w:t>
      </w:r>
    </w:p>
    <w:p>
      <w:pPr>
        <w:spacing w:after="0" w:line="211" w:lineRule="exact"/>
        <w:rPr>
          <w:sz w:val="20"/>
          <w:szCs w:val="20"/>
          <w:color w:val="auto"/>
        </w:rPr>
      </w:pPr>
    </w:p>
    <w:p>
      <w:pPr>
        <w:ind w:left="4" w:firstLine="440"/>
        <w:spacing w:after="0" w:line="290" w:lineRule="auto"/>
        <w:rPr>
          <w:sz w:val="20"/>
          <w:szCs w:val="20"/>
          <w:color w:val="auto"/>
        </w:rPr>
      </w:pPr>
      <w:r>
        <w:rPr>
          <w:rFonts w:ascii="Arial" w:cs="Arial" w:eastAsia="Arial" w:hAnsi="Arial"/>
          <w:sz w:val="16"/>
          <w:szCs w:val="16"/>
          <w:color w:val="auto"/>
        </w:rPr>
        <w:t>SECTION 1. NOTICE BY ELECTRONIC TRANSMISSION. Without limiting the manner by which notice otherwise may be given effectively to stockholders, any notice to stockholders given by the Corporation under the Delaware General Corporation Law,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or such notice is prohibited by Section 3 of this Article. A notice by electronic mail must include a prominent legend that the communication is an important notice regarding the Corporation.</w:t>
      </w:r>
    </w:p>
    <w:p>
      <w:pPr>
        <w:spacing w:after="0" w:line="57" w:lineRule="exact"/>
        <w:rPr>
          <w:sz w:val="20"/>
          <w:szCs w:val="20"/>
          <w:color w:val="auto"/>
        </w:rPr>
      </w:pPr>
    </w:p>
    <w:p>
      <w:pPr>
        <w:ind w:left="4" w:right="180" w:firstLine="991"/>
        <w:spacing w:after="0" w:line="279" w:lineRule="auto"/>
        <w:rPr>
          <w:sz w:val="20"/>
          <w:szCs w:val="20"/>
          <w:color w:val="auto"/>
        </w:rPr>
      </w:pPr>
      <w:r>
        <w:rPr>
          <w:rFonts w:ascii="Arial" w:cs="Arial" w:eastAsia="Arial" w:hAnsi="Arial"/>
          <w:sz w:val="17"/>
          <w:szCs w:val="17"/>
          <w:color w:val="auto"/>
        </w:rPr>
        <w:t>Without limiting the manner by which notice otherwise may be given effectively to stockholders, but subject to Section 3 of this Article, any notice to stockholders given by the Corporation under any provision of the Delaware General Corporation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117" w:lineRule="exact"/>
        <w:rPr>
          <w:sz w:val="20"/>
          <w:szCs w:val="20"/>
          <w:color w:val="auto"/>
        </w:rPr>
      </w:pPr>
    </w:p>
    <w:p>
      <w:pPr>
        <w:ind w:left="1244" w:hanging="253"/>
        <w:spacing w:after="0"/>
        <w:tabs>
          <w:tab w:leader="none" w:pos="1244"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207"/>
        </w:numPr>
        <w:rPr>
          <w:rFonts w:ascii="Arial" w:cs="Arial" w:eastAsia="Arial" w:hAnsi="Arial"/>
          <w:sz w:val="17"/>
          <w:szCs w:val="17"/>
          <w:color w:val="auto"/>
        </w:rPr>
      </w:pPr>
      <w:r>
        <w:rPr>
          <w:rFonts w:ascii="Arial" w:cs="Arial" w:eastAsia="Arial" w:hAnsi="Arial"/>
          <w:sz w:val="17"/>
          <w:szCs w:val="17"/>
          <w:color w:val="auto"/>
        </w:rPr>
        <w:t>if by a posting on an electronic network together with separate notice to the stockholder of such specific posting, upon the later of</w:t>
      </w:r>
    </w:p>
    <w:p>
      <w:pPr>
        <w:spacing w:after="0" w:line="34" w:lineRule="exact"/>
        <w:rPr>
          <w:rFonts w:ascii="Arial" w:cs="Arial" w:eastAsia="Arial" w:hAnsi="Arial"/>
          <w:sz w:val="17"/>
          <w:szCs w:val="17"/>
          <w:color w:val="auto"/>
        </w:rPr>
      </w:pPr>
    </w:p>
    <w:p>
      <w:pPr>
        <w:ind w:left="304" w:hanging="304"/>
        <w:spacing w:after="0"/>
        <w:tabs>
          <w:tab w:leader="none" w:pos="30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244" w:hanging="253"/>
        <w:spacing w:after="0"/>
        <w:tabs>
          <w:tab w:leader="none" w:pos="1244" w:val="left"/>
        </w:tabs>
        <w:numPr>
          <w:ilvl w:val="1"/>
          <w:numId w:val="208"/>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4" w:right="300"/>
        <w:spacing w:after="0" w:line="259" w:lineRule="auto"/>
        <w:rPr>
          <w:sz w:val="20"/>
          <w:szCs w:val="20"/>
          <w:color w:val="auto"/>
        </w:rPr>
      </w:pPr>
      <w:r>
        <w:rPr>
          <w:rFonts w:ascii="Arial" w:cs="Arial" w:eastAsia="Arial" w:hAnsi="Arial"/>
          <w:sz w:val="18"/>
          <w:szCs w:val="18"/>
          <w:color w:val="auto"/>
        </w:rPr>
        <w:t>Notwithstanding the foregoing, a notice may not be given by an electronic transmission from and after the time that (1) the Corporation is unable to deliver by such electronic transmission 2 consecutive notices given by the Corporation and (2) such inability becomes known to the secretary or an assistant secretary of the Corporation or to the transfer agent, or other person responsible for the giving of notice, provided, however, the inadvertent failure to discover such inability shall not invalidate any meeting or other action.</w:t>
      </w:r>
    </w:p>
    <w:p>
      <w:pPr>
        <w:spacing w:after="0" w:line="187"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Corporation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309" w:name="page310"/>
    <w:bookmarkEnd w:id="309"/>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 DEFINITION OF ELECTRONIC TRANSMISSION; ELECTRONIC MAIL; ELECTRONIC MAIL ADDRESS.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19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SECTION 3. INAPPLICABILITY. Notice by a form of electronic transmission shall not apply to Sections 164, 296, 311, 312 or 324 of the Delaware General Corporation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 FISCAL YEAR. The fiscal year of the Corporation shall be fixed by resolution of the Board of Directors.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2. SEAL. The corporate seal shall have inscribed thereon the name of the Corporation, the year of its organization and the words “Corporate Seal, Delaware” or such other form as shall be approved by the Board of Directors. Said seal may be used by causing it or a facsimile thereof to be impressed or affixed or reproduced or otherwise.</w:t>
      </w:r>
    </w:p>
    <w:p>
      <w:pPr>
        <w:spacing w:after="0" w:line="184"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SECTION 3. WRITTEN WAIVER OF NOTICE. A written waiver of any notice required to be given by law, the Certificate of Incorporation or by these Bylaws, signed by or electronically transmitted by the person entitled to notice, whether before, at or after the time of the event for which notice is to be given, shall be deemed equivalent to notice required to be given to such person. Neither the business to be transacted at, nor the purpose of, any regular or special meeting of stockholders, directors or members of a committee of directors need be specified in any written waiver of notice.</w:t>
      </w:r>
    </w:p>
    <w:p>
      <w:pPr>
        <w:spacing w:after="0" w:line="15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SECTION 4. ATTENDANCE AS WAIVER OF NOTICE. Attendance of a person at a meeting shall constitute a waiver of notice of such meeting, except when the person attends a meeting for the express purpose of objecting at the beginning of the meeting, and objects, to the transaction of any business because the meeting is not lawfully called or convened.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5. WAIVER OF SECTION 1501.</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To the fullest extent provided by the law, the Corporation shall not be required to cause annual reports to be delivered to its stockholders under Section 1501 of the California General Corporation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0" w:name="page311"/>
    <w:bookmarkEnd w:id="310"/>
    <w:p>
      <w:pPr>
        <w:ind w:right="22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 CONTRACTS.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24" w:lineRule="exact"/>
        <w:rPr>
          <w:sz w:val="20"/>
          <w:szCs w:val="20"/>
          <w:color w:val="auto"/>
        </w:rPr>
      </w:pPr>
    </w:p>
    <w:p>
      <w:pPr>
        <w:ind w:right="400" w:firstLine="440"/>
        <w:spacing w:after="0" w:line="308" w:lineRule="auto"/>
        <w:rPr>
          <w:sz w:val="20"/>
          <w:szCs w:val="20"/>
          <w:color w:val="auto"/>
        </w:rPr>
      </w:pPr>
      <w:r>
        <w:rPr>
          <w:rFonts w:ascii="Arial" w:cs="Arial" w:eastAsia="Arial" w:hAnsi="Arial"/>
          <w:sz w:val="17"/>
          <w:szCs w:val="17"/>
          <w:color w:val="auto"/>
        </w:rPr>
        <w:t>SECTION 7. LOANS.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SECTION 8. CHECKS, DRAFTS, ETC. All checks, drafts or other orders for the payment of money, notes or other evidences of indebtedness issued in the name of the Corporation shall be signed by one or more officers or agents of the Corporation and in such manner as shall from time to time be determined by resolution of the Board of Directors.</w:t>
      </w:r>
    </w:p>
    <w:p>
      <w:pPr>
        <w:spacing w:after="0" w:line="184" w:lineRule="exact"/>
        <w:rPr>
          <w:sz w:val="20"/>
          <w:szCs w:val="20"/>
          <w:color w:val="auto"/>
        </w:rPr>
      </w:pPr>
    </w:p>
    <w:p>
      <w:pPr>
        <w:jc w:val="both"/>
        <w:ind w:firstLine="440"/>
        <w:spacing w:after="0" w:line="277" w:lineRule="auto"/>
        <w:rPr>
          <w:sz w:val="20"/>
          <w:szCs w:val="20"/>
          <w:color w:val="auto"/>
        </w:rPr>
      </w:pPr>
      <w:r>
        <w:rPr>
          <w:rFonts w:ascii="Arial" w:cs="Arial" w:eastAsia="Arial" w:hAnsi="Arial"/>
          <w:sz w:val="18"/>
          <w:szCs w:val="18"/>
          <w:color w:val="auto"/>
        </w:rPr>
        <w:t>SECTION 9. DEPOSITS. The funds of the Corporation may be deposited or invested in such bank account, in such investments or with such other depositaries as determined by the Board of Directors.</w:t>
      </w:r>
    </w:p>
    <w:p>
      <w:pPr>
        <w:spacing w:after="0" w:line="170" w:lineRule="exact"/>
        <w:rPr>
          <w:sz w:val="20"/>
          <w:szCs w:val="20"/>
          <w:color w:val="auto"/>
        </w:rPr>
      </w:pPr>
    </w:p>
    <w:p>
      <w:pPr>
        <w:ind w:right="820" w:firstLine="440"/>
        <w:spacing w:after="0" w:line="342" w:lineRule="auto"/>
        <w:rPr>
          <w:sz w:val="20"/>
          <w:szCs w:val="20"/>
          <w:color w:val="auto"/>
        </w:rPr>
      </w:pPr>
      <w:r>
        <w:rPr>
          <w:rFonts w:ascii="Arial" w:cs="Arial" w:eastAsia="Arial" w:hAnsi="Arial"/>
          <w:sz w:val="16"/>
          <w:szCs w:val="16"/>
          <w:color w:val="auto"/>
        </w:rPr>
        <w:t>SECTION 10.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24"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SECTION 11. VOTING OF SECURITIES. Except as the Board of Directors may otherwise designate, the Chief Executive Officer, the President or the Treasurer may waive notice of, vote, or appoint any person or persons to vote, on behalf of the Corporation at, and act as, or appoint any person or persons to act as, proxy or attorney-in-fact for this Corporation (with or without power of substitution) at, any meeting of stockholders or securityholders of any other entity, the securities of which may be held by this Corporation.</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SECTION 12. EVIDENCE OF AUTHORITY. A certificate by the Secretary, or an Assistant Secretary, or a temporary Secretary, as to any action taken by the stockholders, directors, a committee or any officer or representative of the Corporation shall as to all persons who rely on the certificate in good faith be conclusive evidence of such action.</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SECTION 13. CERTIFICATE OF INCORPORATION. All references in these Bylaws to the Certificate of Incorporation shall be deemed to refer to the Certificate of Incorporation of the Corporation, as amended and in effect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14. SEVERABILITY. Any determination that any provision of these Bylaws is for any reason inapplicable, illegal or ineffective shall not affect or invalidate any other provision of these Bylaws.</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SECTION 15. PRONOUNS. All pronouns used in these Bylaws shall be deemed to refer to the masculine, feminine or neuter, singular or plural, as the identity of the person or persons may require.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11" w:name="page312"/>
    <w:bookmarkEnd w:id="3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firstLine="440"/>
        <w:spacing w:after="0" w:line="308" w:lineRule="auto"/>
        <w:rPr>
          <w:sz w:val="20"/>
          <w:szCs w:val="20"/>
          <w:color w:val="auto"/>
        </w:rPr>
      </w:pPr>
      <w:r>
        <w:rPr>
          <w:rFonts w:ascii="Arial" w:cs="Arial" w:eastAsia="Arial" w:hAnsi="Arial"/>
          <w:sz w:val="17"/>
          <w:szCs w:val="17"/>
          <w:color w:val="auto"/>
        </w:rPr>
        <w:t>SECTION 1. BY THE BOARD OF DIRECTORS. These Bylaws may be altered, amended or repealed, in whole or in part, or new Bylaws may be adopted by the Board of Directors, when such power is conferred upon the Board of Directors by the Certificate of Incorporation.</w:t>
      </w:r>
    </w:p>
    <w:p>
      <w:pPr>
        <w:spacing w:after="0" w:line="146"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SECTION 2. BY THE STOCKHOLDERS. These Bylaws may be altered, amended or repealed, in whole or in part, or new Bylaws may be adopted, by the affirmative vote of the holders of a majority of the shares of the capital stock of the Corporation issued and outstanding and entitled to vote at any annual meeting of stockholders, or at any special meeting of stockholders, provided notice of such alteration, amendment, repeal or adoption of new Bylaws shall have been stated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INVESTORS’ RIGHTS AGREEMENT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THIS SECOND AMENDED AND RESTATED INVESTORS’ RIGHTS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as of April 16, 2021, by and among Adagio Therapeutics,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each of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referred to in this Agreement as an “</w:t>
      </w:r>
      <w:r>
        <w:rPr>
          <w:rFonts w:ascii="Arial" w:cs="Arial" w:eastAsia="Arial" w:hAnsi="Arial"/>
          <w:sz w:val="18"/>
          <w:szCs w:val="18"/>
          <w:b w:val="1"/>
          <w:bCs w:val="1"/>
          <w:color w:val="auto"/>
        </w:rPr>
        <w:t>Investor</w:t>
      </w:r>
      <w:r>
        <w:rPr>
          <w:rFonts w:ascii="Arial" w:cs="Arial" w:eastAsia="Arial" w:hAnsi="Arial"/>
          <w:sz w:val="18"/>
          <w:szCs w:val="18"/>
          <w:color w:val="auto"/>
        </w:rPr>
        <w:t>” and any Additional Purchaser (as defined in the Purchase Agreement) that becomes a party to this Agreement in accordance with Section 6.9 hereof.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certain of the Investors (the “</w:t>
      </w:r>
      <w:r>
        <w:rPr>
          <w:rFonts w:ascii="Arial" w:cs="Arial" w:eastAsia="Arial" w:hAnsi="Arial"/>
          <w:sz w:val="18"/>
          <w:szCs w:val="18"/>
          <w:b w:val="1"/>
          <w:bCs w:val="1"/>
          <w:color w:val="auto"/>
        </w:rPr>
        <w:t>Existing Investors</w:t>
      </w:r>
      <w:r>
        <w:rPr>
          <w:rFonts w:ascii="Arial" w:cs="Arial" w:eastAsia="Arial" w:hAnsi="Arial"/>
          <w:sz w:val="18"/>
          <w:szCs w:val="18"/>
          <w:color w:val="auto"/>
        </w:rPr>
        <w:t>”) possess registration rights, information rights, rights of first offer, and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an Amended and Restated Investors’ Rights Agreement, dated as of October 30, 2020, by and among the Company and such Existing Investors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76"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Existing Investors, who have sufficient shares to amend and restate the Prior Agreement in accordance with its terms, desire to</w:t>
      </w:r>
      <w:r>
        <w:rPr>
          <w:rFonts w:ascii="Arial" w:cs="Arial" w:eastAsia="Arial" w:hAnsi="Arial"/>
          <w:sz w:val="18"/>
          <w:szCs w:val="18"/>
          <w:b w:val="1"/>
          <w:bCs w:val="1"/>
          <w:color w:val="auto"/>
        </w:rPr>
        <w:t xml:space="preserve"> </w:t>
      </w:r>
      <w:r>
        <w:rPr>
          <w:rFonts w:ascii="Arial" w:cs="Arial" w:eastAsia="Arial" w:hAnsi="Arial"/>
          <w:sz w:val="18"/>
          <w:szCs w:val="18"/>
          <w:color w:val="auto"/>
        </w:rPr>
        <w:t>amend and restate the Prior Agreement in its entirety and to accept the rights created pursuant to this Agreement in lieu of the rights granted to them under the Prior Agreement;</w:t>
      </w:r>
    </w:p>
    <w:p>
      <w:pPr>
        <w:spacing w:after="0" w:line="176" w:lineRule="exact"/>
        <w:rPr>
          <w:sz w:val="20"/>
          <w:szCs w:val="20"/>
          <w:color w:val="auto"/>
        </w:rPr>
      </w:pPr>
    </w:p>
    <w:p>
      <w:pPr>
        <w:ind w:right="500" w:firstLine="440"/>
        <w:spacing w:after="0" w:line="31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are parties to that certain Series C Preferred Stock Purchase Agreement of even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herewith (as the same may be amended and/or restated from time to time, the “</w:t>
      </w:r>
      <w:r>
        <w:rPr>
          <w:rFonts w:ascii="Arial" w:cs="Arial" w:eastAsia="Arial" w:hAnsi="Arial"/>
          <w:sz w:val="17"/>
          <w:szCs w:val="17"/>
          <w:b w:val="1"/>
          <w:bCs w:val="1"/>
          <w:color w:val="auto"/>
        </w:rPr>
        <w:t>Purchase Agreement</w:t>
      </w:r>
      <w:r>
        <w:rPr>
          <w:rFonts w:ascii="Arial" w:cs="Arial" w:eastAsia="Arial" w:hAnsi="Arial"/>
          <w:sz w:val="17"/>
          <w:szCs w:val="17"/>
          <w:color w:val="auto"/>
        </w:rPr>
        <w:t>”); and</w:t>
      </w:r>
    </w:p>
    <w:p>
      <w:pPr>
        <w:spacing w:after="0" w:line="140"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order to induce the Company to enter into the Purchase Agreement and to induce certain of the Investors to invest funds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pursuant to the Purchase Agreement, the Investors and the Company hereby agree that this Agreement shall govern the rights of the Investors to cause the Company to register shares of Common Stock issuable to the Investors, to receive certain information from the Company, and to participate in future equity offerings by the Company and shall govern certain other matters as set forth in this Agreement;</w:t>
      </w:r>
    </w:p>
    <w:p>
      <w:pPr>
        <w:spacing w:after="0" w:line="16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Company and the Existing Investors hereby agree to amend and restate the Prior Agreement in its entirety as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and all of the parties hereto further agree as follows: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113"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Affiliate</w:t>
      </w:r>
      <w:r>
        <w:rPr>
          <w:rFonts w:ascii="Arial" w:cs="Arial" w:eastAsia="Arial" w:hAnsi="Arial"/>
          <w:sz w:val="16"/>
          <w:szCs w:val="16"/>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venture capital fund, registered investment company or fund or any other entity now or hereafter existing that is controlled by one or more general partners, managing members or investment adviser of, or shares the same management company or investment adviser with, such Person. For the avoidance of doubt, each of Fidelity Mt. Vernon Street Trust: Fidelity Series Growth Company Fund, Fidelity Mt. Vernon Street Trust: Fidelity Growth Company Fund, Fidelity Growth Company Commingled Pool, Fidelity Mt. Vernon Street Trust: Fidelity Growth Company K6 Fund and Fidelity Select Portfolios: Biotechnology Portfolio (each, a “</w:t>
      </w:r>
      <w:r>
        <w:rPr>
          <w:rFonts w:ascii="Arial" w:cs="Arial" w:eastAsia="Arial" w:hAnsi="Arial"/>
          <w:sz w:val="16"/>
          <w:szCs w:val="16"/>
          <w:b w:val="1"/>
          <w:bCs w:val="1"/>
          <w:color w:val="auto"/>
        </w:rPr>
        <w:t>Fidelity Investor</w:t>
      </w:r>
      <w:r>
        <w:rPr>
          <w:rFonts w:ascii="Arial" w:cs="Arial" w:eastAsia="Arial" w:hAnsi="Arial"/>
          <w:sz w:val="16"/>
          <w:szCs w:val="16"/>
          <w:color w:val="auto"/>
        </w:rPr>
        <w:t>,” and together, the “</w:t>
      </w:r>
      <w:r>
        <w:rPr>
          <w:rFonts w:ascii="Arial" w:cs="Arial" w:eastAsia="Arial" w:hAnsi="Arial"/>
          <w:sz w:val="16"/>
          <w:szCs w:val="16"/>
          <w:b w:val="1"/>
          <w:bCs w:val="1"/>
          <w:color w:val="auto"/>
        </w:rPr>
        <w:t>Fidelity Investors</w:t>
      </w:r>
      <w:r>
        <w:rPr>
          <w:rFonts w:ascii="Arial" w:cs="Arial" w:eastAsia="Arial" w:hAnsi="Arial"/>
          <w:sz w:val="16"/>
          <w:szCs w:val="16"/>
          <w:color w:val="auto"/>
        </w:rPr>
        <w:t>”) and any other fund or account that is an entity advised or sub-advised by Fidelity Management &amp; Research Company LLC shall be deemed Affiliates of each other.</w:t>
      </w:r>
    </w:p>
    <w:p>
      <w:pPr>
        <w:sectPr>
          <w:pgSz w:w="11900" w:h="16838" w:orient="portrait"/>
          <w:cols w:equalWidth="0" w:num="1">
            <w:col w:w="11020"/>
          </w:cols>
          <w:pgMar w:left="440" w:top="121" w:right="439" w:bottom="1440" w:gutter="0" w:footer="0" w:header="0"/>
        </w:sectPr>
      </w:pPr>
    </w:p>
    <w:bookmarkStart w:id="313" w:name="page314"/>
    <w:bookmarkEnd w:id="31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 “</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Company’s Amended and Restated Certificate of Incorporation, as amended and/or restated from time to time.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Common Stock</w:t>
      </w:r>
      <w:r>
        <w:rPr>
          <w:rFonts w:ascii="Arial" w:cs="Arial" w:eastAsia="Arial" w:hAnsi="Arial"/>
          <w:sz w:val="18"/>
          <w:szCs w:val="18"/>
          <w:color w:val="auto"/>
        </w:rPr>
        <w:t>” means shares of the Company’s common stock, par value $0.0001 per share.</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1.5 “</w:t>
      </w:r>
      <w:r>
        <w:rPr>
          <w:rFonts w:ascii="Arial" w:cs="Arial" w:eastAsia="Arial" w:hAnsi="Arial"/>
          <w:sz w:val="17"/>
          <w:szCs w:val="17"/>
          <w:b w:val="1"/>
          <w:bCs w:val="1"/>
          <w:color w:val="auto"/>
        </w:rPr>
        <w:t>Damages</w:t>
      </w:r>
      <w:r>
        <w:rPr>
          <w:rFonts w:ascii="Arial" w:cs="Arial" w:eastAsia="Arial" w:hAnsi="Arial"/>
          <w:sz w:val="17"/>
          <w:szCs w:val="17"/>
          <w:color w:val="auto"/>
        </w:rPr>
        <w:t>” means any loss, damage, claim or liability (joint or several) to which a 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72"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Derivative Securities</w:t>
      </w:r>
      <w:r>
        <w:rPr>
          <w:rFonts w:ascii="Arial" w:cs="Arial" w:eastAsia="Arial" w:hAnsi="Arial"/>
          <w:sz w:val="18"/>
          <w:szCs w:val="18"/>
          <w:color w:val="auto"/>
        </w:rPr>
        <w:t>” means any securities or rights convertible into, or exercisable or exchangeable for (in each case, directly or indirectly), Common Stock, including options and warrants.</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b w:val="1"/>
          <w:bCs w:val="1"/>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248"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1.8 “</w:t>
      </w:r>
      <w:r>
        <w:rPr>
          <w:rFonts w:ascii="Arial" w:cs="Arial" w:eastAsia="Arial" w:hAnsi="Arial"/>
          <w:sz w:val="17"/>
          <w:szCs w:val="17"/>
          <w:b w:val="1"/>
          <w:bCs w:val="1"/>
          <w:color w:val="auto"/>
        </w:rPr>
        <w:t>Excluded Registration</w:t>
      </w:r>
      <w:r>
        <w:rPr>
          <w:rFonts w:ascii="Arial" w:cs="Arial" w:eastAsia="Arial" w:hAnsi="Arial"/>
          <w:sz w:val="17"/>
          <w:szCs w:val="17"/>
          <w:color w:val="auto"/>
        </w:rPr>
        <w:t>” means (i) a registration relating to the sale or grant of securities to employees of the Company or a subsidiary pursuant to a stock option, stock purchase, equity incentive or similar plan; (ii) a registration relating to an SEC Rule 145 transaction; (iii) a registration on any form that does not include substantially the same information as would be required to be included in a registration statement covering the sale of the Registrable Securities; (iv) a registration in which the only Common Stock being registered is Common Stock issuable upon conversion of debt securities that are also being registered; or (v) a registration relating to the IPO.</w:t>
      </w:r>
    </w:p>
    <w:p>
      <w:pPr>
        <w:spacing w:after="0" w:line="168"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Form S-1</w:t>
      </w:r>
      <w:r>
        <w:rPr>
          <w:rFonts w:ascii="Arial" w:cs="Arial" w:eastAsia="Arial" w:hAnsi="Arial"/>
          <w:sz w:val="18"/>
          <w:szCs w:val="18"/>
          <w:color w:val="auto"/>
        </w:rPr>
        <w:t>” means such form under the Securities Act as in effect on the date hereof or any successor registration form under the Securities Act subsequently adopted by the SEC.</w:t>
      </w:r>
    </w:p>
    <w:p>
      <w:pPr>
        <w:spacing w:after="0" w:line="162"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Form S-3</w:t>
      </w:r>
      <w:r>
        <w:rPr>
          <w:rFonts w:ascii="Arial" w:cs="Arial" w:eastAsia="Arial" w:hAnsi="Arial"/>
          <w:sz w:val="18"/>
          <w:szCs w:val="18"/>
          <w:color w:val="auto"/>
        </w:rPr>
        <w:t>” means such form under the Securities Act as in effect on the date hereof or any registration form under the Securities Act subsequently adopted by the SEC that permits forward incorporation of substantial information by reference to other documents filed by the Company with the SEC.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14" w:name="page315"/>
    <w:bookmarkEnd w:id="31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1.11 “</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as in effect from time to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Holder</w:t>
      </w:r>
      <w:r>
        <w:rPr>
          <w:rFonts w:ascii="Arial" w:cs="Arial" w:eastAsia="Arial" w:hAnsi="Arial"/>
          <w:sz w:val="18"/>
          <w:szCs w:val="18"/>
          <w:color w:val="auto"/>
        </w:rPr>
        <w:t>” means any holder of Registrable Securities who is a party to this Agreement.</w:t>
      </w:r>
    </w:p>
    <w:p>
      <w:pPr>
        <w:spacing w:after="0" w:line="225" w:lineRule="exact"/>
        <w:rPr>
          <w:sz w:val="20"/>
          <w:szCs w:val="20"/>
          <w:color w:val="auto"/>
        </w:rPr>
      </w:pPr>
    </w:p>
    <w:p>
      <w:pPr>
        <w:ind w:right="220" w:firstLine="991"/>
        <w:spacing w:after="0" w:line="266"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Immediate Family Member</w:t>
      </w:r>
      <w:r>
        <w:rPr>
          <w:rFonts w:ascii="Arial" w:cs="Arial" w:eastAsia="Arial" w:hAnsi="Arial"/>
          <w:sz w:val="18"/>
          <w:szCs w:val="18"/>
          <w:color w:val="auto"/>
        </w:rPr>
        <w:t>” means a child, stepchild, grandchild, parent, stepparent, grandparent, spouse, life partner or similar statutorily-recognized domestic partner, sibling, mother-in-law, father-in-law, son-in-law, daughter-in-law, brother-in-law, or sister-in-law, including adoptive relationships, of a natural person referred to herein.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Initiating Holders</w:t>
      </w:r>
      <w:r>
        <w:rPr>
          <w:rFonts w:ascii="Arial" w:cs="Arial" w:eastAsia="Arial" w:hAnsi="Arial"/>
          <w:sz w:val="18"/>
          <w:szCs w:val="18"/>
          <w:color w:val="auto"/>
        </w:rPr>
        <w:t>” means, collectively, Holders who properly initiate a registration request under this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underwritten public offering of its Common Stock under the Securities Act.</w:t>
      </w:r>
    </w:p>
    <w:p>
      <w:pPr>
        <w:spacing w:after="0" w:line="225"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color w:val="auto"/>
        </w:rPr>
        <w:t>1.16 “</w:t>
      </w:r>
      <w:r>
        <w:rPr>
          <w:rFonts w:ascii="Arial" w:cs="Arial" w:eastAsia="Arial" w:hAnsi="Arial"/>
          <w:sz w:val="18"/>
          <w:szCs w:val="18"/>
          <w:b w:val="1"/>
          <w:bCs w:val="1"/>
          <w:color w:val="auto"/>
        </w:rPr>
        <w:t>Key Employee</w:t>
      </w:r>
      <w:r>
        <w:rPr>
          <w:rFonts w:ascii="Arial" w:cs="Arial" w:eastAsia="Arial" w:hAnsi="Arial"/>
          <w:sz w:val="18"/>
          <w:szCs w:val="18"/>
          <w:color w:val="auto"/>
        </w:rPr>
        <w:t>” means any executive-level employee (including division director and vice president-level positions) as well as any employee who, either alone or in concert with others, develops, invents, programs, or designs any Company Intellectual Property (as defined in the Purchase Agreement).</w:t>
      </w:r>
    </w:p>
    <w:p>
      <w:pPr>
        <w:spacing w:after="0" w:line="176" w:lineRule="exact"/>
        <w:rPr>
          <w:sz w:val="20"/>
          <w:szCs w:val="20"/>
          <w:color w:val="auto"/>
        </w:rPr>
      </w:pPr>
    </w:p>
    <w:p>
      <w:pPr>
        <w:ind w:right="80" w:firstLine="991"/>
        <w:spacing w:after="0" w:line="292" w:lineRule="auto"/>
        <w:rPr>
          <w:sz w:val="20"/>
          <w:szCs w:val="20"/>
          <w:color w:val="auto"/>
        </w:rPr>
      </w:pPr>
      <w:r>
        <w:rPr>
          <w:rFonts w:ascii="Arial" w:cs="Arial" w:eastAsia="Arial" w:hAnsi="Arial"/>
          <w:sz w:val="16"/>
          <w:szCs w:val="16"/>
          <w:color w:val="auto"/>
        </w:rPr>
        <w:t>1.17 “</w:t>
      </w:r>
      <w:r>
        <w:rPr>
          <w:rFonts w:ascii="Arial" w:cs="Arial" w:eastAsia="Arial" w:hAnsi="Arial"/>
          <w:sz w:val="16"/>
          <w:szCs w:val="16"/>
          <w:b w:val="1"/>
          <w:bCs w:val="1"/>
          <w:color w:val="auto"/>
        </w:rPr>
        <w:t>Major Investor</w:t>
      </w:r>
      <w:r>
        <w:rPr>
          <w:rFonts w:ascii="Arial" w:cs="Arial" w:eastAsia="Arial" w:hAnsi="Arial"/>
          <w:sz w:val="16"/>
          <w:szCs w:val="16"/>
          <w:color w:val="auto"/>
        </w:rPr>
        <w:t>” means any Investor that, individually or together with such Investor’s Affiliates, continues to hold (i) at least 10% of the shares of Series A Preferred Stock acquired from the Company pursuant to that certain Series A Preferred Stock Purchase Agreement dated as of July 9, 2020, as the same may be amended and/or restated from time to time, or, in the case of Adimab, LLC, at least 500,000 shares of Series A Preferred Stock (in each case, as adjusted for any stock split, stock dividend, combination, or other recapitalization or reclassification effected after the date hereof); (ii) at least 10% of the shares of Series B Preferred Stock acquired by such Investor from the Company pursuant to the Series B Purchase Agreement dated as of October 30, 2020, as the same may be amended and/or restated from time to time or (iii) at least 128,064 shares of Series C Preferred Stock (as adjusted for any stock split, stock dividend, combination, or other recapitalization or reclassification effected after the date hereof).</w:t>
      </w:r>
    </w:p>
    <w:p>
      <w:pPr>
        <w:spacing w:after="0" w:line="161"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New Securities</w:t>
      </w:r>
      <w:r>
        <w:rPr>
          <w:rFonts w:ascii="Arial" w:cs="Arial" w:eastAsia="Arial" w:hAnsi="Arial"/>
          <w:sz w:val="18"/>
          <w:szCs w:val="18"/>
          <w:color w:val="auto"/>
        </w:rPr>
        <w:t>” means, collectively, equity securities of the Company,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trust, limited liability company, association or other entity.</w:t>
      </w:r>
    </w:p>
    <w:p>
      <w:pPr>
        <w:spacing w:after="0" w:line="225" w:lineRule="exact"/>
        <w:rPr>
          <w:sz w:val="20"/>
          <w:szCs w:val="20"/>
          <w:color w:val="auto"/>
        </w:rPr>
      </w:pPr>
    </w:p>
    <w:p>
      <w:pPr>
        <w:ind w:right="680" w:firstLine="991"/>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Preferred Stock</w:t>
      </w:r>
      <w:r>
        <w:rPr>
          <w:rFonts w:ascii="Arial" w:cs="Arial" w:eastAsia="Arial" w:hAnsi="Arial"/>
          <w:sz w:val="18"/>
          <w:szCs w:val="18"/>
          <w:color w:val="auto"/>
        </w:rPr>
        <w:t>” means, collectively, shares of the Series A Preferred Stock, the Series B Preferred Stock and the Series C Preferred Stock.</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15" w:name="page316"/>
    <w:bookmarkEnd w:id="315"/>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1.21 “</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(i) the Common Stock issuable or issued upon conversion of the Preferred Stock; (ii) any Common Stock, or any Common Stock issued or issuable (directly or indirectly) upon conversion and/or exercise of any other securities of the Company, acquired by the Investors prior to the IPO; and (iii) any Common Stock issued as (or issuable upon the conversion or exercise of any warrant, right, or other security that is issued as) a dividend or other distribution with respect to, or in exchange for or in replacement of, the shares referenced in clauses </w:t>
      </w:r>
      <w:r>
        <w:rPr>
          <w:rFonts w:ascii="Arial" w:cs="Arial" w:eastAsia="Arial" w:hAnsi="Arial"/>
          <w:sz w:val="16"/>
          <w:szCs w:val="16"/>
          <w:u w:val="single" w:color="auto"/>
          <w:color w:val="auto"/>
        </w:rPr>
        <w:t>(i)</w:t>
      </w:r>
      <w:r>
        <w:rPr>
          <w:rFonts w:ascii="Arial" w:cs="Arial" w:eastAsia="Arial" w:hAnsi="Arial"/>
          <w:sz w:val="16"/>
          <w:szCs w:val="16"/>
          <w:color w:val="auto"/>
        </w:rPr>
        <w:t xml:space="preserve"> and</w:t>
      </w:r>
    </w:p>
    <w:p>
      <w:pPr>
        <w:spacing w:after="0" w:line="2" w:lineRule="exact"/>
        <w:rPr>
          <w:sz w:val="20"/>
          <w:szCs w:val="20"/>
          <w:color w:val="auto"/>
        </w:rPr>
      </w:pPr>
    </w:p>
    <w:p>
      <w:pPr>
        <w:ind w:left="4" w:right="40" w:hanging="4"/>
        <w:spacing w:after="0" w:line="255" w:lineRule="auto"/>
        <w:tabs>
          <w:tab w:leader="none" w:pos="269" w:val="left"/>
        </w:tabs>
        <w:numPr>
          <w:ilvl w:val="0"/>
          <w:numId w:val="209"/>
        </w:numPr>
        <w:rPr>
          <w:rFonts w:ascii="Arial" w:cs="Arial" w:eastAsia="Arial" w:hAnsi="Arial"/>
          <w:sz w:val="18"/>
          <w:szCs w:val="18"/>
          <w:u w:val="single" w:color="auto"/>
          <w:color w:val="auto"/>
        </w:rPr>
      </w:pPr>
      <w:r>
        <w:rPr>
          <w:rFonts w:ascii="Arial" w:cs="Arial" w:eastAsia="Arial" w:hAnsi="Arial"/>
          <w:sz w:val="18"/>
          <w:szCs w:val="18"/>
          <w:color w:val="auto"/>
        </w:rPr>
        <w:t xml:space="preserve">above; excluding in all cases, however, any Registrable Securities sold by a Person in a transaction in which the applicable rights under this Agreement are not assigned pursuant to </w:t>
      </w:r>
      <w:r>
        <w:rPr>
          <w:rFonts w:ascii="Arial" w:cs="Arial" w:eastAsia="Arial" w:hAnsi="Arial"/>
          <w:sz w:val="18"/>
          <w:szCs w:val="18"/>
          <w:u w:val="single" w:color="auto"/>
          <w:color w:val="auto"/>
        </w:rPr>
        <w:t>Subsection 6.1</w:t>
      </w:r>
      <w:r>
        <w:rPr>
          <w:rFonts w:ascii="Arial" w:cs="Arial" w:eastAsia="Arial" w:hAnsi="Arial"/>
          <w:sz w:val="18"/>
          <w:szCs w:val="18"/>
          <w:color w:val="auto"/>
        </w:rPr>
        <w:t xml:space="preserve">, and excluding for purposes of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any shares for which registration rights have terminated pursuant to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of this Agreement.</w:t>
      </w:r>
    </w:p>
    <w:p>
      <w:pPr>
        <w:spacing w:after="0" w:line="18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6"/>
          <w:szCs w:val="16"/>
          <w:color w:val="auto"/>
        </w:rPr>
        <w:t>1.23 “</w:t>
      </w:r>
      <w:r>
        <w:rPr>
          <w:rFonts w:ascii="Arial" w:cs="Arial" w:eastAsia="Arial" w:hAnsi="Arial"/>
          <w:sz w:val="16"/>
          <w:szCs w:val="16"/>
          <w:b w:val="1"/>
          <w:bCs w:val="1"/>
          <w:color w:val="auto"/>
        </w:rPr>
        <w:t>Restricted Securities</w:t>
      </w:r>
      <w:r>
        <w:rPr>
          <w:rFonts w:ascii="Arial" w:cs="Arial" w:eastAsia="Arial" w:hAnsi="Arial"/>
          <w:sz w:val="16"/>
          <w:szCs w:val="16"/>
          <w:color w:val="auto"/>
        </w:rPr>
        <w:t xml:space="preserve">” means the securities of the Company required to be notated with the legend set forth in </w:t>
      </w:r>
      <w:r>
        <w:rPr>
          <w:rFonts w:ascii="Arial" w:cs="Arial" w:eastAsia="Arial" w:hAnsi="Arial"/>
          <w:sz w:val="16"/>
          <w:szCs w:val="16"/>
          <w:u w:val="single" w:color="auto"/>
          <w:color w:val="auto"/>
        </w:rPr>
        <w:t>Subsection 2.12(b)</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SEC Rule 144</w:t>
      </w:r>
      <w:r>
        <w:rPr>
          <w:rFonts w:ascii="Arial" w:cs="Arial" w:eastAsia="Arial" w:hAnsi="Arial"/>
          <w:sz w:val="18"/>
          <w:szCs w:val="18"/>
          <w:color w:val="auto"/>
        </w:rPr>
        <w:t>” means Rule 144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SEC Rule 145</w:t>
      </w:r>
      <w:r>
        <w:rPr>
          <w:rFonts w:ascii="Arial" w:cs="Arial" w:eastAsia="Arial" w:hAnsi="Arial"/>
          <w:sz w:val="18"/>
          <w:szCs w:val="18"/>
          <w:color w:val="auto"/>
        </w:rPr>
        <w:t>” means Rule 145 promulgated by the SEC under the Securities Act.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 w:right="40" w:firstLine="991"/>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Selling Expenses</w:t>
      </w:r>
      <w:r>
        <w:rPr>
          <w:rFonts w:ascii="Arial" w:cs="Arial" w:eastAsia="Arial" w:hAnsi="Arial"/>
          <w:sz w:val="18"/>
          <w:szCs w:val="18"/>
          <w:color w:val="auto"/>
        </w:rPr>
        <w:t xml:space="preserve">” means all underwriting discounts, selling commissions, and stock transfer taxes applicable to the sale of Registrable Securities, and fees and disbursements of counsel for any Holder, except for the fees and disbursements of the Selling Holder Counsel borne and paid by the Company as provided in </w:t>
      </w:r>
      <w:r>
        <w:rPr>
          <w:rFonts w:ascii="Arial" w:cs="Arial" w:eastAsia="Arial" w:hAnsi="Arial"/>
          <w:sz w:val="18"/>
          <w:szCs w:val="18"/>
          <w:u w:val="single" w:color="auto"/>
          <w:color w:val="auto"/>
        </w:rPr>
        <w:t>Subsection 2.6</w:t>
      </w:r>
      <w:r>
        <w:rPr>
          <w:rFonts w:ascii="Arial" w:cs="Arial" w:eastAsia="Arial" w:hAnsi="Arial"/>
          <w:sz w:val="18"/>
          <w:szCs w:val="18"/>
          <w:color w:val="auto"/>
        </w:rPr>
        <w:t>.</w:t>
      </w:r>
    </w:p>
    <w:p>
      <w:pPr>
        <w:spacing w:after="0" w:line="176" w:lineRule="exact"/>
        <w:rPr>
          <w:sz w:val="20"/>
          <w:szCs w:val="20"/>
          <w:color w:val="auto"/>
        </w:rPr>
      </w:pPr>
    </w:p>
    <w:p>
      <w:pPr>
        <w:ind w:left="4" w:right="300" w:firstLine="991"/>
        <w:spacing w:after="0" w:line="282"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Series A Director</w:t>
      </w:r>
      <w:r>
        <w:rPr>
          <w:rFonts w:ascii="Arial" w:cs="Arial" w:eastAsia="Arial" w:hAnsi="Arial"/>
          <w:sz w:val="18"/>
          <w:szCs w:val="18"/>
          <w:color w:val="auto"/>
        </w:rPr>
        <w:t>” means each director of the Company that the holders of record of the Series A Preferred Stock are entitled to elect, exclusively and as a separate class, pursuant to the Certificate of Incorporation.</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shares of the Company’s Series A Preferred Stock, par value $0.0001 per share.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shares of the Company’s Series B Preferred Stock, par value $0.0001 per share.</w:t>
      </w:r>
    </w:p>
    <w:p>
      <w:pPr>
        <w:spacing w:after="0" w:line="225" w:lineRule="exact"/>
        <w:rPr>
          <w:sz w:val="20"/>
          <w:szCs w:val="20"/>
          <w:color w:val="auto"/>
        </w:rPr>
      </w:pPr>
    </w:p>
    <w:p>
      <w:pPr>
        <w:jc w:val="center"/>
        <w:ind w:right="336"/>
        <w:spacing w:after="0"/>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Series C Preferred Stock</w:t>
      </w:r>
      <w:r>
        <w:rPr>
          <w:rFonts w:ascii="Arial" w:cs="Arial" w:eastAsia="Arial" w:hAnsi="Arial"/>
          <w:sz w:val="18"/>
          <w:szCs w:val="18"/>
          <w:color w:val="auto"/>
        </w:rPr>
        <w:t>” means shares of the Company’s Series C Preferred Stock, par value $0.0001 per share.</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316" w:name="page317"/>
    <w:bookmarkEnd w:id="316"/>
    <w:p>
      <w:pPr>
        <w:ind w:left="984" w:right="5480" w:hanging="544"/>
        <w:spacing w:after="0" w:line="402" w:lineRule="auto"/>
        <w:tabs>
          <w:tab w:leader="none" w:pos="613" w:val="left"/>
        </w:tabs>
        <w:numPr>
          <w:ilvl w:val="1"/>
          <w:numId w:val="2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Rights</w:t>
      </w:r>
      <w:r>
        <w:rPr>
          <w:rFonts w:ascii="Arial" w:cs="Arial" w:eastAsia="Arial" w:hAnsi="Arial"/>
          <w:sz w:val="18"/>
          <w:szCs w:val="18"/>
          <w:color w:val="auto"/>
        </w:rPr>
        <w:t xml:space="preserve">. The Company covenants and agrees as follows: 2.1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684" w:hanging="252"/>
        <w:spacing w:after="0"/>
        <w:tabs>
          <w:tab w:leader="none" w:pos="1684" w:val="left"/>
        </w:tabs>
        <w:numPr>
          <w:ilvl w:val="2"/>
          <w:numId w:val="210"/>
        </w:numPr>
        <w:rPr>
          <w:rFonts w:ascii="Arial" w:cs="Arial" w:eastAsia="Arial" w:hAnsi="Arial"/>
          <w:sz w:val="16"/>
          <w:szCs w:val="16"/>
          <w:color w:val="auto"/>
        </w:rPr>
      </w:pPr>
      <w:r>
        <w:rPr>
          <w:rFonts w:ascii="Arial" w:cs="Arial" w:eastAsia="Arial" w:hAnsi="Arial"/>
          <w:sz w:val="16"/>
          <w:szCs w:val="16"/>
          <w:u w:val="single" w:color="auto"/>
          <w:color w:val="auto"/>
        </w:rPr>
        <w:t>Form S-1 Demand</w:t>
      </w:r>
      <w:r>
        <w:rPr>
          <w:rFonts w:ascii="Arial" w:cs="Arial" w:eastAsia="Arial" w:hAnsi="Arial"/>
          <w:sz w:val="16"/>
          <w:szCs w:val="16"/>
          <w:color w:val="auto"/>
        </w:rPr>
        <w:t>. If at any time after the earlier of (i) five (5) years after the date of this Agreement or (ii) one hundred eighty</w:t>
      </w:r>
    </w:p>
    <w:p>
      <w:pPr>
        <w:spacing w:after="0" w:line="46" w:lineRule="exact"/>
        <w:rPr>
          <w:rFonts w:ascii="Arial" w:cs="Arial" w:eastAsia="Arial" w:hAnsi="Arial"/>
          <w:sz w:val="16"/>
          <w:szCs w:val="16"/>
          <w:color w:val="auto"/>
        </w:rPr>
      </w:pPr>
    </w:p>
    <w:p>
      <w:pPr>
        <w:ind w:left="4" w:right="20" w:hanging="4"/>
        <w:spacing w:after="0" w:line="268" w:lineRule="auto"/>
        <w:tabs>
          <w:tab w:leader="none" w:pos="439" w:val="left"/>
        </w:tabs>
        <w:numPr>
          <w:ilvl w:val="0"/>
          <w:numId w:val="211"/>
        </w:numPr>
        <w:rPr>
          <w:rFonts w:ascii="Arial" w:cs="Arial" w:eastAsia="Arial" w:hAnsi="Arial"/>
          <w:sz w:val="17"/>
          <w:szCs w:val="17"/>
          <w:color w:val="auto"/>
        </w:rPr>
      </w:pPr>
      <w:r>
        <w:rPr>
          <w:rFonts w:ascii="Arial" w:cs="Arial" w:eastAsia="Arial" w:hAnsi="Arial"/>
          <w:sz w:val="17"/>
          <w:szCs w:val="17"/>
          <w:color w:val="auto"/>
        </w:rPr>
        <w:t>days after the effective date of the registration statement for the IPO, the Company receives a request from Holders of a majority of the Registrable Securities then outstanding that the Company file a Form S-1 registration statement for which the anticipated aggregate offering price would exceed $10 million, then the Company shall (i) within ten (10) days after the date such request is given, give notice thereof (the “</w:t>
      </w:r>
      <w:r>
        <w:rPr>
          <w:rFonts w:ascii="Arial" w:cs="Arial" w:eastAsia="Arial" w:hAnsi="Arial"/>
          <w:sz w:val="17"/>
          <w:szCs w:val="17"/>
          <w:b w:val="1"/>
          <w:bCs w:val="1"/>
          <w:color w:val="auto"/>
        </w:rPr>
        <w:t>Demand Notice</w:t>
      </w:r>
      <w:r>
        <w:rPr>
          <w:rFonts w:ascii="Arial" w:cs="Arial" w:eastAsia="Arial" w:hAnsi="Arial"/>
          <w:sz w:val="17"/>
          <w:szCs w:val="17"/>
          <w:color w:val="auto"/>
        </w:rPr>
        <w:t xml:space="preserve">”) to all Holders other than the Initiating Holders; and (ii) 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4" w:right="40" w:firstLine="1428"/>
        <w:spacing w:after="0" w:line="271" w:lineRule="auto"/>
        <w:tabs>
          <w:tab w:leader="none" w:pos="1691" w:val="left"/>
        </w:tabs>
        <w:numPr>
          <w:ilvl w:val="2"/>
          <w:numId w:val="211"/>
        </w:numPr>
        <w:rPr>
          <w:rFonts w:ascii="Arial" w:cs="Arial" w:eastAsia="Arial" w:hAnsi="Arial"/>
          <w:sz w:val="17"/>
          <w:szCs w:val="17"/>
          <w:color w:val="auto"/>
        </w:rPr>
      </w:pPr>
      <w:r>
        <w:rPr>
          <w:rFonts w:ascii="Arial" w:cs="Arial" w:eastAsia="Arial" w:hAnsi="Arial"/>
          <w:sz w:val="17"/>
          <w:szCs w:val="17"/>
          <w:u w:val="single" w:color="auto"/>
          <w:color w:val="auto"/>
        </w:rPr>
        <w:t>Form S-3 Demand</w:t>
      </w:r>
      <w:r>
        <w:rPr>
          <w:rFonts w:ascii="Arial" w:cs="Arial" w:eastAsia="Arial" w:hAnsi="Arial"/>
          <w:sz w:val="17"/>
          <w:szCs w:val="17"/>
          <w:color w:val="auto"/>
        </w:rPr>
        <w:t xml:space="preserve">. If at any time when it is eligible to use a Form S-3 registration statement, the Company receives a request from Holders of at least thirty percent (30%) of the Registrable Securities then outstanding that the Company file a Form S-3 registration statement with respect to outstanding Registrable Securities of such Holders having an anticipated aggregate offering price of at least $1 million,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Arial" w:cs="Arial" w:eastAsia="Arial" w:hAnsi="Arial"/>
          <w:sz w:val="17"/>
          <w:szCs w:val="17"/>
          <w:u w:val="single" w:color="auto"/>
          <w:color w:val="auto"/>
        </w:rPr>
        <w:t>Subsection 2.1(c)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2.3</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firstLine="1428"/>
        <w:spacing w:after="0" w:line="269" w:lineRule="auto"/>
        <w:tabs>
          <w:tab w:leader="none" w:pos="1681" w:val="left"/>
        </w:tabs>
        <w:numPr>
          <w:ilvl w:val="2"/>
          <w:numId w:val="211"/>
        </w:numPr>
        <w:rPr>
          <w:rFonts w:ascii="Arial" w:cs="Arial" w:eastAsia="Arial" w:hAnsi="Arial"/>
          <w:sz w:val="17"/>
          <w:szCs w:val="17"/>
          <w:color w:val="auto"/>
        </w:rPr>
      </w:pPr>
      <w:r>
        <w:rPr>
          <w:rFonts w:ascii="Arial" w:cs="Arial" w:eastAsia="Arial" w:hAnsi="Arial"/>
          <w:sz w:val="17"/>
          <w:szCs w:val="17"/>
          <w:color w:val="auto"/>
        </w:rPr>
        <w:t xml:space="preserve">Notwithstanding the foregoing obligations, if the Company furnishes to Holders requesting a registration pursuant to this </w:t>
      </w:r>
      <w:r>
        <w:rPr>
          <w:rFonts w:ascii="Arial" w:cs="Arial" w:eastAsia="Arial" w:hAnsi="Arial"/>
          <w:sz w:val="17"/>
          <w:szCs w:val="17"/>
          <w:u w:val="single" w:color="auto"/>
          <w:color w:val="auto"/>
        </w:rPr>
        <w:t>Subsection 2.1</w:t>
      </w:r>
      <w:r>
        <w:rPr>
          <w:rFonts w:ascii="Arial" w:cs="Arial" w:eastAsia="Arial" w:hAnsi="Arial"/>
          <w:sz w:val="17"/>
          <w:szCs w:val="17"/>
          <w:color w:val="auto"/>
        </w:rPr>
        <w:t xml:space="preserve"> a certificate signed by the Company’s chief executive officer stating that in the good faith judgment of the Board it would be materially detrimental to the Company and its stockholders for such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not invoke this right more than once in any twelve (12) month period;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Company shall not register any securities for its own account or that of any other stockholder during such ninety (90) day period other than an Excluded Registration.</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17" w:name="page318"/>
    <w:bookmarkEnd w:id="317"/>
    <w:p>
      <w:pPr>
        <w:ind w:left="4" w:firstLine="1428"/>
        <w:spacing w:after="0" w:line="291" w:lineRule="auto"/>
        <w:tabs>
          <w:tab w:leader="none" w:pos="1691" w:val="left"/>
        </w:tabs>
        <w:numPr>
          <w:ilvl w:val="1"/>
          <w:numId w:val="2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be obligated to effect, or to take any action to effect, any registration pursuant to </w:t>
      </w:r>
      <w:r>
        <w:rPr>
          <w:rFonts w:ascii="Arial" w:cs="Arial" w:eastAsia="Arial" w:hAnsi="Arial"/>
          <w:sz w:val="16"/>
          <w:szCs w:val="16"/>
          <w:u w:val="single" w:color="auto"/>
          <w:color w:val="auto"/>
        </w:rPr>
        <w:t>Subsection 2.1(a)(i)</w:t>
      </w:r>
      <w:r>
        <w:rPr>
          <w:rFonts w:ascii="Arial" w:cs="Arial" w:eastAsia="Arial" w:hAnsi="Arial"/>
          <w:sz w:val="16"/>
          <w:szCs w:val="16"/>
          <w:color w:val="auto"/>
        </w:rPr>
        <w:t xml:space="preserve"> during the period that is sixty (60) days before the Company’s good faith estimate of the date of filing of, and ending on a date that is one hundred eighty</w:t>
      </w:r>
    </w:p>
    <w:p>
      <w:pPr>
        <w:ind w:left="4" w:hanging="4"/>
        <w:spacing w:after="0" w:line="281" w:lineRule="auto"/>
        <w:tabs>
          <w:tab w:leader="none" w:pos="439"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(ii) after the Company has effected two registrations pursuant to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2.1(a)</w:t>
      </w:r>
      <w:r>
        <w:rPr>
          <w:rFonts w:ascii="Arial" w:cs="Arial" w:eastAsia="Arial" w:hAnsi="Arial"/>
          <w:sz w:val="16"/>
          <w:szCs w:val="16"/>
          <w:color w:val="auto"/>
        </w:rPr>
        <w:t xml:space="preserve">; or (iii) if the Initiating Holders propose to dispose of shares of Registrable Securities that may be immediately registered on Form S-3 pursuant to a request made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The Company shall not be obligated to effect, or to take any action to effect, any registration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(i) during the period that is thirty (30) days before the Company’s good faith estimate of the date of filing of, and ending on a date that is ninety (90) days after the effective date of, a Company-initiated registration,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is actively employing in good faith commercially reasonable efforts to cause such registration statement to become effective; or (ii) if the Company has effected two registrations pursuant to </w:t>
      </w:r>
      <w:r>
        <w:rPr>
          <w:rFonts w:ascii="Arial" w:cs="Arial" w:eastAsia="Arial" w:hAnsi="Arial"/>
          <w:sz w:val="16"/>
          <w:szCs w:val="16"/>
          <w:u w:val="single" w:color="auto"/>
          <w:color w:val="auto"/>
        </w:rPr>
        <w:t>Subsection 2.1(b)</w:t>
      </w:r>
      <w:r>
        <w:rPr>
          <w:rFonts w:ascii="Arial" w:cs="Arial" w:eastAsia="Arial" w:hAnsi="Arial"/>
          <w:sz w:val="16"/>
          <w:szCs w:val="16"/>
          <w:color w:val="auto"/>
        </w:rPr>
        <w:t xml:space="preserve"> within the twelve (12) month period immediately preceding the date of such request. A registration shall not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until such time as the applicable registration statement has been declared effective by the SEC, unless the Initiating Holders withdraw their request for such registration, elect not to pay the registration expenses therefor, and forfeit their right to one demand registration statement pursuant to </w:t>
      </w:r>
      <w:r>
        <w:rPr>
          <w:rFonts w:ascii="Arial" w:cs="Arial" w:eastAsia="Arial" w:hAnsi="Arial"/>
          <w:sz w:val="16"/>
          <w:szCs w:val="16"/>
          <w:u w:val="single" w:color="auto"/>
          <w:color w:val="auto"/>
        </w:rPr>
        <w:t>Subsection 2.6</w:t>
      </w:r>
      <w:r>
        <w:rPr>
          <w:rFonts w:ascii="Arial" w:cs="Arial" w:eastAsia="Arial" w:hAnsi="Arial"/>
          <w:sz w:val="16"/>
          <w:szCs w:val="16"/>
          <w:color w:val="auto"/>
        </w:rPr>
        <w:t xml:space="preserve">, in which case such withdrawn registration statement shall be counted as “effected” for purposes of this </w:t>
      </w:r>
      <w:r>
        <w:rPr>
          <w:rFonts w:ascii="Arial" w:cs="Arial" w:eastAsia="Arial" w:hAnsi="Arial"/>
          <w:sz w:val="16"/>
          <w:szCs w:val="16"/>
          <w:u w:val="single" w:color="auto"/>
          <w:color w:val="auto"/>
        </w:rPr>
        <w:t>Subsection 2.1(d)</w:t>
      </w:r>
      <w:r>
        <w:rPr>
          <w:rFonts w:ascii="Arial" w:cs="Arial" w:eastAsia="Arial" w:hAnsi="Arial"/>
          <w:sz w:val="16"/>
          <w:szCs w:val="16"/>
          <w:color w:val="auto"/>
        </w:rPr>
        <w:t xml:space="preserve">; provided, that if such withdrawal is during a period the Company has deferred taking action pursuant to </w:t>
      </w:r>
      <w:r>
        <w:rPr>
          <w:rFonts w:ascii="Arial" w:cs="Arial" w:eastAsia="Arial" w:hAnsi="Arial"/>
          <w:sz w:val="16"/>
          <w:szCs w:val="16"/>
          <w:u w:val="single" w:color="auto"/>
          <w:color w:val="auto"/>
        </w:rPr>
        <w:t>Subsection</w:t>
      </w:r>
    </w:p>
    <w:p>
      <w:pPr>
        <w:spacing w:after="0" w:line="7" w:lineRule="exact"/>
        <w:rPr>
          <w:rFonts w:ascii="Arial" w:cs="Arial" w:eastAsia="Arial" w:hAnsi="Arial"/>
          <w:sz w:val="16"/>
          <w:szCs w:val="16"/>
          <w:color w:val="auto"/>
        </w:rPr>
      </w:pPr>
    </w:p>
    <w:p>
      <w:pPr>
        <w:ind w:left="4" w:right="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2.1(c)</w:t>
      </w:r>
      <w:r>
        <w:rPr>
          <w:rFonts w:ascii="Arial" w:cs="Arial" w:eastAsia="Arial" w:hAnsi="Arial"/>
          <w:sz w:val="18"/>
          <w:szCs w:val="18"/>
          <w:color w:val="auto"/>
        </w:rPr>
        <w:t xml:space="preserve">, then the Initiating Holders may withdraw their request for registration and such registration will not be counted as “effected” for purposes of this </w:t>
      </w:r>
      <w:r>
        <w:rPr>
          <w:rFonts w:ascii="Arial" w:cs="Arial" w:eastAsia="Arial" w:hAnsi="Arial"/>
          <w:sz w:val="18"/>
          <w:szCs w:val="18"/>
          <w:u w:val="single" w:color="auto"/>
          <w:color w:val="auto"/>
        </w:rPr>
        <w:t>Subsection 2.1(d)</w:t>
      </w:r>
      <w:r>
        <w:rPr>
          <w:rFonts w:ascii="Arial" w:cs="Arial" w:eastAsia="Arial" w:hAnsi="Arial"/>
          <w:sz w:val="18"/>
          <w:szCs w:val="18"/>
          <w:color w:val="auto"/>
        </w:rPr>
        <w:t>.</w:t>
      </w:r>
    </w:p>
    <w:p>
      <w:pPr>
        <w:spacing w:after="0" w:line="185" w:lineRule="exact"/>
        <w:rPr>
          <w:sz w:val="20"/>
          <w:szCs w:val="20"/>
          <w:color w:val="auto"/>
        </w:rPr>
      </w:pPr>
    </w:p>
    <w:p>
      <w:pPr>
        <w:ind w:left="4" w:right="20" w:firstLine="991"/>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Company Registration</w:t>
      </w:r>
      <w:r>
        <w:rPr>
          <w:rFonts w:ascii="Arial" w:cs="Arial" w:eastAsia="Arial" w:hAnsi="Arial"/>
          <w:sz w:val="17"/>
          <w:szCs w:val="17"/>
          <w:color w:val="auto"/>
        </w:rPr>
        <w:t xml:space="preserve">. If the Company proposes to register (including, for this purpose, a registration effected by the Company for stockholders other than the Holders) any of its securities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Arial" w:cs="Arial" w:eastAsia="Arial" w:hAnsi="Arial"/>
          <w:sz w:val="17"/>
          <w:szCs w:val="17"/>
          <w:u w:val="single" w:color="auto"/>
          <w:color w:val="auto"/>
        </w:rPr>
        <w:t>Subsection 2.2</w:t>
      </w:r>
      <w:r>
        <w:rPr>
          <w:rFonts w:ascii="Arial" w:cs="Arial" w:eastAsia="Arial" w:hAnsi="Arial"/>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Arial" w:cs="Arial" w:eastAsia="Arial" w:hAnsi="Arial"/>
          <w:sz w:val="17"/>
          <w:szCs w:val="17"/>
          <w:u w:val="single" w:color="auto"/>
          <w:color w:val="auto"/>
        </w:rPr>
        <w:t>Subsection 2.6</w:t>
      </w:r>
      <w:r>
        <w:rPr>
          <w:rFonts w:ascii="Arial" w:cs="Arial" w:eastAsia="Arial" w:hAnsi="Arial"/>
          <w:sz w:val="17"/>
          <w:szCs w:val="17"/>
          <w:color w:val="auto"/>
        </w:rPr>
        <w:t>.</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Underwriting Requirements</w:t>
      </w:r>
      <w:r>
        <w:rPr>
          <w:rFonts w:ascii="Arial" w:cs="Arial" w:eastAsia="Arial" w:hAnsi="Arial"/>
          <w:sz w:val="18"/>
          <w:szCs w:val="18"/>
          <w:color w:val="auto"/>
        </w:rPr>
        <w:t>.</w:t>
      </w:r>
    </w:p>
    <w:p>
      <w:pPr>
        <w:spacing w:after="0" w:line="225" w:lineRule="exact"/>
        <w:rPr>
          <w:sz w:val="20"/>
          <w:szCs w:val="20"/>
          <w:color w:val="auto"/>
        </w:rPr>
      </w:pPr>
    </w:p>
    <w:p>
      <w:pPr>
        <w:ind w:left="4" w:right="60" w:firstLine="1428"/>
        <w:spacing w:after="0" w:line="257" w:lineRule="auto"/>
        <w:tabs>
          <w:tab w:leader="none" w:pos="1681"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If,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the Initiating Holders intend to distribute the Registrable Securities covered by their request by means of an underwriting, they shall so advise the Company as a part of their request made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and the Company shall include such information in the Demand Notice. The underwriter(s) will be selected by the Company and shall be reasonably acceptable to a majority in interest of the Initiating Holders. In such event, the right of any Holder to include such Holder’s Registrable Securities in such registration shall be conditioned upon such Holder’s participation in such</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318" w:name="page319"/>
    <w:bookmarkEnd w:id="31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underwriting and the inclusion of such Holder’s Registrable Securities in the underwriting to the extent provided herein. All Holders proposing to distribute their securities through such underwriting shall (together with the Company as provided in </w:t>
      </w:r>
      <w:r>
        <w:rPr>
          <w:rFonts w:ascii="Arial" w:cs="Arial" w:eastAsia="Arial" w:hAnsi="Arial"/>
          <w:sz w:val="17"/>
          <w:szCs w:val="17"/>
          <w:u w:val="single" w:color="auto"/>
          <w:color w:val="auto"/>
        </w:rPr>
        <w:t>Subsection 2.4(e)</w:t>
      </w:r>
      <w:r>
        <w:rPr>
          <w:rFonts w:ascii="Arial" w:cs="Arial" w:eastAsia="Arial" w:hAnsi="Arial"/>
          <w:sz w:val="17"/>
          <w:szCs w:val="17"/>
          <w:color w:val="auto"/>
        </w:rPr>
        <w:t xml:space="preserve">) enter into an underwriting agreement in customary form with the underwriter(s) selected for such underwriting. Notwithstanding any other provision of this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82" w:lineRule="exact"/>
        <w:rPr>
          <w:sz w:val="20"/>
          <w:szCs w:val="20"/>
          <w:color w:val="auto"/>
        </w:rPr>
      </w:pPr>
    </w:p>
    <w:p>
      <w:pPr>
        <w:ind w:firstLine="1428"/>
        <w:spacing w:after="0" w:line="284" w:lineRule="auto"/>
        <w:tabs>
          <w:tab w:leader="none" w:pos="1687" w:val="left"/>
        </w:tabs>
        <w:numPr>
          <w:ilvl w:val="0"/>
          <w:numId w:val="215"/>
        </w:numPr>
        <w:rPr>
          <w:rFonts w:ascii="Arial" w:cs="Arial" w:eastAsia="Arial" w:hAnsi="Arial"/>
          <w:sz w:val="16"/>
          <w:szCs w:val="16"/>
          <w:color w:val="auto"/>
        </w:rPr>
      </w:pPr>
      <w:r>
        <w:rPr>
          <w:rFonts w:ascii="Arial" w:cs="Arial" w:eastAsia="Arial" w:hAnsi="Arial"/>
          <w:sz w:val="16"/>
          <w:szCs w:val="16"/>
          <w:color w:val="auto"/>
        </w:rPr>
        <w:t xml:space="preserve">In connection with any offering involving an underwriting of shares of the Company’s capital stock pursuant to </w:t>
      </w:r>
      <w:r>
        <w:rPr>
          <w:rFonts w:ascii="Arial" w:cs="Arial" w:eastAsia="Arial" w:hAnsi="Arial"/>
          <w:sz w:val="16"/>
          <w:szCs w:val="16"/>
          <w:u w:val="single" w:color="auto"/>
          <w:color w:val="auto"/>
        </w:rPr>
        <w:t>Subsection 2.2</w:t>
      </w:r>
      <w:r>
        <w:rPr>
          <w:rFonts w:ascii="Arial" w:cs="Arial" w:eastAsia="Arial" w:hAnsi="Arial"/>
          <w:sz w:val="16"/>
          <w:szCs w:val="16"/>
          <w:color w:val="auto"/>
        </w:rPr>
        <w:t xml:space="preserve">,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100 shares. Notwithstanding the foregoing, in no event shall (i) the number of Registrable Securities included in the offering be reduced unless all other securities (other than securities to be sold by the Company) are first entirely excluded from the offering, or (ii) 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Arial" w:cs="Arial" w:eastAsia="Arial" w:hAnsi="Arial"/>
          <w:sz w:val="16"/>
          <w:szCs w:val="16"/>
          <w:u w:val="single" w:color="auto"/>
          <w:color w:val="auto"/>
        </w:rPr>
        <w:t>Subsection 2.3(b)</w:t>
      </w:r>
      <w:r>
        <w:rPr>
          <w:rFonts w:ascii="Arial" w:cs="Arial" w:eastAsia="Arial" w:hAnsi="Arial"/>
          <w:sz w:val="16"/>
          <w:szCs w:val="16"/>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 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9" w:name="page320"/>
    <w:bookmarkEnd w:id="319"/>
    <w:p>
      <w:pPr>
        <w:ind w:right="60" w:firstLine="1428"/>
        <w:spacing w:after="0" w:line="263" w:lineRule="auto"/>
        <w:tabs>
          <w:tab w:leader="none" w:pos="1677" w:val="left"/>
        </w:tabs>
        <w:numPr>
          <w:ilvl w:val="0"/>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a registration shall not be counted as “effected” if, as a result of an exercise of the underwriter’s cutback provisions in </w:t>
      </w:r>
      <w:r>
        <w:rPr>
          <w:rFonts w:ascii="Arial" w:cs="Arial" w:eastAsia="Arial" w:hAnsi="Arial"/>
          <w:sz w:val="18"/>
          <w:szCs w:val="18"/>
          <w:u w:val="single" w:color="auto"/>
          <w:color w:val="auto"/>
        </w:rPr>
        <w:t>Subsection 2.3(a)</w:t>
      </w:r>
      <w:r>
        <w:rPr>
          <w:rFonts w:ascii="Arial" w:cs="Arial" w:eastAsia="Arial" w:hAnsi="Arial"/>
          <w:sz w:val="18"/>
          <w:szCs w:val="18"/>
          <w:color w:val="auto"/>
        </w:rPr>
        <w:t>, fewer than fifty percent (50%) of the total number of Registrable Securities that Holders have requested to be included in such registration statement are actually included.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xml:space="preserve">. Whenever required under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effect the registration of any Registrable Securities,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103" w:lineRule="exact"/>
        <w:rPr>
          <w:sz w:val="20"/>
          <w:szCs w:val="20"/>
          <w:color w:val="auto"/>
        </w:rPr>
      </w:pPr>
    </w:p>
    <w:p>
      <w:pPr>
        <w:ind w:right="40" w:firstLine="1428"/>
        <w:spacing w:after="0" w:line="290" w:lineRule="auto"/>
        <w:tabs>
          <w:tab w:leader="none" w:pos="167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 xml:space="preserve">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 (120) day period shall be extended for up to sixty (60) days, if necessary, to keep the registration statement effective until all such Registrable Securities are sold;</w:t>
      </w:r>
    </w:p>
    <w:p>
      <w:pPr>
        <w:spacing w:after="0" w:line="165" w:lineRule="exact"/>
        <w:rPr>
          <w:rFonts w:ascii="Arial" w:cs="Arial" w:eastAsia="Arial" w:hAnsi="Arial"/>
          <w:sz w:val="16"/>
          <w:szCs w:val="16"/>
          <w:color w:val="auto"/>
        </w:rPr>
      </w:pPr>
    </w:p>
    <w:p>
      <w:pPr>
        <w:ind w:right="260" w:firstLine="1428"/>
        <w:spacing w:after="0" w:line="263" w:lineRule="auto"/>
        <w:tabs>
          <w:tab w:leader="none" w:pos="168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83" w:lineRule="exact"/>
        <w:rPr>
          <w:rFonts w:ascii="Arial" w:cs="Arial" w:eastAsia="Arial" w:hAnsi="Arial"/>
          <w:sz w:val="18"/>
          <w:szCs w:val="18"/>
          <w:color w:val="auto"/>
        </w:rPr>
      </w:pPr>
    </w:p>
    <w:p>
      <w:pPr>
        <w:ind w:right="240" w:firstLine="1428"/>
        <w:spacing w:after="0" w:line="342" w:lineRule="auto"/>
        <w:tabs>
          <w:tab w:leader="none" w:pos="1677" w:val="left"/>
        </w:tabs>
        <w:numPr>
          <w:ilvl w:val="0"/>
          <w:numId w:val="217"/>
        </w:numPr>
        <w:rPr>
          <w:rFonts w:ascii="Arial" w:cs="Arial" w:eastAsia="Arial" w:hAnsi="Arial"/>
          <w:sz w:val="16"/>
          <w:szCs w:val="16"/>
          <w:color w:val="auto"/>
        </w:rPr>
      </w:pPr>
      <w:r>
        <w:rPr>
          <w:rFonts w:ascii="Arial" w:cs="Arial" w:eastAsia="Arial" w:hAnsi="Arial"/>
          <w:sz w:val="16"/>
          <w:szCs w:val="16"/>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23" w:lineRule="exact"/>
        <w:rPr>
          <w:rFonts w:ascii="Arial" w:cs="Arial" w:eastAsia="Arial" w:hAnsi="Arial"/>
          <w:sz w:val="16"/>
          <w:szCs w:val="16"/>
          <w:color w:val="auto"/>
        </w:rPr>
      </w:pPr>
    </w:p>
    <w:p>
      <w:pPr>
        <w:jc w:val="both"/>
        <w:ind w:right="180" w:firstLine="1428"/>
        <w:spacing w:after="0" w:line="279" w:lineRule="auto"/>
        <w:tabs>
          <w:tab w:leader="none" w:pos="168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1" w:lineRule="exact"/>
        <w:rPr>
          <w:rFonts w:ascii="Arial" w:cs="Arial" w:eastAsia="Arial" w:hAnsi="Arial"/>
          <w:sz w:val="17"/>
          <w:szCs w:val="17"/>
          <w:color w:val="auto"/>
        </w:rPr>
      </w:pPr>
    </w:p>
    <w:p>
      <w:pPr>
        <w:ind w:firstLine="1428"/>
        <w:spacing w:after="0" w:line="277" w:lineRule="auto"/>
        <w:tabs>
          <w:tab w:leader="none" w:pos="1677"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underwriter(s) of such offering;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440" w:top="274" w:right="519" w:bottom="1440" w:gutter="0" w:footer="0" w:header="0"/>
        </w:sectPr>
      </w:pPr>
    </w:p>
    <w:bookmarkStart w:id="320" w:name="page321"/>
    <w:bookmarkEnd w:id="320"/>
    <w:p>
      <w:pPr>
        <w:ind w:right="40" w:firstLine="1428"/>
        <w:spacing w:after="0" w:line="263" w:lineRule="auto"/>
        <w:tabs>
          <w:tab w:leader="none" w:pos="1657" w:val="left"/>
        </w:tabs>
        <w:numPr>
          <w:ilvl w:val="0"/>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83" w:lineRule="exact"/>
        <w:rPr>
          <w:rFonts w:ascii="Arial" w:cs="Arial" w:eastAsia="Arial" w:hAnsi="Arial"/>
          <w:sz w:val="18"/>
          <w:szCs w:val="18"/>
          <w:color w:val="auto"/>
        </w:rPr>
      </w:pPr>
    </w:p>
    <w:p>
      <w:pPr>
        <w:ind w:right="240" w:firstLine="1428"/>
        <w:spacing w:after="0" w:line="277" w:lineRule="auto"/>
        <w:tabs>
          <w:tab w:leader="none" w:pos="16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right="140" w:firstLine="1428"/>
        <w:spacing w:after="0" w:line="255" w:lineRule="auto"/>
        <w:tabs>
          <w:tab w:leader="none" w:pos="168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promptly make available for inspection by the selling Holders, any managing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92" w:lineRule="exact"/>
        <w:rPr>
          <w:rFonts w:ascii="Arial" w:cs="Arial" w:eastAsia="Arial" w:hAnsi="Arial"/>
          <w:sz w:val="18"/>
          <w:szCs w:val="18"/>
          <w:color w:val="auto"/>
        </w:rPr>
      </w:pPr>
    </w:p>
    <w:p>
      <w:pPr>
        <w:ind w:right="120" w:firstLine="1428"/>
        <w:spacing w:after="0" w:line="308" w:lineRule="auto"/>
        <w:tabs>
          <w:tab w:leader="none" w:pos="164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 and</w:t>
      </w:r>
    </w:p>
    <w:p>
      <w:pPr>
        <w:spacing w:after="0" w:line="146" w:lineRule="exact"/>
        <w:rPr>
          <w:rFonts w:ascii="Arial" w:cs="Arial" w:eastAsia="Arial" w:hAnsi="Arial"/>
          <w:sz w:val="17"/>
          <w:szCs w:val="17"/>
          <w:color w:val="auto"/>
        </w:rPr>
      </w:pPr>
    </w:p>
    <w:p>
      <w:pPr>
        <w:ind w:right="500" w:firstLine="1428"/>
        <w:spacing w:after="0" w:line="277" w:lineRule="auto"/>
        <w:tabs>
          <w:tab w:leader="none" w:pos="164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after such registration statement becomes effective, notify each selling Holder of any request by the SEC that the Company amend or supplement such registration statement or prospectus.</w:t>
      </w:r>
    </w:p>
    <w:p>
      <w:pPr>
        <w:spacing w:after="0" w:line="170"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w:t>
      </w:r>
    </w:p>
    <w:p>
      <w:pPr>
        <w:spacing w:after="0" w:line="184"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Furnish Information</w:t>
      </w:r>
      <w:r>
        <w:rPr>
          <w:rFonts w:ascii="Arial" w:cs="Arial" w:eastAsia="Arial" w:hAnsi="Arial"/>
          <w:sz w:val="18"/>
          <w:szCs w:val="18"/>
          <w:color w:val="auto"/>
        </w:rPr>
        <w:t xml:space="preserve">. It shall be a condition precedent to the obligations of the Company to take any action pursuant to this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87"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expenses (other than Selling Expenses) incurred in connection with registrations, filings, or qualifications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including all registration, filing, and qualification fees; printers’ and accounting fees; fees and disbursements of counsel for the Company; and the reasonable fees and disbursements of one counsel for the selling Holders selected by the Holders of a majority of the Registrable Securities to be registered (“</w:t>
      </w:r>
      <w:r>
        <w:rPr>
          <w:rFonts w:ascii="Arial" w:cs="Arial" w:eastAsia="Arial" w:hAnsi="Arial"/>
          <w:sz w:val="18"/>
          <w:szCs w:val="18"/>
          <w:b w:val="1"/>
          <w:bCs w:val="1"/>
          <w:color w:val="auto"/>
        </w:rPr>
        <w:t>Selling Holder Counsel</w:t>
      </w:r>
      <w:r>
        <w:rPr>
          <w:rFonts w:ascii="Arial" w:cs="Arial" w:eastAsia="Arial" w:hAnsi="Arial"/>
          <w:sz w:val="18"/>
          <w:szCs w:val="18"/>
          <w:color w:val="auto"/>
        </w:rPr>
        <w:t xml:space="preserve">”), shall be borne and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shall not be required to pay for any expenses of any registration proceeding begun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if the registration request is subsequently withdrawn at the request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21" w:name="page322"/>
    <w:bookmarkEnd w:id="32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as the case may be;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at the time of such withdrawal, the Holders shall have learned of a material adverse change in the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Arial" w:cs="Arial" w:eastAsia="Arial" w:hAnsi="Arial"/>
          <w:sz w:val="17"/>
          <w:szCs w:val="17"/>
          <w:u w:val="single" w:color="auto"/>
          <w:color w:val="auto"/>
        </w:rPr>
        <w:t>Subsection 2.1(a)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Subsection 2.1(b)</w:t>
      </w:r>
      <w:r>
        <w:rPr>
          <w:rFonts w:ascii="Arial" w:cs="Arial" w:eastAsia="Arial" w:hAnsi="Arial"/>
          <w:sz w:val="17"/>
          <w:szCs w:val="17"/>
          <w:color w:val="auto"/>
        </w:rPr>
        <w:t xml:space="preserve">. All Selling Expenses relating to Registrable Securities registered pursuant to this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be borne and paid by the Holders pro rata on the basis of the number of Registrable Securities registered on their behalf.</w:t>
      </w:r>
    </w:p>
    <w:p>
      <w:pPr>
        <w:spacing w:after="0" w:line="178" w:lineRule="exact"/>
        <w:rPr>
          <w:sz w:val="20"/>
          <w:szCs w:val="20"/>
          <w:color w:val="auto"/>
        </w:rPr>
      </w:pPr>
    </w:p>
    <w:p>
      <w:pPr>
        <w:ind w:right="60" w:firstLine="991"/>
        <w:spacing w:after="0" w:line="342"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Delay of Registration</w:t>
      </w:r>
      <w:r>
        <w:rPr>
          <w:rFonts w:ascii="Arial" w:cs="Arial" w:eastAsia="Arial" w:hAnsi="Arial"/>
          <w:sz w:val="16"/>
          <w:szCs w:val="16"/>
          <w:color w:val="auto"/>
        </w:rPr>
        <w:t>. No Holder shall have any right to obtain or seek an injunction restraining or otherwise delaying any registration pursuant to this Agreement as the result of any controversy that might arise with respect to the interpretation or implementation of this Section 2.</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Indemnification</w:t>
      </w:r>
      <w:r>
        <w:rPr>
          <w:rFonts w:ascii="Arial" w:cs="Arial" w:eastAsia="Arial" w:hAnsi="Arial"/>
          <w:sz w:val="18"/>
          <w:szCs w:val="18"/>
          <w:color w:val="auto"/>
        </w:rPr>
        <w:t xml:space="preserve">. If any Registrable Securities are included in a registration statement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117" w:lineRule="exact"/>
        <w:rPr>
          <w:sz w:val="20"/>
          <w:szCs w:val="20"/>
          <w:color w:val="auto"/>
        </w:rPr>
      </w:pPr>
    </w:p>
    <w:p>
      <w:pPr>
        <w:ind w:right="140" w:firstLine="1428"/>
        <w:spacing w:after="0" w:line="288" w:lineRule="auto"/>
        <w:tabs>
          <w:tab w:leader="none" w:pos="1677"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selling Holder, and the partners, members, officers, directors, and stockholders of each such Holder; legal counsel, accountants and investment advisers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 result,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indemnity agreement contained in this </w:t>
      </w:r>
      <w:r>
        <w:rPr>
          <w:rFonts w:ascii="Arial" w:cs="Arial" w:eastAsia="Arial" w:hAnsi="Arial"/>
          <w:sz w:val="16"/>
          <w:szCs w:val="16"/>
          <w:u w:val="single" w:color="auto"/>
          <w:color w:val="auto"/>
        </w:rPr>
        <w:t>Subsection 2.8(a)</w:t>
      </w:r>
      <w:r>
        <w:rPr>
          <w:rFonts w:ascii="Arial" w:cs="Arial" w:eastAsia="Arial" w:hAnsi="Arial"/>
          <w:sz w:val="16"/>
          <w:szCs w:val="16"/>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68" w:lineRule="exact"/>
        <w:rPr>
          <w:rFonts w:ascii="Arial" w:cs="Arial" w:eastAsia="Arial" w:hAnsi="Arial"/>
          <w:sz w:val="16"/>
          <w:szCs w:val="16"/>
          <w:color w:val="auto"/>
        </w:rPr>
      </w:pPr>
    </w:p>
    <w:p>
      <w:pPr>
        <w:ind w:right="140" w:firstLine="1428"/>
        <w:spacing w:after="0" w:line="272" w:lineRule="auto"/>
        <w:tabs>
          <w:tab w:leader="none" w:pos="1687"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22" w:name="page323"/>
    <w:bookmarkEnd w:id="322"/>
    <w:p>
      <w:pPr>
        <w:ind w:left="4" w:right="1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other expenses reasonably incurred thereby in connection with investigating or defending any claim or proceeding from which Damages may result,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shall not apply to amounts paid in settlement of any such claim or proceeding if such settlement is effected without the consent of the Holder, which consent shall not be unreasonably withheld;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the aggregate amounts payable by any Holder by way of indemnity or contribution under </w:t>
      </w:r>
      <w:r>
        <w:rPr>
          <w:rFonts w:ascii="Arial" w:cs="Arial" w:eastAsia="Arial" w:hAnsi="Arial"/>
          <w:sz w:val="17"/>
          <w:szCs w:val="17"/>
          <w:u w:val="single" w:color="auto"/>
          <w:color w:val="auto"/>
        </w:rPr>
        <w:t>Subsection 2.8(b)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Subsection 2.8(d)</w:t>
      </w:r>
      <w:r>
        <w:rPr>
          <w:rFonts w:ascii="Arial" w:cs="Arial" w:eastAsia="Arial" w:hAnsi="Arial"/>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78" w:lineRule="exact"/>
        <w:rPr>
          <w:sz w:val="20"/>
          <w:szCs w:val="20"/>
          <w:color w:val="auto"/>
        </w:rPr>
      </w:pPr>
    </w:p>
    <w:p>
      <w:pPr>
        <w:ind w:left="4" w:firstLine="1428"/>
        <w:spacing w:after="0" w:line="269" w:lineRule="auto"/>
        <w:tabs>
          <w:tab w:leader="none" w:pos="1681" w:val="left"/>
        </w:tabs>
        <w:numPr>
          <w:ilvl w:val="1"/>
          <w:numId w:val="220"/>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Arial" w:cs="Arial" w:eastAsia="Arial" w:hAnsi="Arial"/>
          <w:sz w:val="17"/>
          <w:szCs w:val="17"/>
          <w:u w:val="single" w:color="auto"/>
          <w:color w:val="auto"/>
        </w:rPr>
        <w:t>Subsection 2.8</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4" w:right="100" w:firstLine="1428"/>
        <w:spacing w:after="0" w:line="286" w:lineRule="auto"/>
        <w:tabs>
          <w:tab w:leader="none" w:pos="1691" w:val="left"/>
        </w:tabs>
        <w:numPr>
          <w:ilvl w:val="1"/>
          <w:numId w:val="220"/>
        </w:numPr>
        <w:rPr>
          <w:rFonts w:ascii="Arial" w:cs="Arial" w:eastAsia="Arial" w:hAnsi="Arial"/>
          <w:sz w:val="16"/>
          <w:szCs w:val="16"/>
          <w:color w:val="auto"/>
        </w:rPr>
      </w:pPr>
      <w:r>
        <w:rPr>
          <w:rFonts w:ascii="Arial" w:cs="Arial" w:eastAsia="Arial" w:hAnsi="Arial"/>
          <w:sz w:val="16"/>
          <w:szCs w:val="16"/>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Arial" w:cs="Arial" w:eastAsia="Arial" w:hAnsi="Arial"/>
          <w:sz w:val="16"/>
          <w:szCs w:val="16"/>
          <w:u w:val="single" w:color="auto"/>
          <w:color w:val="auto"/>
        </w:rPr>
        <w:t>Subsection 2.8</w:t>
      </w:r>
      <w:r>
        <w:rPr>
          <w:rFonts w:ascii="Arial" w:cs="Arial" w:eastAsia="Arial" w:hAnsi="Arial"/>
          <w:sz w:val="16"/>
          <w:szCs w:val="16"/>
          <w:color w:val="auto"/>
        </w:rPr>
        <w:t xml:space="preserve"> provides for indemnification in such case,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contribution under the Securities Act may be required on the part of any party hereto for which indemnification is provided under this </w:t>
      </w:r>
      <w:r>
        <w:rPr>
          <w:rFonts w:ascii="Arial" w:cs="Arial" w:eastAsia="Arial" w:hAnsi="Arial"/>
          <w:sz w:val="16"/>
          <w:szCs w:val="16"/>
          <w:u w:val="single" w:color="auto"/>
          <w:color w:val="auto"/>
        </w:rPr>
        <w:t>Subsection</w:t>
      </w:r>
    </w:p>
    <w:p>
      <w:pPr>
        <w:spacing w:after="0" w:line="32" w:lineRule="exact"/>
        <w:rPr>
          <w:sz w:val="20"/>
          <w:szCs w:val="20"/>
          <w:color w:val="auto"/>
        </w:rPr>
      </w:pPr>
    </w:p>
    <w:p>
      <w:pPr>
        <w:ind w:left="4"/>
        <w:spacing w:after="0" w:line="290" w:lineRule="auto"/>
        <w:rPr>
          <w:sz w:val="20"/>
          <w:szCs w:val="20"/>
          <w:color w:val="auto"/>
        </w:rPr>
      </w:pPr>
      <w:r>
        <w:rPr>
          <w:rFonts w:ascii="Arial" w:cs="Arial" w:eastAsia="Arial" w:hAnsi="Arial"/>
          <w:sz w:val="16"/>
          <w:szCs w:val="16"/>
          <w:u w:val="single" w:color="auto"/>
          <w:color w:val="auto"/>
        </w:rPr>
        <w:t>2.8</w:t>
      </w:r>
      <w:r>
        <w:rPr>
          <w:rFonts w:ascii="Arial" w:cs="Arial" w:eastAsia="Arial" w:hAnsi="Arial"/>
          <w:sz w:val="16"/>
          <w:szCs w:val="16"/>
          <w:color w:val="auto"/>
        </w:rPr>
        <w:t>,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23" w:name="page324"/>
    <w:bookmarkEnd w:id="32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information, and opportunity to correct or prevent such statement or omission;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in any such case, (x) no Holder will be required to contribute any amount in excess of the public offering price of all such Registrable Securities offered and sold by such Holder pursuant to such registration statement, and (y) no Person guilty of fraudulent misrepresentation (within the meaning of Section 11(f) of the Securities Act) will be entitled to contribution from any Person who was not guilty of such fraudulent misrepresentation;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in no event shall a Holder’s liability pursuant to this </w:t>
      </w:r>
      <w:r>
        <w:rPr>
          <w:rFonts w:ascii="Arial" w:cs="Arial" w:eastAsia="Arial" w:hAnsi="Arial"/>
          <w:sz w:val="18"/>
          <w:szCs w:val="18"/>
          <w:u w:val="single" w:color="auto"/>
          <w:color w:val="auto"/>
        </w:rPr>
        <w:t>Subsection 2.8(d)</w:t>
      </w:r>
      <w:r>
        <w:rPr>
          <w:rFonts w:ascii="Arial" w:cs="Arial" w:eastAsia="Arial" w:hAnsi="Arial"/>
          <w:sz w:val="18"/>
          <w:szCs w:val="18"/>
          <w:color w:val="auto"/>
        </w:rPr>
        <w:t xml:space="preserve">, when combined with the amounts paid or payable by such Holder pursuant to </w:t>
      </w:r>
      <w:r>
        <w:rPr>
          <w:rFonts w:ascii="Arial" w:cs="Arial" w:eastAsia="Arial" w:hAnsi="Arial"/>
          <w:sz w:val="18"/>
          <w:szCs w:val="18"/>
          <w:u w:val="single" w:color="auto"/>
          <w:color w:val="auto"/>
        </w:rPr>
        <w:t>Subsection 2.8(b)</w:t>
      </w:r>
      <w:r>
        <w:rPr>
          <w:rFonts w:ascii="Arial" w:cs="Arial" w:eastAsia="Arial" w:hAnsi="Arial"/>
          <w:sz w:val="18"/>
          <w:szCs w:val="18"/>
          <w:color w:val="auto"/>
        </w:rPr>
        <w:t>, exceed the proceeds from the offering received by such Holder (net of any Selling Expenses paid by such Holder), except in the case of willful misconduct or fraud by such Holder.</w:t>
      </w:r>
    </w:p>
    <w:p>
      <w:pPr>
        <w:spacing w:after="0" w:line="195" w:lineRule="exact"/>
        <w:rPr>
          <w:sz w:val="20"/>
          <w:szCs w:val="20"/>
          <w:color w:val="auto"/>
        </w:rPr>
      </w:pPr>
    </w:p>
    <w:p>
      <w:pPr>
        <w:ind w:right="120" w:firstLine="1428"/>
        <w:spacing w:after="0" w:line="263" w:lineRule="auto"/>
        <w:tabs>
          <w:tab w:leader="none" w:pos="167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firstLine="1428"/>
        <w:spacing w:after="0" w:line="263" w:lineRule="auto"/>
        <w:tabs>
          <w:tab w:leader="none" w:pos="165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Unless otherwise superseded by an underwriting agreement entered into in connection with the underwritten public offering, the obligations of the Company and Holders under this </w:t>
      </w:r>
      <w:r>
        <w:rPr>
          <w:rFonts w:ascii="Arial" w:cs="Arial" w:eastAsia="Arial" w:hAnsi="Arial"/>
          <w:sz w:val="18"/>
          <w:szCs w:val="18"/>
          <w:u w:val="single" w:color="auto"/>
          <w:color w:val="auto"/>
        </w:rPr>
        <w:t>Subsection 2.8</w:t>
      </w:r>
      <w:r>
        <w:rPr>
          <w:rFonts w:ascii="Arial" w:cs="Arial" w:eastAsia="Arial" w:hAnsi="Arial"/>
          <w:sz w:val="18"/>
          <w:szCs w:val="18"/>
          <w:color w:val="auto"/>
        </w:rPr>
        <w:t xml:space="preserve"> shall survive the completion of any offering of Registrable Securities in a registration under this </w:t>
      </w:r>
      <w:r>
        <w:rPr>
          <w:rFonts w:ascii="Arial" w:cs="Arial" w:eastAsia="Arial" w:hAnsi="Arial"/>
          <w:sz w:val="18"/>
          <w:szCs w:val="18"/>
          <w:u w:val="single" w:color="auto"/>
          <w:color w:val="auto"/>
        </w:rPr>
        <w:t>Section 2</w:t>
      </w:r>
      <w:r>
        <w:rPr>
          <w:rFonts w:ascii="Arial" w:cs="Arial" w:eastAsia="Arial" w:hAnsi="Arial"/>
          <w:sz w:val="18"/>
          <w:szCs w:val="18"/>
          <w:color w:val="auto"/>
        </w:rPr>
        <w:t>, and otherwise shall survive the termination of this Agreement.</w:t>
      </w:r>
    </w:p>
    <w:p>
      <w:pPr>
        <w:spacing w:after="0" w:line="184" w:lineRule="exact"/>
        <w:rPr>
          <w:sz w:val="20"/>
          <w:szCs w:val="20"/>
          <w:color w:val="auto"/>
        </w:rPr>
      </w:pPr>
    </w:p>
    <w:p>
      <w:pPr>
        <w:ind w:right="420" w:firstLine="991"/>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Reports Under Exchange Act</w:t>
      </w:r>
      <w:r>
        <w:rPr>
          <w:rFonts w:ascii="Arial" w:cs="Arial" w:eastAsia="Arial" w:hAnsi="Arial"/>
          <w:sz w:val="18"/>
          <w:szCs w:val="18"/>
          <w:color w:val="auto"/>
        </w:rPr>
        <w:t>. With a view to making available to the Holders the benefits of SEC Rule 144 and any other rule or regulation of the SEC that may at any time permit a Holder to sell securities of the Company to the public without registration or pursuant to a registration on Form S-3, the Company shall:</w:t>
      </w:r>
    </w:p>
    <w:p>
      <w:pPr>
        <w:spacing w:after="0" w:line="76" w:lineRule="exact"/>
        <w:rPr>
          <w:sz w:val="20"/>
          <w:szCs w:val="20"/>
          <w:color w:val="auto"/>
        </w:rPr>
      </w:pPr>
    </w:p>
    <w:p>
      <w:pPr>
        <w:ind w:right="100" w:firstLine="1428"/>
        <w:spacing w:after="0" w:line="277" w:lineRule="auto"/>
        <w:tabs>
          <w:tab w:leader="none" w:pos="16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70" w:lineRule="exact"/>
        <w:rPr>
          <w:rFonts w:ascii="Arial" w:cs="Arial" w:eastAsia="Arial" w:hAnsi="Arial"/>
          <w:sz w:val="18"/>
          <w:szCs w:val="18"/>
          <w:color w:val="auto"/>
        </w:rPr>
      </w:pPr>
    </w:p>
    <w:p>
      <w:pPr>
        <w:ind w:right="400" w:firstLine="1428"/>
        <w:spacing w:after="0" w:line="342" w:lineRule="auto"/>
        <w:tabs>
          <w:tab w:leader="none" w:pos="168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23" w:lineRule="exact"/>
        <w:rPr>
          <w:rFonts w:ascii="Arial" w:cs="Arial" w:eastAsia="Arial" w:hAnsi="Arial"/>
          <w:sz w:val="16"/>
          <w:szCs w:val="16"/>
          <w:color w:val="auto"/>
        </w:rPr>
      </w:pPr>
    </w:p>
    <w:p>
      <w:pPr>
        <w:ind w:firstLine="1428"/>
        <w:spacing w:after="0" w:line="290" w:lineRule="auto"/>
        <w:tabs>
          <w:tab w:leader="none" w:pos="16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to the extent accurate, a written statement by the Company that it has complied with the reporting requirements of SEC Rule 144 (at any time after ninety (90) 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(ii) a copy of the most recent annual or quarterly report of the Company and such other reports and documents so filed by the Company; and (iii)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24" w:name="page325"/>
    <w:bookmarkEnd w:id="324"/>
    <w:p>
      <w:pPr>
        <w:ind w:left="4" w:right="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2.10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xml:space="preserve">. From and after the date of this Agreement, the Company shall not, without the prior written consent of the Holders of a majority of the Registrable Securities then outstanding, enter into any agreement with any holder or prospective holder of any securities of the Company that would (i) provide to such holder or prospective holder the right to include securities in any registration on other than either a pro rata basis with respect to the Registrable Securities or on a subordinate basis after all Holders have had the opportunity to include in the registration and offering all shares of Registrable Securities that they wish to so include or (ii) allow such holder or prospective holder to initiate a demand for registration of any securities held by such holder or prospective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limitation shall not apply to Registrable Securities acquired by any additional Investor that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w:t>
      </w:r>
    </w:p>
    <w:p>
      <w:pPr>
        <w:spacing w:after="0" w:line="166" w:lineRule="exact"/>
        <w:rPr>
          <w:sz w:val="20"/>
          <w:szCs w:val="20"/>
          <w:color w:val="auto"/>
        </w:rPr>
      </w:pPr>
    </w:p>
    <w:p>
      <w:pPr>
        <w:ind w:left="4" w:right="80" w:firstLine="991"/>
        <w:spacing w:after="0" w:line="284"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u w:val="single" w:color="auto"/>
          <w:color w:val="auto"/>
        </w:rPr>
        <w:t>Market Stand-off” Agreement</w:t>
      </w:r>
      <w:r>
        <w:rPr>
          <w:rFonts w:ascii="Arial" w:cs="Arial" w:eastAsia="Arial" w:hAnsi="Arial"/>
          <w:sz w:val="16"/>
          <w:szCs w:val="16"/>
          <w:color w:val="auto"/>
        </w:rPr>
        <w:t>. Each Holder hereby agrees that it will not, without the prior written consent of the managing underwriter, during the period commencing on the date of the final prospectus relating to the IPO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(ii) enter into any swap or other arrangement that transfers to another, in whole or in part, any of the economic consequences of ownership of such securities, whether any such transaction described in clause (i) or</w:t>
      </w:r>
    </w:p>
    <w:p>
      <w:pPr>
        <w:spacing w:after="0" w:line="2" w:lineRule="exact"/>
        <w:rPr>
          <w:sz w:val="20"/>
          <w:szCs w:val="20"/>
          <w:color w:val="auto"/>
        </w:rPr>
      </w:pPr>
    </w:p>
    <w:p>
      <w:pPr>
        <w:ind w:left="4" w:hanging="4"/>
        <w:spacing w:after="0" w:line="284" w:lineRule="auto"/>
        <w:tabs>
          <w:tab w:leader="none" w:pos="26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 xml:space="preserve">above is to be settled by delivery of Common Stock or other securities, in cash, or otherwise. The foregoing provisions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shall apply only to the IPO, shall not apply to the sale of any shares to an underwriter pursuant to an underwriting agreement for such IPO, and shall be applicable to the Holders only if all officers and directors are subject to the same restrictions and the Company uses commercially reasonable efforts to obtain a similar agreement from all stockholders individually owning more than one percent (1%) of the outstanding Common Stock (after giving effect to conversion into Common Stock of all outstanding shares of Preferred Stock). If any of the obligations described in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are waived or terminated with respect to any of the securities of any officer, director or greater than one-percent stockholder (in any such case, the “</w:t>
      </w:r>
      <w:r>
        <w:rPr>
          <w:rFonts w:ascii="Arial" w:cs="Arial" w:eastAsia="Arial" w:hAnsi="Arial"/>
          <w:sz w:val="16"/>
          <w:szCs w:val="16"/>
          <w:b w:val="1"/>
          <w:bCs w:val="1"/>
          <w:color w:val="auto"/>
        </w:rPr>
        <w:t>Released</w:t>
      </w:r>
      <w:r>
        <w:rPr>
          <w:rFonts w:ascii="Arial" w:cs="Arial" w:eastAsia="Arial" w:hAnsi="Arial"/>
          <w:sz w:val="16"/>
          <w:szCs w:val="16"/>
          <w:color w:val="auto"/>
        </w:rPr>
        <w:t xml:space="preserve"> </w:t>
      </w:r>
      <w:r>
        <w:rPr>
          <w:rFonts w:ascii="Arial" w:cs="Arial" w:eastAsia="Arial" w:hAnsi="Arial"/>
          <w:sz w:val="16"/>
          <w:szCs w:val="16"/>
          <w:b w:val="1"/>
          <w:bCs w:val="1"/>
          <w:color w:val="auto"/>
        </w:rPr>
        <w:t>Securities</w:t>
      </w:r>
      <w:r>
        <w:rPr>
          <w:rFonts w:ascii="Arial" w:cs="Arial" w:eastAsia="Arial" w:hAnsi="Arial"/>
          <w:sz w:val="16"/>
          <w:szCs w:val="16"/>
          <w:color w:val="auto"/>
        </w:rPr>
        <w:t>”), the restrictions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Subsection 2.11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waived or terminated with respect to the Fidelity Investors, as applicable, to the same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with respect to the same percentage of securities of each Fidelity Investor as the percentage of Released Securities represent with respect to the securities held by the applicable officer, director or greater than one-percent stockholder. The underwriters in connection with such registration are intended third party beneficiaries of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or that are necessary to give further effect thereto. Any discretionary waiver or termination of the restrictions of any or all of such agreements by the Company or the underwriters shall apply pro rata to all Company stockholders that are subject to such agreements, based on the number of shares subject to such agreements.</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4"/>
          </w:cols>
          <w:pgMar w:left="436" w:top="274" w:right="479" w:bottom="1440" w:gutter="0" w:footer="0" w:header="0"/>
        </w:sectPr>
      </w:pPr>
    </w:p>
    <w:bookmarkStart w:id="325" w:name="page326"/>
    <w:bookmarkEnd w:id="32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2.12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5" w:lineRule="exact"/>
        <w:rPr>
          <w:sz w:val="20"/>
          <w:szCs w:val="20"/>
          <w:color w:val="auto"/>
        </w:rPr>
      </w:pPr>
    </w:p>
    <w:p>
      <w:pPr>
        <w:ind w:firstLine="1428"/>
        <w:spacing w:after="0" w:line="272" w:lineRule="auto"/>
        <w:tabs>
          <w:tab w:leader="none" w:pos="1677"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Preferred Stock and the Registrable Securities shall not be sold, pledged, or otherwise transferred in violation of this Agreement,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SEC Rule 144, in each case, to be bound by the terms of this Agreement.</w:t>
      </w:r>
    </w:p>
    <w:p>
      <w:pPr>
        <w:spacing w:after="0" w:line="177" w:lineRule="exact"/>
        <w:rPr>
          <w:rFonts w:ascii="Arial" w:cs="Arial" w:eastAsia="Arial" w:hAnsi="Arial"/>
          <w:sz w:val="17"/>
          <w:szCs w:val="17"/>
          <w:color w:val="auto"/>
        </w:rPr>
      </w:pPr>
    </w:p>
    <w:p>
      <w:pPr>
        <w:ind w:firstLine="1428"/>
        <w:spacing w:after="0" w:line="311" w:lineRule="auto"/>
        <w:tabs>
          <w:tab w:leader="none" w:pos="168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Arial" w:cs="Arial" w:eastAsia="Arial" w:hAnsi="Arial"/>
          <w:sz w:val="16"/>
          <w:szCs w:val="16"/>
          <w:u w:val="single" w:color="auto"/>
          <w:color w:val="auto"/>
        </w:rPr>
        <w:t>Subsection 2.12(c)</w:t>
      </w:r>
      <w:r>
        <w:rPr>
          <w:rFonts w:ascii="Arial" w:cs="Arial" w:eastAsia="Arial" w:hAnsi="Arial"/>
          <w:sz w:val="16"/>
          <w:szCs w:val="16"/>
          <w:color w:val="auto"/>
        </w:rPr>
        <w:t>) be notated with a legend substantially in the following form:</w:t>
      </w:r>
    </w:p>
    <w:p>
      <w:pPr>
        <w:spacing w:after="0" w:line="41" w:lineRule="exact"/>
        <w:rPr>
          <w:sz w:val="20"/>
          <w:szCs w:val="20"/>
          <w:color w:val="auto"/>
        </w:rPr>
      </w:pPr>
    </w:p>
    <w:p>
      <w:pPr>
        <w:ind w:left="440" w:right="40" w:firstLine="423"/>
        <w:spacing w:after="0" w:line="259" w:lineRule="auto"/>
        <w:rPr>
          <w:sz w:val="20"/>
          <w:szCs w:val="20"/>
          <w:color w:val="auto"/>
        </w:rPr>
      </w:pPr>
      <w:r>
        <w:rPr>
          <w:rFonts w:ascii="Arial" w:cs="Arial" w:eastAsia="Arial" w:hAnsi="Arial"/>
          <w:sz w:val="18"/>
          <w:szCs w:val="18"/>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79" w:lineRule="exact"/>
        <w:rPr>
          <w:sz w:val="20"/>
          <w:szCs w:val="20"/>
          <w:color w:val="auto"/>
        </w:rPr>
      </w:pPr>
    </w:p>
    <w:p>
      <w:pPr>
        <w:ind w:left="440" w:right="180" w:firstLine="423"/>
        <w:spacing w:after="0" w:line="263" w:lineRule="auto"/>
        <w:rPr>
          <w:sz w:val="20"/>
          <w:szCs w:val="20"/>
          <w:color w:val="auto"/>
        </w:rPr>
      </w:pPr>
      <w:r>
        <w:rPr>
          <w:rFonts w:ascii="Arial" w:cs="Arial" w:eastAsia="Arial" w:hAnsi="Arial"/>
          <w:sz w:val="18"/>
          <w:szCs w:val="18"/>
          <w:color w:val="auto"/>
        </w:rPr>
        <w:t>THE SECURITIES REPRESENTED HEREBY MAY BE TRANSFERRED ONLY IN ACCORDANCE WITH THE TERMS OF AN AGREEMENT BETWEEN THE COMPANY AND THE STOCKHOLDER, A COPY OF WHICH IS ON FILE WITH THE SECRETARY OF THE COMPANY.</w:t>
      </w:r>
    </w:p>
    <w:p>
      <w:pPr>
        <w:spacing w:after="0" w:line="184"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Arial" w:cs="Arial" w:eastAsia="Arial" w:hAnsi="Arial"/>
          <w:sz w:val="18"/>
          <w:szCs w:val="18"/>
          <w:u w:val="single" w:color="auto"/>
          <w:color w:val="auto"/>
        </w:rPr>
        <w:t>Subsection 2.12</w:t>
      </w:r>
      <w:r>
        <w:rPr>
          <w:rFonts w:ascii="Arial" w:cs="Arial" w:eastAsia="Arial" w:hAnsi="Arial"/>
          <w:sz w:val="18"/>
          <w:szCs w:val="18"/>
          <w:color w:val="auto"/>
        </w:rPr>
        <w:t>.</w:t>
      </w:r>
    </w:p>
    <w:p>
      <w:pPr>
        <w:spacing w:after="0" w:line="170" w:lineRule="exact"/>
        <w:rPr>
          <w:sz w:val="20"/>
          <w:szCs w:val="20"/>
          <w:color w:val="auto"/>
        </w:rPr>
      </w:pPr>
    </w:p>
    <w:p>
      <w:pPr>
        <w:ind w:firstLine="1428"/>
        <w:spacing w:after="0" w:line="254" w:lineRule="auto"/>
        <w:tabs>
          <w:tab w:leader="none" w:pos="16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The holder of such Restricted Securities, by acceptance of ownership thereof, agrees to comply in all respects with the provisions of this </w:t>
      </w:r>
      <w:r>
        <w:rPr>
          <w:rFonts w:ascii="Arial" w:cs="Arial" w:eastAsia="Arial" w:hAnsi="Arial"/>
          <w:sz w:val="18"/>
          <w:szCs w:val="18"/>
          <w:u w:val="single" w:color="auto"/>
          <w:color w:val="auto"/>
        </w:rPr>
        <w:t>Section 2</w:t>
      </w:r>
      <w:r>
        <w:rPr>
          <w:rFonts w:ascii="Arial" w:cs="Arial" w:eastAsia="Arial" w:hAnsi="Arial"/>
          <w:sz w:val="18"/>
          <w:szCs w:val="18"/>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provided that no such notice shall be required in connection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26" w:name="page327"/>
    <w:bookmarkEnd w:id="326"/>
    <w:p>
      <w:pPr>
        <w:ind w:left="4" w:right="8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whose legal opinion shall, be reasonably satisfactory to the Company, addressed to the Company, to the effect that the proposed transaction may be effected without registration under the Securities Act; (ii) a “no action” letter from the SEC to the effect that the proposed sale, pledge, or transfer of such Restricted Securities without registration will not result in a recommendation by the staff of the SEC that action be taken with respect thereto; or</w:t>
      </w:r>
    </w:p>
    <w:p>
      <w:pPr>
        <w:spacing w:after="0" w:line="2" w:lineRule="exact"/>
        <w:rPr>
          <w:sz w:val="20"/>
          <w:szCs w:val="20"/>
          <w:color w:val="auto"/>
        </w:rPr>
      </w:pPr>
    </w:p>
    <w:p>
      <w:pPr>
        <w:ind w:left="4" w:hanging="4"/>
        <w:spacing w:after="0" w:line="267" w:lineRule="auto"/>
        <w:tabs>
          <w:tab w:leader="none" w:pos="319" w:val="left"/>
        </w:tabs>
        <w:numPr>
          <w:ilvl w:val="0"/>
          <w:numId w:val="227"/>
        </w:numPr>
        <w:rPr>
          <w:rFonts w:ascii="Arial" w:cs="Arial" w:eastAsia="Arial" w:hAnsi="Arial"/>
          <w:sz w:val="17"/>
          <w:szCs w:val="17"/>
          <w:color w:val="auto"/>
        </w:rPr>
      </w:pPr>
      <w:r>
        <w:rPr>
          <w:rFonts w:ascii="Arial" w:cs="Arial" w:eastAsia="Arial" w:hAnsi="Arial"/>
          <w:sz w:val="17"/>
          <w:szCs w:val="17"/>
          <w:color w:val="auto"/>
        </w:rPr>
        <w:t xml:space="preserve">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(or for consideration with respect to Redmile Biopharma Investments III, L.P. and RAF, L.P.);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in connection with a transaction in compliance with SEC Rule 144 following the IPO, each transferee agrees in writing to be subject to the terms of this </w:t>
      </w:r>
      <w:r>
        <w:rPr>
          <w:rFonts w:ascii="Arial" w:cs="Arial" w:eastAsia="Arial" w:hAnsi="Arial"/>
          <w:sz w:val="17"/>
          <w:szCs w:val="17"/>
          <w:u w:val="single" w:color="auto"/>
          <w:color w:val="auto"/>
        </w:rPr>
        <w:t>Subsection 2.12</w:t>
      </w:r>
      <w:r>
        <w:rPr>
          <w:rFonts w:ascii="Arial" w:cs="Arial" w:eastAsia="Arial" w:hAnsi="Arial"/>
          <w:sz w:val="17"/>
          <w:szCs w:val="17"/>
          <w:color w:val="auto"/>
        </w:rPr>
        <w:t xml:space="preserve">. Each certificate, instrument or book entry representing the Restricted Securities transferred as above provided shall be notated with, except if such transfer is made pursuant to SEC Rule 144 or pursuant to an effective registration statement, the appropriate restrictive legend set forth in </w:t>
      </w:r>
      <w:r>
        <w:rPr>
          <w:rFonts w:ascii="Arial" w:cs="Arial" w:eastAsia="Arial" w:hAnsi="Arial"/>
          <w:sz w:val="17"/>
          <w:szCs w:val="17"/>
          <w:u w:val="single" w:color="auto"/>
          <w:color w:val="auto"/>
        </w:rPr>
        <w:t>Subsection 2.12(b)</w:t>
      </w:r>
      <w:r>
        <w:rPr>
          <w:rFonts w:ascii="Arial" w:cs="Arial" w:eastAsia="Arial" w:hAnsi="Arial"/>
          <w:sz w:val="17"/>
          <w:szCs w:val="17"/>
          <w:color w:val="auto"/>
        </w:rPr>
        <w:t>, except that such certificate, instrument or book entry shall not be notated with such restrictive legend if, in the opinion of counsel for such Holder and the Company, such legend is not required in order to establish compliance with any provisions of the Securities Act.</w:t>
      </w:r>
    </w:p>
    <w:p>
      <w:pPr>
        <w:spacing w:after="0" w:line="186" w:lineRule="exact"/>
        <w:rPr>
          <w:sz w:val="20"/>
          <w:szCs w:val="20"/>
          <w:color w:val="auto"/>
        </w:rPr>
      </w:pPr>
    </w:p>
    <w:p>
      <w:pPr>
        <w:ind w:left="4" w:right="500" w:firstLine="991"/>
        <w:spacing w:after="0" w:line="277"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xml:space="preserve">. The right of any Holder to request registration or inclusion of Registrable Securities in any registration pursuant to </w:t>
      </w:r>
      <w:r>
        <w:rPr>
          <w:rFonts w:ascii="Arial" w:cs="Arial" w:eastAsia="Arial" w:hAnsi="Arial"/>
          <w:sz w:val="18"/>
          <w:szCs w:val="18"/>
          <w:u w:val="single" w:color="auto"/>
          <w:color w:val="auto"/>
        </w:rPr>
        <w:t>Subsection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2.2</w:t>
      </w:r>
      <w:r>
        <w:rPr>
          <w:rFonts w:ascii="Arial" w:cs="Arial" w:eastAsia="Arial" w:hAnsi="Arial"/>
          <w:sz w:val="18"/>
          <w:szCs w:val="18"/>
          <w:color w:val="auto"/>
        </w:rPr>
        <w:t xml:space="preserve"> shall terminate upon the earliest to occur of:</w:t>
      </w:r>
    </w:p>
    <w:p>
      <w:pPr>
        <w:spacing w:after="0" w:line="62" w:lineRule="exact"/>
        <w:rPr>
          <w:sz w:val="20"/>
          <w:szCs w:val="20"/>
          <w:color w:val="auto"/>
        </w:rPr>
      </w:pPr>
    </w:p>
    <w:p>
      <w:pPr>
        <w:ind w:left="1684" w:hanging="252"/>
        <w:spacing w:after="0"/>
        <w:tabs>
          <w:tab w:leader="none" w:pos="1684" w:val="left"/>
        </w:tabs>
        <w:numPr>
          <w:ilvl w:val="1"/>
          <w:numId w:val="228"/>
        </w:numPr>
        <w:rPr>
          <w:rFonts w:ascii="Arial" w:cs="Arial" w:eastAsia="Arial" w:hAnsi="Arial"/>
          <w:sz w:val="17"/>
          <w:szCs w:val="17"/>
          <w:color w:val="auto"/>
        </w:rPr>
      </w:pPr>
      <w:r>
        <w:rPr>
          <w:rFonts w:ascii="Arial" w:cs="Arial" w:eastAsia="Arial" w:hAnsi="Arial"/>
          <w:sz w:val="17"/>
          <w:szCs w:val="17"/>
          <w:color w:val="auto"/>
        </w:rPr>
        <w:t>immediately before the closing of a Deemed Liquidation Event, as such term is defined in the Certificate of Incorporation;</w:t>
      </w:r>
    </w:p>
    <w:p>
      <w:pPr>
        <w:spacing w:after="0" w:line="236" w:lineRule="exact"/>
        <w:rPr>
          <w:rFonts w:ascii="Arial" w:cs="Arial" w:eastAsia="Arial" w:hAnsi="Arial"/>
          <w:sz w:val="17"/>
          <w:szCs w:val="17"/>
          <w:color w:val="auto"/>
        </w:rPr>
      </w:pPr>
    </w:p>
    <w:p>
      <w:pPr>
        <w:ind w:left="4" w:right="40" w:firstLine="1428"/>
        <w:spacing w:after="0" w:line="277" w:lineRule="auto"/>
        <w:tabs>
          <w:tab w:leader="none" w:pos="1691"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such time after consummation of the IPO as SEC Rule 144 or another similar exemption under the Securities Act is available for the sale of all of such Holder’s shares without limitation during a three-month period without registration; and</w:t>
      </w:r>
    </w:p>
    <w:p>
      <w:pPr>
        <w:spacing w:after="0" w:line="170" w:lineRule="exact"/>
        <w:rPr>
          <w:rFonts w:ascii="Arial" w:cs="Arial" w:eastAsia="Arial" w:hAnsi="Arial"/>
          <w:sz w:val="18"/>
          <w:szCs w:val="18"/>
          <w:color w:val="auto"/>
        </w:rPr>
      </w:pPr>
    </w:p>
    <w:p>
      <w:pPr>
        <w:ind w:left="1684" w:hanging="252"/>
        <w:spacing w:after="0"/>
        <w:tabs>
          <w:tab w:leader="none" w:pos="168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15"/>
          <w:szCs w:val="15"/>
          <w:color w:val="auto"/>
        </w:rPr>
        <w:t>th</w:t>
      </w:r>
      <w:r>
        <w:rPr>
          <w:rFonts w:ascii="Arial" w:cs="Arial" w:eastAsia="Arial" w:hAnsi="Arial"/>
          <w:sz w:val="18"/>
          <w:szCs w:val="18"/>
          <w:color w:val="auto"/>
        </w:rPr>
        <w:t>) anniversary of the IPO.</w:t>
      </w:r>
    </w:p>
    <w:p>
      <w:pPr>
        <w:spacing w:after="0" w:line="225" w:lineRule="exact"/>
        <w:rPr>
          <w:rFonts w:ascii="Arial" w:cs="Arial" w:eastAsia="Arial" w:hAnsi="Arial"/>
          <w:sz w:val="18"/>
          <w:szCs w:val="18"/>
          <w:color w:val="auto"/>
        </w:rPr>
      </w:pPr>
    </w:p>
    <w:p>
      <w:pPr>
        <w:ind w:left="624" w:hanging="184"/>
        <w:spacing w:after="0"/>
        <w:tabs>
          <w:tab w:leader="none" w:pos="624"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Information</w:t>
      </w:r>
      <w:r>
        <w:rPr>
          <w:rFonts w:ascii="Arial" w:cs="Arial" w:eastAsia="Arial" w:hAnsi="Arial"/>
          <w:sz w:val="18"/>
          <w:szCs w:val="18"/>
          <w:color w:val="auto"/>
        </w:rPr>
        <w:t>.</w:t>
      </w:r>
    </w:p>
    <w:p>
      <w:pPr>
        <w:spacing w:after="0" w:line="225" w:lineRule="exact"/>
        <w:rPr>
          <w:sz w:val="20"/>
          <w:szCs w:val="20"/>
          <w:color w:val="auto"/>
        </w:rPr>
      </w:pPr>
    </w:p>
    <w:p>
      <w:pPr>
        <w:ind w:left="4" w:right="100" w:firstLine="991"/>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Delivery of Financial Statements</w:t>
      </w:r>
      <w:r>
        <w:rPr>
          <w:rFonts w:ascii="Arial" w:cs="Arial" w:eastAsia="Arial" w:hAnsi="Arial"/>
          <w:sz w:val="16"/>
          <w:szCs w:val="16"/>
          <w:color w:val="auto"/>
        </w:rPr>
        <w:t xml:space="preserve">. So long as at least 2,250,000 shares of Registrable Securities (subject to appropriate adjustment in the event of any stock dividend, stock split, combination or other similar recapitalization with respect to the Registrable Securities) are outstanding, the Company shall deliver to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not reasonably determined that such Major Investor is a competitor of the Company (provided that the Fidelity Investors shall not be deemed or determined to be competitors of the Company):</w:t>
      </w:r>
    </w:p>
    <w:p>
      <w:pPr>
        <w:spacing w:after="0" w:line="9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4" w:right="479" w:bottom="1440" w:gutter="0" w:footer="0" w:header="0"/>
        </w:sectPr>
      </w:pPr>
    </w:p>
    <w:bookmarkStart w:id="327" w:name="page328"/>
    <w:bookmarkEnd w:id="327"/>
    <w:p>
      <w:pPr>
        <w:ind w:left="4" w:right="80" w:firstLine="1428"/>
        <w:spacing w:after="0" w:line="273" w:lineRule="auto"/>
        <w:tabs>
          <w:tab w:leader="none" w:pos="1681" w:val="left"/>
        </w:tabs>
        <w:numPr>
          <w:ilvl w:val="1"/>
          <w:numId w:val="2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soon as practicable, but in any event within 90 days after the end of each fiscal year of the Company beginning with the fiscal year ending December 31, 2020 (or such other time as approved by the Board), (i) a balance sheet as of the end of such year, (ii) statements of income and of cash flows for such year, and a comparison between (x) the actual amounts as of and for such fiscal year and (y) the comparable amounts for the prior year, with an explanation of any material differences between such amounts and a schedule as to the sources and applications of funds for such year, and (iii) a statement of stockholders’ equity as of the end of such year, all such financial statements audited and certified by independent public accountants of recognized standing selected by the Company;</w:t>
      </w:r>
    </w:p>
    <w:p>
      <w:pPr>
        <w:spacing w:after="0" w:line="177" w:lineRule="exact"/>
        <w:rPr>
          <w:rFonts w:ascii="Arial" w:cs="Arial" w:eastAsia="Arial" w:hAnsi="Arial"/>
          <w:sz w:val="17"/>
          <w:szCs w:val="17"/>
          <w:color w:val="auto"/>
        </w:rPr>
      </w:pPr>
    </w:p>
    <w:p>
      <w:pPr>
        <w:ind w:left="4" w:firstLine="1428"/>
        <w:spacing w:after="0" w:line="259" w:lineRule="auto"/>
        <w:tabs>
          <w:tab w:leader="none" w:pos="1691" w:val="left"/>
        </w:tabs>
        <w:numPr>
          <w:ilvl w:val="1"/>
          <w:numId w:val="230"/>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unaudited statements of income and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 and</w:t>
      </w:r>
    </w:p>
    <w:p>
      <w:pPr>
        <w:spacing w:after="0" w:line="186" w:lineRule="exact"/>
        <w:rPr>
          <w:rFonts w:ascii="Arial" w:cs="Arial" w:eastAsia="Arial" w:hAnsi="Arial"/>
          <w:sz w:val="18"/>
          <w:szCs w:val="18"/>
          <w:color w:val="auto"/>
        </w:rPr>
      </w:pPr>
    </w:p>
    <w:p>
      <w:pPr>
        <w:ind w:left="4" w:right="60" w:firstLine="1428"/>
        <w:spacing w:after="0" w:line="291" w:lineRule="auto"/>
        <w:tabs>
          <w:tab w:leader="none" w:pos="1681" w:val="left"/>
        </w:tabs>
        <w:numPr>
          <w:ilvl w:val="1"/>
          <w:numId w:val="230"/>
        </w:numPr>
        <w:rPr>
          <w:rFonts w:ascii="Arial" w:cs="Arial" w:eastAsia="Arial" w:hAnsi="Arial"/>
          <w:sz w:val="16"/>
          <w:szCs w:val="16"/>
          <w:color w:val="auto"/>
        </w:rPr>
      </w:pPr>
      <w:r>
        <w:rPr>
          <w:rFonts w:ascii="Arial" w:cs="Arial" w:eastAsia="Arial" w:hAnsi="Arial"/>
          <w:sz w:val="16"/>
          <w:szCs w:val="16"/>
          <w:color w:val="auto"/>
        </w:rPr>
        <w:t>as soon as practicable, but in any event within thirty (30) days of the end of each month, an unaudited income statement for such month, and an unaudited balance sheet as of the end of such month, all prepared in accordance with GAAP (except that such financial statements may</w:t>
      </w:r>
    </w:p>
    <w:p>
      <w:pPr>
        <w:ind w:left="224" w:hanging="224"/>
        <w:spacing w:after="0"/>
        <w:tabs>
          <w:tab w:leader="none" w:pos="22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be subject to normal year-end audit adjustments and (ii) not contain all notes thereto that may be required in accordance with GAAP).</w:t>
      </w:r>
    </w:p>
    <w:p>
      <w:pPr>
        <w:spacing w:after="0" w:line="211" w:lineRule="exact"/>
        <w:rPr>
          <w:sz w:val="20"/>
          <w:szCs w:val="20"/>
          <w:color w:val="auto"/>
        </w:rPr>
      </w:pPr>
    </w:p>
    <w:p>
      <w:pPr>
        <w:jc w:val="both"/>
        <w:ind w:left="4" w:right="20" w:firstLine="440"/>
        <w:spacing w:after="0" w:line="263" w:lineRule="auto"/>
        <w:rPr>
          <w:sz w:val="20"/>
          <w:szCs w:val="20"/>
          <w:color w:val="auto"/>
        </w:rPr>
      </w:pPr>
      <w:r>
        <w:rPr>
          <w:rFonts w:ascii="Arial" w:cs="Arial" w:eastAsia="Arial" w:hAnsi="Arial"/>
          <w:sz w:val="18"/>
          <w:szCs w:val="18"/>
          <w:color w:val="auto"/>
        </w:rPr>
        <w:t>If, for any period, the Company has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84" w:lineRule="exact"/>
        <w:rPr>
          <w:sz w:val="20"/>
          <w:szCs w:val="20"/>
          <w:color w:val="auto"/>
        </w:rPr>
      </w:pPr>
    </w:p>
    <w:p>
      <w:pPr>
        <w:ind w:left="4" w:right="640" w:firstLine="440"/>
        <w:spacing w:after="0" w:line="275" w:lineRule="auto"/>
        <w:rPr>
          <w:sz w:val="20"/>
          <w:szCs w:val="20"/>
          <w:color w:val="auto"/>
        </w:rPr>
      </w:pPr>
      <w:r>
        <w:rPr>
          <w:rFonts w:ascii="Arial" w:cs="Arial" w:eastAsia="Arial" w:hAnsi="Arial"/>
          <w:sz w:val="17"/>
          <w:szCs w:val="17"/>
          <w:color w:val="auto"/>
        </w:rPr>
        <w:t xml:space="preserve">Notwithstanding anything else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to the contrary, the Company may cease providing the information set forth in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during the period starting with the date sixty (60) days before the Company’s good-faith estimate of the date of submission of a registration statement if it reasonably concludes it must do so to comply with the SEC rules applicable to such registration statement and related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Company’s covenants under this </w:t>
      </w:r>
      <w:r>
        <w:rPr>
          <w:rFonts w:ascii="Arial" w:cs="Arial" w:eastAsia="Arial" w:hAnsi="Arial"/>
          <w:sz w:val="17"/>
          <w:szCs w:val="17"/>
          <w:u w:val="single" w:color="auto"/>
          <w:color w:val="auto"/>
        </w:rPr>
        <w:t>Subsection 3.1</w:t>
      </w:r>
      <w:r>
        <w:rPr>
          <w:rFonts w:ascii="Arial" w:cs="Arial" w:eastAsia="Arial" w:hAnsi="Arial"/>
          <w:sz w:val="17"/>
          <w:szCs w:val="17"/>
          <w:color w:val="auto"/>
        </w:rPr>
        <w:t xml:space="preserve"> shall be reinstated at such time as the Company is no longer actively employing its commercially reasonable efforts to cause such registration statement to become effective.</w:t>
      </w:r>
    </w:p>
    <w:p>
      <w:pPr>
        <w:spacing w:after="0" w:line="176" w:lineRule="exact"/>
        <w:rPr>
          <w:sz w:val="20"/>
          <w:szCs w:val="20"/>
          <w:color w:val="auto"/>
        </w:rPr>
      </w:pPr>
    </w:p>
    <w:p>
      <w:pPr>
        <w:ind w:left="4" w:right="80" w:firstLine="991"/>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Inspection</w:t>
      </w:r>
      <w:r>
        <w:rPr>
          <w:rFonts w:ascii="Arial" w:cs="Arial" w:eastAsia="Arial" w:hAnsi="Arial"/>
          <w:sz w:val="16"/>
          <w:szCs w:val="16"/>
          <w:color w:val="auto"/>
        </w:rPr>
        <w:t>. So long as at least 2,250,000 shares of Registrable Securities (subject to appropriate adjustment in the event of any stock dividend, stock split, combination or other similar recapitalization with respect to the Registrable Securities) are outstanding, the Company shall permit each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not reasonably determined that such Major Investor is a competitor of the Company;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Fidelity Investors shall not be deemed or determined to be competitors of the Company), at such Major Investor’s expense, to visit and inspect the Company’s properties; examine its books of account and records; and discuss the Company’s affairs, finances, and accounts with its officers, during normal business hours of the Company as may be reasonably requested by the Major Investor;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obligated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328" w:name="page329"/>
    <w:bookmarkEnd w:id="328"/>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Arial" w:cs="Arial" w:eastAsia="Arial" w:hAnsi="Arial"/>
          <w:sz w:val="18"/>
          <w:szCs w:val="18"/>
          <w:u w:val="single" w:color="auto"/>
          <w:color w:val="auto"/>
        </w:rPr>
        <w:t>Termination of Information Rights</w:t>
      </w:r>
      <w:r>
        <w:rPr>
          <w:rFonts w:ascii="Arial" w:cs="Arial" w:eastAsia="Arial" w:hAnsi="Arial"/>
          <w:sz w:val="18"/>
          <w:szCs w:val="18"/>
          <w:color w:val="auto"/>
        </w:rPr>
        <w:t xml:space="preserve">. The covenants set forth in </w:t>
      </w:r>
      <w:r>
        <w:rPr>
          <w:rFonts w:ascii="Arial" w:cs="Arial" w:eastAsia="Arial" w:hAnsi="Arial"/>
          <w:sz w:val="18"/>
          <w:szCs w:val="18"/>
          <w:u w:val="single" w:color="auto"/>
          <w:color w:val="auto"/>
        </w:rPr>
        <w:t>Subsection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3.2</w:t>
      </w:r>
      <w:r>
        <w:rPr>
          <w:rFonts w:ascii="Arial" w:cs="Arial" w:eastAsia="Arial" w:hAnsi="Arial"/>
          <w:sz w:val="18"/>
          <w:szCs w:val="18"/>
          <w:color w:val="auto"/>
        </w:rPr>
        <w:t xml:space="preserve"> shall terminate and be of no further force or effect (i) immediately before the consummation of the IPO, (ii) when the Company first becomes subject to the periodic reporting requirements of Section 12(g) or 15(d) of the Exchange Act, or (iii) upon the closing of a Deemed Liquidation Event, as such term is defined in the Certificate of Incorporation, whichever event occurs first.</w:t>
      </w:r>
    </w:p>
    <w:p>
      <w:pPr>
        <w:spacing w:after="0" w:line="187"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Investor agrees that such Investor will keep confidential 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by such Investor), (b) is or has been independently developed or conceived by such Investor without use of the Company’s confidential information, or (c) is or has been made known or disclosed to such Investor by a third party without a breach of any obligation of confidentiality such third party may have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 Investor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Investor, if such prospective purchaser agrees to be bound by the provisions of this </w:t>
      </w:r>
      <w:r>
        <w:rPr>
          <w:rFonts w:ascii="Arial" w:cs="Arial" w:eastAsia="Arial" w:hAnsi="Arial"/>
          <w:sz w:val="17"/>
          <w:szCs w:val="17"/>
          <w:u w:val="single" w:color="auto"/>
          <w:color w:val="auto"/>
        </w:rPr>
        <w:t>Subsection 3.4</w:t>
      </w:r>
      <w:r>
        <w:rPr>
          <w:rFonts w:ascii="Arial" w:cs="Arial" w:eastAsia="Arial" w:hAnsi="Arial"/>
          <w:sz w:val="17"/>
          <w:szCs w:val="17"/>
          <w:color w:val="auto"/>
        </w:rPr>
        <w:t xml:space="preserve">; (iii) to any existing or prospective Affiliate, partner, member, stockholder, or wholly owned subsidiary of such Investor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informs such Person that such information is confidential and directs such Person to maintain the confidentiality of such information; or (iv) as may otherwise be required by law, regulation, rule, court order or subpoena,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Investor promptly notifies the Company of such disclosure and takes reasonable steps to minimize the extent of any such required disclosure.</w:t>
      </w:r>
    </w:p>
    <w:p>
      <w:pPr>
        <w:spacing w:after="0" w:line="186" w:lineRule="exact"/>
        <w:rPr>
          <w:sz w:val="20"/>
          <w:szCs w:val="20"/>
          <w:color w:val="auto"/>
        </w:rPr>
      </w:pPr>
    </w:p>
    <w:p>
      <w:pPr>
        <w:ind w:left="620" w:hanging="184"/>
        <w:spacing w:after="0"/>
        <w:tabs>
          <w:tab w:leader="none" w:pos="62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Rights to Future Stock Issuances</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Right of First Offer</w:t>
      </w:r>
      <w:r>
        <w:rPr>
          <w:rFonts w:ascii="Arial" w:cs="Arial" w:eastAsia="Arial" w:hAnsi="Arial"/>
          <w:sz w:val="17"/>
          <w:szCs w:val="17"/>
          <w:color w:val="auto"/>
        </w:rPr>
        <w:t xml:space="preserve">. Subject to the terms and conditions of this </w:t>
      </w:r>
      <w:r>
        <w:rPr>
          <w:rFonts w:ascii="Arial" w:cs="Arial" w:eastAsia="Arial" w:hAnsi="Arial"/>
          <w:sz w:val="17"/>
          <w:szCs w:val="17"/>
          <w:u w:val="single" w:color="auto"/>
          <w:color w:val="auto"/>
        </w:rPr>
        <w:t>Subsection 4.1</w:t>
      </w:r>
      <w:r>
        <w:rPr>
          <w:rFonts w:ascii="Arial" w:cs="Arial" w:eastAsia="Arial" w:hAnsi="Arial"/>
          <w:sz w:val="17"/>
          <w:szCs w:val="17"/>
          <w:color w:val="auto"/>
        </w:rPr>
        <w:t xml:space="preserve"> and applicable securities laws, if the Company proposes to offer or sell any New Securities, the Company shall first offer such New Securities to each Major Investor. A Major Investor shall be entitled to apportion the right of first offer hereby granted to it among itself and its Affiliates in such proportions as it deems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such Affiliate agrees to enter into this Agreement and each of the Second Amended and Restated Voting Agreement of even date herewith among the Company, the Investors and the other parties named therein (as it may be amended and/or restated from time to time, the “</w:t>
      </w:r>
      <w:r>
        <w:rPr>
          <w:rFonts w:ascii="Arial" w:cs="Arial" w:eastAsia="Arial" w:hAnsi="Arial"/>
          <w:sz w:val="17"/>
          <w:szCs w:val="17"/>
          <w:b w:val="1"/>
          <w:bCs w:val="1"/>
          <w:color w:val="auto"/>
        </w:rPr>
        <w:t>Voting Agreement</w:t>
      </w:r>
      <w:r>
        <w:rPr>
          <w:rFonts w:ascii="Arial" w:cs="Arial" w:eastAsia="Arial" w:hAnsi="Arial"/>
          <w:sz w:val="17"/>
          <w:szCs w:val="17"/>
          <w:color w:val="auto"/>
        </w:rPr>
        <w:t>”) and the Second Amended and Restated Right of First Refusal and Co-Sale Agreement of even date herewith among the Company, the Investors and the other parties named therein, as an “</w:t>
      </w:r>
      <w:r>
        <w:rPr>
          <w:rFonts w:ascii="Arial" w:cs="Arial" w:eastAsia="Arial" w:hAnsi="Arial"/>
          <w:sz w:val="17"/>
          <w:szCs w:val="17"/>
          <w:b w:val="1"/>
          <w:bCs w:val="1"/>
          <w:color w:val="auto"/>
        </w:rPr>
        <w:t>Investor</w:t>
      </w:r>
      <w:r>
        <w:rPr>
          <w:rFonts w:ascii="Arial" w:cs="Arial" w:eastAsia="Arial" w:hAnsi="Arial"/>
          <w:sz w:val="17"/>
          <w:szCs w:val="17"/>
          <w:color w:val="auto"/>
        </w:rPr>
        <w:t>” under each such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29" w:name="page330"/>
    <w:bookmarkEnd w:id="329"/>
    <w:p>
      <w:pPr>
        <w:ind w:right="120" w:firstLine="1428"/>
        <w:spacing w:after="0" w:line="266" w:lineRule="auto"/>
        <w:tabs>
          <w:tab w:leader="none" w:pos="1677" w:val="left"/>
        </w:tabs>
        <w:numPr>
          <w:ilvl w:val="0"/>
          <w:numId w:val="2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give notice (the “</w:t>
      </w:r>
      <w:r>
        <w:rPr>
          <w:rFonts w:ascii="Arial" w:cs="Arial" w:eastAsia="Arial" w:hAnsi="Arial"/>
          <w:sz w:val="18"/>
          <w:szCs w:val="18"/>
          <w:b w:val="1"/>
          <w:bCs w:val="1"/>
          <w:color w:val="auto"/>
        </w:rPr>
        <w:t>Offer Notice</w:t>
      </w:r>
      <w:r>
        <w:rPr>
          <w:rFonts w:ascii="Arial" w:cs="Arial" w:eastAsia="Arial" w:hAnsi="Arial"/>
          <w:sz w:val="18"/>
          <w:szCs w:val="18"/>
          <w:color w:val="auto"/>
        </w:rPr>
        <w:t>”) to each Major Investor, stating (i) its bona fide intention to offer such New Securities, (ii) the number of such New Securities to be offered, and (iii) the price and terms, if any, upon which it proposes to offer such New Securities.</w:t>
      </w:r>
    </w:p>
    <w:p>
      <w:pPr>
        <w:spacing w:after="0" w:line="179" w:lineRule="exact"/>
        <w:rPr>
          <w:rFonts w:ascii="Arial" w:cs="Arial" w:eastAsia="Arial" w:hAnsi="Arial"/>
          <w:sz w:val="18"/>
          <w:szCs w:val="18"/>
          <w:color w:val="auto"/>
        </w:rPr>
      </w:pPr>
    </w:p>
    <w:p>
      <w:pPr>
        <w:ind w:firstLine="1428"/>
        <w:spacing w:after="0" w:line="286" w:lineRule="auto"/>
        <w:tabs>
          <w:tab w:leader="none" w:pos="168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By notification to the Company within twenty (20) days 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issuable (directly or indirectly) upon conversion and/or exercise, as applicable, of the Preferred Stock and any other Derivative Securities then held by such Major Investor) bears to the total Common Stock of the Company then outstanding (assuming full conversion and/or exercise, as applicable, of all Preferred Stock and any other Derivative Securities then outstanding). At the expiration of such twenty (20) day period, the Company shall promptly notify each Major Investor that elects to purchase or acquire all the shares available to it (each, a “</w:t>
      </w:r>
      <w:r>
        <w:rPr>
          <w:rFonts w:ascii="Arial" w:cs="Arial" w:eastAsia="Arial" w:hAnsi="Arial"/>
          <w:sz w:val="16"/>
          <w:szCs w:val="16"/>
          <w:b w:val="1"/>
          <w:bCs w:val="1"/>
          <w:color w:val="auto"/>
        </w:rPr>
        <w:t>Fully Exercising Investor</w:t>
      </w:r>
      <w:r>
        <w:rPr>
          <w:rFonts w:ascii="Arial" w:cs="Arial" w:eastAsia="Arial" w:hAnsi="Arial"/>
          <w:sz w:val="16"/>
          <w:szCs w:val="16"/>
          <w:color w:val="auto"/>
        </w:rPr>
        <w:t xml:space="preserve">”) of any other Major Investor’s failure 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shall occur within the later of ninety (90) days of the date that the Offer Notice is given and the date of initial sale of New Securities pursuant to </w:t>
      </w:r>
      <w:r>
        <w:rPr>
          <w:rFonts w:ascii="Arial" w:cs="Arial" w:eastAsia="Arial" w:hAnsi="Arial"/>
          <w:sz w:val="16"/>
          <w:szCs w:val="16"/>
          <w:u w:val="single" w:color="auto"/>
          <w:color w:val="auto"/>
        </w:rPr>
        <w:t>Subsection 4.1(c)</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right="80" w:firstLine="1428"/>
        <w:spacing w:after="0" w:line="293" w:lineRule="auto"/>
        <w:tabs>
          <w:tab w:leader="none" w:pos="1677"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If all New Securities referred to in the Offer Notice are not elected to be purchased or acquired as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the Company may, during the ninety (90) day period following the expiration of the periods provided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Arial" w:cs="Arial" w:eastAsia="Arial" w:hAnsi="Arial"/>
          <w:sz w:val="16"/>
          <w:szCs w:val="16"/>
          <w:u w:val="single" w:color="auto"/>
          <w:color w:val="auto"/>
        </w:rPr>
        <w:t>Subsection 4.1</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60" w:firstLine="1428"/>
        <w:spacing w:after="0" w:line="263" w:lineRule="auto"/>
        <w:tabs>
          <w:tab w:leader="none" w:pos="168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 right of first offer in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shall not be applicable to (i) Exempted Securities (as defined in the Certificate of Incorporation); (ii) shares of Common Stock issued in the IPO; or (iii) the issuance of shares of Series C Preferred Stock to Additional Purchasers pursuant to </w:t>
      </w:r>
      <w:r>
        <w:rPr>
          <w:rFonts w:ascii="Arial" w:cs="Arial" w:eastAsia="Arial" w:hAnsi="Arial"/>
          <w:sz w:val="18"/>
          <w:szCs w:val="18"/>
          <w:u w:val="single" w:color="auto"/>
          <w:color w:val="auto"/>
        </w:rPr>
        <w:t>Subsection</w:t>
      </w:r>
      <w:r>
        <w:rPr>
          <w:rFonts w:ascii="Arial" w:cs="Arial" w:eastAsia="Arial" w:hAnsi="Arial"/>
          <w:sz w:val="18"/>
          <w:szCs w:val="18"/>
          <w:color w:val="auto"/>
        </w:rPr>
        <w:t xml:space="preserve"> 1.3 of the Purchase Agreement.</w:t>
      </w:r>
    </w:p>
    <w:p>
      <w:pPr>
        <w:spacing w:after="0" w:line="183" w:lineRule="exact"/>
        <w:rPr>
          <w:rFonts w:ascii="Arial" w:cs="Arial" w:eastAsia="Arial" w:hAnsi="Arial"/>
          <w:sz w:val="18"/>
          <w:szCs w:val="18"/>
          <w:color w:val="auto"/>
        </w:rPr>
      </w:pPr>
    </w:p>
    <w:p>
      <w:pPr>
        <w:ind w:right="20" w:firstLine="1428"/>
        <w:spacing w:after="0" w:line="257" w:lineRule="auto"/>
        <w:tabs>
          <w:tab w:leader="none" w:pos="167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Notwithstanding any provision hereof to the contrary, in lieu of complying with the provisions of this </w:t>
      </w:r>
      <w:r>
        <w:rPr>
          <w:rFonts w:ascii="Arial" w:cs="Arial" w:eastAsia="Arial" w:hAnsi="Arial"/>
          <w:sz w:val="18"/>
          <w:szCs w:val="18"/>
          <w:u w:val="single" w:color="auto"/>
          <w:color w:val="auto"/>
        </w:rPr>
        <w:t>Subsection 4.1</w:t>
      </w:r>
      <w:r>
        <w:rPr>
          <w:rFonts w:ascii="Arial" w:cs="Arial" w:eastAsia="Arial" w:hAnsi="Arial"/>
          <w:sz w:val="18"/>
          <w:szCs w:val="18"/>
          <w:color w:val="auto"/>
        </w:rPr>
        <w:t xml:space="preserve">, the Company may elect to give notice to the Major Investors within thirty (30) days after the issuance of New Securities. Such notice shall describe the type, price, and terms of the New Securities. Each Major Investor shall have twenty (20) days from the date notice is given to elect to purchase up to the number of New Securities that would, if purchased by such Major Investor, maintain such Major Investor’s percentage-ownership position, calculated as set forth in </w:t>
      </w:r>
      <w:r>
        <w:rPr>
          <w:rFonts w:ascii="Arial" w:cs="Arial" w:eastAsia="Arial" w:hAnsi="Arial"/>
          <w:sz w:val="18"/>
          <w:szCs w:val="18"/>
          <w:u w:val="single" w:color="auto"/>
          <w:color w:val="auto"/>
        </w:rPr>
        <w:t>Subsection 4.1(b)</w:t>
      </w:r>
      <w:r>
        <w:rPr>
          <w:rFonts w:ascii="Arial" w:cs="Arial" w:eastAsia="Arial" w:hAnsi="Arial"/>
          <w:sz w:val="18"/>
          <w:szCs w:val="18"/>
          <w:color w:val="auto"/>
        </w:rPr>
        <w:t xml:space="preserve"> before giving effect to the issuance of such New Securities.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330" w:name="page331"/>
    <w:bookmarkEnd w:id="330"/>
    <w:p>
      <w:pPr>
        <w:ind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4.2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The covenants set forth in </w:t>
      </w:r>
      <w:r>
        <w:rPr>
          <w:rFonts w:ascii="Arial" w:cs="Arial" w:eastAsia="Arial" w:hAnsi="Arial"/>
          <w:sz w:val="16"/>
          <w:szCs w:val="16"/>
          <w:u w:val="single" w:color="auto"/>
          <w:color w:val="auto"/>
        </w:rPr>
        <w:t>Subsection 4.1</w:t>
      </w:r>
      <w:r>
        <w:rPr>
          <w:rFonts w:ascii="Arial" w:cs="Arial" w:eastAsia="Arial" w:hAnsi="Arial"/>
          <w:sz w:val="16"/>
          <w:szCs w:val="16"/>
          <w:color w:val="auto"/>
        </w:rPr>
        <w:t xml:space="preserve"> shall terminate and be of no further force or effect (a) immediately before the consummation of the IPO, (b) when the Company first becomes subject to the periodic reporting requirements of Section 12(g) or 15(d) of the Exchange Act or (c) upon the closing of a Deemed Liquidation Event, as such term is defined in the Certificate of Incorporation, whichever event occurs first.</w:t>
      </w:r>
    </w:p>
    <w:p>
      <w:pPr>
        <w:spacing w:after="0" w:line="149" w:lineRule="exact"/>
        <w:rPr>
          <w:sz w:val="20"/>
          <w:szCs w:val="20"/>
          <w:color w:val="auto"/>
        </w:rPr>
      </w:pPr>
    </w:p>
    <w:p>
      <w:pPr>
        <w:ind w:left="620" w:hanging="184"/>
        <w:spacing w:after="0"/>
        <w:tabs>
          <w:tab w:leader="none" w:pos="62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shall obtain, within ninety (90) days of the date hereof, from financially sound and reputable insurers, Directors and Officers liability insurance in an amount and on terms and conditions satisfactory to the Board, and will use commercially reasonable efforts to cause such insurance policy to be maintained until such time as the Board determines that such insurance should be discontinued. The policy shall not be cancelable by the Company without prior approval by the Board.</w:t>
      </w:r>
    </w:p>
    <w:p>
      <w:pPr>
        <w:spacing w:after="0" w:line="187"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Employee Agreements</w:t>
      </w:r>
      <w:r>
        <w:rPr>
          <w:rFonts w:ascii="Arial" w:cs="Arial" w:eastAsia="Arial" w:hAnsi="Arial"/>
          <w:sz w:val="18"/>
          <w:szCs w:val="18"/>
          <w:color w:val="auto"/>
        </w:rPr>
        <w:t>. The Company will cause (i) each Person now or hereafter employed by it or by any subsidiary (or engaged by the Company or any subsidiary as a consultant or independent contractor) with access to confidential information and/or trade secrets to enter into a nondisclosure and proprietary rights assignment agreement and (ii) each Key Employee to enter into a one (1) year (or lesser duration as required by applicable law) noncompetition and nonsolicitation agreement, each in a form acceptable to the Board, including a majority of the Series A Directors. In addition, the Company shall not amend, modify, terminate, waive, or otherwise alter, in whole or in part, any of the above-referenced agreements or any restricted stock agreement between the Company and any employee, without the prior approval of the Board, including a majority of the Series A Directors.</w:t>
      </w:r>
    </w:p>
    <w:p>
      <w:pPr>
        <w:spacing w:after="0" w:line="195"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Employee Stock</w:t>
      </w:r>
      <w:r>
        <w:rPr>
          <w:rFonts w:ascii="Arial" w:cs="Arial" w:eastAsia="Arial" w:hAnsi="Arial"/>
          <w:sz w:val="16"/>
          <w:szCs w:val="16"/>
          <w:color w:val="auto"/>
        </w:rPr>
        <w:t xml:space="preserve">. Unless otherwise approved by the Board, including a majority of the Series A Directors, or the Compensation Committee of the Board, including the Mithril Designee (as defined in the Voting Agreement) or the Polaris Designee (as defined in the Voting Agreement),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subject to acceleration upon a change of control, and (ii) a market stand-off provision substantially similar to that in </w:t>
      </w:r>
      <w:r>
        <w:rPr>
          <w:rFonts w:ascii="Arial" w:cs="Arial" w:eastAsia="Arial" w:hAnsi="Arial"/>
          <w:sz w:val="16"/>
          <w:szCs w:val="16"/>
          <w:u w:val="single" w:color="auto"/>
          <w:color w:val="auto"/>
        </w:rPr>
        <w:t>Subsection 2.11</w:t>
      </w:r>
      <w:r>
        <w:rPr>
          <w:rFonts w:ascii="Arial" w:cs="Arial" w:eastAsia="Arial" w:hAnsi="Arial"/>
          <w:sz w:val="16"/>
          <w:szCs w:val="16"/>
          <w:color w:val="auto"/>
        </w:rPr>
        <w:t xml:space="preserve">. Without the prior approval by the Board, including a majority of the Series A Directors, or the Compensation Committee of the Board, including the Mithril Designee (as defined in the Voting Agreement) or the Polaris Designee (as defined in the Voting Agreement), the Company shall not amend, modify, terminate, waive or otherwise alter, in whole or in part, any stock purchase, stock restriction or option agreement with any existing employee or service provider if such amendment would cause it to be inconsistent with this </w:t>
      </w:r>
      <w:r>
        <w:rPr>
          <w:rFonts w:ascii="Arial" w:cs="Arial" w:eastAsia="Arial" w:hAnsi="Arial"/>
          <w:sz w:val="16"/>
          <w:szCs w:val="16"/>
          <w:u w:val="single" w:color="auto"/>
          <w:color w:val="auto"/>
        </w:rPr>
        <w:t>Subsection 5.3</w:t>
      </w:r>
      <w:r>
        <w:rPr>
          <w:rFonts w:ascii="Arial" w:cs="Arial" w:eastAsia="Arial" w:hAnsi="Arial"/>
          <w:sz w:val="16"/>
          <w:szCs w:val="16"/>
          <w:color w:val="auto"/>
        </w:rPr>
        <w:t>. In addition, unless otherwise approved by the Board, including a majority of the Series A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31" w:name="page332"/>
    <w:bookmarkEnd w:id="331"/>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the Compensation Committee of the Board, including the Mithril Designee (as defined in the Voting Agreement) or the Polaris Designee (as defined in the Voting Agreement), the Company shall retain (and not waive) a “right of first refusal” on employee transfers until the IPO and shall have the right to repurchase unvested shares at cost upon termination of employment of a holder of restricted stock.</w:t>
      </w:r>
    </w:p>
    <w:p>
      <w:pPr>
        <w:spacing w:after="0" w:line="165"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Matters Requiring Series A Director Approval</w:t>
      </w:r>
      <w:r>
        <w:rPr>
          <w:rFonts w:ascii="Arial" w:cs="Arial" w:eastAsia="Arial" w:hAnsi="Arial"/>
          <w:sz w:val="18"/>
          <w:szCs w:val="18"/>
          <w:color w:val="auto"/>
        </w:rPr>
        <w:t>. So long as the holders of Series A Preferred Stock are entitled, as a separate class, to elect a Series A Director, the Company hereby covenants and agrees with the Investors that it shall not, without approval of the Board, which approval must include the affirmative vote of a majority of the Series A Directors:</w:t>
      </w:r>
    </w:p>
    <w:p>
      <w:pPr>
        <w:spacing w:after="0" w:line="76" w:lineRule="exact"/>
        <w:rPr>
          <w:sz w:val="20"/>
          <w:szCs w:val="20"/>
          <w:color w:val="auto"/>
        </w:rPr>
      </w:pPr>
    </w:p>
    <w:p>
      <w:pPr>
        <w:ind w:left="1680" w:hanging="252"/>
        <w:spacing w:after="0"/>
        <w:tabs>
          <w:tab w:leader="none" w:pos="16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incur any indebtedness for borrowed money in excess of $500,000 in a single or series of related transactions; or</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increase the shares of Common Stock reserved for issuance under the Company’s 2020 Equity Incentive Plan or adopt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Board Matters</w:t>
      </w:r>
      <w:r>
        <w:rPr>
          <w:rFonts w:ascii="Arial" w:cs="Arial" w:eastAsia="Arial" w:hAnsi="Arial"/>
          <w:sz w:val="16"/>
          <w:szCs w:val="16"/>
          <w:color w:val="auto"/>
        </w:rPr>
        <w:t>. Unless otherwise determined by the vote of a majority of the directors then in office, the Board shall meet at least quarterly in accordance with an agreed-upon schedule. The Company shall reimburse the nonemployee directors for all reasonable out-of-pocket travel expenses incurred (consistent with the Company’s travel policy) in connection with attending meetings of the Board. The Company shall cause to be established, as soon as practicable after request of the Board and will maintain, an audit and compensation committee, each of which shall consist solely of non-management directors. Each non-employee director shall be entitled in such person’s discretion to be a member of any committee of the Board.</w:t>
      </w:r>
    </w:p>
    <w:p>
      <w:pPr>
        <w:spacing w:after="0" w:line="161"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Successor Indemnification</w:t>
      </w:r>
      <w:r>
        <w:rPr>
          <w:rFonts w:ascii="Arial" w:cs="Arial" w:eastAsia="Arial" w:hAnsi="Arial"/>
          <w:sz w:val="18"/>
          <w:szCs w:val="18"/>
          <w:color w:val="auto"/>
        </w:rPr>
        <w:t>.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Certificate of Incorporation, or elsewhere, as the case may be.</w:t>
      </w:r>
    </w:p>
    <w:p>
      <w:pPr>
        <w:spacing w:after="0" w:line="188"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Indemnification Matters</w:t>
      </w:r>
      <w:r>
        <w:rPr>
          <w:rFonts w:ascii="Arial" w:cs="Arial" w:eastAsia="Arial" w:hAnsi="Arial"/>
          <w:sz w:val="16"/>
          <w:szCs w:val="16"/>
          <w:color w:val="auto"/>
        </w:rPr>
        <w:t>. The Company hereby acknowledges that directors nominated to serve on the Board by the Investors (each an “</w:t>
      </w:r>
      <w:r>
        <w:rPr>
          <w:rFonts w:ascii="Arial" w:cs="Arial" w:eastAsia="Arial" w:hAnsi="Arial"/>
          <w:sz w:val="16"/>
          <w:szCs w:val="16"/>
          <w:b w:val="1"/>
          <w:bCs w:val="1"/>
          <w:color w:val="auto"/>
        </w:rPr>
        <w:t>Investor Director</w:t>
      </w:r>
      <w:r>
        <w:rPr>
          <w:rFonts w:ascii="Arial" w:cs="Arial" w:eastAsia="Arial" w:hAnsi="Arial"/>
          <w:sz w:val="16"/>
          <w:szCs w:val="16"/>
          <w:color w:val="auto"/>
        </w:rPr>
        <w:t>”) may have certain rights to indemnification, advancement of expenses and/or insurance provided by one or more of the Investors and certain of their Affiliates (collectively, the “</w:t>
      </w:r>
      <w:r>
        <w:rPr>
          <w:rFonts w:ascii="Arial" w:cs="Arial" w:eastAsia="Arial" w:hAnsi="Arial"/>
          <w:sz w:val="16"/>
          <w:szCs w:val="16"/>
          <w:b w:val="1"/>
          <w:bCs w:val="1"/>
          <w:color w:val="auto"/>
        </w:rPr>
        <w:t>Investor Indemnitors</w:t>
      </w:r>
      <w:r>
        <w:rPr>
          <w:rFonts w:ascii="Arial" w:cs="Arial" w:eastAsia="Arial" w:hAnsi="Arial"/>
          <w:sz w:val="16"/>
          <w:szCs w:val="16"/>
          <w:color w:val="auto"/>
        </w:rPr>
        <w:t>”). The Company hereby agrees (a) that it is the indemnitor of first resort (i.e., its obligations to any such Investor Director are primary and any obligation of the Investor Indemnitors to advance expenses or to provide indemnification for the same expenses or liabilities incurred by such Investor Director are secondary), (b) that it shall be required to advance the full amount of expenses incurred by such Investor Director and shall be liable for the full amount of all expenses, judgments, penalties, fines and amounts paid in settlement by or on behalf of any such Investor Director to the extent legally permitted and as required by the Certificate of Incorporation or Bylaws of the Company (or any agreement between the Company and such Investor Director), without regard to any rights such Investor Director may have against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40" w:top="274" w:right="499" w:bottom="1440" w:gutter="0" w:footer="0" w:header="0"/>
        </w:sectPr>
      </w:pPr>
    </w:p>
    <w:bookmarkStart w:id="332" w:name="page333"/>
    <w:bookmarkEnd w:id="332"/>
    <w:p>
      <w:pPr>
        <w:ind w:left="4" w:right="1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Investor Indemnitors, and, (c) that it irrevocably waives, relinquishes and releases the Investor Indemnitors from any and all claims against the Investor Indemnitors for contribution, subrogation or any other recovery of any kind in respect thereof. The Company further agrees that no advancement or payment by the Investor Indemnitors on behalf of any such Investor Director with respect to any claim for which such Investor Director has sought indemnification from the Company shall affect the foregoing and the Investor Indemnitors shall have a right of contribution and/or be subrogated to the extent of such advancement or payment to all of the rights of recovery of such Investor Director against the Company. The Investor Directors and the Investor Indemnitors are intended third-party beneficiaries of this </w:t>
      </w:r>
      <w:r>
        <w:rPr>
          <w:rFonts w:ascii="Arial" w:cs="Arial" w:eastAsia="Arial" w:hAnsi="Arial"/>
          <w:sz w:val="17"/>
          <w:szCs w:val="17"/>
          <w:u w:val="single" w:color="auto"/>
          <w:color w:val="auto"/>
        </w:rPr>
        <w:t>Subsection 5.7</w:t>
      </w:r>
      <w:r>
        <w:rPr>
          <w:rFonts w:ascii="Arial" w:cs="Arial" w:eastAsia="Arial" w:hAnsi="Arial"/>
          <w:sz w:val="17"/>
          <w:szCs w:val="17"/>
          <w:color w:val="auto"/>
        </w:rPr>
        <w:t xml:space="preserve"> and shall have the right, power and authority to enforce the provisions of this </w:t>
      </w:r>
      <w:r>
        <w:rPr>
          <w:rFonts w:ascii="Arial" w:cs="Arial" w:eastAsia="Arial" w:hAnsi="Arial"/>
          <w:sz w:val="17"/>
          <w:szCs w:val="17"/>
          <w:u w:val="single" w:color="auto"/>
          <w:color w:val="auto"/>
        </w:rPr>
        <w:t>Subsection 5.7</w:t>
      </w:r>
      <w:r>
        <w:rPr>
          <w:rFonts w:ascii="Arial" w:cs="Arial" w:eastAsia="Arial" w:hAnsi="Arial"/>
          <w:sz w:val="17"/>
          <w:szCs w:val="17"/>
          <w:color w:val="auto"/>
        </w:rPr>
        <w:t xml:space="preserve"> as though they were a party to this Agreement.</w:t>
      </w:r>
    </w:p>
    <w:p>
      <w:pPr>
        <w:spacing w:after="0" w:line="177" w:lineRule="exact"/>
        <w:rPr>
          <w:sz w:val="20"/>
          <w:szCs w:val="20"/>
          <w:color w:val="auto"/>
        </w:rPr>
      </w:pPr>
    </w:p>
    <w:p>
      <w:pPr>
        <w:ind w:left="4" w:right="40" w:firstLine="991"/>
        <w:spacing w:after="0" w:line="28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Right to Conduct Activities</w:t>
      </w:r>
      <w:r>
        <w:rPr>
          <w:rFonts w:ascii="Arial" w:cs="Arial" w:eastAsia="Arial" w:hAnsi="Arial"/>
          <w:sz w:val="16"/>
          <w:szCs w:val="16"/>
          <w:color w:val="auto"/>
        </w:rPr>
        <w:t xml:space="preserve">. The Company hereby agrees and acknowledges that certain of the Investors (including without limitation, each Fidelity Investor, RA Capital, BCIP Life Sciences Associates, LP, Bain Capital Life Sciences Fund II, L.P., Redmile Biopharma Investments III, L.P., RAF, L.P., Polaris Venture Partners Entrepreneurs’ Fund V, L.P., Polaris Venture Partners Founders’ Fund V, L.P., Polaris Venture Partners Special Founders’ Fund V, L.P., Polaris Venture Partners V, L.P., Polaris Partners IX, L.P., Polaris Healthcare Technology Opportunities Fund, L.P., Mithril II LP and their Affiliates) are a professional investment organization and that such Investors (together with their Affiliates) review the business plans and related proprietary information of many enterprises, some of which may compete directly or indirectly with the Company’s business (as currently conducted or as currently propose to be conducted). The Company hereby agrees that, to the extent permitted under applicable law, such Investors (and their Affiliates) shall not be liable to the Company for any claim arising out of, or based upon, (i) the investment by such Investors (or their Affiliates) in any entity competitive with the Company, or (ii) actions taken by any partner, officer, employee or other representative of such Investors (or their Affiliates) to assist any such competitive company, whether or not such action was taken as a member of the board of directors of such competitive company or otherwise, and whether or not such action has a detrimental effect on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shall not relieve</w:t>
      </w:r>
    </w:p>
    <w:p>
      <w:pPr>
        <w:spacing w:after="0" w:line="4" w:lineRule="exact"/>
        <w:rPr>
          <w:sz w:val="20"/>
          <w:szCs w:val="20"/>
          <w:color w:val="auto"/>
        </w:rPr>
      </w:pPr>
    </w:p>
    <w:p>
      <w:pPr>
        <w:ind w:left="4" w:right="240" w:hanging="4"/>
        <w:spacing w:after="0" w:line="290" w:lineRule="auto"/>
        <w:tabs>
          <w:tab w:leader="none" w:pos="259" w:val="left"/>
        </w:tabs>
        <w:numPr>
          <w:ilvl w:val="0"/>
          <w:numId w:val="236"/>
        </w:numPr>
        <w:rPr>
          <w:rFonts w:ascii="Arial" w:cs="Arial" w:eastAsia="Arial" w:hAnsi="Arial"/>
          <w:sz w:val="17"/>
          <w:szCs w:val="17"/>
          <w:color w:val="auto"/>
        </w:rPr>
      </w:pPr>
      <w:r>
        <w:rPr>
          <w:rFonts w:ascii="Arial" w:cs="Arial" w:eastAsia="Arial" w:hAnsi="Arial"/>
          <w:sz w:val="17"/>
          <w:szCs w:val="17"/>
          <w:color w:val="auto"/>
        </w:rPr>
        <w:t>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61"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Disclosure of Side Letters</w:t>
      </w:r>
      <w:r>
        <w:rPr>
          <w:rFonts w:ascii="Arial" w:cs="Arial" w:eastAsia="Arial" w:hAnsi="Arial"/>
          <w:sz w:val="18"/>
          <w:szCs w:val="18"/>
          <w:color w:val="auto"/>
        </w:rPr>
        <w:t>. If subsequent to the date hereof, the Company enters into any side letter or similar agreement with any other Investor, such letter or similar agreement shall be disclosed to RA Capital.</w:t>
      </w:r>
    </w:p>
    <w:p>
      <w:pPr>
        <w:spacing w:after="0" w:line="170" w:lineRule="exact"/>
        <w:rPr>
          <w:sz w:val="20"/>
          <w:szCs w:val="20"/>
          <w:color w:val="auto"/>
        </w:rPr>
      </w:pPr>
    </w:p>
    <w:p>
      <w:pPr>
        <w:ind w:left="4" w:right="20" w:firstLine="991"/>
        <w:spacing w:after="0" w:line="259"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Termination of Covenants</w:t>
      </w:r>
      <w:r>
        <w:rPr>
          <w:rFonts w:ascii="Arial" w:cs="Arial" w:eastAsia="Arial" w:hAnsi="Arial"/>
          <w:sz w:val="18"/>
          <w:szCs w:val="18"/>
          <w:color w:val="auto"/>
        </w:rPr>
        <w:t xml:space="preserve">. The covenants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except for </w:t>
      </w:r>
      <w:r>
        <w:rPr>
          <w:rFonts w:ascii="Arial" w:cs="Arial" w:eastAsia="Arial" w:hAnsi="Arial"/>
          <w:sz w:val="18"/>
          <w:szCs w:val="18"/>
          <w:u w:val="single" w:color="auto"/>
          <w:color w:val="auto"/>
        </w:rPr>
        <w:t>Subsection 5.6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Subsection 5.7</w:t>
      </w:r>
      <w:r>
        <w:rPr>
          <w:rFonts w:ascii="Arial" w:cs="Arial" w:eastAsia="Arial" w:hAnsi="Arial"/>
          <w:sz w:val="18"/>
          <w:szCs w:val="18"/>
          <w:color w:val="auto"/>
        </w:rPr>
        <w:t>, shall terminate and be of no further force or effect (i) immediately before the consummation of the IPO, (ii) when the Company first becomes subject to the periodic reporting requirements of Section 12(g) or 15(d) of the Exchange Act, or (iii) immediately prior to a Deemed Liquidation Event, as such term is defined in the Certificate of Incorporation, whichever event occurs first.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333" w:name="page334"/>
    <w:bookmarkEnd w:id="333"/>
    <w:p>
      <w:pPr>
        <w:jc w:val="both"/>
        <w:ind w:right="4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5.11 </w:t>
      </w:r>
      <w:r>
        <w:rPr>
          <w:rFonts w:ascii="Arial" w:cs="Arial" w:eastAsia="Arial" w:hAnsi="Arial"/>
          <w:sz w:val="16"/>
          <w:szCs w:val="16"/>
          <w:u w:val="single" w:color="auto"/>
          <w:color w:val="auto"/>
        </w:rPr>
        <w:t>Anti-Harassment Policy</w:t>
      </w:r>
      <w:r>
        <w:rPr>
          <w:rFonts w:ascii="Arial" w:cs="Arial" w:eastAsia="Arial" w:hAnsi="Arial"/>
          <w:sz w:val="16"/>
          <w:szCs w:val="16"/>
          <w:color w:val="auto"/>
        </w:rPr>
        <w:t>. The Company shall, within ninety (90) days following the Closing (as defined in the Purchase Agreement), adopt and thereafter maintain in effect (i) a Code of Conduct governing appropriate workplace behavior and (ii) an Anti-Harassment and Discrimination Policy prohibiting discrimination and harassment at the Company. Such policy shall be reviewed and approved by the Board of Directors.</w:t>
      </w:r>
    </w:p>
    <w:p>
      <w:pPr>
        <w:spacing w:after="0" w:line="149"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FCPA</w:t>
      </w:r>
      <w:r>
        <w:rPr>
          <w:rFonts w:ascii="Arial" w:cs="Arial" w:eastAsia="Arial" w:hAnsi="Arial"/>
          <w:sz w:val="17"/>
          <w:szCs w:val="17"/>
          <w:color w:val="auto"/>
        </w:rPr>
        <w:t>. The Company covenants that it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Official (as such term is defined in the U.S. Foreign Corrupt Practices Act of 1977, as amended (the “</w:t>
      </w:r>
      <w:r>
        <w:rPr>
          <w:rFonts w:ascii="Arial" w:cs="Arial" w:eastAsia="Arial" w:hAnsi="Arial"/>
          <w:sz w:val="17"/>
          <w:szCs w:val="17"/>
          <w:b w:val="1"/>
          <w:bCs w:val="1"/>
          <w:color w:val="auto"/>
        </w:rPr>
        <w:t>FCPA</w:t>
      </w:r>
      <w:r>
        <w:rPr>
          <w:rFonts w:ascii="Arial" w:cs="Arial" w:eastAsia="Arial" w:hAnsi="Arial"/>
          <w:sz w:val="17"/>
          <w:szCs w:val="17"/>
          <w:color w:val="auto"/>
        </w:rPr>
        <w:t>”)), in each case, in violation of the FCPA, the U.K. Bribery Act, or any other applicable anti-bribery or anti-corruption law. The Company further covenants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covenants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Upon request, the Company agrees to provide responsive information and/or certifications concerning its compliance with applicable anti-corruption laws. The Company shall promptly notify each Investor if the Company becomes aware of any Enforcement Action (as defined in the Purchase Agreement). The Company shall, and shall cause any direct or indirect subsidiary or entity controlled by it, whether now in existence or formed in the future, to comply with the FCPA. The Company shall use its best efforts to cause any direct or indirect subsidiary, whether now in existence or formed in the future, to comply in all material respects with all applicable laws.</w:t>
      </w:r>
    </w:p>
    <w:p>
      <w:pPr>
        <w:spacing w:after="0" w:line="182" w:lineRule="exact"/>
        <w:rPr>
          <w:sz w:val="20"/>
          <w:szCs w:val="20"/>
          <w:color w:val="auto"/>
        </w:rPr>
      </w:pPr>
    </w:p>
    <w:p>
      <w:pPr>
        <w:ind w:right="80" w:firstLine="991"/>
        <w:spacing w:after="0" w:line="270"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Cybersecurity</w:t>
      </w:r>
      <w:r>
        <w:rPr>
          <w:rFonts w:ascii="Arial" w:cs="Arial" w:eastAsia="Arial" w:hAnsi="Arial"/>
          <w:sz w:val="17"/>
          <w:szCs w:val="17"/>
          <w:color w:val="auto"/>
        </w:rPr>
        <w:t>. The Company shall, within one hundred eighty (180) days following the Closing (as defined in the Purchase Agreement), use commercially reasonable efforts to (a) identify and restrict access (including through physical and/or technical controls) to the Company’s confidential business information and trade secrets and any information about identified or identifiable natural persons maintained by or on behalf of the Company (collectively, “</w:t>
      </w:r>
      <w:r>
        <w:rPr>
          <w:rFonts w:ascii="Arial" w:cs="Arial" w:eastAsia="Arial" w:hAnsi="Arial"/>
          <w:sz w:val="17"/>
          <w:szCs w:val="17"/>
          <w:b w:val="1"/>
          <w:bCs w:val="1"/>
          <w:color w:val="auto"/>
        </w:rPr>
        <w:t>Protected Data</w:t>
      </w:r>
      <w:r>
        <w:rPr>
          <w:rFonts w:ascii="Arial" w:cs="Arial" w:eastAsia="Arial" w:hAnsi="Arial"/>
          <w:sz w:val="17"/>
          <w:szCs w:val="17"/>
          <w:color w:val="auto"/>
        </w:rPr>
        <w:t>”) to those individuals who have a need to access it and (b) implement reasonable physical, technical and administrative safeguards designed to protect the confidentiality, integrity and availability of its technology and systems (including servers, laptops, desktops, cloud, containers, virtual environments and data centers) and all Protected Data. The Company shall evaluate on a periodic basis at least annually whether such safeguards should be updated to maintain a level of security appropriate to the risk posed to Company systems and Protected Data. The Company shall educate its employees about the proper use and storage of Protected Data, including periodic training as determined reasonably necessary by the Company or the Board of Directors.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4" w:name="page335"/>
    <w:bookmarkEnd w:id="334"/>
    <w:p>
      <w:pPr>
        <w:ind w:left="620" w:hanging="184"/>
        <w:spacing w:after="0"/>
        <w:tabs>
          <w:tab w:leader="none" w:pos="62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Arial" w:cs="Arial" w:eastAsia="Arial" w:hAnsi="Arial"/>
          <w:sz w:val="18"/>
          <w:szCs w:val="18"/>
          <w:color w:val="auto"/>
        </w:rPr>
        <w:t>.</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The rights under this Agreement may be assigned (but only with all related obligations) by a Holder to a transferee of Registrable Securities that (i) is an Affiliate of a Holder; (ii) is a Holder’s Immediate Family Member or trust for the benefit of an individual Holder or one or more of such Holder’s Immediate Family Members; or (iii) after such transfer, holds at least 175,000 shares of Registrable Securities (subject to appropriate adjustment for stock splits, stock dividends, combinations, and other recapitalizations);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(x) the Company is, within a reasonable time after such transfer, furnished with written notice of the name and address of such transferee and the Registrable Securities with respect to which such rights are being transferred; (y) such transferee is not a competitor of the Company (provided that the Fidelity Investors shall not be deemed or determined to be competitors of the Company); and (z) such transferee agrees in a written instrument delivered to the Company to be bound by and subject to the terms and conditions of this Agreement, including the provisions of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all transferees who would not qualify individually for assignment of rights shall, as a condition to the applicable transfer, establish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180"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controversy arising out of or relating to this Agreement shall be governed by and construed in accordance with the internal laws of the Commonwealth of Massachusetts, without regard to conflict of law principles that would result in the application of any law other than the law of the Commonwealth of Massachusetts.</w:t>
      </w:r>
    </w:p>
    <w:p>
      <w:pPr>
        <w:spacing w:after="0" w:line="184"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7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for convenience only and are not to be considered in construing or interpreting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80" w:firstLine="1428"/>
        <w:spacing w:after="0" w:line="255" w:lineRule="auto"/>
        <w:tabs>
          <w:tab w:leader="none" w:pos="167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All notices and other communications given or made pursuant to this Agreement shall be in writing and shall be deemed effectively given upon the earlier of actual receipt or: (i) personal delivery to the party to be notified; (ii) when sent, if sent by electronic mail during the recipient’s normal business hours, and if not sent during normal business hours, then on the recipient’s next business day; (iii) five (5) days after having been sent by registered or certified mail, return receipt requested, postage prepaid; or (iv) one (1) business day after the business day of deposit with a nationally recognized overnight courier, freight prepaid, specifying next-day delivery, with written verification of receipt. All communications shall be sent to the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335" w:name="page336"/>
    <w:bookmarkEnd w:id="335"/>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respective parties at their addresses as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or as on the books of the Company, or to the principal office of the Company and to the attention of the Chief Executive Officer, in the case of the Company, or to such electronic mail address or address as subsequently modified by written notice given in accordance with this </w:t>
      </w:r>
      <w:r>
        <w:rPr>
          <w:rFonts w:ascii="Arial" w:cs="Arial" w:eastAsia="Arial" w:hAnsi="Arial"/>
          <w:sz w:val="17"/>
          <w:szCs w:val="17"/>
          <w:u w:val="single" w:color="auto"/>
          <w:color w:val="auto"/>
        </w:rPr>
        <w:t>Subsection 6.5</w:t>
      </w:r>
      <w:r>
        <w:rPr>
          <w:rFonts w:ascii="Arial" w:cs="Arial" w:eastAsia="Arial" w:hAnsi="Arial"/>
          <w:sz w:val="17"/>
          <w:szCs w:val="17"/>
          <w:color w:val="auto"/>
        </w:rPr>
        <w:t>. If notice is given to the Company, it shall be sent to 303 Wyman Street, Unit 303, Waltham, Massachusetts 02451, Attention: Tillman U. Gerngross; Email: tillman.gerngross@adimab.com and a copy (which shall not constitute notice) shall also be sent to Cooley LLP, 500 Boylston Street, 14th Floor, Boston, MA 02116-3736, Attention: Ryan S Sansom, Email: rsansom@cooley.com and if notice is given to the Purchasers, a copy (which shall not constitute notice) shall also be given to Wilmer Cutler Pickering Hale and Dorr LLP, 60 State Street, Boston, MA 02109, Attention: Jason L. Kropp, Email: jason.kropp@wilmerhale.com.</w:t>
      </w:r>
    </w:p>
    <w:p>
      <w:pPr>
        <w:spacing w:after="0" w:line="177" w:lineRule="exact"/>
        <w:rPr>
          <w:sz w:val="20"/>
          <w:szCs w:val="20"/>
          <w:color w:val="auto"/>
        </w:rPr>
      </w:pPr>
    </w:p>
    <w:p>
      <w:pPr>
        <w:ind w:right="180" w:firstLine="1428"/>
        <w:spacing w:after="0" w:line="275" w:lineRule="auto"/>
        <w:tabs>
          <w:tab w:leader="none" w:pos="1687" w:val="left"/>
        </w:tabs>
        <w:numPr>
          <w:ilvl w:val="0"/>
          <w:numId w:val="239"/>
        </w:numPr>
        <w:rPr>
          <w:rFonts w:ascii="Arial" w:cs="Arial" w:eastAsia="Arial" w:hAnsi="Arial"/>
          <w:sz w:val="17"/>
          <w:szCs w:val="17"/>
          <w:color w:val="auto"/>
        </w:rPr>
      </w:pPr>
      <w:r>
        <w:rPr>
          <w:rFonts w:ascii="Arial" w:cs="Arial" w:eastAsia="Arial" w:hAnsi="Arial"/>
          <w:sz w:val="17"/>
          <w:szCs w:val="17"/>
          <w:u w:val="single" w:color="auto"/>
          <w:color w:val="auto"/>
        </w:rPr>
        <w:t>Consent to Electronic Notice</w:t>
      </w:r>
      <w:r>
        <w:rPr>
          <w:rFonts w:ascii="Arial" w:cs="Arial" w:eastAsia="Arial" w:hAnsi="Arial"/>
          <w:sz w:val="17"/>
          <w:szCs w:val="17"/>
          <w:color w:val="auto"/>
        </w:rPr>
        <w:t>. Each Investor consents to the delivery of any stockholder notice pursuant to the General Corporation Law of the State of Delaware (the “</w:t>
      </w:r>
      <w:r>
        <w:rPr>
          <w:rFonts w:ascii="Arial" w:cs="Arial" w:eastAsia="Arial" w:hAnsi="Arial"/>
          <w:sz w:val="17"/>
          <w:szCs w:val="17"/>
          <w:b w:val="1"/>
          <w:bCs w:val="1"/>
          <w:color w:val="auto"/>
        </w:rPr>
        <w:t>DGCL</w:t>
      </w:r>
      <w:r>
        <w:rPr>
          <w:rFonts w:ascii="Arial" w:cs="Arial" w:eastAsia="Arial" w:hAnsi="Arial"/>
          <w:sz w:val="17"/>
          <w:szCs w:val="17"/>
          <w:color w:val="auto"/>
        </w:rPr>
        <w:t xml:space="preserve">”), as amended or superseded from time to time, by electronic transmission pursuant to Section 232 of the DGCL (or any successor thereto) at the electronic mail address set forth below such Investor’s name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as updated from time to time by notice to the Company, or as on the books of the Company. Each Investor agrees to promptly notify the Company of any change in such stockholder’s electronic mail address, and that failure to do so shall not affect the foregoing.</w:t>
      </w:r>
    </w:p>
    <w:p>
      <w:pPr>
        <w:spacing w:after="0" w:line="176" w:lineRule="exact"/>
        <w:rPr>
          <w:sz w:val="20"/>
          <w:szCs w:val="20"/>
          <w:color w:val="auto"/>
        </w:rPr>
      </w:pPr>
    </w:p>
    <w:p>
      <w:pPr>
        <w:ind w:firstLine="991"/>
        <w:spacing w:after="0" w:line="283"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Any term of this Agreement may be amended, modified or terminated and the observance of any term of this Agreement may be waived (either generally or in a particular instance, and either retroactively or prospectively) only with the written consent of the Company and the holders of a majority of the Registrable Securities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in its sole discretion waive compliance with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(and the Company’s failure to object promptly in writing after notification of a proposed assignment allegedly in violation of </w:t>
      </w:r>
      <w:r>
        <w:rPr>
          <w:rFonts w:ascii="Arial" w:cs="Arial" w:eastAsia="Arial" w:hAnsi="Arial"/>
          <w:sz w:val="16"/>
          <w:szCs w:val="16"/>
          <w:u w:val="single" w:color="auto"/>
          <w:color w:val="auto"/>
        </w:rPr>
        <w:t>Subsection 2.12(c)</w:t>
      </w:r>
      <w:r>
        <w:rPr>
          <w:rFonts w:ascii="Arial" w:cs="Arial" w:eastAsia="Arial" w:hAnsi="Arial"/>
          <w:sz w:val="16"/>
          <w:szCs w:val="16"/>
          <w:color w:val="auto"/>
        </w:rPr>
        <w:t xml:space="preserve"> shall be deemed to be a waiver);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provision hereof may be waived by any waiving party on such party’s own behalf, without the consent of any other party. Notwithstanding the foregoing, (a) this Agreement may not be amended, modified or terminated and the observance of any term hereof may not be waived with respect to any Investor without the written consent of such Investor, unless such amendment, modification, termination, or waiver applies to all Investors in the same fashion (it being agreed that a waiver of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with respect to a particular transaction shall be deemed to apply to all Investors in the same fashion if such waiver does so by its terms, notwithstanding the fact that certain Investors may nonetheless, by agreement with the Company, purchase securities in such transaction), (b) </w:t>
      </w:r>
      <w:r>
        <w:rPr>
          <w:rFonts w:ascii="Arial" w:cs="Arial" w:eastAsia="Arial" w:hAnsi="Arial"/>
          <w:sz w:val="16"/>
          <w:szCs w:val="16"/>
          <w:u w:val="single" w:color="auto"/>
          <w:color w:val="auto"/>
        </w:rPr>
        <w:t>Subsection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any other section of this Agreement applicable to the Major Investors (including this clause (b) of this </w:t>
      </w:r>
      <w:r>
        <w:rPr>
          <w:rFonts w:ascii="Arial" w:cs="Arial" w:eastAsia="Arial" w:hAnsi="Arial"/>
          <w:sz w:val="16"/>
          <w:szCs w:val="16"/>
          <w:u w:val="single" w:color="auto"/>
          <w:color w:val="auto"/>
        </w:rPr>
        <w:t>Subsection</w:t>
      </w:r>
    </w:p>
    <w:p>
      <w:pPr>
        <w:spacing w:after="0" w:line="4" w:lineRule="exact"/>
        <w:rPr>
          <w:sz w:val="20"/>
          <w:szCs w:val="20"/>
          <w:color w:val="auto"/>
        </w:rPr>
      </w:pPr>
    </w:p>
    <w:p>
      <w:pPr>
        <w:spacing w:after="0" w:line="270" w:lineRule="auto"/>
        <w:rPr>
          <w:sz w:val="20"/>
          <w:szCs w:val="20"/>
          <w:color w:val="auto"/>
        </w:rPr>
      </w:pPr>
      <w:r>
        <w:rPr>
          <w:rFonts w:ascii="Arial" w:cs="Arial" w:eastAsia="Arial" w:hAnsi="Arial"/>
          <w:sz w:val="17"/>
          <w:szCs w:val="17"/>
          <w:u w:val="single" w:color="auto"/>
          <w:color w:val="auto"/>
        </w:rPr>
        <w:t>6.6</w:t>
      </w:r>
      <w:r>
        <w:rPr>
          <w:rFonts w:ascii="Arial" w:cs="Arial" w:eastAsia="Arial" w:hAnsi="Arial"/>
          <w:sz w:val="17"/>
          <w:szCs w:val="17"/>
          <w:color w:val="auto"/>
        </w:rPr>
        <w:t>) may not be amended, modified, terminated or waived without the written consent of the holders of a majority of the Registrable Securities then outstanding and held by the Major Investors, (c) any amendment, waiver or termination of any provision of this Agreement that references the Fidelity Investors and adversely affects the Fidelity Investors will not be effective as it relates to the Fidelity Investors without the prior written consent of the Fidelity Investors holding a majority of the Registrable Securities held by the Fidelity Investors (the “</w:t>
      </w:r>
      <w:r>
        <w:rPr>
          <w:rFonts w:ascii="Arial" w:cs="Arial" w:eastAsia="Arial" w:hAnsi="Arial"/>
          <w:sz w:val="17"/>
          <w:szCs w:val="17"/>
          <w:b w:val="1"/>
          <w:bCs w:val="1"/>
          <w:color w:val="auto"/>
        </w:rPr>
        <w:t>Requisite Fidelity Consent</w:t>
      </w:r>
      <w:r>
        <w:rPr>
          <w:rFonts w:ascii="Arial" w:cs="Arial" w:eastAsia="Arial" w:hAnsi="Arial"/>
          <w:sz w:val="17"/>
          <w:szCs w:val="17"/>
          <w:color w:val="auto"/>
        </w:rPr>
        <w:t xml:space="preserve">”), (d) if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are waived with respect to a particular offering of New Securities by Major Investors constituting the required parties to effect such a waiver (each, a “</w:t>
      </w:r>
      <w:r>
        <w:rPr>
          <w:rFonts w:ascii="Arial" w:cs="Arial" w:eastAsia="Arial" w:hAnsi="Arial"/>
          <w:sz w:val="17"/>
          <w:szCs w:val="17"/>
          <w:b w:val="1"/>
          <w:bCs w:val="1"/>
          <w:color w:val="auto"/>
        </w:rPr>
        <w:t>Waiving Major Investor</w:t>
      </w:r>
      <w:r>
        <w:rPr>
          <w:rFonts w:ascii="Arial" w:cs="Arial" w:eastAsia="Arial" w:hAnsi="Arial"/>
          <w:sz w:val="17"/>
          <w:szCs w:val="17"/>
          <w:color w:val="auto"/>
        </w:rPr>
        <w:t>”) and without the Requisite Fidelity Consent, and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6" w:name="page337"/>
    <w:bookmarkEnd w:id="336"/>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Waiving Major Investor then purchases New Securities in such offering, then the Company shall, after such offering, provide each Fidelity Investor with the right to elect to purchase up to the number of New Securities that are allocated for purchase by the Major Investors equal to each such Fidelity Investor’s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(e) if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waived with respect to a particular offering of New Securities by the Waiving Major Investors and without the prior written consent of BCIP Life Sciences Associates, LP and Bain Capital Life Sciences Fund II, L.P., and any such Waiving Major Investor then purchases New Securities in such offering, then the Company shall, after such offering, provide BCIP Life Sciences Associates, LP and Bain Capital Life Sciences Fund II, L.P. with the right to elect to purchase up to the number of New Securities that are allocated for purchase by the Major Investors equal to each of BCIP Life Sciences Associates, LP and Bain Capital Life Sciences Fund II, L.P’s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and (f) if the provisions of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are waived with respect to a particular offering of New Securities by the Waiving Major Investors and without the prior written consent of Redmile Biopharma Investments III, L.P. and RAF, L.P., and any such Waiving Major Investor then purchases New Securities in such offering, then the Company shall, after such offering, provide Redmile Biopharma Investments III, L.P. and RAF, L.P. with the right to elect to purchase up to the number of New Securities that are allocated for purchase by the Major Investors equal to each of Redmile Biopharma Investments III, L.P. and RAF, L.P’s percentage-ownership position, calculated as set forth in </w:t>
      </w:r>
      <w:r>
        <w:rPr>
          <w:rFonts w:ascii="Arial" w:cs="Arial" w:eastAsia="Arial" w:hAnsi="Arial"/>
          <w:sz w:val="16"/>
          <w:szCs w:val="16"/>
          <w:u w:val="single" w:color="auto"/>
          <w:color w:val="auto"/>
        </w:rPr>
        <w:t>Subsection 4.1(b)</w:t>
      </w:r>
      <w:r>
        <w:rPr>
          <w:rFonts w:ascii="Arial" w:cs="Arial" w:eastAsia="Arial" w:hAnsi="Arial"/>
          <w:sz w:val="16"/>
          <w:szCs w:val="16"/>
          <w:color w:val="auto"/>
        </w:rPr>
        <w:t xml:space="preserve"> before giving effect to the issuance of such New Securities multiplied by the total number of New Securities that are allocated for purchase by the Major Investors. Notwithstanding the foregoing,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be amended by the Company from time to time to add transferees of any Registrable Securities in compliance with the terms of this Agreement without the consent of the other parties; and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Arial" w:cs="Arial" w:eastAsia="Arial" w:hAnsi="Arial"/>
          <w:sz w:val="16"/>
          <w:szCs w:val="16"/>
          <w:u w:val="single" w:color="auto"/>
          <w:color w:val="auto"/>
        </w:rPr>
        <w:t>Subsection 6.9</w:t>
      </w:r>
      <w:r>
        <w:rPr>
          <w:rFonts w:ascii="Arial" w:cs="Arial" w:eastAsia="Arial" w:hAnsi="Arial"/>
          <w:sz w:val="16"/>
          <w:szCs w:val="16"/>
          <w:color w:val="auto"/>
        </w:rPr>
        <w:t xml:space="preserve">. Any amendment, modification, termination, or waiver effected in accordance with this </w:t>
      </w:r>
      <w:r>
        <w:rPr>
          <w:rFonts w:ascii="Arial" w:cs="Arial" w:eastAsia="Arial" w:hAnsi="Arial"/>
          <w:sz w:val="16"/>
          <w:szCs w:val="16"/>
          <w:u w:val="single" w:color="auto"/>
          <w:color w:val="auto"/>
        </w:rPr>
        <w:t>Subsection 6.6</w:t>
      </w:r>
      <w:r>
        <w:rPr>
          <w:rFonts w:ascii="Arial" w:cs="Arial" w:eastAsia="Arial" w:hAnsi="Arial"/>
          <w:sz w:val="16"/>
          <w:szCs w:val="16"/>
          <w:color w:val="auto"/>
        </w:rPr>
        <w:t xml:space="preserve"> shall be binding on all parties hereto, regardless of whether any such party has consented thereto. No waivers of or exceptions to any term, condition, or provision of this Agreement, in any one or more instances, shall be deemed to be or construed as a further or continuing waiver of any such term, condition, or provision.</w:t>
      </w:r>
    </w:p>
    <w:p>
      <w:pPr>
        <w:spacing w:after="0" w:line="178" w:lineRule="exact"/>
        <w:rPr>
          <w:sz w:val="20"/>
          <w:szCs w:val="20"/>
          <w:color w:val="auto"/>
        </w:rPr>
      </w:pPr>
    </w:p>
    <w:p>
      <w:pPr>
        <w:ind w:right="220" w:firstLine="991"/>
        <w:spacing w:after="0" w:line="259"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Agreement is for any reason held to be invalid, illegal or unenforceable in any respect, such invalidity, illegality, or unenforceability shall not affect any other provision of this Agreement, and such invalid, illegal, or unenforceable provision shall be reformed and construed so that it will be valid, legal, and enforceable to the maximum extent permitted by law.</w:t>
      </w:r>
    </w:p>
    <w:p>
      <w:pPr>
        <w:spacing w:after="0" w:line="18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shares of Registrable Securities held or acquired by Affiliates shall be aggregated together for the purpose of determining the availability of any rights under this Agreement and such Affiliated persons may apportion such rights as among themselves in any manner they deem appropriate.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37" w:name="page338"/>
    <w:bookmarkEnd w:id="337"/>
    <w:p>
      <w:pPr>
        <w:ind w:right="120"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6.9 </w:t>
      </w:r>
      <w:r>
        <w:rPr>
          <w:rFonts w:ascii="Arial" w:cs="Arial" w:eastAsia="Arial" w:hAnsi="Arial"/>
          <w:sz w:val="16"/>
          <w:szCs w:val="16"/>
          <w:u w:val="single" w:color="auto"/>
          <w:color w:val="auto"/>
        </w:rPr>
        <w:t>Additional Investors</w:t>
      </w:r>
      <w:r>
        <w:rPr>
          <w:rFonts w:ascii="Arial" w:cs="Arial" w:eastAsia="Arial" w:hAnsi="Arial"/>
          <w:sz w:val="16"/>
          <w:szCs w:val="16"/>
          <w:color w:val="auto"/>
        </w:rPr>
        <w:t>. Notwithstanding anything to the contrary contained herein, if the Company issues additional shares of Preferred Stock after the date hereof, whether pursuant to the Purchase Agreement or otherwise, any purchaser of such shares of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61"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any Schedules and Exhibits hereto) 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71"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6.11 </w:t>
      </w:r>
      <w:r>
        <w:rPr>
          <w:rFonts w:ascii="Arial" w:cs="Arial" w:eastAsia="Arial" w:hAnsi="Arial"/>
          <w:sz w:val="17"/>
          <w:szCs w:val="17"/>
          <w:u w:val="single" w:color="auto"/>
          <w:color w:val="auto"/>
        </w:rPr>
        <w:t>Dispute Resolution</w:t>
      </w:r>
      <w:r>
        <w:rPr>
          <w:rFonts w:ascii="Arial" w:cs="Arial" w:eastAsia="Arial" w:hAnsi="Arial"/>
          <w:sz w:val="17"/>
          <w:szCs w:val="17"/>
          <w:color w:val="auto"/>
        </w:rPr>
        <w:t>. The parties (a) hereby irrevocably and unconditionally submit to the jurisdiction of the state courts of the Commonwealth of Massachusetts and to the jurisdiction of the United States District Court for the District of Massachusetts for the purpose of any suit, action or other proceeding arising out of or based upon this Agreement, (b) agree not to commence any suit, action or other proceeding arising out of or based upon this Agreement except in the state courts of the Commonwealth of Massachusetts or the United States District Court for the District of Massachusetts,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78"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338" w:name="page339"/>
    <w:bookmarkEnd w:id="338"/>
    <w:p>
      <w:pPr>
        <w:ind w:firstLine="991"/>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6.12 </w:t>
      </w:r>
      <w:r>
        <w:rPr>
          <w:rFonts w:ascii="Arial" w:cs="Arial" w:eastAsia="Arial" w:hAnsi="Arial"/>
          <w:sz w:val="16"/>
          <w:szCs w:val="16"/>
          <w:u w:val="single" w:color="auto"/>
          <w:color w:val="auto"/>
        </w:rPr>
        <w:t>Delays or Omissions</w:t>
      </w:r>
      <w:r>
        <w:rPr>
          <w:rFonts w:ascii="Arial" w:cs="Arial" w:eastAsia="Arial" w:hAnsi="Arial"/>
          <w:sz w:val="16"/>
          <w:szCs w:val="16"/>
          <w:color w:val="auto"/>
        </w:rPr>
        <w:t>. No delay or omission to exercise any right, power, or remedy 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61"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Massachusetts Business Trust</w:t>
      </w:r>
      <w:r>
        <w:rPr>
          <w:rFonts w:ascii="Arial" w:cs="Arial" w:eastAsia="Arial" w:hAnsi="Arial"/>
          <w:sz w:val="18"/>
          <w:szCs w:val="18"/>
          <w:color w:val="auto"/>
        </w:rPr>
        <w:t>. A copy of the Declaration of Trust of each Fidelity Investor or any Affiliate thereof is on file with the Secretary of State of the Commonwealth of Massachusetts and notice is hereby given that this Agreement has been executed on behalf of the trustees of such Fidelity Investor or any Affiliate thereof as trustees and not individually and that the obligations of this Agreement are not binding on any of the trustees, officers or stockholders of such Fidelity Investor or any Affiliate thereof individually but are binding only upon such Fidelity Investor or any Affiliate thereof and its assets and property.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339" w:name="page340"/>
    <w:bookmarkEnd w:id="33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ADAGIO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154305</wp:posOffset>
            </wp:positionV>
            <wp:extent cx="2459990" cy="2482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459990" cy="248285"/>
                    </a:xfrm>
                    <a:prstGeom prst="rect">
                      <a:avLst/>
                    </a:prstGeom>
                    <a:noFill/>
                  </pic:spPr>
                </pic:pic>
              </a:graphicData>
            </a:graphic>
          </wp:anchor>
        </w:drawing>
      </w:r>
    </w:p>
    <w:p>
      <w:pPr>
        <w:spacing w:after="0" w:line="3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0" w:name="page341"/>
    <w:bookmarkEnd w:id="340"/>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 CAPITAL HEALTHCARE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RA Capital Healthcare Fund GP, LLC, its General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3429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597150" cy="34290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 CAPITAL NEXUS FUND II, L.P.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RA Capital Nexus Fund II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3429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597150" cy="34290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Peter Kolchinsky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Manager</w:t>
      </w:r>
    </w:p>
    <w:p>
      <w:pPr>
        <w:sectPr>
          <w:pgSz w:w="11900" w:h="16838" w:orient="portrait"/>
          <w:cols w:equalWidth="0" w:num="1">
            <w:col w:w="10940"/>
          </w:cols>
          <w:pgMar w:left="440" w:top="274" w:right="519" w:bottom="1440" w:gutter="0" w:footer="0" w:header="0"/>
        </w:sectPr>
      </w:pPr>
    </w:p>
    <w:bookmarkStart w:id="341" w:name="page342"/>
    <w:bookmarkEnd w:id="34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ADIMAB,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154305</wp:posOffset>
            </wp:positionV>
            <wp:extent cx="2597150" cy="2482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597150" cy="248285"/>
                    </a:xfrm>
                    <a:prstGeom prst="rect">
                      <a:avLst/>
                    </a:prstGeom>
                    <a:noFill/>
                  </pic:spPr>
                </pic:pic>
              </a:graphicData>
            </a:graphic>
          </wp:anchor>
        </w:drawing>
      </w:r>
    </w:p>
    <w:p>
      <w:pPr>
        <w:spacing w:after="0" w:line="37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Tillman U. Gerngross, Ph.D.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President</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2" w:name="page343"/>
    <w:bookmarkEnd w:id="34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SMALL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CAP FUND</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Small Cap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Fund,</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FEDERATED HERMES KAUFMANN FUND II</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Federated Global Investment Management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Corp., as attorney-in-fact for Federated Hermes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Kaufmann Fund II,</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 portfolio of Federated Hermes Equity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142875</wp:posOffset>
            </wp:positionV>
            <wp:extent cx="1791335" cy="2743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Stephen Van Meter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Vice President and Chief Compliance Officer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43" w:name="page344"/>
    <w:bookmarkEnd w:id="34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OMEGA FUND VI,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Omega Fund VI GP,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Omega Fund VI GP Manager, Ltd., its General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Otello Stampacchia</w:t>
      </w:r>
    </w:p>
    <w:p>
      <w:pPr>
        <w:spacing w:after="0" w:line="23" w:lineRule="exact"/>
        <w:rPr>
          <w:sz w:val="20"/>
          <w:szCs w:val="20"/>
          <w:color w:val="auto"/>
        </w:rPr>
      </w:pPr>
    </w:p>
    <w:p>
      <w:pPr>
        <w:ind w:left="6620"/>
        <w:spacing w:after="0"/>
        <w:tabs>
          <w:tab w:leader="none" w:pos="7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Director</w:t>
      </w:r>
    </w:p>
    <w:p>
      <w:pPr>
        <w:sectPr>
          <w:pgSz w:w="11900" w:h="16838" w:orient="portrait"/>
          <w:cols w:equalWidth="0" w:num="1">
            <w:col w:w="10860"/>
          </w:cols>
          <w:pgMar w:left="440" w:top="274" w:right="599" w:bottom="1440" w:gutter="0" w:footer="0" w:header="0"/>
        </w:sectPr>
      </w:pPr>
    </w:p>
    <w:bookmarkStart w:id="344" w:name="page345"/>
    <w:bookmarkEnd w:id="344"/>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MERIDIAN SMALL CAP GROWTH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MERIDIAN GROWTH FUND</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FUNDAMENTAL OPPORTUNITY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Partners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159385</wp:posOffset>
            </wp:positionV>
            <wp:extent cx="1568450" cy="548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6845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14605</wp:posOffset>
            </wp:positionV>
            <wp:extent cx="260604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LOOKFAR INVESTMENTS,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4386580</wp:posOffset>
            </wp:positionH>
            <wp:positionV relativeFrom="paragraph">
              <wp:posOffset>142875</wp:posOffset>
            </wp:positionV>
            <wp:extent cx="2606040" cy="5568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60604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ectPr>
          <w:pgSz w:w="11900" w:h="16838" w:orient="portrait"/>
          <w:cols w:equalWidth="0" w:num="1">
            <w:col w:w="10860"/>
          </w:cols>
          <w:pgMar w:left="440" w:top="274" w:right="599" w:bottom="1440" w:gutter="0" w:footer="0" w:header="0"/>
        </w:sectPr>
      </w:pPr>
    </w:p>
    <w:bookmarkStart w:id="345" w:name="page346"/>
    <w:bookmarkEnd w:id="34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CF ASCENT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ARROWMARK LIFE SCIENCE FUND,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IRON HORSE INVESTMENT,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ArrowMark Colorado Holdings, LLC, its Investment</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55689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597150"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Rick Grove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COO</w:t>
      </w:r>
    </w:p>
    <w:p>
      <w:pPr>
        <w:sectPr>
          <w:pgSz w:w="11900" w:h="16838" w:orient="portrait"/>
          <w:cols w:equalWidth="0" w:num="1">
            <w:col w:w="10860"/>
          </w:cols>
          <w:pgMar w:left="440" w:top="274" w:right="599" w:bottom="1440" w:gutter="0" w:footer="0" w:header="0"/>
        </w:sectPr>
      </w:pPr>
    </w:p>
    <w:bookmarkStart w:id="346" w:name="page347"/>
    <w:bookmarkEnd w:id="346"/>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BAIN CAPITAL LIFE SCIENCES FUND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Bain Capital Life Sciences Investors II, LLC, its general</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Bain Capital Life Sciences Investors, LLC, its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157480</wp:posOffset>
            </wp:positionV>
            <wp:extent cx="2459990" cy="4368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5999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Hack</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BCIP LIFE SCIENCES ASSOCIATES,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Boylston Coinvestors,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142875</wp:posOffset>
            </wp:positionV>
            <wp:extent cx="865505" cy="42862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6550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Hack</w:t>
      </w:r>
    </w:p>
    <w:p>
      <w:pPr>
        <w:spacing w:after="0" w:line="23" w:lineRule="exact"/>
        <w:rPr>
          <w:sz w:val="20"/>
          <w:szCs w:val="20"/>
          <w:color w:val="auto"/>
        </w:rPr>
      </w:pPr>
    </w:p>
    <w:p>
      <w:pPr>
        <w:ind w:left="6620"/>
        <w:spacing w:after="0"/>
        <w:tabs>
          <w:tab w:leader="none" w:pos="722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980"/>
          </w:cols>
          <w:pgMar w:left="440" w:top="274" w:right="479" w:bottom="1440" w:gutter="0" w:footer="0" w:header="0"/>
        </w:sectPr>
      </w:pPr>
    </w:p>
    <w:bookmarkStart w:id="347" w:name="page348"/>
    <w:bookmarkEnd w:id="34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SERIES GROWTH COMPANY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142875</wp:posOffset>
            </wp:positionV>
            <wp:extent cx="874395" cy="41148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COMMINGLED</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POOL</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Fidelity Management Trust Company,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151765</wp:posOffset>
            </wp:positionV>
            <wp:extent cx="2459990" cy="419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MT. VERNON STREET TRUST:</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GROWTH COMPANY K6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142875</wp:posOffset>
            </wp:positionV>
            <wp:extent cx="874395" cy="41148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7439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FIDELITY SELECT PORTFOLIOS: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BIOTECHNOLOGY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Maher: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ectPr>
          <w:pgSz w:w="11900" w:h="16838" w:orient="portrait"/>
          <w:cols w:equalWidth="0" w:num="1">
            <w:col w:w="10860"/>
          </w:cols>
          <w:pgMar w:left="440" w:top="274" w:right="599" w:bottom="1440" w:gutter="0" w:footer="0" w:header="0"/>
        </w:sectPr>
      </w:pPr>
    </w:p>
    <w:bookmarkStart w:id="348" w:name="page349"/>
    <w:bookmarkEnd w:id="34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FORESITE CAPITAL FUND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Foresite Capital Management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142875</wp:posOffset>
            </wp:positionV>
            <wp:extent cx="2459990" cy="419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45999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Dennis D. Ryan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Offer</w:t>
      </w:r>
    </w:p>
    <w:p>
      <w:pPr>
        <w:sectPr>
          <w:pgSz w:w="11900" w:h="16838" w:orient="portrait"/>
          <w:cols w:equalWidth="0" w:num="1">
            <w:col w:w="10860"/>
          </w:cols>
          <w:pgMar w:left="440" w:top="274" w:right="599" w:bottom="1440" w:gutter="0" w:footer="0" w:header="0"/>
        </w:sectPr>
      </w:pPr>
    </w:p>
    <w:bookmarkStart w:id="349" w:name="page350"/>
    <w:bookmarkEnd w:id="349"/>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GC&amp;H INVESTMENTS,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GC&amp;H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1968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97150" cy="196850"/>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Jim Kindler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GC&amp;H INVESTMENTS A1,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GC&amp;H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151765</wp:posOffset>
            </wp:positionV>
            <wp:extent cx="728980" cy="18859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Jim Kindler</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0" w:name="page351"/>
    <w:bookmarkEnd w:id="350"/>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GV 2021,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2021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2021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M. Chang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GV 2019, L.P.</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2019 GP, L.P., 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GV 2019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2862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59715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Daphne M. Chang</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1" w:name="page352"/>
    <w:bookmarkEnd w:id="35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HASHAM TRADERS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154305</wp:posOffset>
            </wp:positionV>
            <wp:extent cx="2597150" cy="419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Manoj Jaiswal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CFO and Operating Partner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2" w:name="page353"/>
    <w:bookmarkEnd w:id="35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GP LP, its General Partner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311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597150" cy="231140"/>
                    </a:xfrm>
                    <a:prstGeom prst="rect">
                      <a:avLst/>
                    </a:prstGeom>
                    <a:noFill/>
                  </pic:spPr>
                </pic:pic>
              </a:graphicData>
            </a:graphic>
          </wp:anchor>
        </w:drawing>
      </w:r>
    </w:p>
    <w:p>
      <w:pPr>
        <w:spacing w:after="0" w:line="32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Ajay Royan</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Managing Member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3" w:name="page354"/>
    <w:bookmarkEnd w:id="35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ORBIMED PRIVATE INVESTMENTS VII,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Capital GP VII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Carl Gordon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Member</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4" w:name="page355"/>
    <w:bookmarkEnd w:id="354"/>
    <w:p>
      <w:pPr>
        <w:ind w:right="1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PARTNERS IX,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Partners GP IX,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POLARIS VENTURE PARTNERS FOUNDERS’ FUND</w:t>
      </w:r>
    </w:p>
    <w:p>
      <w:pPr>
        <w:spacing w:after="0" w:line="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 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 xml:space="preserve">[ </w:t>
      </w:r>
      <w:r>
        <w:rPr>
          <w:sz w:val="1"/>
          <w:szCs w:val="1"/>
          <w:color w:val="auto"/>
        </w:rPr>
        <w:drawing>
          <wp:inline distT="0" distB="0" distL="0" distR="0">
            <wp:extent cx="1045845" cy="41148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45845" cy="4114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10160</wp:posOffset>
            </wp:positionV>
            <wp:extent cx="25971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Name: Lauren Crockett</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0980"/>
          </w:cols>
          <w:pgMar w:left="440" w:top="274" w:right="479" w:bottom="1440" w:gutter="0" w:footer="0" w:header="0"/>
        </w:sectPr>
      </w:pPr>
    </w:p>
    <w:bookmarkStart w:id="355" w:name="page356"/>
    <w:bookmarkEnd w:id="355"/>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ENTREPRENEURS’ FUND 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-121920</wp:posOffset>
            </wp:positionV>
            <wp:extent cx="2597150" cy="419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VENTURE PARTNERS SPECIAL</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FOUNDERS’ FUND V,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Polaris Venture Management Co. 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-121920</wp:posOffset>
            </wp:positionV>
            <wp:extent cx="2597150" cy="419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Attorney-in-Fact</w:t>
      </w:r>
    </w:p>
    <w:p>
      <w:pPr>
        <w:sectPr>
          <w:pgSz w:w="11900" w:h="16838" w:orient="portrait"/>
          <w:cols w:equalWidth="0" w:num="1">
            <w:col w:w="10860"/>
          </w:cols>
          <w:pgMar w:left="440" w:top="274" w:right="599" w:bottom="1440" w:gutter="0" w:footer="0" w:header="0"/>
        </w:sectPr>
      </w:pPr>
    </w:p>
    <w:bookmarkStart w:id="356" w:name="page357"/>
    <w:bookmarkEnd w:id="356"/>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POPULATION HEALTH EQUITY PARTNERS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Population Health Equity Partners III GP, LLC, its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654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97150" cy="265430"/>
                    </a:xfrm>
                    <a:prstGeom prst="rect">
                      <a:avLst/>
                    </a:prstGeom>
                    <a:noFill/>
                  </pic:spPr>
                </pic:pic>
              </a:graphicData>
            </a:graphic>
          </wp:anchor>
        </w:drawing>
      </w: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Cox</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1000"/>
          </w:cols>
          <w:pgMar w:left="440" w:top="274" w:right="459" w:bottom="1440" w:gutter="0" w:footer="0" w:header="0"/>
        </w:sectPr>
      </w:pPr>
    </w:p>
    <w:bookmarkStart w:id="357" w:name="page358"/>
    <w:bookmarkEnd w:id="357"/>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POPULATION HEALTH EQUITY PARTNERS VII,</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Population Health Equity Partners VII GP, LLC, its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2654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97150" cy="265430"/>
                    </a:xfrm>
                    <a:prstGeom prst="rect">
                      <a:avLst/>
                    </a:prstGeom>
                    <a:noFill/>
                  </pic:spPr>
                </pic:pic>
              </a:graphicData>
            </a:graphic>
          </wp:anchor>
        </w:drawing>
      </w:r>
    </w:p>
    <w:p>
      <w:pPr>
        <w:spacing w:after="0" w:line="38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Chris Cox</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860"/>
          </w:cols>
          <w:pgMar w:left="440" w:top="274" w:right="599" w:bottom="1440" w:gutter="0" w:footer="0" w:header="0"/>
        </w:sectPr>
      </w:pPr>
    </w:p>
    <w:bookmarkStart w:id="358" w:name="page359"/>
    <w:bookmarkEnd w:id="358"/>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REDMILE BIOPHARMA INVESTMENTS III,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Redmile Biopharma Investments III (GP), LLC, its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Garcia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RAF,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RAF 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151765</wp:posOffset>
            </wp:positionV>
            <wp:extent cx="2597150" cy="419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Joshua Garcia</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60"/>
          </w:cols>
          <w:pgMar w:left="440" w:top="274" w:right="599" w:bottom="1440" w:gutter="0" w:footer="0" w:header="0"/>
        </w:sectPr>
      </w:pPr>
    </w:p>
    <w:bookmarkStart w:id="359" w:name="page360"/>
    <w:bookmarkEnd w:id="359"/>
    <w:p>
      <w:pPr>
        <w:ind w:right="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Second Amended and Restated Investors’ Rights Agreement as of the date first written above.</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POLARIS HEALTHCARE TECHNOLOGY</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OPPORTUNITIES FUND, L.P.</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Polaris Healthcare Technology Opportunities Fund GP,</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142875</wp:posOffset>
            </wp:positionV>
            <wp:extent cx="2597150" cy="41973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259715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Lauren Crockett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Signature Page to 2</w:t>
      </w:r>
      <w:r>
        <w:rPr>
          <w:rFonts w:ascii="Arial" w:cs="Arial" w:eastAsia="Arial" w:hAnsi="Arial"/>
          <w:sz w:val="15"/>
          <w:szCs w:val="15"/>
          <w:i w:val="1"/>
          <w:iCs w:val="1"/>
          <w:color w:val="auto"/>
        </w:rPr>
        <w:t>nd</w:t>
      </w:r>
      <w:r>
        <w:rPr>
          <w:rFonts w:ascii="Arial" w:cs="Arial" w:eastAsia="Arial" w:hAnsi="Arial"/>
          <w:sz w:val="18"/>
          <w:szCs w:val="18"/>
          <w:i w:val="1"/>
          <w:iCs w:val="1"/>
          <w:color w:val="auto"/>
        </w:rPr>
        <w:t xml:space="preserve"> Amended and Restated Investors’ Rights Agreement</w:t>
      </w:r>
    </w:p>
    <w:p>
      <w:pPr>
        <w:sectPr>
          <w:pgSz w:w="11900" w:h="16838" w:orient="portrait"/>
          <w:cols w:equalWidth="0" w:num="1">
            <w:col w:w="10880"/>
          </w:cols>
          <w:pgMar w:left="440" w:top="274" w:right="579" w:bottom="1440" w:gutter="0" w:footer="0" w:header="0"/>
        </w:sectPr>
      </w:pPr>
    </w:p>
    <w:bookmarkStart w:id="360" w:name="page361"/>
    <w:bookmarkEnd w:id="360"/>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3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Investors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Name and Address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Adimab,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Growth Company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Growth Company Commingled Pool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Fidelity Mt. Vernon Street Trust: Fidelity Growth Company K6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4819"/>
        <w:spacing w:after="0" w:line="277" w:lineRule="auto"/>
        <w:rPr>
          <w:sz w:val="20"/>
          <w:szCs w:val="20"/>
          <w:color w:val="auto"/>
        </w:rPr>
      </w:pPr>
      <w:r>
        <w:rPr>
          <w:rFonts w:ascii="Arial" w:cs="Arial" w:eastAsia="Arial" w:hAnsi="Arial"/>
          <w:sz w:val="18"/>
          <w:szCs w:val="18"/>
          <w:color w:val="auto"/>
        </w:rPr>
        <w:t>Fidelity Mt. Vernon Street Trust: Fidelity Series Growth Company Fund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Select Portfolios: Biotechnology Portfolio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Jeffrey E. Florman,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GV 2021,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GV 2019,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MRL Ventures Fund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Mithril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M28 Capital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Veltro Argento,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OrbiMed Private Investments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Partners IX,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Polaris Venture Partners Entrepreneurs’ Fund V, L.P.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Polaris Venture Partners Founders’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Polaris Venture Partners Special Founders’ Fund V,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Polaris Healthcare Technology Opportunities Fund,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VP Company Investments 2018,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Dikigoros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Paul G. Ambrose, Pharm.D.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Matthew R. Conway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Tim Downing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Yaroslav Faybishenko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Sabah Oney, Ph.D.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Andrew Siegel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2" w:name="page363"/>
    <w:bookmarkEnd w:id="36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Omega Fund VI,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Population Health Equity Partners VII,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Population Health Equity Partners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 Capital Healthcare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 Capital NEXUS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GC&amp;H Investments A1,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Bain Capital Life Sciences Fund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BCIP Life Sciences Associates,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Redmile Biopharma Investments III,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RAF,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Hasham Traders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Meridian Small Cap Growth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Meridian Growth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ArrowMark Fundamental Opportunity Fund, L.P.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Lookfar Investments,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3" w:name="page364"/>
    <w:bookmarkEnd w:id="3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CF Ascent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ArrowMark Life Science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Iron Horse Investment,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Foresite Capital Fund V,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Federated Hermes Kaufmann Small Cap Fund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Federated Hermes Kaufmann Fund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Federated Hermes Kaufmann Fund 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Article XI below.</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Service Providers are eligible to be granted Awards under the Plan, subject to the limitations described herein.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Administrator. The 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92"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Appointment of Committees</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permitted by Applicable Laws, the Board may delegate any or all of its powers under the Plan to one or more Committees. The Board may abolish any Committee at any time and re-vest in itself any previously delegated authority.</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Number of Shares</w:t>
      </w:r>
      <w:r>
        <w:rPr>
          <w:rFonts w:ascii="Arial" w:cs="Arial" w:eastAsia="Arial" w:hAnsi="Arial"/>
          <w:sz w:val="16"/>
          <w:szCs w:val="16"/>
          <w:i w:val="1"/>
          <w:iCs w:val="1"/>
          <w:color w:val="auto"/>
        </w:rPr>
        <w:t>.</w:t>
      </w:r>
      <w:r>
        <w:rPr>
          <w:rFonts w:ascii="Arial" w:cs="Arial" w:eastAsia="Arial" w:hAnsi="Arial"/>
          <w:sz w:val="16"/>
          <w:szCs w:val="16"/>
          <w:color w:val="auto"/>
        </w:rPr>
        <w:t xml:space="preserve"> Subject to adjustment under Article VIII hereof, Awards may be made under the Plan covering up to 1,985,294 shares of Common Stock. If any Award expires or lapses or is terminated, surrendered or canceled without having been fully exercised or is forfeited in whole or in part (including, without limitation,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 Participant to satisfy the applicable exercise or purchase price of an Award and/or to satisfy any applicable tax withholding obligation (including, without limitation, shares retained by the</w:t>
      </w:r>
    </w:p>
    <w:p>
      <w:pPr>
        <w:sectPr>
          <w:pgSz w:w="11900" w:h="16838" w:orient="portrait"/>
          <w:cols w:equalWidth="0" w:num="1">
            <w:col w:w="11020"/>
          </w:cols>
          <w:pgMar w:left="440" w:top="121" w:right="439" w:bottom="1440" w:gutter="0" w:footer="0" w:header="0"/>
        </w:sectPr>
      </w:pPr>
    </w:p>
    <w:bookmarkStart w:id="365" w:name="page366"/>
    <w:bookmarkEnd w:id="365"/>
    <w:p>
      <w:pPr>
        <w:ind w:right="3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from the Award being exercised or purchased and/or creating the tax obligation) shall be added to the number of shares of Common Stock available for the grant of Awards under the Plan. However, in the case of Incentive Stock Options,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8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 merger or consolidation of an entity with 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4.1 hereof, except as may be required by reason of Section 422 of the Code.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Options to any Service Provider, subject to the limitations on Incentive Stock Options described below. The Administrator shall determine the number of shares of Common Stock to be covered by each Option, the exercise price of each Option and the conditions and limitations applicable to the exercise of each Option, including, without limitation, conditions relating to Applicable Laws, as it considers necessary or advisable.</w:t>
      </w:r>
    </w:p>
    <w:p>
      <w:pPr>
        <w:spacing w:after="0" w:line="187"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The Administrator may grant Options intended to qualify 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182"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shall establish the exercise price of each 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6" w:name="page367"/>
    <w:bookmarkEnd w:id="366"/>
    <w:p>
      <w:pPr>
        <w:ind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Arial" w:cs="Arial" w:eastAsia="Arial" w:hAnsi="Arial"/>
          <w:sz w:val="17"/>
          <w:szCs w:val="17"/>
          <w:u w:val="single" w:color="auto"/>
          <w:color w:val="auto"/>
        </w:rPr>
        <w:t>Duration of Options</w:t>
      </w:r>
      <w:r>
        <w:rPr>
          <w:rFonts w:ascii="Arial" w:cs="Arial" w:eastAsia="Arial" w:hAnsi="Arial"/>
          <w:sz w:val="17"/>
          <w:szCs w:val="17"/>
          <w:color w:val="auto"/>
        </w:rPr>
        <w:t>. Each Option shall be exercisable at such times and subject to such terms and conditions as the Administrator may 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76"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Exercise of Option; Notification of Disposition</w:t>
      </w:r>
      <w:r>
        <w:rPr>
          <w:rFonts w:ascii="Arial" w:cs="Arial" w:eastAsia="Arial" w:hAnsi="Arial"/>
          <w:sz w:val="17"/>
          <w:szCs w:val="17"/>
          <w:color w:val="auto"/>
        </w:rPr>
        <w:t>. Options may be exercised by delivery to the Company of a written notice of exercise, in a form approved by the Administrator (which may be an electronic form), signed by the person authorized to exercise the Option, together with payment in full (i) as specified in Section 5.6 hereof for the number of shares for which the Option is exercised and (ii) as specified in Section 9.5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81"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Common Stock purchased upon the exercise of an Option granted under the Plan shall be paid for in cash, by wire transfer of immediately available funds or by check, payable to the order of the Company, or, subject to Section 10.8, any Company insider trading policy (including, without limitation, any blackout periods) and Applicable Laws, by:</w:t>
      </w:r>
    </w:p>
    <w:p>
      <w:pPr>
        <w:spacing w:after="0" w:line="76" w:lineRule="exact"/>
        <w:rPr>
          <w:sz w:val="20"/>
          <w:szCs w:val="20"/>
          <w:color w:val="auto"/>
        </w:rPr>
      </w:pPr>
    </w:p>
    <w:p>
      <w:pPr>
        <w:ind w:firstLine="436"/>
        <w:spacing w:after="0" w:line="257" w:lineRule="auto"/>
        <w:tabs>
          <w:tab w:leader="none" w:pos="6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If the Company is a Publicly Listed Company, unless the Administrator otherwise determines, (A) delivery of an irrevocable and unconditional undertaking by a broker acceptable to the Company to deliver promptly to the Company sufficient funds to pay the exercise price, or (B) delivery by the Participant to the Company of a copy of irrevocable and unconditional instructions to a broker acceptable to the Company to deliver promptly to the Company cash or a check sufficient to pay the exercise price, provided in either case, that such amount is paid to the Company at such time as may be required by the Administrator;</w:t>
      </w:r>
    </w:p>
    <w:p>
      <w:pPr>
        <w:spacing w:after="0" w:line="187" w:lineRule="exact"/>
        <w:rPr>
          <w:rFonts w:ascii="Arial" w:cs="Arial" w:eastAsia="Arial" w:hAnsi="Arial"/>
          <w:sz w:val="18"/>
          <w:szCs w:val="18"/>
          <w:color w:val="auto"/>
        </w:rPr>
      </w:pPr>
    </w:p>
    <w:p>
      <w:pPr>
        <w:ind w:right="20" w:firstLine="436"/>
        <w:spacing w:after="0" w:line="279" w:lineRule="auto"/>
        <w:tabs>
          <w:tab w:leader="none" w:pos="695" w:val="left"/>
        </w:tabs>
        <w:numPr>
          <w:ilvl w:val="0"/>
          <w:numId w:val="240"/>
        </w:numPr>
        <w:rPr>
          <w:rFonts w:ascii="Arial" w:cs="Arial" w:eastAsia="Arial" w:hAnsi="Arial"/>
          <w:sz w:val="17"/>
          <w:szCs w:val="17"/>
          <w:color w:val="auto"/>
        </w:rPr>
      </w:pPr>
      <w:r>
        <w:rPr>
          <w:rFonts w:ascii="Arial" w:cs="Arial" w:eastAsia="Arial" w:hAnsi="Arial"/>
          <w:sz w:val="17"/>
          <w:szCs w:val="17"/>
          <w:color w:val="auto"/>
        </w:rPr>
        <w:t>to the extent permitted by the Administrator, 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171" w:lineRule="exact"/>
        <w:rPr>
          <w:rFonts w:ascii="Arial" w:cs="Arial" w:eastAsia="Arial" w:hAnsi="Arial"/>
          <w:sz w:val="17"/>
          <w:szCs w:val="17"/>
          <w:color w:val="auto"/>
        </w:rPr>
      </w:pPr>
    </w:p>
    <w:p>
      <w:pPr>
        <w:ind w:right="180" w:firstLine="436"/>
        <w:spacing w:after="0" w:line="277" w:lineRule="auto"/>
        <w:tabs>
          <w:tab w:leader="none" w:pos="6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of Common Stock then issuable upon exercise of the Option valued at their Fair Market Value on the date of exercise;</w:t>
      </w:r>
    </w:p>
    <w:p>
      <w:pPr>
        <w:spacing w:after="0" w:line="170" w:lineRule="exact"/>
        <w:rPr>
          <w:rFonts w:ascii="Arial" w:cs="Arial" w:eastAsia="Arial" w:hAnsi="Arial"/>
          <w:sz w:val="18"/>
          <w:szCs w:val="18"/>
          <w:color w:val="auto"/>
        </w:rPr>
      </w:pPr>
    </w:p>
    <w:p>
      <w:pPr>
        <w:ind w:right="420" w:firstLine="436"/>
        <w:spacing w:after="0" w:line="277" w:lineRule="auto"/>
        <w:tabs>
          <w:tab w:leader="none" w:pos="69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of the Participant to the Company on terms determined by the Administrator;</w:t>
      </w:r>
    </w:p>
    <w:p>
      <w:pPr>
        <w:spacing w:after="0" w:line="170" w:lineRule="exact"/>
        <w:rPr>
          <w:rFonts w:ascii="Arial" w:cs="Arial" w:eastAsia="Arial" w:hAnsi="Arial"/>
          <w:sz w:val="18"/>
          <w:szCs w:val="18"/>
          <w:color w:val="auto"/>
        </w:rPr>
      </w:pPr>
    </w:p>
    <w:p>
      <w:pPr>
        <w:ind w:right="460" w:firstLine="436"/>
        <w:spacing w:after="0" w:line="277" w:lineRule="auto"/>
        <w:tabs>
          <w:tab w:leader="none" w:pos="6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property of any other kind which constitutes good and valuable consideration as determined by the Administrator; or</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combination of the above permitted forms of payment (including, without limitation, cash or check).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67" w:name="page368"/>
    <w:bookmarkEnd w:id="367"/>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5.7 </w:t>
      </w:r>
      <w:r>
        <w:rPr>
          <w:rFonts w:ascii="Arial" w:cs="Arial" w:eastAsia="Arial" w:hAnsi="Arial"/>
          <w:sz w:val="18"/>
          <w:szCs w:val="18"/>
          <w:u w:val="single" w:color="auto"/>
          <w:color w:val="auto"/>
        </w:rPr>
        <w:t>Early Exercise of Options</w:t>
      </w:r>
      <w:r>
        <w:rPr>
          <w:rFonts w:ascii="Arial" w:cs="Arial" w:eastAsia="Arial" w:hAnsi="Arial"/>
          <w:sz w:val="18"/>
          <w:szCs w:val="18"/>
          <w:color w:val="auto"/>
        </w:rPr>
        <w:t>. The Administrator may provide in the terms of an 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Restricted Stock, or the right to purchase 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92" w:lineRule="exact"/>
        <w:rPr>
          <w:sz w:val="20"/>
          <w:szCs w:val="20"/>
          <w:color w:val="auto"/>
        </w:rPr>
      </w:pPr>
    </w:p>
    <w:p>
      <w:pPr>
        <w:ind w:right="500" w:firstLine="440"/>
        <w:spacing w:after="0" w:line="26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Terms and Conditions for All Restricted Stock and Restricted Stock Unit Awards</w:t>
      </w:r>
      <w:r>
        <w:rPr>
          <w:rFonts w:ascii="Arial" w:cs="Arial" w:eastAsia="Arial" w:hAnsi="Arial"/>
          <w:sz w:val="18"/>
          <w:szCs w:val="18"/>
          <w:color w:val="auto"/>
        </w:rPr>
        <w:t>. The Administrator shall determine and set forth in the applicable Award Agreement the terms and conditions applicable to each Restricted Stock and Restricted Stock Unit Award, including, without limitation, the conditions for vesting and repurchase (or forfeiture) and the issue price, in each case, if any.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Additional Provisions Relating to Restricted Stock</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Participants holding shares of Restricted Stock will be entitled to all ordinary cash dividends paid with respect to such shares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such dividends have a record date that is on or after the date on which the Participant to whom such Restricted Stock is granted becomes the record holder of such Restricted Stock,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196" w:lineRule="exact"/>
        <w:rPr>
          <w:rFonts w:ascii="Arial" w:cs="Arial" w:eastAsia="Arial" w:hAnsi="Arial"/>
          <w:sz w:val="18"/>
          <w:szCs w:val="18"/>
          <w:color w:val="auto"/>
        </w:rPr>
      </w:pPr>
    </w:p>
    <w:p>
      <w:pPr>
        <w:ind w:right="100" w:firstLine="436"/>
        <w:spacing w:after="0" w:line="277" w:lineRule="auto"/>
        <w:tabs>
          <w:tab w:leader="none" w:pos="695" w:val="left"/>
        </w:tabs>
        <w:numPr>
          <w:ilvl w:val="0"/>
          <w:numId w:val="241"/>
        </w:numPr>
        <w:rPr>
          <w:rFonts w:ascii="Arial" w:cs="Arial" w:eastAsia="Arial" w:hAnsi="Arial"/>
          <w:sz w:val="18"/>
          <w:szCs w:val="18"/>
          <w:color w:val="auto"/>
        </w:rPr>
      </w:pPr>
      <w:r>
        <w:rPr>
          <w:rFonts w:ascii="Arial" w:cs="Arial" w:eastAsia="Arial" w:hAnsi="Arial"/>
          <w:sz w:val="18"/>
          <w:szCs w:val="18"/>
          <w:i w:val="1"/>
          <w:iCs w:val="1"/>
          <w:color w:val="auto"/>
        </w:rPr>
        <w:t xml:space="preserve">Stock Certificates. </w:t>
      </w:r>
      <w:r>
        <w:rPr>
          <w:rFonts w:ascii="Arial" w:cs="Arial" w:eastAsia="Arial" w:hAnsi="Arial"/>
          <w:sz w:val="18"/>
          <w:szCs w:val="18"/>
          <w:color w:val="auto"/>
        </w:rPr>
        <w:t>The Company may require that any stock certificates issued in respect of shares of Restricted Stock be deposited in escrow</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Participant, together with a stock power endorsed in blank, with the Company (or its designee).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Additional Provisions Relating to Restricted Stock Units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57" w:lineRule="auto"/>
        <w:tabs>
          <w:tab w:leader="none" w:pos="685" w:val="left"/>
        </w:tabs>
        <w:numPr>
          <w:ilvl w:val="0"/>
          <w:numId w:val="242"/>
        </w:numPr>
        <w:rPr>
          <w:rFonts w:ascii="Arial" w:cs="Arial" w:eastAsia="Arial" w:hAnsi="Arial"/>
          <w:sz w:val="18"/>
          <w:szCs w:val="18"/>
          <w:color w:val="auto"/>
        </w:rPr>
      </w:pPr>
      <w:r>
        <w:rPr>
          <w:rFonts w:ascii="Arial" w:cs="Arial" w:eastAsia="Arial" w:hAnsi="Arial"/>
          <w:sz w:val="18"/>
          <w:szCs w:val="18"/>
          <w:i w:val="1"/>
          <w:iCs w:val="1"/>
          <w:color w:val="auto"/>
        </w:rPr>
        <w:t xml:space="preserve">Settlement. </w:t>
      </w:r>
      <w:r>
        <w:rPr>
          <w:rFonts w:ascii="Arial" w:cs="Arial" w:eastAsia="Arial" w:hAnsi="Arial"/>
          <w:sz w:val="18"/>
          <w:szCs w:val="18"/>
          <w:color w:val="auto"/>
        </w:rPr>
        <w:t>Upon the vesting of a Restricted Stock Unit, the Participant shall be entitled to receive from the Company one share of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or an amount of cash or other property equal to the Fair Market Value of one share of Common Stock on the settlement date, as the Administrator shall determine and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68" w:name="page369"/>
    <w:bookmarkEnd w:id="368"/>
    <w:p>
      <w:pPr>
        <w:ind w:right="440" w:firstLine="436"/>
        <w:spacing w:after="0" w:line="277" w:lineRule="auto"/>
        <w:tabs>
          <w:tab w:leader="none" w:pos="695"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Voting Rights. </w:t>
      </w:r>
      <w:r>
        <w:rPr>
          <w:rFonts w:ascii="Arial" w:cs="Arial" w:eastAsia="Arial" w:hAnsi="Arial"/>
          <w:sz w:val="18"/>
          <w:szCs w:val="18"/>
          <w:color w:val="auto"/>
        </w:rPr>
        <w:t>A Participant shall have no voting rights with respect to any Restricted Stock Units unless and until shares are delivered in</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thereof.</w:t>
      </w:r>
    </w:p>
    <w:p>
      <w:pPr>
        <w:spacing w:after="0" w:line="170" w:lineRule="exact"/>
        <w:rPr>
          <w:rFonts w:ascii="Arial" w:cs="Arial" w:eastAsia="Arial" w:hAnsi="Arial"/>
          <w:sz w:val="18"/>
          <w:szCs w:val="18"/>
          <w:color w:val="auto"/>
        </w:rPr>
      </w:pPr>
    </w:p>
    <w:p>
      <w:pPr>
        <w:ind w:firstLine="436"/>
        <w:spacing w:after="0" w:line="257" w:lineRule="auto"/>
        <w:tabs>
          <w:tab w:leader="none" w:pos="685" w:val="left"/>
        </w:tabs>
        <w:numPr>
          <w:ilvl w:val="0"/>
          <w:numId w:val="243"/>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To the extent provided by the Administrator, a grant of Restricted Stock Units may provide a Participant with the right</w:t>
      </w:r>
      <w:r>
        <w:rPr>
          <w:rFonts w:ascii="Arial" w:cs="Arial" w:eastAsia="Arial" w:hAnsi="Arial"/>
          <w:sz w:val="18"/>
          <w:szCs w:val="18"/>
          <w:i w:val="1"/>
          <w:iCs w:val="1"/>
          <w:color w:val="auto"/>
        </w:rPr>
        <w:t xml:space="preserve"> </w:t>
      </w:r>
      <w:r>
        <w:rPr>
          <w:rFonts w:ascii="Arial" w:cs="Arial" w:eastAsia="Arial" w:hAnsi="Arial"/>
          <w:sz w:val="18"/>
          <w:szCs w:val="18"/>
          <w:color w:val="auto"/>
        </w:rPr>
        <w:t>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without limitation, any purchase price, transfer restrictions, vesting conditions and other terms and conditions applicable thereto, which shall be set forth in the applicable Award Agreement.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ADJUSTMENTS FOR CHANGES IN COMMON STOCK AND CERTAIN OTHER EVENTS.</w:t>
      </w:r>
    </w:p>
    <w:p>
      <w:pPr>
        <w:spacing w:after="0" w:line="211"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Certain Transactions or Events</w:t>
      </w:r>
      <w:r>
        <w:rPr>
          <w:rFonts w:ascii="Arial" w:cs="Arial" w:eastAsia="Arial" w:hAnsi="Arial"/>
          <w:sz w:val="16"/>
          <w:szCs w:val="16"/>
          <w:color w:val="auto"/>
        </w:rPr>
        <w:t>. 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assets of the Company, or sale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58" w:lineRule="exact"/>
        <w:rPr>
          <w:sz w:val="20"/>
          <w:szCs w:val="20"/>
          <w:color w:val="auto"/>
        </w:rPr>
      </w:pPr>
    </w:p>
    <w:p>
      <w:pPr>
        <w:jc w:val="both"/>
        <w:ind w:right="280" w:firstLine="436"/>
        <w:spacing w:after="0" w:line="342" w:lineRule="auto"/>
        <w:tabs>
          <w:tab w:leader="none" w:pos="685"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number and kind of shares of Common Stock (or other securities or property) with respect to which Awards may be granted or awarded (including, but not limited to, adjustments of the limitations in Section 4.1 hereof on the maximum number and kind of shares which may be issued);</w:t>
      </w:r>
    </w:p>
    <w:p>
      <w:pPr>
        <w:spacing w:after="0" w:line="123" w:lineRule="exact"/>
        <w:rPr>
          <w:rFonts w:ascii="Arial" w:cs="Arial" w:eastAsia="Arial" w:hAnsi="Arial"/>
          <w:sz w:val="16"/>
          <w:szCs w:val="16"/>
          <w:color w:val="auto"/>
        </w:rPr>
      </w:pPr>
    </w:p>
    <w:p>
      <w:pPr>
        <w:ind w:left="700" w:hanging="264"/>
        <w:spacing w:after="0"/>
        <w:tabs>
          <w:tab w:leader="none" w:pos="70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number and kind of shares of Common Stock (or other securities or property) subject to outstanding Awards;</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grant or exercise price with respect to any Award; and</w:t>
      </w:r>
    </w:p>
    <w:p>
      <w:pPr>
        <w:spacing w:after="0" w:line="225" w:lineRule="exact"/>
        <w:rPr>
          <w:rFonts w:ascii="Arial" w:cs="Arial" w:eastAsia="Arial" w:hAnsi="Arial"/>
          <w:sz w:val="18"/>
          <w:szCs w:val="18"/>
          <w:color w:val="auto"/>
        </w:rPr>
      </w:pPr>
    </w:p>
    <w:p>
      <w:pPr>
        <w:ind w:right="140" w:firstLine="436"/>
        <w:spacing w:after="0" w:line="277" w:lineRule="auto"/>
        <w:tabs>
          <w:tab w:leader="none" w:pos="69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terms and conditions of any Awards (including, without limitation, any applicable financial or other performance “targets” specified in an Award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69" w:name="page370"/>
    <w:bookmarkEnd w:id="369"/>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6"/>
          <w:szCs w:val="16"/>
          <w:u w:val="single" w:color="auto"/>
          <w:color w:val="auto"/>
        </w:rPr>
        <w:t>Additional Transactions or Events</w:t>
      </w:r>
      <w:r>
        <w:rPr>
          <w:rFonts w:ascii="Arial" w:cs="Arial" w:eastAsia="Arial" w:hAnsi="Arial"/>
          <w:sz w:val="16"/>
          <w:szCs w:val="16"/>
          <w:color w:val="auto"/>
        </w:rPr>
        <w:t>. In the event of any transaction or event described in Section 8.1 hereof (including, without limitation any change in control) or any unusual or nonrecurring transaction or event affecting the Company or the financial statements or financial condition of the Company, or any change in any Applicable Laws or accounting principles, the Administrator, on such terms and conditions as it deems appropriate, either by the terms of the Award or by action taken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Laws or accounting principles:</w:t>
      </w:r>
    </w:p>
    <w:p>
      <w:pPr>
        <w:spacing w:after="0" w:line="58" w:lineRule="exact"/>
        <w:rPr>
          <w:sz w:val="20"/>
          <w:szCs w:val="20"/>
          <w:color w:val="auto"/>
        </w:rPr>
      </w:pPr>
    </w:p>
    <w:p>
      <w:pPr>
        <w:ind w:right="100" w:firstLine="436"/>
        <w:spacing w:after="0" w:line="257" w:lineRule="auto"/>
        <w:tabs>
          <w:tab w:leader="none" w:pos="682"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vested portion of such Award may be terminated without payment;</w:t>
      </w:r>
    </w:p>
    <w:p>
      <w:pPr>
        <w:spacing w:after="0" w:line="187" w:lineRule="exact"/>
        <w:rPr>
          <w:rFonts w:ascii="Arial" w:cs="Arial" w:eastAsia="Arial" w:hAnsi="Arial"/>
          <w:sz w:val="18"/>
          <w:szCs w:val="18"/>
          <w:color w:val="auto"/>
        </w:rPr>
      </w:pPr>
    </w:p>
    <w:p>
      <w:pPr>
        <w:ind w:right="40" w:firstLine="436"/>
        <w:spacing w:after="0" w:line="277" w:lineRule="auto"/>
        <w:tabs>
          <w:tab w:leader="none" w:pos="69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firstLine="436"/>
        <w:spacing w:after="0" w:line="286" w:lineRule="auto"/>
        <w:tabs>
          <w:tab w:leader="none" w:pos="682" w:val="left"/>
        </w:tabs>
        <w:numPr>
          <w:ilvl w:val="0"/>
          <w:numId w:val="245"/>
        </w:numPr>
        <w:rPr>
          <w:rFonts w:ascii="Arial" w:cs="Arial" w:eastAsia="Arial" w:hAnsi="Arial"/>
          <w:sz w:val="17"/>
          <w:szCs w:val="17"/>
          <w:color w:val="auto"/>
        </w:rPr>
      </w:pPr>
      <w:r>
        <w:rPr>
          <w:rFonts w:ascii="Arial" w:cs="Arial" w:eastAsia="Arial" w:hAnsi="Arial"/>
          <w:sz w:val="17"/>
          <w:szCs w:val="17"/>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65" w:lineRule="exact"/>
        <w:rPr>
          <w:rFonts w:ascii="Arial" w:cs="Arial" w:eastAsia="Arial" w:hAnsi="Arial"/>
          <w:sz w:val="17"/>
          <w:szCs w:val="17"/>
          <w:color w:val="auto"/>
        </w:rPr>
      </w:pPr>
    </w:p>
    <w:p>
      <w:pPr>
        <w:ind w:right="480" w:firstLine="436"/>
        <w:spacing w:after="0" w:line="342" w:lineRule="auto"/>
        <w:tabs>
          <w:tab w:leader="none" w:pos="6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To make adjustments in the number and type of shares of Common Stock (or other securities or property) subject to outstanding Awards, and/or in the terms and conditions of (including, without limitation, the grant or exercise price), and the criteria included in, outstanding Awards;</w:t>
      </w:r>
    </w:p>
    <w:p>
      <w:pPr>
        <w:spacing w:after="0" w:line="123" w:lineRule="exact"/>
        <w:rPr>
          <w:rFonts w:ascii="Arial" w:cs="Arial" w:eastAsia="Arial" w:hAnsi="Arial"/>
          <w:sz w:val="16"/>
          <w:szCs w:val="16"/>
          <w:color w:val="auto"/>
        </w:rPr>
      </w:pPr>
    </w:p>
    <w:p>
      <w:pPr>
        <w:ind w:right="380" w:firstLine="436"/>
        <w:spacing w:after="0" w:line="277" w:lineRule="auto"/>
        <w:tabs>
          <w:tab w:leader="none" w:pos="68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and/or (f) To provide that the Award will terminate and cannot vest, be exercised or become payable after the applicable event.</w:t>
      </w:r>
    </w:p>
    <w:p>
      <w:pPr>
        <w:spacing w:after="0" w:line="170"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Equity Restructurings</w:t>
      </w:r>
      <w:r>
        <w:rPr>
          <w:rFonts w:ascii="Arial" w:cs="Arial" w:eastAsia="Arial" w:hAnsi="Arial"/>
          <w:sz w:val="18"/>
          <w:szCs w:val="18"/>
          <w:color w:val="auto"/>
        </w:rPr>
        <w:t>. In connection with the occurrence of any Equity Restructuring, and notwithstanding anything to the contrary in this Article VIII,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shall be nondiscretionary and shall be final and binding on the affected Participant and the Company; provided that whether an adjustment is equitable shall be determined by the Administrator.</w:t>
      </w:r>
    </w:p>
    <w:p>
      <w:pPr>
        <w:spacing w:after="0" w:line="192"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Administrative Stand Still</w:t>
      </w:r>
      <w:r>
        <w:rPr>
          <w:rFonts w:ascii="Arial" w:cs="Arial" w:eastAsia="Arial" w:hAnsi="Arial"/>
          <w:sz w:val="16"/>
          <w:szCs w:val="16"/>
          <w:color w:val="auto"/>
        </w:rPr>
        <w:t>. In the event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without limitation, any Equity Restructuring, for reasons of administrative convenience the Administrator may refuse to permit the exercise of any Award during a period of up to thirty days prior to the consummation of any such transaction.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70" w:name="page371"/>
    <w:bookmarkEnd w:id="370"/>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8.5 </w:t>
      </w:r>
      <w:r>
        <w:rPr>
          <w:rFonts w:ascii="Arial" w:cs="Arial" w:eastAsia="Arial" w:hAnsi="Arial"/>
          <w:sz w:val="17"/>
          <w:szCs w:val="17"/>
          <w:u w:val="single" w:color="auto"/>
          <w:color w:val="auto"/>
        </w:rPr>
        <w:t>Miscellaneous</w:t>
      </w:r>
      <w:r>
        <w:rPr>
          <w:rFonts w:ascii="Arial" w:cs="Arial" w:eastAsia="Arial" w:hAnsi="Arial"/>
          <w:sz w:val="17"/>
          <w:szCs w:val="17"/>
          <w:color w:val="auto"/>
        </w:rPr>
        <w:t>. 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Common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Article VIII.</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 APPLICABLE TO AWARDS.</w:t>
      </w:r>
    </w:p>
    <w:p>
      <w:pPr>
        <w:spacing w:after="0" w:line="21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Transferability</w:t>
      </w:r>
      <w:r>
        <w:rPr>
          <w:rFonts w:ascii="Arial" w:cs="Arial" w:eastAsia="Arial" w:hAnsi="Arial"/>
          <w:sz w:val="18"/>
          <w:szCs w:val="18"/>
          <w:color w:val="auto"/>
        </w:rPr>
        <w:t>. Except as the Administrator may otherwise determine or provide in an Award Agreement or otherwise, in any case in accordance with Applicable Laws, Awards, including any interest therein, may not be sold, assigned, transferred, pledged or otherwise encumbered by the person to whom they are granted, either voluntarily or by operation of law, except by will or the laws of descent and distribution, and, during the life of the Participant, shall be exercisable only by the Participant. References to a Participant, to the extent relevant in the context, shall include references to authorized transferees.</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shall be evidenced in an Award Agreement, which may be in such form (written, electronic or otherwise) as the Administrator shall determine. Each Award may contain terms and conditions in addition to those set forth in the Plan.</w:t>
      </w:r>
    </w:p>
    <w:p>
      <w:pPr>
        <w:spacing w:after="0" w:line="170"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otherwise provided by the Plan,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ind w:right="220" w:firstLine="440"/>
        <w:spacing w:after="0" w:line="31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Termination of Status</w:t>
      </w:r>
      <w:r>
        <w:rPr>
          <w:rFonts w:ascii="Arial" w:cs="Arial" w:eastAsia="Arial" w:hAnsi="Arial"/>
          <w:sz w:val="16"/>
          <w:szCs w:val="16"/>
          <w:color w:val="auto"/>
        </w:rPr>
        <w:t>. The Administrator shall determine the effect on an Award 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49"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shall pay to the Company, or make provision satisfactory to the Administrator for payment of, any taxes required by law to be withheld in connection with Awards to such Participant no later than the date of the event creating the tax liability. Except as the Administrator may otherwise determine, all such payments shall be made in cash, by wire transfer of immediately available funds or by certified check. Notwithstanding the foregoing, Participants may satisfy such tax obligations, subject to Section 10.8, any Company insider trading policy (including blackout periods) and Applicable Laws, (i) to the extent permitted by the Administrator, in whole or in part by delivery of shares of Common Stock, including shares retained from the Award creating the tax obligation, valued at their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71" w:name="page372"/>
    <w:bookmarkEnd w:id="371"/>
    <w:p>
      <w:pPr>
        <w:ind w:left="4"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Market Value, and (ii) if there is a public market for shares of Common Stock at the time the tax obligations are satisfied, unless the Administrator otherwise determines, (A) delivery (including, without limitation, telephonically to the extent permitted by the Company) of an irrevocable and unconditional undertaking by a broker acceptable to the Company to deliver promptly to the Company sufficient funds to satisfy the tax obligations, or</w:t>
      </w:r>
    </w:p>
    <w:p>
      <w:pPr>
        <w:spacing w:after="0" w:line="2" w:lineRule="exact"/>
        <w:rPr>
          <w:sz w:val="20"/>
          <w:szCs w:val="20"/>
          <w:color w:val="auto"/>
        </w:rPr>
      </w:pPr>
    </w:p>
    <w:p>
      <w:pPr>
        <w:ind w:left="4" w:right="80" w:hanging="4"/>
        <w:spacing w:after="0" w:line="253" w:lineRule="auto"/>
        <w:tabs>
          <w:tab w:leader="none" w:pos="28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delivery by the Participant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Administrator. The Company may, to the extent permitted by Applicable Laws, deduct any such tax obligations based on applicable withholding rates from any payment of any kind otherwise due to a Participant.</w:t>
      </w:r>
    </w:p>
    <w:p>
      <w:pPr>
        <w:spacing w:after="0" w:line="193"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Amendment of Award</w:t>
      </w:r>
      <w:r>
        <w:rPr>
          <w:rFonts w:ascii="Arial" w:cs="Arial" w:eastAsia="Arial" w:hAnsi="Arial"/>
          <w:sz w:val="18"/>
          <w:szCs w:val="18"/>
          <w:color w:val="auto"/>
        </w:rPr>
        <w:t>. The Administrator may amend, modify or terminate any 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Article VIII and Section 10.6 hereof.</w:t>
      </w:r>
    </w:p>
    <w:p>
      <w:pPr>
        <w:spacing w:after="0" w:line="188"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without limitation, any applicable securities laws and any applicable stock exchange or stock market rules and regulations, and</w:t>
      </w:r>
    </w:p>
    <w:p>
      <w:pPr>
        <w:spacing w:after="0" w:line="1" w:lineRule="exact"/>
        <w:rPr>
          <w:sz w:val="20"/>
          <w:szCs w:val="20"/>
          <w:color w:val="auto"/>
        </w:rPr>
      </w:pPr>
    </w:p>
    <w:p>
      <w:pPr>
        <w:ind w:left="4" w:right="80" w:hanging="4"/>
        <w:spacing w:after="0" w:line="295" w:lineRule="auto"/>
        <w:tabs>
          <w:tab w:leader="none" w:pos="31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6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shall become vested and/or exercisable in full or in part, free of some or all restrictions or conditions, or otherwise realizable in full or in part, as the case may be.</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 Right To Employment or Other Status</w:t>
      </w:r>
      <w:r>
        <w:rPr>
          <w:rFonts w:ascii="Arial" w:cs="Arial" w:eastAsia="Arial" w:hAnsi="Arial"/>
          <w:sz w:val="18"/>
          <w:szCs w:val="18"/>
          <w:color w:val="auto"/>
        </w:rPr>
        <w:t>. No person shall have any claim or right 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187"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Rights As Stockholder; Certificates</w:t>
      </w:r>
      <w:r>
        <w:rPr>
          <w:rFonts w:ascii="Arial" w:cs="Arial" w:eastAsia="Arial" w:hAnsi="Arial"/>
          <w:sz w:val="17"/>
          <w:szCs w:val="17"/>
          <w:color w:val="auto"/>
        </w:rPr>
        <w:t>. Subject to the provisions of the applicable 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72" w:name="page373"/>
    <w:bookmarkEnd w:id="372"/>
    <w:p>
      <w:pPr>
        <w:ind w:left="4" w:right="2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Arial" w:cs="Arial" w:eastAsia="Arial" w:hAnsi="Arial"/>
          <w:sz w:val="18"/>
          <w:szCs w:val="18"/>
          <w:u w:val="single" w:color="auto"/>
          <w:color w:val="auto"/>
        </w:rPr>
        <w:t>Effective Date and Term of Plan</w:t>
      </w:r>
      <w:r>
        <w:rPr>
          <w:rFonts w:ascii="Arial" w:cs="Arial" w:eastAsia="Arial" w:hAnsi="Arial"/>
          <w:sz w:val="18"/>
          <w:szCs w:val="18"/>
          <w:color w:val="auto"/>
        </w:rPr>
        <w:t>. The Plan shall become effective on the date on 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187"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 xml:space="preserve">10.4 </w:t>
      </w:r>
      <w:r>
        <w:rPr>
          <w:rFonts w:ascii="Arial" w:cs="Arial" w:eastAsia="Arial" w:hAnsi="Arial"/>
          <w:sz w:val="16"/>
          <w:szCs w:val="16"/>
          <w:u w:val="single" w:color="auto"/>
          <w:color w:val="auto"/>
        </w:rPr>
        <w:t>Amendment of Plan</w:t>
      </w:r>
      <w:r>
        <w:rPr>
          <w:rFonts w:ascii="Arial" w:cs="Arial" w:eastAsia="Arial" w:hAnsi="Arial"/>
          <w:sz w:val="16"/>
          <w:szCs w:val="16"/>
          <w:color w:val="auto"/>
        </w:rPr>
        <w:t>. The Administrator may amend, suspend or terminate the Plan or any portion thereof at any time; provided that no amendment of the Plan shall materially and adversely affect (as determined by the Administrator)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61"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sz w:val="20"/>
          <w:szCs w:val="20"/>
          <w:color w:val="auto"/>
        </w:rPr>
      </w:pPr>
    </w:p>
    <w:p>
      <w:pPr>
        <w:ind w:left="4" w:right="140" w:firstLine="436"/>
        <w:spacing w:after="0" w:line="285" w:lineRule="auto"/>
        <w:tabs>
          <w:tab w:leader="none" w:pos="689" w:val="left"/>
        </w:tabs>
        <w:numPr>
          <w:ilvl w:val="1"/>
          <w:numId w:val="248"/>
        </w:numPr>
        <w:rPr>
          <w:rFonts w:ascii="Arial" w:cs="Arial" w:eastAsia="Arial" w:hAnsi="Arial"/>
          <w:sz w:val="16"/>
          <w:szCs w:val="16"/>
          <w:color w:val="auto"/>
        </w:rPr>
      </w:pPr>
      <w:r>
        <w:rPr>
          <w:rFonts w:ascii="Arial" w:cs="Arial" w:eastAsia="Arial" w:hAnsi="Arial"/>
          <w:sz w:val="16"/>
          <w:szCs w:val="16"/>
          <w:i w:val="1"/>
          <w:iCs w:val="1"/>
          <w:color w:val="auto"/>
        </w:rPr>
        <w:t xml:space="preserve">General. </w:t>
      </w:r>
      <w:r>
        <w:rPr>
          <w:rFonts w:ascii="Arial" w:cs="Arial" w:eastAsia="Arial" w:hAnsi="Arial"/>
          <w:sz w:val="16"/>
          <w:szCs w:val="16"/>
          <w:color w:val="auto"/>
        </w:rPr>
        <w:t>The Company intends that all Awards be structured in compliance with, or to satisfy an exemption from, Section 409A, such that no</w:t>
      </w:r>
      <w:r>
        <w:rPr>
          <w:rFonts w:ascii="Arial" w:cs="Arial" w:eastAsia="Arial" w:hAnsi="Arial"/>
          <w:sz w:val="16"/>
          <w:szCs w:val="16"/>
          <w:i w:val="1"/>
          <w:iCs w:val="1"/>
          <w:color w:val="auto"/>
        </w:rPr>
        <w:t xml:space="preserve"> </w:t>
      </w:r>
      <w:r>
        <w:rPr>
          <w:rFonts w:ascii="Arial" w:cs="Arial" w:eastAsia="Arial" w:hAnsi="Arial"/>
          <w:sz w:val="16"/>
          <w:szCs w:val="16"/>
          <w:color w:val="auto"/>
        </w:rPr>
        <w:t>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without limitation, amendments, policies, procedures and actions with retroactive effect) as are necessary or appropriate to preserve the intended tax treatment of Awards under the Plan, including, without limitation, any such actions intended to</w:t>
      </w:r>
    </w:p>
    <w:p>
      <w:pPr>
        <w:spacing w:after="0" w:line="1" w:lineRule="exact"/>
        <w:rPr>
          <w:rFonts w:ascii="Arial" w:cs="Arial" w:eastAsia="Arial" w:hAnsi="Arial"/>
          <w:sz w:val="16"/>
          <w:szCs w:val="16"/>
          <w:color w:val="auto"/>
        </w:rPr>
      </w:pPr>
    </w:p>
    <w:p>
      <w:pPr>
        <w:ind w:left="4" w:right="60" w:hanging="4"/>
        <w:spacing w:after="0" w:line="252" w:lineRule="auto"/>
        <w:tabs>
          <w:tab w:leader="none" w:pos="299" w:val="left"/>
        </w:tabs>
        <w:numPr>
          <w:ilvl w:val="0"/>
          <w:numId w:val="249"/>
        </w:numPr>
        <w:rPr>
          <w:rFonts w:ascii="Arial" w:cs="Arial" w:eastAsia="Arial" w:hAnsi="Arial"/>
          <w:sz w:val="18"/>
          <w:szCs w:val="18"/>
          <w:color w:val="auto"/>
        </w:rPr>
      </w:pPr>
      <w:r>
        <w:rPr>
          <w:rFonts w:ascii="Arial" w:cs="Arial" w:eastAsia="Arial" w:hAnsi="Arial"/>
          <w:sz w:val="18"/>
          <w:szCs w:val="18"/>
          <w:color w:val="auto"/>
        </w:rPr>
        <w:t>exempt this Plan and/or any Award from the application of Section 409A, and/or (B) comply with the requirements of Section 409A, including, without limitation any such regulations, guidance, compliance programs and other interpretative authority that may be issued after the date of grant of any Award. The Company makes no representations or warranties as to the tax treatment of any Award under Section 409A or otherwise. The Company shall have no obligation under this Section 10.6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192" w:lineRule="exact"/>
        <w:rPr>
          <w:rFonts w:ascii="Arial" w:cs="Arial" w:eastAsia="Arial" w:hAnsi="Arial"/>
          <w:sz w:val="18"/>
          <w:szCs w:val="18"/>
          <w:color w:val="auto"/>
        </w:rPr>
      </w:pPr>
    </w:p>
    <w:p>
      <w:pPr>
        <w:ind w:left="4" w:right="100" w:firstLine="436"/>
        <w:spacing w:after="0" w:line="255" w:lineRule="auto"/>
        <w:tabs>
          <w:tab w:leader="none" w:pos="699" w:val="left"/>
        </w:tabs>
        <w:numPr>
          <w:ilvl w:val="1"/>
          <w:numId w:val="249"/>
        </w:numPr>
        <w:rPr>
          <w:rFonts w:ascii="Arial" w:cs="Arial" w:eastAsia="Arial" w:hAnsi="Arial"/>
          <w:sz w:val="18"/>
          <w:szCs w:val="18"/>
          <w:color w:val="auto"/>
        </w:rPr>
      </w:pPr>
      <w:r>
        <w:rPr>
          <w:rFonts w:ascii="Arial" w:cs="Arial" w:eastAsia="Arial" w:hAnsi="Arial"/>
          <w:sz w:val="18"/>
          <w:szCs w:val="18"/>
          <w:i w:val="1"/>
          <w:iCs w:val="1"/>
          <w:color w:val="auto"/>
        </w:rPr>
        <w:t xml:space="preserve">Separation from Service. </w:t>
      </w:r>
      <w:r>
        <w:rPr>
          <w:rFonts w:ascii="Arial" w:cs="Arial" w:eastAsia="Arial" w:hAnsi="Arial"/>
          <w:sz w:val="18"/>
          <w:szCs w:val="18"/>
          <w:color w:val="auto"/>
        </w:rPr>
        <w:t>With respect to any Award that constitutes “nonqualified deferred compensation” under Section 409A, any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73" w:name="page374"/>
    <w:bookmarkEnd w:id="373"/>
    <w:p>
      <w:pPr>
        <w:ind w:firstLine="436"/>
        <w:spacing w:after="0" w:line="271" w:lineRule="auto"/>
        <w:tabs>
          <w:tab w:leader="none" w:pos="685" w:val="left"/>
        </w:tabs>
        <w:numPr>
          <w:ilvl w:val="0"/>
          <w:numId w:val="250"/>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Payments to Specified Employees. </w:t>
      </w:r>
      <w:r>
        <w:rPr>
          <w:rFonts w:ascii="Arial" w:cs="Arial" w:eastAsia="Arial" w:hAnsi="Arial"/>
          <w:sz w:val="17"/>
          <w:szCs w:val="17"/>
          <w:color w:val="auto"/>
        </w:rPr>
        <w:t>Notwithstanding any contrary provision in the Plan or any Award Agreement, any payment(s) of</w:t>
      </w:r>
      <w:r>
        <w:rPr>
          <w:rFonts w:ascii="Arial" w:cs="Arial" w:eastAsia="Arial" w:hAnsi="Arial"/>
          <w:sz w:val="17"/>
          <w:szCs w:val="17"/>
          <w:i w:val="1"/>
          <w:iCs w:val="1"/>
          <w:color w:val="auto"/>
        </w:rPr>
        <w:t xml:space="preserve"> </w:t>
      </w:r>
      <w:r>
        <w:rPr>
          <w:rFonts w:ascii="Arial" w:cs="Arial" w:eastAsia="Arial" w:hAnsi="Arial"/>
          <w:sz w:val="17"/>
          <w:szCs w:val="17"/>
          <w:color w:val="auto"/>
        </w:rPr>
        <w:t>“nonqualified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10.7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without limitation, attorneys’ fees) or liability (including, without limitation, any sum paid in settlement of a claim with the Administrator’s approval) arising out of any act or omission to act concerning this Plan unless arising out of such person’s own fraud or bad faith.</w:t>
      </w:r>
    </w:p>
    <w:p>
      <w:pPr>
        <w:spacing w:after="0" w:line="17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Lock-Up Period</w:t>
      </w:r>
      <w:r>
        <w:rPr>
          <w:rFonts w:ascii="Arial" w:cs="Arial" w:eastAsia="Arial" w:hAnsi="Arial"/>
          <w:sz w:val="16"/>
          <w:szCs w:val="16"/>
          <w:color w:val="auto"/>
        </w:rPr>
        <w:t>. By accepting an Award, each Participant agrees that the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Each Participant further agrees to execute such agreements as may be reasonably requested by the underwriters in connection with such registration that are consistent with this Section or that are necessary to give further effect thereto.</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74" w:name="page375"/>
    <w:bookmarkEnd w:id="37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10.9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91" w:lineRule="auto"/>
        <w:tabs>
          <w:tab w:leader="none" w:pos="689" w:val="left"/>
        </w:tabs>
        <w:numPr>
          <w:ilvl w:val="0"/>
          <w:numId w:val="251"/>
        </w:numPr>
        <w:rPr>
          <w:rFonts w:ascii="Arial" w:cs="Arial" w:eastAsia="Arial" w:hAnsi="Arial"/>
          <w:sz w:val="16"/>
          <w:szCs w:val="16"/>
          <w:color w:val="auto"/>
        </w:rPr>
      </w:pPr>
      <w:r>
        <w:rPr>
          <w:rFonts w:ascii="Arial" w:cs="Arial" w:eastAsia="Arial" w:hAnsi="Arial"/>
          <w:sz w:val="16"/>
          <w:szCs w:val="16"/>
          <w:color w:val="auto"/>
        </w:rPr>
        <w:t>Before any shares of Common Stock held by a Participant or any permitted transferee (each, a “</w:t>
      </w:r>
      <w:r>
        <w:rPr>
          <w:rFonts w:ascii="Arial" w:cs="Arial" w:eastAsia="Arial" w:hAnsi="Arial"/>
          <w:sz w:val="16"/>
          <w:szCs w:val="16"/>
          <w:b w:val="1"/>
          <w:bCs w:val="1"/>
          <w:i w:val="1"/>
          <w:iCs w:val="1"/>
          <w:color w:val="auto"/>
        </w:rPr>
        <w:t>Holder</w:t>
      </w:r>
      <w:r>
        <w:rPr>
          <w:rFonts w:ascii="Arial" w:cs="Arial" w:eastAsia="Arial" w:hAnsi="Arial"/>
          <w:sz w:val="16"/>
          <w:szCs w:val="16"/>
          <w:color w:val="auto"/>
        </w:rPr>
        <w:t>”) may be sold, pledged, assigned, hypothecated, transferred, or otherwise disposed of (each, a “</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the Company or its assignee(s) shall have a right of first refusal to purchase the shares of Common Stock proposed to be Transferred on the terms and conditions set forth in this Section 10.9 (the “</w:t>
      </w:r>
      <w:r>
        <w:rPr>
          <w:rFonts w:ascii="Arial" w:cs="Arial" w:eastAsia="Arial" w:hAnsi="Arial"/>
          <w:sz w:val="16"/>
          <w:szCs w:val="16"/>
          <w:b w:val="1"/>
          <w:bCs w:val="1"/>
          <w:i w:val="1"/>
          <w:iCs w:val="1"/>
          <w:color w:val="auto"/>
        </w:rPr>
        <w:t>Right of First Refusal</w:t>
      </w:r>
      <w:r>
        <w:rPr>
          <w:rFonts w:ascii="Arial" w:cs="Arial" w:eastAsia="Arial" w:hAnsi="Arial"/>
          <w:sz w:val="16"/>
          <w:szCs w:val="16"/>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10.9 and the Right of First Refusal set forth in this Section 10.9 shall not in any way restrict the operation of the Company’s charter, bylaws or the operation of any applicable stockholders’ agreement.</w:t>
      </w:r>
    </w:p>
    <w:p>
      <w:pPr>
        <w:spacing w:after="0" w:line="166" w:lineRule="exact"/>
        <w:rPr>
          <w:rFonts w:ascii="Arial" w:cs="Arial" w:eastAsia="Arial" w:hAnsi="Arial"/>
          <w:sz w:val="16"/>
          <w:szCs w:val="16"/>
          <w:color w:val="auto"/>
        </w:rPr>
      </w:pPr>
    </w:p>
    <w:p>
      <w:pPr>
        <w:ind w:left="704" w:hanging="264"/>
        <w:spacing w:after="0"/>
        <w:tabs>
          <w:tab w:leader="none" w:pos="704"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the event any Holder desires to Transfer any shares of Common Stock, the Holder shall deliver to the Company a written notice (the</w:t>
      </w:r>
    </w:p>
    <w:p>
      <w:pPr>
        <w:spacing w:after="0" w:line="35" w:lineRule="exact"/>
        <w:rPr>
          <w:sz w:val="20"/>
          <w:szCs w:val="20"/>
          <w:color w:val="auto"/>
        </w:rPr>
      </w:pPr>
    </w:p>
    <w:p>
      <w:pPr>
        <w:ind w:left="4" w:right="12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Notice</w:t>
      </w:r>
      <w:r>
        <w:rPr>
          <w:rFonts w:ascii="Arial" w:cs="Arial" w:eastAsia="Arial" w:hAnsi="Arial"/>
          <w:sz w:val="16"/>
          <w:szCs w:val="16"/>
          <w:color w:val="auto"/>
        </w:rPr>
        <w:t>”) stating: (A) the Holder’s bona fide intention to sell or otherwise Transfer such shares of Common Stock; (B) the name of each proposed purchaser or other transferee (“</w:t>
      </w:r>
      <w:r>
        <w:rPr>
          <w:rFonts w:ascii="Arial" w:cs="Arial" w:eastAsia="Arial" w:hAnsi="Arial"/>
          <w:sz w:val="16"/>
          <w:szCs w:val="16"/>
          <w:b w:val="1"/>
          <w:bCs w:val="1"/>
          <w:i w:val="1"/>
          <w:iCs w:val="1"/>
          <w:color w:val="auto"/>
        </w:rPr>
        <w:t>Proposed Transferee</w:t>
      </w:r>
      <w:r>
        <w:rPr>
          <w:rFonts w:ascii="Arial" w:cs="Arial" w:eastAsia="Arial" w:hAnsi="Arial"/>
          <w:sz w:val="16"/>
          <w:szCs w:val="16"/>
          <w:color w:val="auto"/>
        </w:rPr>
        <w:t>”); (C) the number of shares of Common Stock to be Transferred to each Proposed Transferee; and</w:t>
      </w:r>
    </w:p>
    <w:p>
      <w:pPr>
        <w:spacing w:after="0" w:line="1" w:lineRule="exact"/>
        <w:rPr>
          <w:sz w:val="20"/>
          <w:szCs w:val="20"/>
          <w:color w:val="auto"/>
        </w:rPr>
      </w:pPr>
    </w:p>
    <w:p>
      <w:pPr>
        <w:ind w:left="4" w:right="300" w:hanging="4"/>
        <w:spacing w:after="0" w:line="260" w:lineRule="auto"/>
        <w:tabs>
          <w:tab w:leader="none" w:pos="29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price for which the Holder proposes to Transfer the shares of Common Stock (the “</w:t>
      </w:r>
      <w:r>
        <w:rPr>
          <w:rFonts w:ascii="Arial" w:cs="Arial" w:eastAsia="Arial" w:hAnsi="Arial"/>
          <w:sz w:val="18"/>
          <w:szCs w:val="18"/>
          <w:b w:val="1"/>
          <w:bCs w:val="1"/>
          <w:i w:val="1"/>
          <w:iCs w:val="1"/>
          <w:color w:val="auto"/>
        </w:rPr>
        <w:t>Offered Price</w:t>
      </w:r>
      <w:r>
        <w:rPr>
          <w:rFonts w:ascii="Arial" w:cs="Arial" w:eastAsia="Arial" w:hAnsi="Arial"/>
          <w:sz w:val="18"/>
          <w:szCs w:val="18"/>
          <w:color w:val="auto"/>
        </w:rPr>
        <w:t>”), and the Holder shall offer such shares of Common Stock at the Offered Price to the Company or its assignee(s).</w:t>
      </w:r>
    </w:p>
    <w:p>
      <w:pPr>
        <w:spacing w:after="0" w:line="185" w:lineRule="exact"/>
        <w:rPr>
          <w:rFonts w:ascii="Arial" w:cs="Arial" w:eastAsia="Arial" w:hAnsi="Arial"/>
          <w:sz w:val="18"/>
          <w:szCs w:val="18"/>
          <w:color w:val="auto"/>
        </w:rPr>
      </w:pPr>
    </w:p>
    <w:p>
      <w:pPr>
        <w:jc w:val="both"/>
        <w:ind w:left="4" w:right="40" w:firstLine="436"/>
        <w:spacing w:after="0" w:line="259" w:lineRule="auto"/>
        <w:tabs>
          <w:tab w:leader="none" w:pos="68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Within twenty-five days after receipt of the Notice, the Company and/or its assignee(s) may elect in writing to purchase all, or any portion of the shares of Common Stock proposed to be Transferred to any one or more of the Proposed Transferees by delivery of a written exercise notice to the Holder (a “</w:t>
      </w:r>
      <w:r>
        <w:rPr>
          <w:rFonts w:ascii="Arial" w:cs="Arial" w:eastAsia="Arial" w:hAnsi="Arial"/>
          <w:sz w:val="18"/>
          <w:szCs w:val="18"/>
          <w:b w:val="1"/>
          <w:bCs w:val="1"/>
          <w:i w:val="1"/>
          <w:iCs w:val="1"/>
          <w:color w:val="auto"/>
        </w:rPr>
        <w:t>Company Notice</w:t>
      </w:r>
      <w:r>
        <w:rPr>
          <w:rFonts w:ascii="Arial" w:cs="Arial" w:eastAsia="Arial" w:hAnsi="Arial"/>
          <w:sz w:val="18"/>
          <w:szCs w:val="18"/>
          <w:color w:val="auto"/>
        </w:rPr>
        <w:t>”). The purchase price (“</w:t>
      </w:r>
      <w:r>
        <w:rPr>
          <w:rFonts w:ascii="Arial" w:cs="Arial" w:eastAsia="Arial" w:hAnsi="Arial"/>
          <w:sz w:val="18"/>
          <w:szCs w:val="18"/>
          <w:b w:val="1"/>
          <w:bCs w:val="1"/>
          <w:i w:val="1"/>
          <w:iCs w:val="1"/>
          <w:color w:val="auto"/>
        </w:rPr>
        <w:t>Purchase Price</w:t>
      </w:r>
      <w:r>
        <w:rPr>
          <w:rFonts w:ascii="Arial" w:cs="Arial" w:eastAsia="Arial" w:hAnsi="Arial"/>
          <w:sz w:val="18"/>
          <w:szCs w:val="18"/>
          <w:color w:val="auto"/>
        </w:rPr>
        <w:t>”) for the shares of Common Stock repurchased under this Section 10.9 shall be the Offered Price.</w:t>
      </w:r>
    </w:p>
    <w:p>
      <w:pPr>
        <w:spacing w:after="0" w:line="186" w:lineRule="exact"/>
        <w:rPr>
          <w:rFonts w:ascii="Arial" w:cs="Arial" w:eastAsia="Arial" w:hAnsi="Arial"/>
          <w:sz w:val="18"/>
          <w:szCs w:val="18"/>
          <w:color w:val="auto"/>
        </w:rPr>
      </w:pPr>
    </w:p>
    <w:p>
      <w:pPr>
        <w:ind w:left="4" w:right="60" w:firstLine="436"/>
        <w:spacing w:after="0" w:line="296" w:lineRule="auto"/>
        <w:tabs>
          <w:tab w:leader="none" w:pos="699" w:val="left"/>
        </w:tabs>
        <w:numPr>
          <w:ilvl w:val="1"/>
          <w:numId w:val="252"/>
        </w:numPr>
        <w:rPr>
          <w:rFonts w:ascii="Arial" w:cs="Arial" w:eastAsia="Arial" w:hAnsi="Arial"/>
          <w:sz w:val="16"/>
          <w:szCs w:val="16"/>
          <w:color w:val="auto"/>
        </w:rPr>
      </w:pPr>
      <w:r>
        <w:rPr>
          <w:rFonts w:ascii="Arial" w:cs="Arial" w:eastAsia="Arial" w:hAnsi="Arial"/>
          <w:sz w:val="16"/>
          <w:szCs w:val="16"/>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61" w:lineRule="exact"/>
        <w:rPr>
          <w:rFonts w:ascii="Arial" w:cs="Arial" w:eastAsia="Arial" w:hAnsi="Arial"/>
          <w:sz w:val="16"/>
          <w:szCs w:val="16"/>
          <w:color w:val="auto"/>
        </w:rPr>
      </w:pPr>
    </w:p>
    <w:p>
      <w:pPr>
        <w:ind w:left="4" w:right="20" w:firstLine="436"/>
        <w:spacing w:after="0" w:line="270" w:lineRule="auto"/>
        <w:tabs>
          <w:tab w:leader="none" w:pos="689" w:val="left"/>
        </w:tabs>
        <w:numPr>
          <w:ilvl w:val="1"/>
          <w:numId w:val="252"/>
        </w:numPr>
        <w:rPr>
          <w:rFonts w:ascii="Arial" w:cs="Arial" w:eastAsia="Arial" w:hAnsi="Arial"/>
          <w:sz w:val="17"/>
          <w:szCs w:val="17"/>
          <w:color w:val="auto"/>
        </w:rPr>
      </w:pPr>
      <w:r>
        <w:rPr>
          <w:rFonts w:ascii="Arial" w:cs="Arial" w:eastAsia="Arial" w:hAnsi="Arial"/>
          <w:sz w:val="17"/>
          <w:szCs w:val="17"/>
          <w:color w:val="auto"/>
        </w:rPr>
        <w:t>If all or a portion of the shares of Common Stock proposed in the Notice to be Transferred are not purchased by the Company and/or its assignee(s) as provided in this Section 10.9,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 herein, before any shares of Common Stock held by the Holder may be sold or otherwise Transferred.</w:t>
      </w:r>
    </w:p>
    <w:p>
      <w:pPr>
        <w:spacing w:after="0" w:line="180" w:lineRule="exact"/>
        <w:rPr>
          <w:rFonts w:ascii="Arial" w:cs="Arial" w:eastAsia="Arial" w:hAnsi="Arial"/>
          <w:sz w:val="17"/>
          <w:szCs w:val="17"/>
          <w:color w:val="auto"/>
        </w:rPr>
      </w:pPr>
    </w:p>
    <w:p>
      <w:pPr>
        <w:jc w:val="both"/>
        <w:ind w:left="4" w:right="20" w:firstLine="436"/>
        <w:spacing w:after="0" w:line="263" w:lineRule="auto"/>
        <w:tabs>
          <w:tab w:leader="none" w:pos="669"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Anything to the contrary contained in this Section 10.9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75" w:name="page376"/>
    <w:bookmarkEnd w:id="375"/>
    <w:p>
      <w:pPr>
        <w:ind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First Refusal. As used herein, “</w:t>
      </w:r>
      <w:r>
        <w:rPr>
          <w:rFonts w:ascii="Arial" w:cs="Arial" w:eastAsia="Arial" w:hAnsi="Arial"/>
          <w:sz w:val="17"/>
          <w:szCs w:val="17"/>
          <w:b w:val="1"/>
          <w:bCs w:val="1"/>
          <w:i w:val="1"/>
          <w:iCs w:val="1"/>
          <w:color w:val="auto"/>
        </w:rPr>
        <w:t>Immediat</w:t>
      </w: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Family</w:t>
      </w:r>
      <w:r>
        <w:rPr>
          <w:rFonts w:ascii="Arial" w:cs="Arial" w:eastAsia="Arial" w:hAnsi="Arial"/>
          <w:sz w:val="17"/>
          <w:szCs w:val="17"/>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without limitation, the Right of First Refusal), the applicable Award Agreement and any other applicable agreements governing the shares of Common Stock to be Transferred, and there shall be no further Transfer of such shares of Common Stock except in accordance with the terms of this Section 10.9 (or otherwise as expressly provided under the Plan).</w:t>
      </w:r>
    </w:p>
    <w:p>
      <w:pPr>
        <w:spacing w:after="0" w:line="176" w:lineRule="exact"/>
        <w:rPr>
          <w:sz w:val="20"/>
          <w:szCs w:val="20"/>
          <w:color w:val="auto"/>
        </w:rPr>
      </w:pPr>
    </w:p>
    <w:p>
      <w:pPr>
        <w:ind w:right="220" w:firstLine="436"/>
        <w:spacing w:after="0" w:line="277" w:lineRule="auto"/>
        <w:tabs>
          <w:tab w:leader="none" w:pos="69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Right of First Refusal shall terminate as to all shares of Common Stock if the Company becomes a Publicly Listed Company upon such occurrence.</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Data Privacy</w:t>
      </w:r>
      <w:r>
        <w:rPr>
          <w:rFonts w:ascii="Arial" w:cs="Arial" w:eastAsia="Arial" w:hAnsi="Arial"/>
          <w:sz w:val="16"/>
          <w:szCs w:val="16"/>
          <w:color w:val="auto"/>
        </w:rPr>
        <w:t>. As a condition of receipt of any Award, each Participant explicitly 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Arial" w:cs="Arial" w:eastAsia="Arial" w:hAnsi="Arial"/>
          <w:sz w:val="16"/>
          <w:szCs w:val="16"/>
          <w:b w:val="1"/>
          <w:bCs w:val="1"/>
          <w:i w:val="1"/>
          <w:iCs w:val="1"/>
          <w:color w:val="auto"/>
        </w:rPr>
        <w:t>Data</w:t>
      </w:r>
      <w:r>
        <w:rPr>
          <w:rFonts w:ascii="Arial" w:cs="Arial" w:eastAsia="Arial" w:hAnsi="Arial"/>
          <w:sz w:val="16"/>
          <w:szCs w:val="16"/>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without limitation,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182"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any portion of the Plan or any action taken pursuant 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84" w:lineRule="exact"/>
        <w:rPr>
          <w:sz w:val="20"/>
          <w:szCs w:val="20"/>
          <w:color w:val="auto"/>
        </w:rPr>
      </w:pPr>
    </w:p>
    <w:p>
      <w:pPr>
        <w:ind w:right="460" w:firstLine="440"/>
        <w:spacing w:after="0" w:line="311"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Governing Documents</w:t>
      </w:r>
      <w:r>
        <w:rPr>
          <w:rFonts w:ascii="Arial" w:cs="Arial" w:eastAsia="Arial" w:hAnsi="Arial"/>
          <w:sz w:val="16"/>
          <w:szCs w:val="16"/>
          <w:color w:val="auto"/>
        </w:rPr>
        <w:t>. In the event of any contradiction between the Plan and any 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6" w:name="page377"/>
    <w:bookmarkEnd w:id="376"/>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10.13 </w:t>
      </w:r>
      <w:r>
        <w:rPr>
          <w:rFonts w:ascii="Arial" w:cs="Arial" w:eastAsia="Arial" w:hAnsi="Arial"/>
          <w:sz w:val="17"/>
          <w:szCs w:val="17"/>
          <w:u w:val="single" w:color="auto"/>
          <w:color w:val="auto"/>
        </w:rPr>
        <w:t>Submission to Jurisdiction; Waiver of Jury Trial</w:t>
      </w:r>
      <w:r>
        <w:rPr>
          <w:rFonts w:ascii="Arial" w:cs="Arial" w:eastAsia="Arial" w:hAnsi="Arial"/>
          <w:sz w:val="17"/>
          <w:szCs w:val="17"/>
          <w:color w:val="auto"/>
        </w:rPr>
        <w:t>. By accepting an Award, each Participant irrevocably and unconditionally consents to submit to the exclusive jurisdiction of the courts of the State of Delaware and of the United States of America, in each case located in the State of Delaware, for any action arising out of or relating to the Plan (and agrees not to commence any litigation relating thereto except in such courts), and further agrees that service of any process, summons, notice or document by U.S. registered mail to the address contained in the records of the Company shall be effective service of process for any litigation brought against it in any such court. By accepting an Award, each Participant irrevocably and unconditionally waives any objection to the laying of venue of any litigation arising out of Plan or Award hereunder in the courts of the State of Delaware or the United States of America, in each case located in the State of Delaware, and further irrevocably and unconditionally waives and agrees not to plead or claim in any such court that any such litigation brought in any such court has been brought in an inconvenient forum. By accepting an Award, each Participant irrevocably and unconditionally waives, to the fullest extent permitted by applicable law, any and all rights to trial by jury in connection with any litigation arising out of or relating to the Plan or any Award hereunder.</w:t>
      </w:r>
    </w:p>
    <w:p>
      <w:pPr>
        <w:spacing w:after="0" w:line="185"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Governing Law</w:t>
      </w:r>
      <w:r>
        <w:rPr>
          <w:rFonts w:ascii="Arial" w:cs="Arial" w:eastAsia="Arial" w:hAnsi="Arial"/>
          <w:sz w:val="18"/>
          <w:szCs w:val="18"/>
          <w:color w:val="auto"/>
        </w:rPr>
        <w:t>. The provisions of the Plan and all Awards made hereunder shall be governed by and interpreted in accordance with the laws of the State of Delaware, disregarding choice-of-law principles of the law of any state that would require the application of the laws of a jurisdiction other than such state.</w:t>
      </w:r>
    </w:p>
    <w:p>
      <w:pPr>
        <w:spacing w:after="0" w:line="18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10.15 </w:t>
      </w:r>
      <w:r>
        <w:rPr>
          <w:rFonts w:ascii="Arial" w:cs="Arial" w:eastAsia="Arial" w:hAnsi="Arial"/>
          <w:sz w:val="16"/>
          <w:szCs w:val="16"/>
          <w:u w:val="single" w:color="auto"/>
          <w:color w:val="auto"/>
        </w:rPr>
        <w:t>Restrictions on Shares; Claw-back Provisions</w:t>
      </w:r>
      <w:r>
        <w:rPr>
          <w:rFonts w:ascii="Arial" w:cs="Arial" w:eastAsia="Arial" w:hAnsi="Arial"/>
          <w:sz w:val="16"/>
          <w:szCs w:val="16"/>
          <w:color w:val="auto"/>
        </w:rPr>
        <w:t>. Awards and shares of Common Stock acquired in respect of Awards shall be subject to such terms and conditions as the Administrator shall determine, including, without limitation, restrictions on the transferability of Awards or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without limitation,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6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and, in the event of any conflict, the text of the Plan, rather than such titles or headings, shall control.</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10.17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4" w:right="499" w:bottom="1440" w:gutter="0" w:footer="0" w:header="0"/>
        </w:sectPr>
      </w:pPr>
    </w:p>
    <w:bookmarkStart w:id="377" w:name="page378"/>
    <w:bookmarkEnd w:id="377"/>
    <w:p>
      <w:pPr>
        <w:ind w:left="49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i w:val="1"/>
          <w:iCs w:val="1"/>
          <w:color w:val="auto"/>
        </w:rPr>
        <w:t>Administrator</w:t>
      </w:r>
      <w:r>
        <w:rPr>
          <w:rFonts w:ascii="Arial" w:cs="Arial" w:eastAsia="Arial" w:hAnsi="Arial"/>
          <w:sz w:val="18"/>
          <w:szCs w:val="18"/>
          <w:color w:val="auto"/>
        </w:rPr>
        <w:t>” means the Board or a Committee to the extent that the Board’s powers or authority under the Plan have been delegated to such Committee.</w:t>
      </w:r>
    </w:p>
    <w:p>
      <w:pPr>
        <w:spacing w:after="0" w:line="170" w:lineRule="exact"/>
        <w:rPr>
          <w:sz w:val="20"/>
          <w:szCs w:val="20"/>
          <w:color w:val="auto"/>
        </w:rPr>
      </w:pPr>
    </w:p>
    <w:p>
      <w:pPr>
        <w:jc w:val="both"/>
        <w:ind w:right="40" w:firstLine="440"/>
        <w:spacing w:after="0" w:line="311" w:lineRule="auto"/>
        <w:rPr>
          <w:sz w:val="20"/>
          <w:szCs w:val="20"/>
          <w:color w:val="auto"/>
        </w:rPr>
      </w:pPr>
      <w:r>
        <w:rPr>
          <w:rFonts w:ascii="Arial" w:cs="Arial" w:eastAsia="Arial" w:hAnsi="Arial"/>
          <w:sz w:val="16"/>
          <w:szCs w:val="16"/>
          <w:color w:val="auto"/>
        </w:rPr>
        <w:t>11.2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49"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means, individually or collectively, a grant under the Plan of Options, Restricted Stock, Restricted Stock Units or Other Stock-Based Awards.</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11.4 “</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agreement evidencing an Award, which agreements may be in electronic medium and shall contain such terms and conditions with respect to an Award as the Administrator shall determine, consistent with and subject to the terms and conditions of the Plan.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without limitation,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 majority of the voting securities in the successor corporation or its parent immediately after the merger or consolidation; (B) a sale, lease, exchange or other transaction in one transaction or a series of related transactions of all or substantially all of the Company’s assets to an affiliate of the Company; (C) an initial public offering of any of the Company’s securities or any other transaction or series of related transactions principally for bona fide equity financing purposes;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Section 1.409A-3(i)(5)) in order to give rise to the payment or settlement event for such Award, to the extent required by Section 409A.</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and the regulations issued thereunder.</w:t>
      </w:r>
    </w:p>
    <w:p>
      <w:pPr>
        <w:spacing w:after="0" w:line="225"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or the Company, which may be comprised of one or more directors and/or executive officers of the Company, in either case, to the extent permitted in accordance with Applicable Laws.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78" w:name="page379"/>
    <w:bookmarkEnd w:id="3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Adagio Therapeutics, Inc., a 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87"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xml:space="preserve">” means any person, including, without limitation, any advisor, engaged by the Company or a parent or subsidiary of the Company to render services to such entity if: (i) the consultant or adviser renders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services to the Company; (ii) the services rendered by the consultant or advisor are not in connection with the offer or sale of securities in a capital-raising transaction and do not directly or indirectly promote or maintain a market for the Company’s securities; and (iii) the consultant or advisor is a natural person, or such other advisor or consultant as is approved by the Administrator.</w:t>
      </w:r>
    </w:p>
    <w:p>
      <w:pPr>
        <w:spacing w:after="0" w:line="188"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designated, in a 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Disability</w:t>
      </w:r>
      <w:r>
        <w:rPr>
          <w:rFonts w:ascii="Arial" w:cs="Arial" w:eastAsia="Arial" w:hAnsi="Arial"/>
          <w:sz w:val="16"/>
          <w:szCs w:val="16"/>
          <w:color w:val="auto"/>
        </w:rPr>
        <w:t>” means a permanent and total disability within the meaning of Section 22(e)(3) of the Code, as it may be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i w:val="1"/>
          <w:iCs w:val="1"/>
          <w:color w:val="auto"/>
        </w:rPr>
        <w:t>Dividend Equivalents</w:t>
      </w:r>
      <w:r>
        <w:rPr>
          <w:rFonts w:ascii="Arial" w:cs="Arial" w:eastAsia="Arial" w:hAnsi="Arial"/>
          <w:sz w:val="18"/>
          <w:szCs w:val="18"/>
          <w:color w:val="auto"/>
        </w:rPr>
        <w:t>” means a right granted to a Participant pursuant to Section 6.4(c) hereof to receive the equivalent value (in cash or shares of Common Stock) of dividends paid on shares of Common Stock.</w:t>
      </w:r>
    </w:p>
    <w:p>
      <w:pPr>
        <w:spacing w:after="0" w:line="170" w:lineRule="exact"/>
        <w:rPr>
          <w:sz w:val="20"/>
          <w:szCs w:val="20"/>
          <w:color w:val="auto"/>
        </w:rPr>
      </w:pPr>
    </w:p>
    <w:p>
      <w:pPr>
        <w:ind w:right="380" w:firstLine="440"/>
        <w:spacing w:after="0" w:line="277"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without limitation, officers and Directors, employed by the Company (within the meaning of Section 3401(c) of the Code) or any parent or subsidiary of the Company.</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as determined by the Administrator, a non-reciprocal transaction between the Company and its stockholders, such as a stock dividend, stock split, spin-off or recapitalization through a large, nonrecurring cash dividend, that affects the shares of Common Stock (or other securities of the Company) or the share price of Common Stock (or other securities of the Company) and causes a change in the per share value of the Common Stock underlying outstanding Awards.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11.19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means, as of any date, the value of a share of Common Stock determined as follows: (i) if the Common Stock is listed on any established stock exchange, its Fair Market Value shall be the closing sales price for a share of such Common Stock as quoted on such exchange for such date, or if no sale occurred on such date, the first market trading day immediately prior to such date during which a sale occurred,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such other source as the Administrator deems reliable; (ii) if the Common Stock is not traded on a stock exchange but is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quoted on a national market or other quotation system, the last sales price for a share of Common Stock on such date, or if no sales occurred on such date, then on the date immediately prior to such date on which sales prices are reported, as reported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or such other source as the Administrator deems reliable; or (iii) in the absence of an established market for the Common Stock, the Fair Market Value thereof shall be determined by the Administrator in its sole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79" w:name="page380"/>
    <w:bookmarkEnd w:id="37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11.20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“incentive stock option” as defined in Section 422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11.21 “</w:t>
      </w:r>
      <w:r>
        <w:rPr>
          <w:rFonts w:ascii="Arial" w:cs="Arial" w:eastAsia="Arial" w:hAnsi="Arial"/>
          <w:sz w:val="17"/>
          <w:szCs w:val="17"/>
          <w:b w:val="1"/>
          <w:bCs w:val="1"/>
          <w:i w:val="1"/>
          <w:iCs w:val="1"/>
          <w:color w:val="auto"/>
        </w:rPr>
        <w:t>Non-Qualified Stock Option</w:t>
      </w:r>
      <w:r>
        <w:rPr>
          <w:rFonts w:ascii="Arial" w:cs="Arial" w:eastAsia="Arial" w:hAnsi="Arial"/>
          <w:sz w:val="17"/>
          <w:szCs w:val="17"/>
          <w:color w:val="auto"/>
        </w:rPr>
        <w:t>” means an Option that is not intended to be or otherwise does not qualify as an Incentive Stock Option.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an option to purchase Common Stock.</w:t>
      </w:r>
    </w:p>
    <w:p>
      <w:pPr>
        <w:spacing w:after="0" w:line="225"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11.23 “</w:t>
      </w: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means other Awards of shares of Common Stock, and other Awards that are valued in whole or in part by reference to, or are otherwise based on, shares of Common Stock or other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 under the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Equity Incentive Plan.</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i w:val="1"/>
          <w:iCs w:val="1"/>
          <w:color w:val="auto"/>
        </w:rPr>
        <w:t>Publicly Listed Company</w:t>
      </w:r>
      <w:r>
        <w:rPr>
          <w:rFonts w:ascii="Arial" w:cs="Arial" w:eastAsia="Arial" w:hAnsi="Arial"/>
          <w:sz w:val="18"/>
          <w:szCs w:val="18"/>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interdealer quotation system.</w:t>
      </w:r>
    </w:p>
    <w:p>
      <w:pPr>
        <w:spacing w:after="0" w:line="184"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means Common Stock awarded to a Participant pursuant to Section 6.1 hereof that is subject to certain vesting conditions and other restrictions.</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11.28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of Common Stock or an amount in cash or other consideration determined by the Administrator equal to the value thereof as of such payment date, which right may be subject to certain vesting conditions and other restrictions.</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all regulations, guidance, compliance programs and other interpretative authority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 the date the Participant ceases to be a Service Provider.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380" w:name="page381"/>
    <w:bookmarkEnd w:id="380"/>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CALIFORNIA SUPPLEMENT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supplement is intended to satisfy the requirements of Section 25102(o) of the California Corporations Code and the regulations issued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thereunder (“</w:t>
      </w:r>
      <w:r>
        <w:rPr>
          <w:rFonts w:ascii="Arial" w:cs="Arial" w:eastAsia="Arial" w:hAnsi="Arial"/>
          <w:sz w:val="17"/>
          <w:szCs w:val="17"/>
          <w:b w:val="1"/>
          <w:bCs w:val="1"/>
          <w:i w:val="1"/>
          <w:iCs w:val="1"/>
          <w:color w:val="auto"/>
        </w:rPr>
        <w:t>Section 25102(o)</w:t>
      </w:r>
      <w:r>
        <w:rPr>
          <w:rFonts w:ascii="Arial" w:cs="Arial" w:eastAsia="Arial" w:hAnsi="Arial"/>
          <w:sz w:val="17"/>
          <w:szCs w:val="17"/>
          <w:color w:val="auto"/>
        </w:rPr>
        <w:t>”). Notwithstanding anything to the contrary contained in the Plan and except as otherwise determined by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Administrator, the provisions set forth in this supplement shall apply to all Awards granted under the Plan to a Participant who is a resident of the State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California on the date of grant (a “</w:t>
      </w:r>
      <w:r>
        <w:rPr>
          <w:rFonts w:ascii="Arial" w:cs="Arial" w:eastAsia="Arial" w:hAnsi="Arial"/>
          <w:sz w:val="17"/>
          <w:szCs w:val="17"/>
          <w:b w:val="1"/>
          <w:bCs w:val="1"/>
          <w:i w:val="1"/>
          <w:iCs w:val="1"/>
          <w:color w:val="auto"/>
        </w:rPr>
        <w:t>California Participant</w:t>
      </w:r>
      <w:r>
        <w:rPr>
          <w:rFonts w:ascii="Arial" w:cs="Arial" w:eastAsia="Arial" w:hAnsi="Arial"/>
          <w:sz w:val="17"/>
          <w:szCs w:val="17"/>
          <w:color w:val="auto"/>
        </w:rPr>
        <w:t>”) and which are intended to be exempt from registration in California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25102(o), and otherwise to the extent required to comply with applicable law (but only to such extent). Definitions in the Plan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this supplement.</w:t>
      </w:r>
    </w:p>
    <w:p>
      <w:pPr>
        <w:spacing w:after="0" w:line="211" w:lineRule="exact"/>
        <w:rPr>
          <w:sz w:val="20"/>
          <w:szCs w:val="20"/>
          <w:color w:val="auto"/>
        </w:rPr>
      </w:pPr>
    </w:p>
    <w:p>
      <w:pPr>
        <w:ind w:right="120" w:firstLine="436"/>
        <w:spacing w:after="0" w:line="277"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Limitation on Securities Issuable under the Plan</w:t>
      </w:r>
      <w:r>
        <w:rPr>
          <w:rFonts w:ascii="Arial" w:cs="Arial" w:eastAsia="Arial" w:hAnsi="Arial"/>
          <w:sz w:val="18"/>
          <w:szCs w:val="18"/>
          <w:color w:val="auto"/>
        </w:rPr>
        <w:t>. The amount of securities issued pursuant to the Plan shall not exceed the amounts permitted under section 260.140.45 of the California Code of Regulations to the extent applicable.</w:t>
      </w:r>
    </w:p>
    <w:p>
      <w:pPr>
        <w:spacing w:after="0" w:line="170" w:lineRule="exact"/>
        <w:rPr>
          <w:rFonts w:ascii="Arial" w:cs="Arial" w:eastAsia="Arial" w:hAnsi="Arial"/>
          <w:sz w:val="18"/>
          <w:szCs w:val="18"/>
          <w:color w:val="auto"/>
        </w:rPr>
      </w:pPr>
    </w:p>
    <w:p>
      <w:pPr>
        <w:ind w:firstLine="436"/>
        <w:spacing w:after="0" w:line="277"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Additional Limitations For Grants</w:t>
      </w:r>
      <w:r>
        <w:rPr>
          <w:rFonts w:ascii="Arial" w:cs="Arial" w:eastAsia="Arial" w:hAnsi="Arial"/>
          <w:sz w:val="18"/>
          <w:szCs w:val="18"/>
          <w:color w:val="auto"/>
        </w:rPr>
        <w:t>. The terms of all Awards shall comply, to the extent applicable, with Sections 260.140.41 and 260.140.42 of the California Code of Regulations.</w:t>
      </w:r>
    </w:p>
    <w:p>
      <w:pPr>
        <w:spacing w:after="0" w:line="170" w:lineRule="exact"/>
        <w:rPr>
          <w:rFonts w:ascii="Arial" w:cs="Arial" w:eastAsia="Arial" w:hAnsi="Arial"/>
          <w:sz w:val="18"/>
          <w:szCs w:val="18"/>
          <w:color w:val="auto"/>
        </w:rPr>
      </w:pPr>
    </w:p>
    <w:p>
      <w:pPr>
        <w:ind w:right="60" w:firstLine="436"/>
        <w:spacing w:after="0" w:line="255" w:lineRule="auto"/>
        <w:tabs>
          <w:tab w:leader="none" w:pos="62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Additional Requirement to Provide Information to California Participants</w:t>
      </w:r>
      <w:r>
        <w:rPr>
          <w:rFonts w:ascii="Arial" w:cs="Arial" w:eastAsia="Arial" w:hAnsi="Arial"/>
          <w:sz w:val="18"/>
          <w:szCs w:val="18"/>
          <w:color w:val="auto"/>
        </w:rPr>
        <w:t>. The Company shall provide to each California Participant,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any plan or agreement that complies with all conditions of Rule 701 of the Securities Act of 1933, as amended (“</w:t>
      </w:r>
      <w:r>
        <w:rPr>
          <w:rFonts w:ascii="Arial" w:cs="Arial" w:eastAsia="Arial" w:hAnsi="Arial"/>
          <w:sz w:val="18"/>
          <w:szCs w:val="18"/>
          <w:b w:val="1"/>
          <w:bCs w:val="1"/>
          <w:i w:val="1"/>
          <w:iCs w:val="1"/>
          <w:color w:val="auto"/>
        </w:rPr>
        <w:t>Rule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701</w:t>
      </w:r>
      <w:r>
        <w:rPr>
          <w:rFonts w:ascii="Arial" w:cs="Arial" w:eastAsia="Arial" w:hAnsi="Arial"/>
          <w:sz w:val="18"/>
          <w:szCs w:val="18"/>
          <w:color w:val="auto"/>
        </w:rPr>
        <w:t>”); provided that for purposes of determining such compliance, any registered domestic partner shall be considered a “family member” as that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defined in Rule 701.</w:t>
      </w:r>
    </w:p>
    <w:p>
      <w:pPr>
        <w:spacing w:after="0" w:line="300" w:lineRule="exact"/>
        <w:rPr>
          <w:rFonts w:ascii="Arial" w:cs="Arial" w:eastAsia="Arial" w:hAnsi="Arial"/>
          <w:sz w:val="18"/>
          <w:szCs w:val="18"/>
          <w:color w:val="auto"/>
        </w:rPr>
      </w:pPr>
    </w:p>
    <w:p>
      <w:pPr>
        <w:ind w:left="518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0900"/>
          </w:cols>
          <w:pgMar w:left="440" w:top="270" w:right="559" w:bottom="1440" w:gutter="0" w:footer="0" w:header="0"/>
        </w:sectPr>
      </w:pPr>
    </w:p>
    <w:bookmarkStart w:id="381" w:name="page382"/>
    <w:bookmarkEnd w:id="381"/>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9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STOCK OPTION</w:t>
      </w:r>
    </w:p>
    <w:p>
      <w:pPr>
        <w:spacing w:after="0" w:line="11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GRANT NOTICE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participant set forth below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an Option to purchase the number of shares of the Company’s Common Stock (referred to herein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set forth below. The Option is subject to all of the terms and conditions as set forth herein and in the Stock Option Agreement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and the Plan, each of which is incorporated herein by reference. Unless otherwise defined herein,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Plan shall have the same defined meanings in this Stock Option Grant Notice and the Stock Option Agreement.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8380" w:type="dxa"/>
            <w:vAlign w:val="bottom"/>
            <w:tcBorders>
              <w:bottom w:val="single" w:sz="8" w:color="auto"/>
            </w:tcBorders>
          </w:tcPr>
          <w:p>
            <w:pPr>
              <w:spacing w:after="0"/>
              <w:rPr>
                <w:sz w:val="20"/>
                <w:szCs w:val="20"/>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Vesting Commencement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Exercise Price per Share:</w:t>
            </w:r>
          </w:p>
        </w:tc>
        <w:tc>
          <w:tcPr>
            <w:tcW w:w="8380" w:type="dxa"/>
            <w:vAlign w:val="bottom"/>
            <w:tcBorders>
              <w:bottom w:val="single" w:sz="8" w:color="auto"/>
            </w:tcBorders>
          </w:tcPr>
          <w:p>
            <w:pPr>
              <w:spacing w:after="0"/>
              <w:rPr>
                <w:sz w:val="24"/>
                <w:szCs w:val="24"/>
                <w:color w:val="auto"/>
              </w:rPr>
            </w:pPr>
          </w:p>
        </w:tc>
      </w:tr>
      <w:tr>
        <w:trPr>
          <w:trHeight w:val="286"/>
        </w:trPr>
        <w:tc>
          <w:tcPr>
            <w:tcW w:w="2640" w:type="dxa"/>
            <w:vAlign w:val="bottom"/>
          </w:tcPr>
          <w:p>
            <w:pPr>
              <w:spacing w:after="0"/>
              <w:rPr>
                <w:sz w:val="20"/>
                <w:szCs w:val="20"/>
                <w:color w:val="auto"/>
              </w:rPr>
            </w:pPr>
            <w:r>
              <w:rPr>
                <w:rFonts w:ascii="Arial" w:cs="Arial" w:eastAsia="Arial" w:hAnsi="Arial"/>
                <w:sz w:val="18"/>
                <w:szCs w:val="18"/>
                <w:b w:val="1"/>
                <w:bCs w:val="1"/>
                <w:color w:val="auto"/>
              </w:rPr>
              <w:t>Total Number of Shares</w:t>
            </w:r>
          </w:p>
        </w:tc>
        <w:tc>
          <w:tcPr>
            <w:tcW w:w="8380" w:type="dxa"/>
            <w:vAlign w:val="bottom"/>
          </w:tcPr>
          <w:p>
            <w:pPr>
              <w:spacing w:after="0"/>
              <w:rPr>
                <w:sz w:val="24"/>
                <w:szCs w:val="24"/>
                <w:color w:val="auto"/>
              </w:rPr>
            </w:pPr>
          </w:p>
        </w:tc>
      </w:tr>
      <w:tr>
        <w:trPr>
          <w:trHeight w:val="241"/>
        </w:trPr>
        <w:tc>
          <w:tcPr>
            <w:tcW w:w="2640" w:type="dxa"/>
            <w:vAlign w:val="bottom"/>
          </w:tcPr>
          <w:p>
            <w:pPr>
              <w:spacing w:after="0"/>
              <w:rPr>
                <w:sz w:val="20"/>
                <w:szCs w:val="20"/>
                <w:color w:val="auto"/>
              </w:rPr>
            </w:pPr>
            <w:r>
              <w:rPr>
                <w:rFonts w:ascii="Arial" w:cs="Arial" w:eastAsia="Arial" w:hAnsi="Arial"/>
                <w:sz w:val="18"/>
                <w:szCs w:val="18"/>
                <w:b w:val="1"/>
                <w:bCs w:val="1"/>
                <w:color w:val="auto"/>
              </w:rPr>
              <w:t>Subject to Option:</w:t>
            </w:r>
          </w:p>
        </w:tc>
        <w:tc>
          <w:tcPr>
            <w:tcW w:w="8380" w:type="dxa"/>
            <w:vAlign w:val="bottom"/>
            <w:tcBorders>
              <w:bottom w:val="single" w:sz="8" w:color="auto"/>
            </w:tcBorders>
          </w:tcPr>
          <w:p>
            <w:pPr>
              <w:spacing w:after="0"/>
              <w:rPr>
                <w:sz w:val="20"/>
                <w:szCs w:val="20"/>
                <w:color w:val="auto"/>
              </w:rPr>
            </w:pPr>
          </w:p>
        </w:tc>
      </w:tr>
      <w:tr>
        <w:trPr>
          <w:trHeight w:val="311"/>
        </w:trPr>
        <w:tc>
          <w:tcPr>
            <w:tcW w:w="2640" w:type="dxa"/>
            <w:vAlign w:val="bottom"/>
          </w:tcPr>
          <w:p>
            <w:pPr>
              <w:spacing w:after="0"/>
              <w:rPr>
                <w:sz w:val="20"/>
                <w:szCs w:val="20"/>
                <w:color w:val="auto"/>
              </w:rPr>
            </w:pPr>
            <w:r>
              <w:rPr>
                <w:rFonts w:ascii="Arial" w:cs="Arial" w:eastAsia="Arial" w:hAnsi="Arial"/>
                <w:sz w:val="18"/>
                <w:szCs w:val="18"/>
                <w:b w:val="1"/>
                <w:bCs w:val="1"/>
                <w:color w:val="auto"/>
              </w:rPr>
              <w:t>Expiration Date:</w:t>
            </w:r>
          </w:p>
        </w:tc>
        <w:tc>
          <w:tcPr>
            <w:tcW w:w="8380" w:type="dxa"/>
            <w:vAlign w:val="bottom"/>
            <w:tcBorders>
              <w:bottom w:val="single" w:sz="8" w:color="auto"/>
            </w:tcBorders>
          </w:tcPr>
          <w:p>
            <w:pPr>
              <w:spacing w:after="0"/>
              <w:rPr>
                <w:sz w:val="24"/>
                <w:szCs w:val="24"/>
                <w:color w:val="auto"/>
              </w:rPr>
            </w:pPr>
          </w:p>
        </w:tc>
      </w:tr>
      <w:tr>
        <w:trPr>
          <w:trHeight w:val="304"/>
        </w:trPr>
        <w:tc>
          <w:tcPr>
            <w:tcW w:w="264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8380" w:type="dxa"/>
            <w:vAlign w:val="bottom"/>
          </w:tcPr>
          <w:p>
            <w:pPr>
              <w:ind w:left="120"/>
              <w:spacing w:after="0"/>
              <w:rPr>
                <w:sz w:val="20"/>
                <w:szCs w:val="20"/>
                <w:color w:val="auto"/>
              </w:rPr>
            </w:pPr>
            <w:r>
              <w:rPr>
                <w:rFonts w:ascii="Arial" w:cs="Arial" w:eastAsia="Arial" w:hAnsi="Arial"/>
                <w:sz w:val="18"/>
                <w:szCs w:val="18"/>
                <w:color w:val="auto"/>
              </w:rPr>
              <w:t>[Incentive Stock Option/Non-Qualified Stock Option]</w:t>
            </w:r>
          </w:p>
        </w:tc>
      </w:tr>
      <w:tr>
        <w:trPr>
          <w:trHeight w:val="306"/>
        </w:trPr>
        <w:tc>
          <w:tcPr>
            <w:tcW w:w="2640" w:type="dxa"/>
            <w:vAlign w:val="bottom"/>
          </w:tcPr>
          <w:p>
            <w:pPr>
              <w:spacing w:after="0"/>
              <w:rPr>
                <w:sz w:val="20"/>
                <w:szCs w:val="20"/>
                <w:color w:val="auto"/>
              </w:rPr>
            </w:pPr>
            <w:r>
              <w:rPr>
                <w:rFonts w:ascii="Arial" w:cs="Arial" w:eastAsia="Arial" w:hAnsi="Arial"/>
                <w:sz w:val="18"/>
                <w:szCs w:val="18"/>
                <w:b w:val="1"/>
                <w:bCs w:val="1"/>
                <w:color w:val="auto"/>
              </w:rPr>
              <w:t>Vesting Schedule:</w:t>
            </w:r>
          </w:p>
        </w:tc>
        <w:tc>
          <w:tcPr>
            <w:tcW w:w="8380" w:type="dxa"/>
            <w:vAlign w:val="bottom"/>
          </w:tcPr>
          <w:p>
            <w:pPr>
              <w:ind w:left="120"/>
              <w:spacing w:after="0"/>
              <w:rPr>
                <w:sz w:val="20"/>
                <w:szCs w:val="20"/>
                <w:color w:val="auto"/>
              </w:rPr>
            </w:pPr>
            <w:r>
              <w:rPr>
                <w:rFonts w:ascii="Arial" w:cs="Arial" w:eastAsia="Arial" w:hAnsi="Arial"/>
                <w:sz w:val="18"/>
                <w:szCs w:val="18"/>
                <w:color w:val="auto"/>
                <w:w w:val="91"/>
              </w:rPr>
              <w:t>[Subject to the terms of the Agreement, the Option will vest as to 25% of the Shares on the first anniversary of the</w:t>
            </w:r>
          </w:p>
        </w:tc>
      </w:tr>
      <w:tr>
        <w:trPr>
          <w:trHeight w:val="220"/>
        </w:trPr>
        <w:tc>
          <w:tcPr>
            <w:tcW w:w="2640" w:type="dxa"/>
            <w:vAlign w:val="bottom"/>
          </w:tcPr>
          <w:p>
            <w:pPr>
              <w:spacing w:after="0"/>
              <w:rPr>
                <w:sz w:val="19"/>
                <w:szCs w:val="19"/>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0"/>
              </w:rPr>
              <w:t>vesting commencement date set forth above (the “</w:t>
            </w:r>
            <w:r>
              <w:rPr>
                <w:rFonts w:ascii="Arial" w:cs="Arial" w:eastAsia="Arial" w:hAnsi="Arial"/>
                <w:sz w:val="18"/>
                <w:szCs w:val="18"/>
                <w:b w:val="1"/>
                <w:bCs w:val="1"/>
                <w:i w:val="1"/>
                <w:iCs w:val="1"/>
                <w:color w:val="auto"/>
                <w:w w:val="90"/>
              </w:rPr>
              <w:t>Vesting Commencement Date</w:t>
            </w:r>
            <w:r>
              <w:rPr>
                <w:rFonts w:ascii="Arial" w:cs="Arial" w:eastAsia="Arial" w:hAnsi="Arial"/>
                <w:sz w:val="18"/>
                <w:szCs w:val="18"/>
                <w:color w:val="auto"/>
                <w:w w:val="90"/>
              </w:rPr>
              <w:t>”</w:t>
            </w:r>
            <w:r>
              <w:rPr>
                <w:rFonts w:ascii="Arial" w:cs="Arial" w:eastAsia="Arial" w:hAnsi="Arial"/>
                <w:sz w:val="18"/>
                <w:szCs w:val="18"/>
                <w:b w:val="1"/>
                <w:bCs w:val="1"/>
                <w:color w:val="auto"/>
                <w:w w:val="90"/>
              </w:rPr>
              <w:t>)</w:t>
            </w:r>
            <w:r>
              <w:rPr>
                <w:rFonts w:ascii="Arial" w:cs="Arial" w:eastAsia="Arial" w:hAnsi="Arial"/>
                <w:sz w:val="18"/>
                <w:szCs w:val="18"/>
                <w:color w:val="auto"/>
                <w:w w:val="90"/>
              </w:rPr>
              <w:t xml:space="preserve"> and as to 1/48th of the Shares</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1"/>
              </w:rPr>
              <w:t>upon Participant’s completion of each successive month of continuous service as a Service Provider after the first</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6"/>
              </w:rPr>
              <w:t>anniversary of the Vesting Commencement Date.] [Notwithstanding the foregoing, the Option will vest in full</w:t>
            </w:r>
          </w:p>
        </w:tc>
      </w:tr>
      <w:tr>
        <w:trPr>
          <w:trHeight w:val="216"/>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w w:val="94"/>
              </w:rPr>
              <w:t>immediately prior to a Change in Control, subject to Participant’s continued service as a Service Provider until</w:t>
            </w:r>
          </w:p>
        </w:tc>
      </w:tr>
      <w:tr>
        <w:trPr>
          <w:trHeight w:val="230"/>
        </w:trPr>
        <w:tc>
          <w:tcPr>
            <w:tcW w:w="2640" w:type="dxa"/>
            <w:vAlign w:val="bottom"/>
          </w:tcPr>
          <w:p>
            <w:pPr>
              <w:spacing w:after="0"/>
              <w:rPr>
                <w:sz w:val="20"/>
                <w:szCs w:val="20"/>
                <w:color w:val="auto"/>
              </w:rPr>
            </w:pPr>
          </w:p>
        </w:tc>
        <w:tc>
          <w:tcPr>
            <w:tcW w:w="8380" w:type="dxa"/>
            <w:vAlign w:val="bottom"/>
          </w:tcPr>
          <w:p>
            <w:pPr>
              <w:ind w:left="120"/>
              <w:spacing w:after="0"/>
              <w:rPr>
                <w:sz w:val="20"/>
                <w:szCs w:val="20"/>
                <w:color w:val="auto"/>
              </w:rPr>
            </w:pPr>
            <w:r>
              <w:rPr>
                <w:rFonts w:ascii="Arial" w:cs="Arial" w:eastAsia="Arial" w:hAnsi="Arial"/>
                <w:sz w:val="18"/>
                <w:szCs w:val="18"/>
                <w:color w:val="auto"/>
              </w:rPr>
              <w:t>immediately prior to such Change in Control.]</w:t>
            </w:r>
          </w:p>
        </w:tc>
      </w:tr>
    </w:tbl>
    <w:p>
      <w:pPr>
        <w:spacing w:after="0" w:line="202"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pacing w:after="0" w:line="21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b w:val="1"/>
          <w:bCs w:val="1"/>
          <w:color w:val="auto"/>
        </w:rPr>
        <w:t>ADAGIO THERAPEUTICS, INC.:</w:t>
      </w:r>
      <w:r>
        <w:rPr>
          <w:sz w:val="20"/>
          <w:szCs w:val="20"/>
          <w:color w:val="auto"/>
        </w:rPr>
        <w:tab/>
      </w:r>
      <w:r>
        <w:rPr>
          <w:rFonts w:ascii="Arial" w:cs="Arial" w:eastAsia="Arial" w:hAnsi="Arial"/>
          <w:sz w:val="17"/>
          <w:szCs w:val="17"/>
          <w:b w:val="1"/>
          <w:bCs w:val="1"/>
          <w:color w:val="auto"/>
        </w:rPr>
        <w:t>PARTICIPANT: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14605</wp:posOffset>
            </wp:positionV>
            <wp:extent cx="67976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797675" cy="8890"/>
                    </a:xfrm>
                    <a:prstGeom prst="rect">
                      <a:avLst/>
                    </a:prstGeom>
                    <a:noFill/>
                  </pic:spPr>
                </pic:pic>
              </a:graphicData>
            </a:graphic>
          </wp:anchor>
        </w:drawing>
      </w:r>
    </w:p>
    <w:p>
      <w:pPr>
        <w:spacing w:after="0" w:line="3" w:lineRule="exact"/>
        <w:rPr>
          <w:sz w:val="20"/>
          <w:szCs w:val="20"/>
          <w:color w:val="auto"/>
        </w:rPr>
      </w:pPr>
    </w:p>
    <w:p>
      <w:pPr>
        <w:spacing w:after="0"/>
        <w:tabs>
          <w:tab w:leader="none" w:pos="5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wp:posOffset>
            </wp:positionH>
            <wp:positionV relativeFrom="paragraph">
              <wp:posOffset>14605</wp:posOffset>
            </wp:positionV>
            <wp:extent cx="66179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179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14605</wp:posOffset>
            </wp:positionV>
            <wp:extent cx="30689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068955"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382" w:name="page383"/>
    <w:bookmarkEnd w:id="38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an Option under the Company’s 2020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indicated in the Stock Option Grant Notice (</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Grant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to which 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w:t>
      </w:r>
    </w:p>
    <w:p>
      <w:pPr>
        <w:spacing w:after="0" w:line="396"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6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Grant of Option</w:t>
      </w:r>
      <w:r>
        <w:rPr>
          <w:rFonts w:ascii="Arial" w:cs="Arial" w:eastAsia="Arial" w:hAnsi="Arial"/>
          <w:sz w:val="18"/>
          <w:szCs w:val="18"/>
          <w:color w:val="auto"/>
        </w:rPr>
        <w:t>. In consideration of Participant’s past and/or continued employment with or service to the Company or a parent or subsidiary and for other good and valuable consideration, effective as of the grant date set forth in the Grant Notice (the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Exercisability</w:t>
      </w:r>
      <w:r>
        <w:rPr>
          <w:rFonts w:ascii="Arial" w:cs="Arial" w:eastAsia="Arial" w:hAnsi="Arial"/>
          <w:sz w:val="18"/>
          <w:szCs w:val="18"/>
          <w:color w:val="auto"/>
        </w:rPr>
        <w:t>.</w:t>
      </w:r>
    </w:p>
    <w:p>
      <w:pPr>
        <w:spacing w:after="0" w:line="225" w:lineRule="exact"/>
        <w:rPr>
          <w:sz w:val="20"/>
          <w:szCs w:val="20"/>
          <w:color w:val="auto"/>
        </w:rPr>
      </w:pPr>
    </w:p>
    <w:p>
      <w:pPr>
        <w:jc w:val="both"/>
        <w:ind w:right="60" w:firstLine="987"/>
        <w:spacing w:after="0" w:line="311" w:lineRule="auto"/>
        <w:tabs>
          <w:tab w:leader="none" w:pos="123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Subject to Section 2.1(b), the Option shall become vested in such amounts and at such times as are set forth in the vesting schedule in the Grant Notice (the “</w:t>
      </w:r>
      <w:r>
        <w:rPr>
          <w:rFonts w:ascii="Arial" w:cs="Arial" w:eastAsia="Arial" w:hAnsi="Arial"/>
          <w:sz w:val="16"/>
          <w:szCs w:val="16"/>
          <w:b w:val="1"/>
          <w:bCs w:val="1"/>
          <w:i w:val="1"/>
          <w:iCs w:val="1"/>
          <w:color w:val="auto"/>
        </w:rPr>
        <w:t>Vesting Schedule</w:t>
      </w:r>
      <w:r>
        <w:rPr>
          <w:rFonts w:ascii="Arial" w:cs="Arial" w:eastAsia="Arial" w:hAnsi="Arial"/>
          <w:sz w:val="16"/>
          <w:szCs w:val="16"/>
          <w:color w:val="auto"/>
        </w:rPr>
        <w:t>”), provided that any Share as to which the Option would otherwise be fractionally vested will be accumulated and will vest only when a whole Share has accumulated. The installments provided for in the Vesting Schedule are cumulative.</w:t>
      </w:r>
    </w:p>
    <w:p>
      <w:pPr>
        <w:spacing w:after="0" w:line="148" w:lineRule="exact"/>
        <w:rPr>
          <w:rFonts w:ascii="Arial" w:cs="Arial" w:eastAsia="Arial" w:hAnsi="Arial"/>
          <w:sz w:val="16"/>
          <w:szCs w:val="16"/>
          <w:color w:val="auto"/>
        </w:rPr>
      </w:pPr>
    </w:p>
    <w:p>
      <w:pPr>
        <w:ind w:right="100" w:firstLine="987"/>
        <w:spacing w:after="0" w:line="286" w:lineRule="auto"/>
        <w:tabs>
          <w:tab w:leader="none" w:pos="124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No portion of the Option which has not become vested at the date Participant incurs a Termination of Service shall thereafter become vested and any such unvested portion shall automatically be forfeited upon such Termination of Service, in each case, except as may be otherwise provided by the Administrator or as set forth in another written agreement between the Company and Participant.</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920"/>
          </w:cols>
          <w:pgMar w:left="440" w:top="270" w:right="539" w:bottom="1440" w:gutter="0" w:footer="0" w:header="0"/>
        </w:sectPr>
      </w:pPr>
    </w:p>
    <w:bookmarkStart w:id="383" w:name="page384"/>
    <w:bookmarkEnd w:id="383"/>
    <w:p>
      <w:pPr>
        <w:ind w:right="20" w:firstLine="987"/>
        <w:spacing w:after="0" w:line="254" w:lineRule="auto"/>
        <w:tabs>
          <w:tab w:leader="none" w:pos="1236"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portion of the Option or the entire Option may be exercised in whole or in part at any time prior to the time when the Option or portion thereof becomes unexercisable under Section 2.2, provided that each unvested Share with respect to which the Option is exercised (a “</w:t>
      </w:r>
      <w:r>
        <w:rPr>
          <w:rFonts w:ascii="Arial" w:cs="Arial" w:eastAsia="Arial" w:hAnsi="Arial"/>
          <w:sz w:val="18"/>
          <w:szCs w:val="18"/>
          <w:b w:val="1"/>
          <w:bCs w:val="1"/>
          <w:i w:val="1"/>
          <w:iCs w:val="1"/>
          <w:color w:val="auto"/>
        </w:rPr>
        <w:t>Restricted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shall be subject to the Company Repurchase Right (as defined below) for so long as the Option shall remain unvested with respect to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under the terms of this Agreement. The Restricted Shares shall be released from the Company Repurchase Right as set forth in Section 4.1(d). All Shares with respect to which the Option is exercised shall be assumed first to be vested Shares and, to the extent any such Shares are not vested at the time of exercise, to vest under the terms of this Agreement before any unexercised portion of the Option, unless otherwise provided by the Administrator.</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117" w:lineRule="exact"/>
        <w:rPr>
          <w:sz w:val="20"/>
          <w:szCs w:val="20"/>
          <w:color w:val="auto"/>
        </w:rPr>
      </w:pPr>
    </w:p>
    <w:p>
      <w:pPr>
        <w:ind w:left="1220" w:hanging="233"/>
        <w:spacing w:after="0"/>
        <w:tabs>
          <w:tab w:leader="none" w:pos="12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right="220" w:firstLine="987"/>
        <w:spacing w:after="0" w:line="277" w:lineRule="auto"/>
        <w:tabs>
          <w:tab w:leader="none" w:pos="1243"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Disability or Cause;</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The expiration of one year following the date of Participant’s Termination of Service by reason of Participant’s death or Disability;</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date of Participant’s Termination of Service for Cause;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With respect to any unvested portion of the Option, the date of Participant’s Termination of Service for any reason.</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82" w:lineRule="exact"/>
        <w:rPr>
          <w:sz w:val="20"/>
          <w:szCs w:val="20"/>
          <w:color w:val="auto"/>
        </w:rPr>
      </w:pPr>
    </w:p>
    <w:p>
      <w:pPr>
        <w:ind w:right="34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Special Tax Consequences</w:t>
      </w:r>
      <w:r>
        <w:rPr>
          <w:rFonts w:ascii="Arial" w:cs="Arial" w:eastAsia="Arial" w:hAnsi="Arial"/>
          <w:sz w:val="18"/>
          <w:szCs w:val="18"/>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by Participant in any calendar year exceeds $100,000 (or such other limitation as imposed by Section 422(d) of the Code), the Option and such other options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4" w:right="459" w:bottom="1440" w:gutter="0" w:footer="0" w:header="0"/>
        </w:sectPr>
      </w:pPr>
    </w:p>
    <w:bookmarkStart w:id="384" w:name="page385"/>
    <w:bookmarkEnd w:id="38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will not be considered to materially or adversely affect Participant’s rights under the Option solely by reason of causing the Option to become a Non-Qualified Stock Option.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2.2, be exercised by Participant’s personal representative or by any person empowered to do so under the deceased Participant’s will or under the then applicable laws of descent and distribution.</w:t>
      </w:r>
    </w:p>
    <w:p>
      <w:pPr>
        <w:spacing w:after="0" w:line="187" w:lineRule="exact"/>
        <w:rPr>
          <w:sz w:val="20"/>
          <w:szCs w:val="20"/>
          <w:color w:val="auto"/>
        </w:rPr>
      </w:pPr>
    </w:p>
    <w:p>
      <w:pPr>
        <w:ind w:right="46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2.2:</w:t>
      </w:r>
    </w:p>
    <w:p>
      <w:pPr>
        <w:spacing w:after="0" w:line="76" w:lineRule="exact"/>
        <w:rPr>
          <w:sz w:val="20"/>
          <w:szCs w:val="20"/>
          <w:color w:val="auto"/>
        </w:rPr>
      </w:pPr>
    </w:p>
    <w:p>
      <w:pPr>
        <w:ind w:right="380" w:firstLine="987"/>
        <w:spacing w:after="0" w:line="311" w:lineRule="auto"/>
        <w:tabs>
          <w:tab w:leader="none" w:pos="1236" w:val="left"/>
        </w:tabs>
        <w:numPr>
          <w:ilvl w:val="0"/>
          <w:numId w:val="258"/>
        </w:numPr>
        <w:rPr>
          <w:rFonts w:ascii="Arial" w:cs="Arial" w:eastAsia="Arial" w:hAnsi="Arial"/>
          <w:sz w:val="16"/>
          <w:szCs w:val="16"/>
          <w:color w:val="auto"/>
        </w:rPr>
      </w:pPr>
      <w:r>
        <w:rPr>
          <w:rFonts w:ascii="Arial" w:cs="Arial" w:eastAsia="Arial" w:hAnsi="Arial"/>
          <w:sz w:val="16"/>
          <w:szCs w:val="16"/>
          <w:color w:val="auto"/>
        </w:rPr>
        <w:t xml:space="preserve">An exercise notice in substantially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Grant Notice (or such other form as is prescribed by the Administrator) (the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Full payment for Shares with respect to which the Option or portion thereof is exercised in accordance with Section 5.6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60" w:firstLine="987"/>
        <w:spacing w:after="0" w:line="277" w:lineRule="auto"/>
        <w:tabs>
          <w:tab w:leader="none" w:pos="1233"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receipt by the Company of full payment for any applicable withholding tax in cash, by wire transfer of immediately available funds, by check or in such other form as is permitted by the Plan; and</w:t>
      </w:r>
    </w:p>
    <w:p>
      <w:pPr>
        <w:spacing w:after="0" w:line="170" w:lineRule="exact"/>
        <w:rPr>
          <w:rFonts w:ascii="Arial" w:cs="Arial" w:eastAsia="Arial" w:hAnsi="Arial"/>
          <w:sz w:val="18"/>
          <w:szCs w:val="18"/>
          <w:color w:val="auto"/>
        </w:rPr>
      </w:pPr>
    </w:p>
    <w:p>
      <w:pPr>
        <w:ind w:right="300" w:firstLine="987"/>
        <w:spacing w:after="0" w:line="277" w:lineRule="auto"/>
        <w:tabs>
          <w:tab w:leader="none" w:pos="124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3.1 by any person or persons other than Participant, appropriate proof of the right of such person or persons to exercise the Option;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the event the Option or portion thereof shall be exercised as to Restricted Shares, the following (collectively, the “</w:t>
      </w:r>
      <w:r>
        <w:rPr>
          <w:rFonts w:ascii="Arial" w:cs="Arial" w:eastAsia="Arial" w:hAnsi="Arial"/>
          <w:sz w:val="17"/>
          <w:szCs w:val="17"/>
          <w:b w:val="1"/>
          <w:bCs w:val="1"/>
          <w:i w:val="1"/>
          <w:iCs w:val="1"/>
          <w:color w:val="auto"/>
        </w:rPr>
        <w:t>Additional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Documents</w:t>
      </w:r>
      <w:r>
        <w:rPr>
          <w:rFonts w:ascii="Arial" w:cs="Arial" w:eastAsia="Arial" w:hAnsi="Arial"/>
          <w:sz w:val="18"/>
          <w:szCs w:val="18"/>
          <w:color w:val="auto"/>
        </w:rPr>
        <w:t>”):</w:t>
      </w:r>
    </w:p>
    <w:p>
      <w:pPr>
        <w:spacing w:after="0" w:line="102" w:lineRule="exact"/>
        <w:rPr>
          <w:rFonts w:ascii="Arial" w:cs="Arial" w:eastAsia="Arial" w:hAnsi="Arial"/>
          <w:sz w:val="17"/>
          <w:szCs w:val="17"/>
          <w:color w:val="auto"/>
        </w:rPr>
      </w:pPr>
    </w:p>
    <w:p>
      <w:pPr>
        <w:ind w:left="1640" w:hanging="212"/>
        <w:spacing w:after="0"/>
        <w:tabs>
          <w:tab w:leader="none" w:pos="164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the share certificate or certificates representing such Restricted Shares;</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the stock assignment duly endorsed in blank, attached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to the Grant Notice (the “</w:t>
      </w:r>
      <w:r>
        <w:rPr>
          <w:rFonts w:ascii="Arial" w:cs="Arial" w:eastAsia="Arial" w:hAnsi="Arial"/>
          <w:sz w:val="16"/>
          <w:szCs w:val="16"/>
          <w:b w:val="1"/>
          <w:bCs w:val="1"/>
          <w:i w:val="1"/>
          <w:iCs w:val="1"/>
          <w:color w:val="auto"/>
        </w:rPr>
        <w:t>Stock Assignment</w:t>
      </w:r>
      <w:r>
        <w:rPr>
          <w:rFonts w:ascii="Arial" w:cs="Arial" w:eastAsia="Arial" w:hAnsi="Arial"/>
          <w:sz w:val="16"/>
          <w:szCs w:val="16"/>
          <w:color w:val="auto"/>
        </w:rPr>
        <w:t>”), executed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Participant; and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385" w:name="page386"/>
    <w:bookmarkEnd w:id="385"/>
    <w:p>
      <w:pPr>
        <w:ind w:right="400" w:firstLine="1428"/>
        <w:spacing w:after="0" w:line="277" w:lineRule="auto"/>
        <w:tabs>
          <w:tab w:leader="none" w:pos="1747" w:val="left"/>
        </w:tabs>
        <w:numPr>
          <w:ilvl w:val="0"/>
          <w:numId w:val="2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Joint Escrow Instructions of the Company and Participant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to the Grant Notice (the “</w:t>
      </w:r>
      <w:r>
        <w:rPr>
          <w:rFonts w:ascii="Arial" w:cs="Arial" w:eastAsia="Arial" w:hAnsi="Arial"/>
          <w:sz w:val="18"/>
          <w:szCs w:val="18"/>
          <w:b w:val="1"/>
          <w:bCs w:val="1"/>
          <w:i w:val="1"/>
          <w:iCs w:val="1"/>
          <w:color w:val="auto"/>
        </w:rPr>
        <w:t>Joint Escrow</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Instructions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executed by Participant.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Company Repurchase Right</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59" w:lineRule="auto"/>
        <w:tabs>
          <w:tab w:leader="none" w:pos="123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Upon Participant’s Termination of Service for any reason, the Company shall have the right and option to repurchase all of the Restricted Shares from Participant, or Participant’s transferee or legal representative, as the case may be, for a purchase price equal to the price per Share paid by Participant for such Restricted Shares, as adjusted to reflect any Equity Restructuring or other transaction or event described in Section 8 of the Plan (the “</w:t>
      </w:r>
      <w:r>
        <w:rPr>
          <w:rFonts w:ascii="Arial" w:cs="Arial" w:eastAsia="Arial" w:hAnsi="Arial"/>
          <w:sz w:val="18"/>
          <w:szCs w:val="18"/>
          <w:b w:val="1"/>
          <w:bCs w:val="1"/>
          <w:i w:val="1"/>
          <w:iCs w:val="1"/>
          <w:color w:val="auto"/>
        </w:rPr>
        <w:t>Company Repurchase Right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80" w:firstLine="987"/>
        <w:spacing w:after="0" w:line="291" w:lineRule="auto"/>
        <w:tabs>
          <w:tab w:leader="none" w:pos="1246" w:val="left"/>
        </w:tabs>
        <w:numPr>
          <w:ilvl w:val="0"/>
          <w:numId w:val="260"/>
        </w:numPr>
        <w:rPr>
          <w:rFonts w:ascii="Arial" w:cs="Arial" w:eastAsia="Arial" w:hAnsi="Arial"/>
          <w:sz w:val="16"/>
          <w:szCs w:val="16"/>
          <w:color w:val="auto"/>
        </w:rPr>
      </w:pPr>
      <w:r>
        <w:rPr>
          <w:rFonts w:ascii="Arial" w:cs="Arial" w:eastAsia="Arial" w:hAnsi="Arial"/>
          <w:sz w:val="16"/>
          <w:szCs w:val="16"/>
          <w:color w:val="auto"/>
        </w:rPr>
        <w:t>The Company may exercise the Company Repurchase Right by delivering to Participant (or his or her transferee or legal representative, as the case may be), within ninety (90) days of the date of Participant’s Termination of Service, a notice in writing indicating the Company’s intention to exercise the Company Repurchase Right and setting forth a date for closing not later than thirty (30) days from the mailing of such notice. The closing shall take place at the Company’s office. At the closing, the holder of the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notice in writing to Participant stating the name and address of the bank, date of closing, and waiving the closing at the Company’s office.</w:t>
      </w:r>
    </w:p>
    <w:p>
      <w:pPr>
        <w:spacing w:after="0" w:line="166" w:lineRule="exact"/>
        <w:rPr>
          <w:rFonts w:ascii="Arial" w:cs="Arial" w:eastAsia="Arial" w:hAnsi="Arial"/>
          <w:sz w:val="16"/>
          <w:szCs w:val="16"/>
          <w:color w:val="auto"/>
        </w:rPr>
      </w:pPr>
    </w:p>
    <w:p>
      <w:pPr>
        <w:jc w:val="both"/>
        <w:ind w:right="380" w:firstLine="987"/>
        <w:spacing w:after="0" w:line="279" w:lineRule="auto"/>
        <w:tabs>
          <w:tab w:leader="none" w:pos="1236" w:val="left"/>
        </w:tabs>
        <w:numPr>
          <w:ilvl w:val="0"/>
          <w:numId w:val="260"/>
        </w:numPr>
        <w:rPr>
          <w:rFonts w:ascii="Arial" w:cs="Arial" w:eastAsia="Arial" w:hAnsi="Arial"/>
          <w:sz w:val="17"/>
          <w:szCs w:val="17"/>
          <w:color w:val="auto"/>
        </w:rPr>
      </w:pPr>
      <w:r>
        <w:rPr>
          <w:rFonts w:ascii="Arial" w:cs="Arial" w:eastAsia="Arial" w:hAnsi="Arial"/>
          <w:sz w:val="17"/>
          <w:szCs w:val="17"/>
          <w:color w:val="auto"/>
        </w:rPr>
        <w:t>Unless the Company has earlier delivered notice of its intention to exercise the Company Repurchase Right, or the Administrator otherwise determines, the Company will automatically be deemed to have exercised the Company Repurchase Right and timely delivered effective notice thereof with respect to all unvested Shares on the final day upon which such notice could be delivered under the terms of this Agreement and setting forth the latest date for closing of such repurchase permitted under the terms of this Agreement.</w:t>
      </w:r>
    </w:p>
    <w:p>
      <w:pPr>
        <w:spacing w:after="0" w:line="171" w:lineRule="exact"/>
        <w:rPr>
          <w:rFonts w:ascii="Arial" w:cs="Arial" w:eastAsia="Arial" w:hAnsi="Arial"/>
          <w:sz w:val="17"/>
          <w:szCs w:val="17"/>
          <w:color w:val="auto"/>
        </w:rPr>
      </w:pPr>
    </w:p>
    <w:p>
      <w:pPr>
        <w:ind w:right="60" w:firstLine="987"/>
        <w:spacing w:after="0" w:line="263" w:lineRule="auto"/>
        <w:tabs>
          <w:tab w:leader="none" w:pos="1246"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Restricted Shares shall be released from the Company Repurchase Right upon vesting of the Option with respect to such Shares in accordance with the terms of this Agreement. For the avoidance of doubt, all Restricted Shares shall be assumed to vest under the terms of this Agreement before any unexercised portion of the Option, unless otherwise provided by the Administrator.</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Notwithstanding anything in this Agreement or the Additional Documents to the contrary, no payment shall be made under this</w:t>
      </w:r>
    </w:p>
    <w:p>
      <w:pPr>
        <w:spacing w:after="0" w:line="3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Section 4.1 that would cause the Company or any of its affiliates to violate any applicable law, any banking agreement or loan or other financial covenant or cause default of any indebtedness of the Company or any of its affiliates, regardless of when such agreement, covenant or indebtedness was created, incurred or assumed, and any payment under this Section 4.1 that would cause such violation or default shall result in an extension of the period during which the Company may deliver notice of its intention to exercise the Company Repurchase Right and of any payment date or other related date, in the sole discretion of the Company, until thirty (30) days after the date such payment shall no longer cause any such violation or default.</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386" w:name="page387"/>
    <w:bookmarkEnd w:id="3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Escrow</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3" w:lineRule="auto"/>
        <w:tabs>
          <w:tab w:leader="none" w:pos="12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Participant hereby authorizes and directs the Secretary of the Company, or such other person designated by the Administrator from time to time, to transfer the Restricted Shares as to which the Company Repurchase Right has been exercised from Participant (or his or her transferee or legal representative, as the case may be) to the Company.</w:t>
      </w:r>
    </w:p>
    <w:p>
      <w:pPr>
        <w:spacing w:after="0" w:line="183" w:lineRule="exact"/>
        <w:rPr>
          <w:rFonts w:ascii="Arial" w:cs="Arial" w:eastAsia="Arial" w:hAnsi="Arial"/>
          <w:sz w:val="18"/>
          <w:szCs w:val="18"/>
          <w:color w:val="auto"/>
        </w:rPr>
      </w:pPr>
    </w:p>
    <w:p>
      <w:pPr>
        <w:ind w:right="40" w:firstLine="987"/>
        <w:spacing w:after="0" w:line="269" w:lineRule="auto"/>
        <w:tabs>
          <w:tab w:leader="none" w:pos="124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To ensure the availability for delivery of the Restricted Shares upon repurchase by the 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the share certificate or certificates representing the Restricted Shares, together with the Stock Assignment. The Restricted Shares and Stock Assignment shall be held by the Secretary, or such other person designated by the Administrator from time to time, in escrow, pursuant to the Joint Escrow Instructions, until the Company exercises the Company Repurchase Right, until such Restricted Shares are released from the Company Repurchase Right as set forth in Section 4.1(d) or until such time as this Agreement no longer is in effect. Upon release of the Restricted Shares from the Company’s Repurchase Right, the escrow agent shall as soon as reasonably practicable deliver to Participant the certificate or certificates representing such Shares in the escrow agent’s possession belonging to Participant, and the escrow agent shall be discharged of all further obligations hereunder.</w:t>
      </w:r>
    </w:p>
    <w:p>
      <w:pPr>
        <w:spacing w:after="0" w:line="181" w:lineRule="exact"/>
        <w:rPr>
          <w:rFonts w:ascii="Arial" w:cs="Arial" w:eastAsia="Arial" w:hAnsi="Arial"/>
          <w:sz w:val="17"/>
          <w:szCs w:val="17"/>
          <w:color w:val="auto"/>
        </w:rPr>
      </w:pPr>
    </w:p>
    <w:p>
      <w:pPr>
        <w:ind w:right="300" w:firstLine="987"/>
        <w:spacing w:after="0" w:line="277" w:lineRule="auto"/>
        <w:tabs>
          <w:tab w:leader="none" w:pos="1236"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Company, or its designee, shall not be liable for any act it may do or omit to do with respect to holding the Restricted Shares in escrow and while acting in good faith and in the exercise of its judgment.</w:t>
      </w:r>
    </w:p>
    <w:p>
      <w:pPr>
        <w:spacing w:after="0" w:line="170"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Transferability of Restricted Shares</w:t>
      </w:r>
      <w:r>
        <w:rPr>
          <w:rFonts w:ascii="Arial" w:cs="Arial" w:eastAsia="Arial" w:hAnsi="Arial"/>
          <w:sz w:val="16"/>
          <w:szCs w:val="16"/>
          <w:color w:val="auto"/>
        </w:rPr>
        <w:t>. The Restricted Shares may not be sold, assigned, transferred, pledged or otherwise encumbered, either voluntarily or by operation of law, except by will or the laws of descent and distribution. Any transferee of the Restricted Shares shall hold such Shares subject to all of the provisions hereof and the Exercise Notice and Additional Documents executed by Participant with respect to such Shares. Any transfer or attempted transfer of any of the Restricted Shares not in accordance with the terms of this Agreement shall be void and the Company may enforce the terms of this Agreement by stop transfer instructions or similar actions by the Company and its agents or designees.</w:t>
      </w:r>
    </w:p>
    <w:p>
      <w:pPr>
        <w:spacing w:after="0" w:line="16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Rights as a Stockholder; Retained Distributions</w:t>
      </w:r>
      <w:r>
        <w:rPr>
          <w:rFonts w:ascii="Arial" w:cs="Arial" w:eastAsia="Arial" w:hAnsi="Arial"/>
          <w:sz w:val="17"/>
          <w:szCs w:val="17"/>
          <w:color w:val="auto"/>
        </w:rPr>
        <w:t>. Except as otherwise provided herein, upon exercise of the Option, Participant shall have all the rights of a stockholder with respect to the Restricted Shares. All cash dividends and other distributions made or declared with respect to Restricted Shares (“</w:t>
      </w:r>
      <w:r>
        <w:rPr>
          <w:rFonts w:ascii="Arial" w:cs="Arial" w:eastAsia="Arial" w:hAnsi="Arial"/>
          <w:sz w:val="17"/>
          <w:szCs w:val="17"/>
          <w:b w:val="1"/>
          <w:bCs w:val="1"/>
          <w:i w:val="1"/>
          <w:iCs w:val="1"/>
          <w:color w:val="auto"/>
        </w:rPr>
        <w:t>Retained Distributions</w:t>
      </w:r>
      <w:r>
        <w:rPr>
          <w:rFonts w:ascii="Arial" w:cs="Arial" w:eastAsia="Arial" w:hAnsi="Arial"/>
          <w:sz w:val="17"/>
          <w:szCs w:val="17"/>
          <w:color w:val="auto"/>
        </w:rPr>
        <w:t>”) will be held by the Company until the time (if ever) when the Restricted Shares to which such Retained Distributions relate are released from the Company Repurchase Right as set forth in Section 4.1(d). The Company will establish a separate Retained Distribution bookkeeping account (“</w:t>
      </w:r>
      <w:r>
        <w:rPr>
          <w:rFonts w:ascii="Arial" w:cs="Arial" w:eastAsia="Arial" w:hAnsi="Arial"/>
          <w:sz w:val="17"/>
          <w:szCs w:val="17"/>
          <w:b w:val="1"/>
          <w:bCs w:val="1"/>
          <w:i w:val="1"/>
          <w:iCs w:val="1"/>
          <w:color w:val="auto"/>
        </w:rPr>
        <w:t>Retained Distribution Account</w:t>
      </w:r>
      <w:r>
        <w:rPr>
          <w:rFonts w:ascii="Arial" w:cs="Arial" w:eastAsia="Arial" w:hAnsi="Arial"/>
          <w:sz w:val="17"/>
          <w:szCs w:val="17"/>
          <w:color w:val="auto"/>
        </w:rPr>
        <w:t>”) for each Restricted Share with respect to which Retained Distributions have been made or declared in cash and credit the Retained Distribution Account (without interest) on the date of payment with the amount of such cash made or declared with respect to the Restricted Share. Retained Distributions (including any Retained Distribution Account balance) will immediately and automatically be forfeited to the Company for no consideration in the event the Company exercises the Company Repurchase Right for the Restricted Shares with respect to which the Retained Distributions were paid. In no event shall a dividend or distribution with respect to Restricted Shares be paid to Participant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00"/>
          </w:cols>
          <w:pgMar w:left="440" w:top="274" w:right="459" w:bottom="1440" w:gutter="0" w:footer="0" w:header="0"/>
        </w:sectPr>
      </w:pPr>
    </w:p>
    <w:bookmarkStart w:id="387" w:name="page388"/>
    <w:bookmarkEnd w:id="387"/>
    <w:p>
      <w:pPr>
        <w:ind w:left="4"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Arial" w:cs="Arial" w:eastAsia="Arial" w:hAnsi="Arial"/>
          <w:sz w:val="16"/>
          <w:szCs w:val="16"/>
          <w:u w:val="single" w:color="auto"/>
          <w:color w:val="auto"/>
        </w:rPr>
        <w:t>Section 83(b) Election for Restricted Shares</w:t>
      </w:r>
      <w:r>
        <w:rPr>
          <w:rFonts w:ascii="Arial" w:cs="Arial" w:eastAsia="Arial" w:hAnsi="Arial"/>
          <w:sz w:val="16"/>
          <w:szCs w:val="16"/>
          <w:color w:val="auto"/>
        </w:rPr>
        <w:t xml:space="preserve">. Participant acknowledges that, with respect to the exercise of the Option for Restricted Shares, an election (an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Election</w:t>
      </w:r>
      <w:r>
        <w:rPr>
          <w:rFonts w:ascii="Arial" w:cs="Arial" w:eastAsia="Arial" w:hAnsi="Arial"/>
          <w:sz w:val="16"/>
          <w:szCs w:val="16"/>
          <w:b w:val="1"/>
          <w:bCs w:val="1"/>
          <w:color w:val="auto"/>
        </w:rPr>
        <w:t>”</w:t>
      </w:r>
      <w:r>
        <w:rPr>
          <w:rFonts w:ascii="Arial" w:cs="Arial" w:eastAsia="Arial" w:hAnsi="Arial"/>
          <w:sz w:val="16"/>
          <w:szCs w:val="16"/>
          <w:color w:val="auto"/>
        </w:rPr>
        <w:t>) may be filed by Participant with the Internal Revenue Service and, if necessary, the proper state taxing authorities, within thirty</w:t>
      </w:r>
    </w:p>
    <w:p>
      <w:pPr>
        <w:ind w:left="4" w:hanging="4"/>
        <w:spacing w:after="0" w:line="267" w:lineRule="auto"/>
        <w:tabs>
          <w:tab w:leader="none" w:pos="349"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days after the purchase of the Restricted Shares, electing pursuant to Section 83(b) of the Internal Revenue Code of 1986 (the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b w:val="1"/>
          <w:bCs w:val="1"/>
          <w:color w:val="auto"/>
        </w:rPr>
        <w:t>”</w:t>
      </w:r>
      <w:r>
        <w:rPr>
          <w:rFonts w:ascii="Arial" w:cs="Arial" w:eastAsia="Arial" w:hAnsi="Arial"/>
          <w:sz w:val="17"/>
          <w:szCs w:val="17"/>
          <w:color w:val="auto"/>
        </w:rPr>
        <w:t>) (and similar state tax provisions if applicable) to be taxed currently on any difference between the purchase price of the Restricted Shares and their fair market value on the date of purchase. In the case of a Non-Qualified Stock Option, this will result in a recognition of taxable income to Participant on the date of exercise, measured by the excess, if any, of the fair market value of the Restricted Shares at the time the Option is exercised over the purchase price for the Restricted Shares. Absent such an Election, taxable income will be measured and recognized by Participant at the time or times on which the Company Repurchase Right lapses. In the case of an Incentive Stock Option, such an Election will result in a recognition of income to Participant for alternative minimum tax purposes on the date of exercise, measured by the excess, if any, of the fair market value of the Restricted Shares at the time the option is exercised over the purchase price for the Restricted Shares. Absent such an Election, alternative minimum taxable income will be measured and recognized by Participant at the time or times on which the Company Repurchase Right lapses. Participant is strongly encouraged to seek the advice of his or her own tax consultant in connection with the purchase of Restricted Shares under this Agreement and the advisability of filing of an Election. Participant represents that Participant has consulted any tax consultant(s) Participant deems advisable in connection with the purchase of Restricted Shares or the filing of the Election and similar tax provisions.</w:t>
      </w:r>
    </w:p>
    <w:p>
      <w:pPr>
        <w:spacing w:after="0" w:line="184" w:lineRule="exact"/>
        <w:rPr>
          <w:sz w:val="20"/>
          <w:szCs w:val="20"/>
          <w:color w:val="auto"/>
        </w:rPr>
      </w:pPr>
    </w:p>
    <w:p>
      <w:pPr>
        <w:ind w:left="4" w:right="340" w:firstLine="440"/>
        <w:spacing w:after="0" w:line="263" w:lineRule="auto"/>
        <w:rPr>
          <w:sz w:val="20"/>
          <w:szCs w:val="20"/>
          <w:color w:val="auto"/>
        </w:rPr>
      </w:pPr>
      <w:r>
        <w:rPr>
          <w:rFonts w:ascii="Arial" w:cs="Arial" w:eastAsia="Arial" w:hAnsi="Arial"/>
          <w:sz w:val="18"/>
          <w:szCs w:val="18"/>
          <w:color w:val="auto"/>
        </w:rPr>
        <w:t>PARTICIPANT ACKNOWLEDGES THAT IT IS PARTICIPANT’S SOLE RESPONSIBILITY AND NOT THE COMPANY’S TO TIMELY FILE THE ELECTION UNDER SECTION 83(B) OF THE CODE, EVEN IF PARTICIPANT REQUESTS THE COMPANY OR ITS REPRESENTATIVE TO MAKE THIS FILING ON PARTICIPANT’S BEHALF.</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ind w:left="4" w:right="20" w:firstLine="987"/>
        <w:spacing w:after="0" w:line="342" w:lineRule="auto"/>
        <w:tabs>
          <w:tab w:leader="none" w:pos="12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share certificate or certificates evidencing the Shares purchased hereunder shall be endorsed with any legends that may be required by state or federal securities laws and, with regard to Restricted Shares, shall bear such other legends as shall be determined by the Administrator.</w:t>
      </w:r>
    </w:p>
    <w:p>
      <w:pPr>
        <w:spacing w:after="0" w:line="123" w:lineRule="exact"/>
        <w:rPr>
          <w:rFonts w:ascii="Arial" w:cs="Arial" w:eastAsia="Arial" w:hAnsi="Arial"/>
          <w:sz w:val="16"/>
          <w:szCs w:val="16"/>
          <w:color w:val="auto"/>
        </w:rPr>
      </w:pPr>
    </w:p>
    <w:p>
      <w:pPr>
        <w:ind w:left="4" w:right="60" w:firstLine="987"/>
        <w:spacing w:after="0" w:line="263" w:lineRule="auto"/>
        <w:tabs>
          <w:tab w:leader="none" w:pos="125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jc w:val="both"/>
        <w:ind w:left="4" w:right="120" w:firstLine="987"/>
        <w:spacing w:after="0" w:line="263" w:lineRule="auto"/>
        <w:tabs>
          <w:tab w:leader="none" w:pos="12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004"/>
          </w:cols>
          <w:pgMar w:left="436" w:top="274" w:right="459" w:bottom="1440" w:gutter="0" w:footer="0" w:header="0"/>
        </w:sectPr>
      </w:pPr>
    </w:p>
    <w:bookmarkStart w:id="388" w:name="page389"/>
    <w:bookmarkEnd w:id="388"/>
    <w:p>
      <w:pPr>
        <w:ind w:left="4" w:right="6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5.2,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5.2.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jc w:val="both"/>
        <w:ind w:left="4" w:right="160" w:firstLine="440"/>
        <w:spacing w:after="0" w:line="286"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Governing Law; Severability</w:t>
      </w:r>
      <w:r>
        <w:rPr>
          <w:rFonts w:ascii="Arial" w:cs="Arial" w:eastAsia="Arial" w:hAnsi="Arial"/>
          <w:sz w:val="17"/>
          <w:szCs w:val="17"/>
          <w:color w:val="auto"/>
        </w:rPr>
        <w:t>.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65" w:lineRule="exact"/>
        <w:rPr>
          <w:sz w:val="20"/>
          <w:szCs w:val="20"/>
          <w:color w:val="auto"/>
        </w:rPr>
      </w:pPr>
    </w:p>
    <w:p>
      <w:pPr>
        <w:ind w:left="4" w:firstLine="440"/>
        <w:spacing w:after="0" w:line="275"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76" w:lineRule="exact"/>
        <w:rPr>
          <w:sz w:val="20"/>
          <w:szCs w:val="20"/>
          <w:color w:val="auto"/>
        </w:rPr>
      </w:pPr>
    </w:p>
    <w:p>
      <w:pPr>
        <w:ind w:left="4" w:right="220" w:firstLine="440"/>
        <w:spacing w:after="0" w:line="311"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49" w:lineRule="exact"/>
        <w:rPr>
          <w:sz w:val="20"/>
          <w:szCs w:val="20"/>
          <w:color w:val="auto"/>
        </w:rPr>
      </w:pPr>
    </w:p>
    <w:p>
      <w:pPr>
        <w:ind w:left="4" w:right="240" w:firstLine="440"/>
        <w:spacing w:after="0" w:line="34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left="4" w:right="100" w:firstLine="440"/>
        <w:spacing w:after="0" w:line="28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 (2) 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w:t>
      </w:r>
    </w:p>
    <w:p>
      <w:pPr>
        <w:spacing w:after="0" w:line="1" w:lineRule="exact"/>
        <w:rPr>
          <w:sz w:val="20"/>
          <w:szCs w:val="20"/>
          <w:color w:val="auto"/>
        </w:rPr>
      </w:pPr>
    </w:p>
    <w:p>
      <w:pPr>
        <w:ind w:left="4" w:right="100" w:hanging="4"/>
        <w:spacing w:after="0" w:line="255" w:lineRule="auto"/>
        <w:tabs>
          <w:tab w:leader="none" w:pos="269" w:val="left"/>
        </w:tabs>
        <w:numPr>
          <w:ilvl w:val="0"/>
          <w:numId w:val="26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such securities, whether any such transaction described in clause (i) or (ii) above is to be settled by delivery of Common Stock or other securities, in cash, or otherwise. The</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004"/>
          </w:cols>
          <w:pgMar w:left="436" w:top="274" w:right="459" w:bottom="1440" w:gutter="0" w:footer="0" w:header="0"/>
        </w:sectPr>
      </w:pPr>
    </w:p>
    <w:bookmarkStart w:id="389" w:name="page390"/>
    <w:bookmarkEnd w:id="389"/>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390" w:name="page391"/>
    <w:bookmarkEnd w:id="3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EXERCISE NOTICE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60" w:type="dxa"/>
            <w:vAlign w:val="bottom"/>
            <w:gridSpan w:val="3"/>
          </w:tcPr>
          <w:p>
            <w:pPr>
              <w:ind w:left="440"/>
              <w:spacing w:after="0"/>
              <w:rPr>
                <w:sz w:val="20"/>
                <w:szCs w:val="20"/>
                <w:color w:val="auto"/>
              </w:rPr>
            </w:pPr>
            <w:r>
              <w:rPr>
                <w:rFonts w:ascii="Arial" w:cs="Arial" w:eastAsia="Arial" w:hAnsi="Arial"/>
                <w:sz w:val="18"/>
                <w:szCs w:val="18"/>
                <w:color w:val="auto"/>
              </w:rPr>
              <w:t>Effective as of today,</w:t>
            </w:r>
          </w:p>
        </w:tc>
        <w:tc>
          <w:tcPr>
            <w:tcW w:w="6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 the undersigned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hereby elects to exercise Participant’s option to</w:t>
            </w:r>
          </w:p>
        </w:tc>
      </w:tr>
      <w:tr>
        <w:trPr>
          <w:trHeight w:val="20"/>
        </w:trPr>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purchase</w:t>
            </w:r>
          </w:p>
        </w:tc>
        <w:tc>
          <w:tcPr>
            <w:tcW w:w="9860" w:type="dxa"/>
            <w:vAlign w:val="bottom"/>
            <w:gridSpan w:val="10"/>
          </w:tcPr>
          <w:p>
            <w:pPr>
              <w:ind w:left="240"/>
              <w:spacing w:after="0"/>
              <w:rPr>
                <w:sz w:val="20"/>
                <w:szCs w:val="20"/>
                <w:color w:val="auto"/>
              </w:rPr>
            </w:pPr>
            <w:r>
              <w:rPr>
                <w:rFonts w:ascii="Arial" w:cs="Arial" w:eastAsia="Arial" w:hAnsi="Arial"/>
                <w:sz w:val="18"/>
                <w:szCs w:val="18"/>
                <w:color w:val="auto"/>
                <w:w w:val="93"/>
              </w:rPr>
              <w:t>Shares of Adagio Therapeutics, Inc. (the “</w:t>
            </w:r>
            <w:r>
              <w:rPr>
                <w:rFonts w:ascii="Arial" w:cs="Arial" w:eastAsia="Arial" w:hAnsi="Arial"/>
                <w:sz w:val="18"/>
                <w:szCs w:val="18"/>
                <w:b w:val="1"/>
                <w:bCs w:val="1"/>
                <w:i w:val="1"/>
                <w:iCs w:val="1"/>
                <w:color w:val="auto"/>
                <w:w w:val="93"/>
              </w:rPr>
              <w:t>Company</w:t>
            </w:r>
            <w:r>
              <w:rPr>
                <w:rFonts w:ascii="Arial" w:cs="Arial" w:eastAsia="Arial" w:hAnsi="Arial"/>
                <w:sz w:val="18"/>
                <w:szCs w:val="18"/>
                <w:color w:val="auto"/>
                <w:w w:val="93"/>
              </w:rPr>
              <w:t>”) under and pursuant to the Adagio Therapeutics, Inc. 2020 Equity Incentive</w:t>
            </w:r>
          </w:p>
        </w:tc>
      </w:tr>
      <w:tr>
        <w:trPr>
          <w:trHeight w:val="190"/>
        </w:trPr>
        <w:tc>
          <w:tcPr>
            <w:tcW w:w="4100" w:type="dxa"/>
            <w:vAlign w:val="bottom"/>
            <w:gridSpan w:val="8"/>
          </w:tcPr>
          <w:p>
            <w:pPr>
              <w:spacing w:after="0" w:line="190" w:lineRule="exact"/>
              <w:rPr>
                <w:sz w:val="20"/>
                <w:szCs w:val="20"/>
                <w:color w:val="auto"/>
              </w:rPr>
            </w:pPr>
            <w:r>
              <w:rPr>
                <w:rFonts w:ascii="Arial" w:cs="Arial" w:eastAsia="Arial" w:hAnsi="Arial"/>
                <w:sz w:val="18"/>
                <w:szCs w:val="18"/>
                <w:color w:val="auto"/>
                <w:w w:val="90"/>
              </w:rPr>
              <w:t>Plan (the “</w:t>
            </w:r>
            <w:r>
              <w:rPr>
                <w:rFonts w:ascii="Arial" w:cs="Arial" w:eastAsia="Arial" w:hAnsi="Arial"/>
                <w:sz w:val="18"/>
                <w:szCs w:val="18"/>
                <w:b w:val="1"/>
                <w:bCs w:val="1"/>
                <w:i w:val="1"/>
                <w:iCs w:val="1"/>
                <w:color w:val="auto"/>
                <w:w w:val="90"/>
              </w:rPr>
              <w:t>Plan</w:t>
            </w:r>
            <w:r>
              <w:rPr>
                <w:rFonts w:ascii="Arial" w:cs="Arial" w:eastAsia="Arial" w:hAnsi="Arial"/>
                <w:sz w:val="18"/>
                <w:szCs w:val="18"/>
                <w:color w:val="auto"/>
                <w:w w:val="90"/>
              </w:rPr>
              <w:t>”) and the Stock Option Agreement dated</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5480" w:type="dxa"/>
            <w:vAlign w:val="bottom"/>
          </w:tcPr>
          <w:p>
            <w:pPr>
              <w:spacing w:after="0" w:line="190" w:lineRule="exact"/>
              <w:rPr>
                <w:sz w:val="20"/>
                <w:szCs w:val="20"/>
                <w:color w:val="auto"/>
              </w:rPr>
            </w:pPr>
            <w:r>
              <w:rPr>
                <w:rFonts w:ascii="Arial" w:cs="Arial" w:eastAsia="Arial" w:hAnsi="Arial"/>
                <w:sz w:val="18"/>
                <w:szCs w:val="18"/>
                <w:color w:val="auto"/>
                <w:w w:val="94"/>
              </w:rPr>
              <w:t>, ____ (the “</w:t>
            </w:r>
            <w:r>
              <w:rPr>
                <w:rFonts w:ascii="Arial" w:cs="Arial" w:eastAsia="Arial" w:hAnsi="Arial"/>
                <w:sz w:val="18"/>
                <w:szCs w:val="18"/>
                <w:b w:val="1"/>
                <w:bCs w:val="1"/>
                <w:i w:val="1"/>
                <w:iCs w:val="1"/>
                <w:color w:val="auto"/>
                <w:w w:val="94"/>
              </w:rPr>
              <w:t>Option Agreement</w:t>
            </w:r>
            <w:r>
              <w:rPr>
                <w:rFonts w:ascii="Arial" w:cs="Arial" w:eastAsia="Arial" w:hAnsi="Arial"/>
                <w:sz w:val="18"/>
                <w:szCs w:val="18"/>
                <w:color w:val="auto"/>
                <w:w w:val="94"/>
              </w:rPr>
              <w:t>”). Capitalized terms used herein without</w:t>
            </w:r>
          </w:p>
        </w:tc>
      </w:tr>
      <w:tr>
        <w:trPr>
          <w:trHeight w:val="237"/>
        </w:trPr>
        <w:tc>
          <w:tcPr>
            <w:tcW w:w="11020" w:type="dxa"/>
            <w:vAlign w:val="bottom"/>
            <w:gridSpan w:val="11"/>
          </w:tcPr>
          <w:p>
            <w:pPr>
              <w:spacing w:after="0"/>
              <w:rPr>
                <w:sz w:val="20"/>
                <w:szCs w:val="20"/>
                <w:color w:val="auto"/>
              </w:rPr>
            </w:pPr>
            <w:r>
              <w:rPr>
                <w:rFonts w:ascii="Arial" w:cs="Arial" w:eastAsia="Arial" w:hAnsi="Arial"/>
                <w:sz w:val="18"/>
                <w:szCs w:val="18"/>
                <w:color w:val="auto"/>
              </w:rPr>
              <w:t>definition shall have the meanings given in the Option Agreement.</w:t>
            </w:r>
          </w:p>
        </w:tc>
      </w:tr>
      <w:tr>
        <w:trPr>
          <w:trHeight w:val="459"/>
        </w:trPr>
        <w:tc>
          <w:tcPr>
            <w:tcW w:w="116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86"/>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Number of Shares as to which</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234"/>
        </w:trPr>
        <w:tc>
          <w:tcPr>
            <w:tcW w:w="2760" w:type="dxa"/>
            <w:vAlign w:val="bottom"/>
            <w:gridSpan w:val="3"/>
          </w:tcPr>
          <w:p>
            <w:pPr>
              <w:ind w:left="180"/>
              <w:spacing w:after="0"/>
              <w:rPr>
                <w:sz w:val="20"/>
                <w:szCs w:val="20"/>
                <w:color w:val="auto"/>
              </w:rPr>
            </w:pPr>
            <w:r>
              <w:rPr>
                <w:rFonts w:ascii="Arial" w:cs="Arial" w:eastAsia="Arial" w:hAnsi="Arial"/>
                <w:sz w:val="18"/>
                <w:szCs w:val="18"/>
                <w:b w:val="1"/>
                <w:bCs w:val="1"/>
                <w:color w:val="auto"/>
              </w:rPr>
              <w:t>Option is Exercised:</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480" w:type="dxa"/>
            <w:vAlign w:val="bottom"/>
            <w:tcBorders>
              <w:bottom w:val="single" w:sz="8" w:color="auto"/>
            </w:tcBorders>
          </w:tcPr>
          <w:p>
            <w:pPr>
              <w:spacing w:after="0"/>
              <w:rPr>
                <w:sz w:val="20"/>
                <w:szCs w:val="20"/>
                <w:color w:val="auto"/>
              </w:rPr>
            </w:pPr>
          </w:p>
        </w:tc>
      </w:tr>
      <w:tr>
        <w:trPr>
          <w:trHeight w:val="26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Exercise Price per Share: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40" w:type="dxa"/>
            <w:vAlign w:val="bottom"/>
          </w:tcPr>
          <w:p>
            <w:pPr>
              <w:spacing w:after="0"/>
              <w:rPr>
                <w:sz w:val="22"/>
                <w:szCs w:val="22"/>
                <w:color w:val="auto"/>
              </w:rPr>
            </w:pPr>
          </w:p>
        </w:tc>
        <w:tc>
          <w:tcPr>
            <w:tcW w:w="5480" w:type="dxa"/>
            <w:vAlign w:val="bottom"/>
          </w:tcPr>
          <w:p>
            <w:pPr>
              <w:spacing w:after="0"/>
              <w:rPr>
                <w:sz w:val="22"/>
                <w:szCs w:val="22"/>
                <w:color w:val="auto"/>
              </w:rPr>
            </w:pPr>
          </w:p>
        </w:tc>
      </w:tr>
      <w:tr>
        <w:trPr>
          <w:trHeight w:val="30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rPr>
              <w:t>Total Exercise Price: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80" w:type="dxa"/>
            <w:vAlign w:val="bottom"/>
          </w:tcPr>
          <w:p>
            <w:pPr>
              <w:spacing w:after="0"/>
              <w:rPr>
                <w:sz w:val="24"/>
                <w:szCs w:val="24"/>
                <w:color w:val="auto"/>
              </w:rPr>
            </w:pPr>
          </w:p>
        </w:tc>
      </w:tr>
      <w:tr>
        <w:trPr>
          <w:trHeight w:val="344"/>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91"/>
              </w:rPr>
              <w:t>Certificate to be issued in name of:</w:t>
            </w:r>
          </w:p>
        </w:tc>
        <w:tc>
          <w:tcPr>
            <w:tcW w:w="1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r>
      <w:tr>
        <w:trPr>
          <w:trHeight w:val="263"/>
        </w:trPr>
        <w:tc>
          <w:tcPr>
            <w:tcW w:w="2760" w:type="dxa"/>
            <w:vAlign w:val="bottom"/>
            <w:gridSpan w:val="3"/>
          </w:tcPr>
          <w:p>
            <w:pPr>
              <w:spacing w:after="0"/>
              <w:rPr>
                <w:sz w:val="20"/>
                <w:szCs w:val="20"/>
                <w:color w:val="auto"/>
              </w:rPr>
            </w:pPr>
            <w:r>
              <w:rPr>
                <w:rFonts w:ascii="Arial" w:cs="Arial" w:eastAsia="Arial" w:hAnsi="Arial"/>
                <w:sz w:val="18"/>
                <w:szCs w:val="18"/>
                <w:b w:val="1"/>
                <w:bCs w:val="1"/>
                <w:color w:val="auto"/>
                <w:w w:val="93"/>
              </w:rPr>
              <w:t>Cash Payment delivered herewith:</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w w:val="90"/>
              </w:rPr>
              <w:t>(Representing the full Exercise Price for the Shares, as well as any applicable withholding tax)</w:t>
            </w:r>
          </w:p>
        </w:tc>
      </w:tr>
    </w:tbl>
    <w:p>
      <w:pPr>
        <w:spacing w:after="0" w:line="22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b w:val="1"/>
          <w:bCs w:val="1"/>
          <w:color w:val="auto"/>
        </w:rPr>
        <w:t>Type of Option:</w:t>
      </w:r>
      <w:r>
        <w:rPr>
          <w:sz w:val="20"/>
          <w:szCs w:val="20"/>
          <w:color w:val="auto"/>
        </w:rPr>
        <w:tab/>
      </w:r>
      <w:r>
        <w:rPr>
          <w:rFonts w:ascii="Arial" w:cs="Arial" w:eastAsia="Arial" w:hAnsi="Arial"/>
          <w:sz w:val="16"/>
          <w:szCs w:val="16"/>
          <w:color w:val="auto"/>
        </w:rPr>
        <w:t>[Incentive Stock Option/Non-Qualified Stock Option]</w:t>
      </w:r>
    </w:p>
    <w:p>
      <w:pPr>
        <w:spacing w:after="0" w:line="229" w:lineRule="exact"/>
        <w:rPr>
          <w:sz w:val="20"/>
          <w:szCs w:val="20"/>
          <w:color w:val="auto"/>
        </w:rPr>
      </w:pPr>
    </w:p>
    <w:p>
      <w:pPr>
        <w:ind w:left="620" w:hanging="184"/>
        <w:spacing w:after="0"/>
        <w:tabs>
          <w:tab w:leader="none" w:pos="620" w:val="left"/>
        </w:tabs>
        <w:numPr>
          <w:ilvl w:val="0"/>
          <w:numId w:val="265"/>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277" w:lineRule="auto"/>
        <w:tabs>
          <w:tab w:leader="none" w:pos="123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Participant acknowledges that Participant has received, read and understood the Plan and the Option Agreement. Participant agrees to abide by and be bound by their terms and conditions.</w:t>
      </w:r>
    </w:p>
    <w:p>
      <w:pPr>
        <w:spacing w:after="0" w:line="170" w:lineRule="exact"/>
        <w:rPr>
          <w:rFonts w:ascii="Arial" w:cs="Arial" w:eastAsia="Arial" w:hAnsi="Arial"/>
          <w:sz w:val="18"/>
          <w:szCs w:val="18"/>
          <w:color w:val="auto"/>
        </w:rPr>
      </w:pPr>
    </w:p>
    <w:p>
      <w:pPr>
        <w:jc w:val="both"/>
        <w:ind w:right="300" w:firstLine="987"/>
        <w:spacing w:after="0" w:line="263" w:lineRule="auto"/>
        <w:tabs>
          <w:tab w:leader="none" w:pos="124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any rule or regulation under the Securities Act.</w:t>
      </w:r>
    </w:p>
    <w:p>
      <w:pPr>
        <w:spacing w:after="0" w:line="183" w:lineRule="exact"/>
        <w:rPr>
          <w:rFonts w:ascii="Arial" w:cs="Arial" w:eastAsia="Arial" w:hAnsi="Arial"/>
          <w:sz w:val="18"/>
          <w:szCs w:val="18"/>
          <w:color w:val="auto"/>
        </w:rPr>
      </w:pPr>
    </w:p>
    <w:p>
      <w:pPr>
        <w:ind w:right="780" w:firstLine="987"/>
        <w:spacing w:after="0" w:line="342" w:lineRule="auto"/>
        <w:tabs>
          <w:tab w:leader="none" w:pos="1236" w:val="left"/>
        </w:tabs>
        <w:numPr>
          <w:ilvl w:val="1"/>
          <w:numId w:val="265"/>
        </w:numPr>
        <w:rPr>
          <w:rFonts w:ascii="Arial" w:cs="Arial" w:eastAsia="Arial" w:hAnsi="Arial"/>
          <w:sz w:val="16"/>
          <w:szCs w:val="16"/>
          <w:color w:val="auto"/>
        </w:rPr>
      </w:pPr>
      <w:r>
        <w:rPr>
          <w:rFonts w:ascii="Arial" w:cs="Arial" w:eastAsia="Arial" w:hAnsi="Arial"/>
          <w:sz w:val="16"/>
          <w:szCs w:val="16"/>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123" w:lineRule="exact"/>
        <w:rPr>
          <w:rFonts w:ascii="Arial" w:cs="Arial" w:eastAsia="Arial" w:hAnsi="Arial"/>
          <w:sz w:val="16"/>
          <w:szCs w:val="16"/>
          <w:color w:val="auto"/>
        </w:rPr>
      </w:pPr>
    </w:p>
    <w:p>
      <w:pPr>
        <w:ind w:right="540" w:firstLine="987"/>
        <w:spacing w:after="0" w:line="277" w:lineRule="auto"/>
        <w:tabs>
          <w:tab w:leader="none" w:pos="124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Participant can afford a complete loss of the value of the Shares and is able to bear the economic risk of holding such Shares for an indefinite period.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391" w:name="page392"/>
    <w:bookmarkEnd w:id="391"/>
    <w:p>
      <w:pPr>
        <w:ind w:firstLine="987"/>
        <w:spacing w:after="0" w:line="272" w:lineRule="auto"/>
        <w:tabs>
          <w:tab w:leader="none" w:pos="1216" w:val="left"/>
        </w:tabs>
        <w:numPr>
          <w:ilvl w:val="1"/>
          <w:numId w:val="2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77" w:lineRule="exact"/>
        <w:rPr>
          <w:rFonts w:ascii="Arial" w:cs="Arial" w:eastAsia="Arial" w:hAnsi="Arial"/>
          <w:sz w:val="17"/>
          <w:szCs w:val="17"/>
          <w:color w:val="auto"/>
        </w:rPr>
      </w:pPr>
    </w:p>
    <w:p>
      <w:pPr>
        <w:ind w:right="200" w:firstLine="436"/>
        <w:spacing w:after="0" w:line="255" w:lineRule="auto"/>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987"/>
        <w:spacing w:after="0" w:line="263" w:lineRule="auto"/>
        <w:tabs>
          <w:tab w:leader="none" w:pos="1236" w:val="left"/>
        </w:tabs>
        <w:numPr>
          <w:ilvl w:val="1"/>
          <w:numId w:val="267"/>
        </w:numPr>
        <w:rPr>
          <w:rFonts w:ascii="Arial" w:cs="Arial" w:eastAsia="Arial" w:hAnsi="Arial"/>
          <w:sz w:val="18"/>
          <w:szCs w:val="18"/>
          <w:color w:val="auto"/>
        </w:rPr>
      </w:pPr>
      <w:r>
        <w:rPr>
          <w:rFonts w:ascii="Arial" w:cs="Arial" w:eastAsia="Arial" w:hAnsi="Arial"/>
          <w:sz w:val="18"/>
          <w:szCs w:val="18"/>
          <w:u w:val="single" w:color="auto"/>
          <w:color w:val="auto"/>
        </w:rPr>
        <w:t>Legends</w:t>
      </w:r>
      <w:r>
        <w:rPr>
          <w:rFonts w:ascii="Arial" w:cs="Arial" w:eastAsia="Arial" w:hAnsi="Arial"/>
          <w:sz w:val="18"/>
          <w:szCs w:val="18"/>
          <w:color w:val="auto"/>
        </w:rPr>
        <w:t>.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76"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7"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THE SHARES REPRESENTED BY THIS CERTIFICATE MAY BE SUBJECT TO REPURCHASE PURSUANT TO, AND MAY BE TRANSFERRED ONLY IN ACCORDANCE WITH, THE TERMS OF AN AGREEMENT BETWEEN THE COMPANY AND THE STOCKHOLDER, A COPY OF WHICH IS ON FILE WITH THE SECRETARY OF THE COMPANY. SUCH REPURCHASE AND/OR TRANSFER RESTRICTIONS ARE BINDING ON TRANSFEREES OF THESE SHARES.</w:t>
      </w:r>
    </w:p>
    <w:p>
      <w:pPr>
        <w:spacing w:after="0" w:line="187" w:lineRule="exact"/>
        <w:rPr>
          <w:sz w:val="20"/>
          <w:szCs w:val="20"/>
          <w:color w:val="auto"/>
        </w:rPr>
      </w:pPr>
    </w:p>
    <w:p>
      <w:pPr>
        <w:ind w:right="60" w:firstLine="987"/>
        <w:spacing w:after="0" w:line="263" w:lineRule="auto"/>
        <w:tabs>
          <w:tab w:leader="none" w:pos="1246" w:val="left"/>
        </w:tabs>
        <w:numPr>
          <w:ilvl w:val="0"/>
          <w:numId w:val="268"/>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392" w:name="page393"/>
    <w:bookmarkEnd w:id="392"/>
    <w:p>
      <w:pPr>
        <w:jc w:val="both"/>
        <w:ind w:right="200" w:firstLine="987"/>
        <w:spacing w:after="0" w:line="263" w:lineRule="auto"/>
        <w:tabs>
          <w:tab w:leader="none" w:pos="1236" w:val="left"/>
        </w:tabs>
        <w:numPr>
          <w:ilvl w:val="1"/>
          <w:numId w:val="2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right="440" w:firstLine="436"/>
        <w:spacing w:after="0" w:line="277" w:lineRule="auto"/>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hereunder shall be given in accordance with the provisions set forth in Section 5.2 of the Option Agreement.</w:t>
      </w:r>
    </w:p>
    <w:p>
      <w:pPr>
        <w:spacing w:after="0" w:line="170" w:lineRule="exact"/>
        <w:rPr>
          <w:rFonts w:ascii="Arial" w:cs="Arial" w:eastAsia="Arial" w:hAnsi="Arial"/>
          <w:sz w:val="18"/>
          <w:szCs w:val="18"/>
          <w:color w:val="auto"/>
        </w:rPr>
      </w:pPr>
    </w:p>
    <w:p>
      <w:pPr>
        <w:ind w:right="60" w:firstLine="436"/>
        <w:spacing w:after="0" w:line="257" w:lineRule="auto"/>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Further Instruments</w:t>
      </w:r>
      <w:r>
        <w:rPr>
          <w:rFonts w:ascii="Arial" w:cs="Arial" w:eastAsia="Arial" w:hAnsi="Arial"/>
          <w:sz w:val="18"/>
          <w:szCs w:val="18"/>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7" w:lineRule="exact"/>
        <w:rPr>
          <w:rFonts w:ascii="Arial" w:cs="Arial" w:eastAsia="Arial" w:hAnsi="Arial"/>
          <w:sz w:val="18"/>
          <w:szCs w:val="18"/>
          <w:color w:val="auto"/>
        </w:rPr>
      </w:pPr>
    </w:p>
    <w:p>
      <w:pPr>
        <w:jc w:val="both"/>
        <w:ind w:right="160" w:firstLine="436"/>
        <w:spacing w:after="0" w:line="263" w:lineRule="auto"/>
        <w:tabs>
          <w:tab w:leader="none" w:pos="62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5"/>
          </w:tcPr>
          <w:p>
            <w:pPr>
              <w:spacing w:after="0"/>
              <w:rPr>
                <w:sz w:val="20"/>
                <w:szCs w:val="20"/>
                <w:color w:val="auto"/>
              </w:rPr>
            </w:pPr>
            <w:r>
              <w:rPr>
                <w:rFonts w:ascii="Arial" w:cs="Arial" w:eastAsia="Arial" w:hAnsi="Arial"/>
                <w:sz w:val="20"/>
                <w:szCs w:val="20"/>
                <w:b w:val="1"/>
                <w:bCs w:val="1"/>
                <w:color w:val="auto"/>
              </w:rPr>
              <w:t>ACCEPTED BY:</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0" w:type="dxa"/>
            <w:vAlign w:val="bottom"/>
            <w:gridSpan w:val="2"/>
          </w:tcPr>
          <w:p>
            <w:pPr>
              <w:ind w:left="20"/>
              <w:spacing w:after="0"/>
              <w:rPr>
                <w:sz w:val="20"/>
                <w:szCs w:val="20"/>
                <w:color w:val="auto"/>
              </w:rPr>
            </w:pPr>
            <w:r>
              <w:rPr>
                <w:rFonts w:ascii="Arial" w:cs="Arial" w:eastAsia="Arial" w:hAnsi="Arial"/>
                <w:sz w:val="20"/>
                <w:szCs w:val="20"/>
                <w:b w:val="1"/>
                <w:bCs w:val="1"/>
                <w:color w:val="auto"/>
              </w:rPr>
              <w:t>SUBMITTED BY</w:t>
            </w:r>
          </w:p>
        </w:tc>
      </w:tr>
      <w:tr>
        <w:trPr>
          <w:trHeight w:val="256"/>
        </w:trPr>
        <w:tc>
          <w:tcPr>
            <w:tcW w:w="5280" w:type="dxa"/>
            <w:vAlign w:val="bottom"/>
            <w:gridSpan w:val="5"/>
          </w:tcPr>
          <w:p>
            <w:pPr>
              <w:spacing w:after="0"/>
              <w:rPr>
                <w:sz w:val="20"/>
                <w:szCs w:val="20"/>
                <w:color w:val="auto"/>
              </w:rPr>
            </w:pPr>
            <w:r>
              <w:rPr>
                <w:rFonts w:ascii="Arial" w:cs="Arial" w:eastAsia="Arial" w:hAnsi="Arial"/>
                <w:sz w:val="20"/>
                <w:szCs w:val="20"/>
                <w:b w:val="1"/>
                <w:bCs w:val="1"/>
                <w:color w:val="auto"/>
              </w:rPr>
              <w:t>ADAGIO THERAPEUTICS, INC.</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0" w:type="dxa"/>
            <w:vAlign w:val="bottom"/>
            <w:gridSpan w:val="2"/>
          </w:tcPr>
          <w:p>
            <w:pPr>
              <w:ind w:left="20"/>
              <w:spacing w:after="0"/>
              <w:rPr>
                <w:sz w:val="20"/>
                <w:szCs w:val="20"/>
                <w:color w:val="auto"/>
              </w:rPr>
            </w:pPr>
            <w:r>
              <w:rPr>
                <w:rFonts w:ascii="Arial" w:cs="Arial" w:eastAsia="Arial" w:hAnsi="Arial"/>
                <w:sz w:val="20"/>
                <w:szCs w:val="20"/>
                <w:b w:val="1"/>
                <w:bCs w:val="1"/>
                <w:color w:val="auto"/>
              </w:rPr>
              <w:t>PARTICIPANT:</w:t>
            </w:r>
          </w:p>
        </w:tc>
      </w:tr>
      <w:tr>
        <w:trPr>
          <w:trHeight w:val="428"/>
        </w:trPr>
        <w:tc>
          <w:tcPr>
            <w:tcW w:w="5280" w:type="dxa"/>
            <w:vAlign w:val="bottom"/>
            <w:gridSpan w:val="5"/>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09"/>
        </w:trPr>
        <w:tc>
          <w:tcPr>
            <w:tcW w:w="320" w:type="dxa"/>
            <w:vAlign w:val="bottom"/>
          </w:tcPr>
          <w:p>
            <w:pPr>
              <w:spacing w:after="0"/>
              <w:rPr>
                <w:sz w:val="20"/>
                <w:szCs w:val="20"/>
                <w:color w:val="auto"/>
              </w:rPr>
            </w:pPr>
            <w:r>
              <w:rPr>
                <w:rFonts w:ascii="Arial" w:cs="Arial" w:eastAsia="Arial" w:hAnsi="Arial"/>
                <w:sz w:val="18"/>
                <w:szCs w:val="18"/>
                <w:color w:val="auto"/>
                <w:w w:val="80"/>
              </w:rPr>
              <w:t>Print</w:t>
            </w:r>
          </w:p>
        </w:tc>
        <w:tc>
          <w:tcPr>
            <w:tcW w:w="4960" w:type="dxa"/>
            <w:vAlign w:val="bottom"/>
            <w:tcBorders>
              <w:top w:val="single" w:sz="8" w:color="auto"/>
            </w:tcBorders>
            <w:gridSpan w:val="4"/>
          </w:tcPr>
          <w:p>
            <w:pPr>
              <w:ind w:left="8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Print Name:</w:t>
            </w:r>
          </w:p>
        </w:tc>
      </w:tr>
      <w:tr>
        <w:trPr>
          <w:trHeight w:val="210"/>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60" w:type="dxa"/>
            <w:vAlign w:val="bottom"/>
            <w:tcBorders>
              <w:bottom w:val="single" w:sz="8" w:color="auto"/>
            </w:tcBorders>
          </w:tcPr>
          <w:p>
            <w:pPr>
              <w:spacing w:after="0"/>
              <w:rPr>
                <w:sz w:val="18"/>
                <w:szCs w:val="18"/>
                <w:color w:val="auto"/>
              </w:rPr>
            </w:pPr>
          </w:p>
        </w:tc>
        <w:tc>
          <w:tcPr>
            <w:tcW w:w="418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180" w:type="dxa"/>
            <w:vAlign w:val="bottom"/>
            <w:tcBorders>
              <w:top w:val="single" w:sz="8" w:color="auto"/>
            </w:tcBorders>
          </w:tcPr>
          <w:p>
            <w:pPr>
              <w:spacing w:after="0"/>
              <w:rPr>
                <w:sz w:val="18"/>
                <w:szCs w:val="18"/>
                <w:color w:val="auto"/>
              </w:rPr>
            </w:pPr>
          </w:p>
        </w:tc>
      </w:tr>
      <w:tr>
        <w:trPr>
          <w:trHeight w:val="35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40" w:type="dxa"/>
            <w:vAlign w:val="bottom"/>
            <w:gridSpan w:val="4"/>
          </w:tcPr>
          <w:p>
            <w:pPr>
              <w:ind w:left="8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1020"/>
          </w:cols>
          <w:pgMar w:left="440" w:top="274" w:right="439" w:bottom="1440" w:gutter="0" w:footer="0" w:header="0"/>
        </w:sectPr>
      </w:pPr>
    </w:p>
    <w:bookmarkStart w:id="393" w:name="page394"/>
    <w:bookmarkEnd w:id="393"/>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ASSIGNMENT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Assignment Separate From Certificate</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instructions below</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VALUE RECEIVED I, _________, hereby sell, assign and transfer unto __________ the shares of the Common Stock of Adagio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Therapeutics, Inc. registered in my name on the books of said corporation represented by Certificate No. ____ and do hereby irrevocably constitute and</w:t>
      </w:r>
    </w:p>
    <w:p>
      <w:pPr>
        <w:spacing w:after="0" w:line="32" w:lineRule="exact"/>
        <w:rPr>
          <w:sz w:val="20"/>
          <w:szCs w:val="20"/>
          <w:color w:val="auto"/>
        </w:rPr>
      </w:pPr>
    </w:p>
    <w:p>
      <w:pPr>
        <w:spacing w:after="0"/>
        <w:tabs>
          <w:tab w:leader="none" w:pos="1780" w:val="left"/>
        </w:tabs>
        <w:rPr>
          <w:sz w:val="20"/>
          <w:szCs w:val="20"/>
          <w:color w:val="auto"/>
        </w:rPr>
      </w:pPr>
      <w:r>
        <w:rPr>
          <w:rFonts w:ascii="Arial" w:cs="Arial" w:eastAsia="Arial" w:hAnsi="Arial"/>
          <w:sz w:val="17"/>
          <w:szCs w:val="17"/>
          <w:color w:val="auto"/>
        </w:rPr>
        <w:t>appoint</w:t>
      </w:r>
      <w:r>
        <w:rPr>
          <w:sz w:val="20"/>
          <w:szCs w:val="20"/>
          <w:color w:val="auto"/>
        </w:rPr>
        <w:tab/>
      </w:r>
      <w:r>
        <w:rPr>
          <w:rFonts w:ascii="Arial" w:cs="Arial" w:eastAsia="Arial" w:hAnsi="Arial"/>
          <w:sz w:val="17"/>
          <w:szCs w:val="17"/>
          <w:color w:val="auto"/>
        </w:rPr>
        <w:t>to transfer the said stock on the books of the within named corporation with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-12065</wp:posOffset>
            </wp:positionV>
            <wp:extent cx="80010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Assignment Separate from Certificate may be used only in accordance with the Stock Option Grant Notice and Stock Option Agreement</w:t>
      </w:r>
    </w:p>
    <w:p>
      <w:pPr>
        <w:spacing w:after="0" w:line="46" w:lineRule="exact"/>
        <w:rPr>
          <w:sz w:val="20"/>
          <w:szCs w:val="20"/>
          <w:color w:val="auto"/>
        </w:rPr>
      </w:pPr>
    </w:p>
    <w:p>
      <w:pPr>
        <w:spacing w:after="0"/>
        <w:tabs>
          <w:tab w:leader="none" w:pos="6260" w:val="left"/>
          <w:tab w:leader="none" w:pos="6660" w:val="left"/>
        </w:tabs>
        <w:rPr>
          <w:sz w:val="20"/>
          <w:szCs w:val="20"/>
          <w:color w:val="auto"/>
        </w:rPr>
      </w:pPr>
      <w:r>
        <w:rPr>
          <w:rFonts w:ascii="Arial" w:cs="Arial" w:eastAsia="Arial" w:hAnsi="Arial"/>
          <w:sz w:val="18"/>
          <w:szCs w:val="18"/>
          <w:color w:val="auto"/>
        </w:rPr>
        <w:t>between Adagio Therapeutics, Inc. and the undersigned dated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2817495</wp:posOffset>
            </wp:positionH>
            <wp:positionV relativeFrom="paragraph">
              <wp:posOffset>-19050</wp:posOffset>
            </wp:positionV>
            <wp:extent cx="14281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191" w:lineRule="exact"/>
        <w:rPr>
          <w:sz w:val="20"/>
          <w:szCs w:val="20"/>
          <w:color w:val="auto"/>
        </w:rPr>
      </w:pPr>
    </w:p>
    <w:p>
      <w:pPr>
        <w:spacing w:after="0"/>
        <w:tabs>
          <w:tab w:leader="none" w:pos="2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42811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428115" cy="8255"/>
                    </a:xfrm>
                    <a:prstGeom prst="rect">
                      <a:avLst/>
                    </a:prstGeom>
                    <a:noFill/>
                  </pic:spPr>
                </pic:pic>
              </a:graphicData>
            </a:graphic>
          </wp:anchor>
        </w:drawing>
      </w:r>
    </w:p>
    <w:p>
      <w:pPr>
        <w:spacing w:after="0" w:line="20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4118610</wp:posOffset>
            </wp:positionH>
            <wp:positionV relativeFrom="paragraph">
              <wp:posOffset>-10160</wp:posOffset>
            </wp:positionV>
            <wp:extent cx="23418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341880" cy="8255"/>
                    </a:xfrm>
                    <a:prstGeom prst="rect">
                      <a:avLst/>
                    </a:prstGeom>
                    <a:noFill/>
                  </pic:spPr>
                </pic:pic>
              </a:graphicData>
            </a:graphic>
          </wp:anchor>
        </w:drawing>
      </w:r>
    </w:p>
    <w:p>
      <w:pPr>
        <w:spacing w:after="0" w:line="201"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u w:val="single" w:color="auto"/>
          <w:color w:val="auto"/>
        </w:rPr>
        <w:t xml:space="preserve">INSTRUCTIONS: </w:t>
      </w:r>
      <w:r>
        <w:rPr>
          <w:rFonts w:ascii="Arial" w:cs="Arial" w:eastAsia="Arial" w:hAnsi="Arial"/>
          <w:sz w:val="18"/>
          <w:szCs w:val="18"/>
          <w:u w:val="single" w:color="auto"/>
          <w:color w:val="auto"/>
        </w:rPr>
        <w:t>Please do not fill in any blanks other than the signature line. The purpose of this assignment is to enable the Company to exercise</w:t>
      </w:r>
      <w:r>
        <w:rPr>
          <w:rFonts w:ascii="Arial" w:cs="Arial" w:eastAsia="Arial" w:hAnsi="Arial"/>
          <w:sz w:val="18"/>
          <w:szCs w:val="18"/>
          <w:b w:val="1"/>
          <w:bCs w:val="1"/>
          <w:u w:val="single" w:color="auto"/>
          <w:color w:val="auto"/>
        </w:rPr>
        <w:t xml:space="preserve"> </w:t>
      </w:r>
      <w:r>
        <w:rPr>
          <w:rFonts w:ascii="Arial" w:cs="Arial" w:eastAsia="Arial" w:hAnsi="Arial"/>
          <w:sz w:val="18"/>
          <w:szCs w:val="18"/>
          <w:u w:val="single" w:color="auto"/>
          <w:color w:val="auto"/>
        </w:rPr>
        <w:t>the Company Repurchase Right, as set forth in the Stock Option Grant Notice and Stock Option Agreement, without requiring additional signatures on the part of Participant.</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900"/>
          </w:cols>
          <w:pgMar w:left="440" w:top="270" w:right="559" w:bottom="1440" w:gutter="0" w:footer="0" w:header="0"/>
        </w:sectPr>
      </w:pPr>
    </w:p>
    <w:bookmarkStart w:id="394" w:name="page395"/>
    <w:bookmarkEnd w:id="3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STOCK OPTION GRANT NOTICE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ESCROW INSTRUCTIONS</w:t>
      </w:r>
    </w:p>
    <w:p>
      <w:pPr>
        <w:spacing w:after="0" w:line="117" w:lineRule="exact"/>
        <w:rPr>
          <w:sz w:val="20"/>
          <w:szCs w:val="20"/>
          <w:color w:val="auto"/>
        </w:rPr>
      </w:pPr>
    </w:p>
    <w:p>
      <w:pPr>
        <w:ind w:left="105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5821680</wp:posOffset>
            </wp:positionH>
            <wp:positionV relativeFrom="paragraph">
              <wp:posOffset>-7620</wp:posOffset>
            </wp:positionV>
            <wp:extent cx="117094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Adagio Therapeutics, Inc.</w:t>
      </w:r>
    </w:p>
    <w:p>
      <w:pPr>
        <w:spacing w:after="0" w:line="211"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color w:val="auto"/>
        </w:rPr>
        <w:t>As Escrow Agent for both Adagio Therapeutics, Inc. (the “</w:t>
      </w:r>
      <w:r>
        <w:rPr>
          <w:rFonts w:ascii="Arial" w:cs="Arial" w:eastAsia="Arial" w:hAnsi="Arial"/>
          <w:sz w:val="16"/>
          <w:szCs w:val="16"/>
          <w:u w:val="single" w:color="auto"/>
          <w:color w:val="auto"/>
        </w:rPr>
        <w:t>Company</w:t>
      </w:r>
      <w:r>
        <w:rPr>
          <w:rFonts w:ascii="Arial" w:cs="Arial" w:eastAsia="Arial" w:hAnsi="Arial"/>
          <w:sz w:val="16"/>
          <w:szCs w:val="16"/>
          <w:color w:val="auto"/>
        </w:rPr>
        <w:t>”) and the undersigned purchaser of stock of the Company (the “</w:t>
      </w:r>
      <w:r>
        <w:rPr>
          <w:rFonts w:ascii="Arial" w:cs="Arial" w:eastAsia="Arial" w:hAnsi="Arial"/>
          <w:sz w:val="16"/>
          <w:szCs w:val="16"/>
          <w:u w:val="single" w:color="auto"/>
          <w:color w:val="auto"/>
        </w:rPr>
        <w:t>Participant</w:t>
      </w:r>
      <w:r>
        <w:rPr>
          <w:rFonts w:ascii="Arial" w:cs="Arial" w:eastAsia="Arial" w:hAnsi="Arial"/>
          <w:sz w:val="16"/>
          <w:szCs w:val="16"/>
          <w:color w:val="auto"/>
        </w:rPr>
        <w:t>”), you are hereby authorized and directed to hold the documents delivered to you pursuant to the terms of that certain Stock Option Grant Notice and Stock Option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between the Company and the undersigned, in accordance with the following instructions:</w:t>
      </w:r>
    </w:p>
    <w:p>
      <w:pPr>
        <w:spacing w:after="0" w:line="41" w:lineRule="exact"/>
        <w:rPr>
          <w:sz w:val="20"/>
          <w:szCs w:val="20"/>
          <w:color w:val="auto"/>
        </w:rPr>
      </w:pPr>
    </w:p>
    <w:p>
      <w:pPr>
        <w:ind w:left="440" w:right="120" w:firstLine="419"/>
        <w:spacing w:after="0" w:line="257" w:lineRule="auto"/>
        <w:tabs>
          <w:tab w:leader="none" w:pos="104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In the event the Company or any entitled parties (referred to collectively for convenience herein as the “Company”) exercises or is deemed to have exercised the Company Repurchase Right set forth in the Agreement, the Company shall give to Participant and you a written notice specifying the number of shares of stock to be purchased, the purchase price, and the time for a closing hereunder at the principal office of the Company. Participant and the Company hereby irrevocably authorize and direct you to close the transaction contemplated by such notice in accordance with the terms of said notice.</w:t>
      </w:r>
    </w:p>
    <w:p>
      <w:pPr>
        <w:spacing w:after="0" w:line="79" w:lineRule="exact"/>
        <w:rPr>
          <w:rFonts w:ascii="Arial" w:cs="Arial" w:eastAsia="Arial" w:hAnsi="Arial"/>
          <w:sz w:val="18"/>
          <w:szCs w:val="18"/>
          <w:color w:val="auto"/>
        </w:rPr>
      </w:pPr>
    </w:p>
    <w:p>
      <w:pPr>
        <w:jc w:val="both"/>
        <w:ind w:left="440" w:right="140" w:firstLine="419"/>
        <w:spacing w:after="0" w:line="301" w:lineRule="auto"/>
        <w:tabs>
          <w:tab w:leader="none" w:pos="104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At the closing, you are directed (a) to date the stock assignments necessary for the transfer in question, (b) to fill in the number of shares being transferred, and (c) to deliver the same, together with the certificate evidencing the shares of stock to be transferred, to the Company or its assignee, against the simultaneous delivery to you of the purchase price (by cash, check, wire transfer of immediately available funds or a combination thereof) for the number of shares of stock being purchased pursuant to the exercise of the Company Repurchase Right.</w:t>
      </w:r>
    </w:p>
    <w:p>
      <w:pPr>
        <w:spacing w:after="0" w:line="49" w:lineRule="exact"/>
        <w:rPr>
          <w:rFonts w:ascii="Arial" w:cs="Arial" w:eastAsia="Arial" w:hAnsi="Arial"/>
          <w:sz w:val="16"/>
          <w:szCs w:val="16"/>
          <w:color w:val="auto"/>
        </w:rPr>
      </w:pPr>
    </w:p>
    <w:p>
      <w:pPr>
        <w:ind w:left="440" w:right="60" w:firstLine="419"/>
        <w:spacing w:after="0" w:line="254" w:lineRule="auto"/>
        <w:tabs>
          <w:tab w:leader="none" w:pos="1043"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Participant irrevocably authorizes the Company to deposit with you any certificates evidencing shares of stock to be held by you hereunder and any additions and substitutions to said shares as defined in the Agreement. Participant does hereby irrevocably constitute and appoint you as Participant’s attorney-in-fact and agent for the term of this escrow to execute, with respect to such securities, all documents necessary or appropriate to make such securities negotiable and to complete any transaction herein contemplated, including but not limited to the filing with any applicable state blue sky authority of any required applications for consent to, or notice of transfer of, the securities. Subject to the provisions of this Section 3 and to the terms of the Agreement, Participant shall exercise all rights and privileges of a stockholder of the Company while the stock is held by you.</w:t>
      </w:r>
    </w:p>
    <w:p>
      <w:pPr>
        <w:spacing w:after="0" w:line="86" w:lineRule="exact"/>
        <w:rPr>
          <w:rFonts w:ascii="Arial" w:cs="Arial" w:eastAsia="Arial" w:hAnsi="Arial"/>
          <w:sz w:val="18"/>
          <w:szCs w:val="18"/>
          <w:color w:val="auto"/>
        </w:rPr>
      </w:pPr>
    </w:p>
    <w:p>
      <w:pPr>
        <w:ind w:left="440" w:right="120" w:firstLine="419"/>
        <w:spacing w:after="0" w:line="296" w:lineRule="auto"/>
        <w:tabs>
          <w:tab w:leader="none" w:pos="1043" w:val="left"/>
        </w:tabs>
        <w:numPr>
          <w:ilvl w:val="0"/>
          <w:numId w:val="271"/>
        </w:numPr>
        <w:rPr>
          <w:rFonts w:ascii="Arial" w:cs="Arial" w:eastAsia="Arial" w:hAnsi="Arial"/>
          <w:sz w:val="16"/>
          <w:szCs w:val="16"/>
          <w:color w:val="auto"/>
        </w:rPr>
      </w:pPr>
      <w:r>
        <w:rPr>
          <w:rFonts w:ascii="Arial" w:cs="Arial" w:eastAsia="Arial" w:hAnsi="Arial"/>
          <w:sz w:val="16"/>
          <w:szCs w:val="16"/>
          <w:color w:val="auto"/>
        </w:rPr>
        <w:t>Upon written request of Participant, but no more than once per calendar year, unless the Company Repurchase Right has been exercised, you will deliver to Participant a certificate or certificates representing the number of shares of stock as are not then subject to the Company Repurchase Right. Within thirty (30) days after Participant’s Termination of Service (within the meaning of the Agreement), you will deliver to Participant a certificate or certificates representing the aggregate number of shares held or issued pursuant to the Agreement and not subject to repurchase by the Company or any other entitled parties pursuant to exercise of the Company Repurchase Right.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0"/>
          </w:cols>
          <w:pgMar w:left="440" w:top="270" w:right="459" w:bottom="1440" w:gutter="0" w:footer="0" w:header="0"/>
        </w:sectPr>
      </w:pPr>
    </w:p>
    <w:bookmarkStart w:id="395" w:name="page396"/>
    <w:bookmarkEnd w:id="395"/>
    <w:p>
      <w:pPr>
        <w:ind w:right="60" w:firstLine="419"/>
        <w:spacing w:after="0" w:line="277" w:lineRule="auto"/>
        <w:tabs>
          <w:tab w:leader="none" w:pos="6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at the time of termination of this escrow, you should have in your possession any documents, securities, or other property belonging to Participant, you shall deliver all of the same to Participant and shall be discharged of all further obligations hereunder.</w:t>
      </w:r>
    </w:p>
    <w:p>
      <w:pPr>
        <w:spacing w:after="0" w:line="62" w:lineRule="exact"/>
        <w:rPr>
          <w:rFonts w:ascii="Arial" w:cs="Arial" w:eastAsia="Arial" w:hAnsi="Arial"/>
          <w:sz w:val="18"/>
          <w:szCs w:val="18"/>
          <w:color w:val="auto"/>
        </w:rPr>
      </w:pPr>
    </w:p>
    <w:p>
      <w:pPr>
        <w:ind w:left="600" w:hanging="181"/>
        <w:spacing w:after="0"/>
        <w:tabs>
          <w:tab w:leader="none" w:pos="6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Your duties hereunder may be altered, amended, modified or revoked only by a writing signed by all of the parties hereto.</w:t>
      </w:r>
    </w:p>
    <w:p>
      <w:pPr>
        <w:spacing w:after="0" w:line="117" w:lineRule="exact"/>
        <w:rPr>
          <w:rFonts w:ascii="Arial" w:cs="Arial" w:eastAsia="Arial" w:hAnsi="Arial"/>
          <w:sz w:val="18"/>
          <w:szCs w:val="18"/>
          <w:color w:val="auto"/>
        </w:rPr>
      </w:pPr>
    </w:p>
    <w:p>
      <w:pPr>
        <w:ind w:right="120" w:firstLine="419"/>
        <w:spacing w:after="0" w:line="257" w:lineRule="auto"/>
        <w:tabs>
          <w:tab w:leader="none" w:pos="6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You shall be obligated only for the performance of such duties as are specifically set forth herein and may rely and shall be protected in relying or refraining from acting on any instrument reasonably believed by you to be genuine and to have been signed or presented by the proper party or parties. You shall not be personally liable for any act you may do or omit to do hereunder as escrow agent or as attorney-in-fact for Participant while acting in good faith, and any act done or omitted by you pursuant to the advice of your own attorneys shall be conclusive evidence of such good faith.</w:t>
      </w:r>
    </w:p>
    <w:p>
      <w:pPr>
        <w:spacing w:after="0" w:line="79" w:lineRule="exact"/>
        <w:rPr>
          <w:rFonts w:ascii="Arial" w:cs="Arial" w:eastAsia="Arial" w:hAnsi="Arial"/>
          <w:sz w:val="18"/>
          <w:szCs w:val="18"/>
          <w:color w:val="auto"/>
        </w:rPr>
      </w:pPr>
    </w:p>
    <w:p>
      <w:pPr>
        <w:ind w:right="40" w:firstLine="419"/>
        <w:spacing w:after="0" w:line="275" w:lineRule="auto"/>
        <w:tabs>
          <w:tab w:leader="none" w:pos="60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are hereby expressly authorized to disregard any and all warnings given by any of the parties hereto or by any other person or corporation, excepting only orders or process of courts of law and are hereby expressly authorized to comply with and obey orders, judgments or decrees of any court. In case you obey or comply with any such order, judgment or decree, you shall not be liable to any of the parties hereto or to any other person, firm or corporation by reason of such compliance, notwithstanding any such order, judgment or decree being subsequently reversed, modified, annulled, set aside, vacated or found to have been entered without jurisdiction.</w:t>
      </w:r>
    </w:p>
    <w:p>
      <w:pPr>
        <w:spacing w:after="0" w:line="68" w:lineRule="exact"/>
        <w:rPr>
          <w:rFonts w:ascii="Arial" w:cs="Arial" w:eastAsia="Arial" w:hAnsi="Arial"/>
          <w:sz w:val="17"/>
          <w:szCs w:val="17"/>
          <w:color w:val="auto"/>
        </w:rPr>
      </w:pPr>
    </w:p>
    <w:p>
      <w:pPr>
        <w:ind w:right="40" w:firstLine="419"/>
        <w:spacing w:after="0" w:line="277" w:lineRule="auto"/>
        <w:tabs>
          <w:tab w:leader="none" w:pos="60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You shall not be liable in any respect on account of the identity, authorities or rights of the parties executing or delivering or purporting to execute or deliver the Agreement or any documents or papers deposited or called for hereunder.</w:t>
      </w:r>
    </w:p>
    <w:p>
      <w:pPr>
        <w:spacing w:after="0" w:line="62" w:lineRule="exact"/>
        <w:rPr>
          <w:rFonts w:ascii="Arial" w:cs="Arial" w:eastAsia="Arial" w:hAnsi="Arial"/>
          <w:sz w:val="18"/>
          <w:szCs w:val="18"/>
          <w:color w:val="auto"/>
        </w:rPr>
      </w:pPr>
    </w:p>
    <w:p>
      <w:pPr>
        <w:ind w:right="120" w:firstLine="419"/>
        <w:spacing w:after="0" w:line="277" w:lineRule="auto"/>
        <w:tabs>
          <w:tab w:leader="none" w:pos="69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You shall not be liable for the expiration of any rights under any applicable state, federal or local statute of limitations or similar statute or regulation with respect to these Joint Escrow Instructions or any documents deposited with you.</w:t>
      </w:r>
    </w:p>
    <w:p>
      <w:pPr>
        <w:spacing w:after="0" w:line="62" w:lineRule="exact"/>
        <w:rPr>
          <w:rFonts w:ascii="Arial" w:cs="Arial" w:eastAsia="Arial" w:hAnsi="Arial"/>
          <w:sz w:val="18"/>
          <w:szCs w:val="18"/>
          <w:color w:val="auto"/>
        </w:rPr>
      </w:pPr>
    </w:p>
    <w:p>
      <w:pPr>
        <w:ind w:right="160" w:firstLine="419"/>
        <w:spacing w:after="0" w:line="308" w:lineRule="auto"/>
        <w:tabs>
          <w:tab w:leader="none" w:pos="68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 shall be entitled to employ such legal counsel and other experts as you may deem necessary to advise you in connection with your obligations hereunder, may rely upon the advice of such counsel, and may pay such counsel reasonable compensation therefor.</w:t>
      </w:r>
    </w:p>
    <w:p>
      <w:pPr>
        <w:spacing w:after="0" w:line="38" w:lineRule="exact"/>
        <w:rPr>
          <w:rFonts w:ascii="Arial" w:cs="Arial" w:eastAsia="Arial" w:hAnsi="Arial"/>
          <w:sz w:val="17"/>
          <w:szCs w:val="17"/>
          <w:color w:val="auto"/>
        </w:rPr>
      </w:pPr>
    </w:p>
    <w:p>
      <w:pPr>
        <w:ind w:firstLine="419"/>
        <w:spacing w:after="0" w:line="308" w:lineRule="auto"/>
        <w:tabs>
          <w:tab w:leader="none" w:pos="69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Your responsibilities as escrow agent hereunder shall terminate if you shall cease to be an officer or agent of the Company or if you shall resign by written notice to each party. In the event of any such termination, the Company shall appoint a successor escrow agent.</w:t>
      </w:r>
    </w:p>
    <w:p>
      <w:pPr>
        <w:spacing w:after="0" w:line="38" w:lineRule="exact"/>
        <w:rPr>
          <w:rFonts w:ascii="Arial" w:cs="Arial" w:eastAsia="Arial" w:hAnsi="Arial"/>
          <w:sz w:val="17"/>
          <w:szCs w:val="17"/>
          <w:color w:val="auto"/>
        </w:rPr>
      </w:pPr>
    </w:p>
    <w:p>
      <w:pPr>
        <w:ind w:right="20" w:firstLine="419"/>
        <w:spacing w:after="0" w:line="277" w:lineRule="auto"/>
        <w:tabs>
          <w:tab w:leader="none" w:pos="693" w:val="left"/>
        </w:tabs>
        <w:numPr>
          <w:ilvl w:val="0"/>
          <w:numId w:val="272"/>
        </w:numPr>
        <w:rPr>
          <w:rFonts w:ascii="Arial" w:cs="Arial" w:eastAsia="Arial" w:hAnsi="Arial"/>
          <w:sz w:val="18"/>
          <w:szCs w:val="18"/>
          <w:color w:val="auto"/>
        </w:rPr>
      </w:pPr>
      <w:r>
        <w:rPr>
          <w:rFonts w:ascii="Arial" w:cs="Arial" w:eastAsia="Arial" w:hAnsi="Arial"/>
          <w:sz w:val="18"/>
          <w:szCs w:val="18"/>
          <w:color w:val="auto"/>
        </w:rPr>
        <w:t>If you reasonably require other or further instruments in connection with these Joint Escrow Instructions or obligations in respect hereto, the necessary parties hereto shall join in furnishing such instruments.</w:t>
      </w:r>
    </w:p>
    <w:p>
      <w:pPr>
        <w:spacing w:after="0" w:line="62" w:lineRule="exact"/>
        <w:rPr>
          <w:rFonts w:ascii="Arial" w:cs="Arial" w:eastAsia="Arial" w:hAnsi="Arial"/>
          <w:sz w:val="18"/>
          <w:szCs w:val="18"/>
          <w:color w:val="auto"/>
        </w:rPr>
      </w:pPr>
    </w:p>
    <w:p>
      <w:pPr>
        <w:ind w:right="300" w:firstLine="419"/>
        <w:spacing w:after="0" w:line="275" w:lineRule="auto"/>
        <w:tabs>
          <w:tab w:leader="none" w:pos="693" w:val="left"/>
        </w:tabs>
        <w:numPr>
          <w:ilvl w:val="0"/>
          <w:numId w:val="272"/>
        </w:numPr>
        <w:rPr>
          <w:rFonts w:ascii="Arial" w:cs="Arial" w:eastAsia="Arial" w:hAnsi="Arial"/>
          <w:sz w:val="17"/>
          <w:szCs w:val="17"/>
          <w:color w:val="auto"/>
        </w:rPr>
      </w:pPr>
      <w:r>
        <w:rPr>
          <w:rFonts w:ascii="Arial" w:cs="Arial" w:eastAsia="Arial" w:hAnsi="Arial"/>
          <w:sz w:val="17"/>
          <w:szCs w:val="17"/>
          <w:color w:val="auto"/>
        </w:rPr>
        <w:t>It is understood and agreed that should any dispute arise with respect to the delivery and/or ownership or right of possession of the securities held by you hereunder, you are authorized and directed to retain in your possession without liability to anyone all or any part of said securities until such disputes shall have been settled either by mutual written agreement of the parties concerned or by a final order, decree or judgment of a court of competent jurisdiction after the time for appeal has expired and no appeal has been perfected, but you shall be under no duty whatsoever to institute or defend any such proceedings.</w:t>
      </w:r>
    </w:p>
    <w:p>
      <w:pPr>
        <w:spacing w:after="0" w:line="23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540"/>
          </w:cols>
          <w:pgMar w:left="880" w:top="274" w:right="479" w:bottom="1440" w:gutter="0" w:footer="0" w:header="0"/>
        </w:sectPr>
      </w:pPr>
    </w:p>
    <w:bookmarkStart w:id="396" w:name="page397"/>
    <w:bookmarkEnd w:id="396"/>
    <w:p>
      <w:pPr>
        <w:ind w:right="160" w:firstLine="419"/>
        <w:spacing w:after="0" w:line="286" w:lineRule="auto"/>
        <w:tabs>
          <w:tab w:leader="none" w:pos="693" w:val="left"/>
        </w:tabs>
        <w:numPr>
          <w:ilvl w:val="0"/>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notice required or permitted hereunder shall be given in writing and shall be deemed effectively given upon personal delivery or upon deposit in the United States Post Office, by registered or certified mail with postage and fees prepaid, addressed to each of the other parties thereunto entitled at such addresses as a party may designate by written notice to each of the other parties hereto.</w:t>
      </w:r>
    </w:p>
    <w:p>
      <w:pPr>
        <w:spacing w:after="0" w:line="57" w:lineRule="exact"/>
        <w:rPr>
          <w:rFonts w:ascii="Arial" w:cs="Arial" w:eastAsia="Arial" w:hAnsi="Arial"/>
          <w:sz w:val="17"/>
          <w:szCs w:val="17"/>
          <w:color w:val="auto"/>
        </w:rPr>
      </w:pPr>
    </w:p>
    <w:p>
      <w:pPr>
        <w:ind w:right="40" w:firstLine="419"/>
        <w:spacing w:after="0" w:line="277" w:lineRule="auto"/>
        <w:tabs>
          <w:tab w:leader="none" w:pos="69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By signing these Joint Escrow Instructions, you become a party hereto only for the purpose of said Joint Escrow Instructions; you do not become a party to the Agreement.</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273"/>
        </w:numPr>
        <w:rPr>
          <w:rFonts w:ascii="Arial" w:cs="Arial" w:eastAsia="Arial" w:hAnsi="Arial"/>
          <w:sz w:val="16"/>
          <w:szCs w:val="16"/>
          <w:color w:val="auto"/>
        </w:rPr>
      </w:pPr>
      <w:r>
        <w:rPr>
          <w:rFonts w:ascii="Arial" w:cs="Arial" w:eastAsia="Arial" w:hAnsi="Arial"/>
          <w:sz w:val="16"/>
          <w:szCs w:val="16"/>
          <w:color w:val="auto"/>
        </w:rPr>
        <w:t>This instrument shall be binding upon and inure to the benefit of the parties hereto, and their respective successors and permitted assigns.</w:t>
      </w:r>
    </w:p>
    <w:p>
      <w:pPr>
        <w:spacing w:after="0" w:line="140" w:lineRule="exact"/>
        <w:rPr>
          <w:rFonts w:ascii="Arial" w:cs="Arial" w:eastAsia="Arial" w:hAnsi="Arial"/>
          <w:sz w:val="16"/>
          <w:szCs w:val="16"/>
          <w:color w:val="auto"/>
        </w:rPr>
      </w:pPr>
    </w:p>
    <w:p>
      <w:pPr>
        <w:ind w:right="40" w:firstLine="419"/>
        <w:spacing w:after="0" w:line="277" w:lineRule="auto"/>
        <w:tabs>
          <w:tab w:leader="none" w:pos="693" w:val="left"/>
        </w:tabs>
        <w:numPr>
          <w:ilvl w:val="0"/>
          <w:numId w:val="273"/>
        </w:numPr>
        <w:rPr>
          <w:rFonts w:ascii="Arial" w:cs="Arial" w:eastAsia="Arial" w:hAnsi="Arial"/>
          <w:sz w:val="18"/>
          <w:szCs w:val="18"/>
          <w:color w:val="auto"/>
        </w:rPr>
      </w:pPr>
      <w:r>
        <w:rPr>
          <w:rFonts w:ascii="Arial" w:cs="Arial" w:eastAsia="Arial" w:hAnsi="Arial"/>
          <w:sz w:val="18"/>
          <w:szCs w:val="18"/>
          <w:color w:val="auto"/>
        </w:rPr>
        <w:t>These Joint Escrow Instructions shall be governed by, and construed and enforced in accordance with, the laws of the State of Delaware, excluding that body of law pertaining to conflicts of law.</w:t>
      </w:r>
    </w:p>
    <w:p>
      <w:pPr>
        <w:spacing w:after="0" w:line="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0560"/>
          </w:cols>
          <w:pgMar w:left="880" w:top="274" w:right="45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these Joint Escrow Instructions shall be effective as of the date first set forth above.</w:t>
      </w:r>
    </w:p>
    <w:p>
      <w:pPr>
        <w:spacing w:after="0" w:line="200" w:lineRule="exact"/>
        <w:rPr>
          <w:sz w:val="20"/>
          <w:szCs w:val="20"/>
          <w:color w:val="auto"/>
        </w:rPr>
      </w:pPr>
    </w:p>
    <w:p>
      <w:pPr>
        <w:spacing w:after="0" w:line="29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ADAGIO THERAPEUTICS,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-10160</wp:posOffset>
            </wp:positionV>
            <wp:extent cx="23704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-19050</wp:posOffset>
            </wp:positionV>
            <wp:extent cx="205676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-19050</wp:posOffset>
            </wp:positionV>
            <wp:extent cx="211391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2113915" cy="8255"/>
                    </a:xfrm>
                    <a:prstGeom prst="rect">
                      <a:avLst/>
                    </a:prstGeom>
                    <a:noFill/>
                  </pic:spPr>
                </pic:pic>
              </a:graphicData>
            </a:graphic>
          </wp:anchor>
        </w:drawing>
      </w:r>
    </w:p>
    <w:p>
      <w:pPr>
        <w:spacing w:after="0" w:line="182"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271145</wp:posOffset>
            </wp:positionV>
            <wp:extent cx="2481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2481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180"/>
        <w:spacing w:after="0"/>
        <w:rPr>
          <w:sz w:val="20"/>
          <w:szCs w:val="20"/>
          <w:color w:val="auto"/>
        </w:rPr>
      </w:pPr>
      <w:r>
        <w:rPr>
          <w:rFonts w:ascii="Arial" w:cs="Arial" w:eastAsia="Arial" w:hAnsi="Arial"/>
          <w:sz w:val="20"/>
          <w:szCs w:val="20"/>
          <w:b w:val="1"/>
          <w:bCs w:val="1"/>
          <w:color w:val="auto"/>
        </w:rPr>
        <w:t>ESCROW AGENT</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4083685</wp:posOffset>
            </wp:positionH>
            <wp:positionV relativeFrom="paragraph">
              <wp:posOffset>-10160</wp:posOffset>
            </wp:positionV>
            <wp:extent cx="237045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2370455" cy="8890"/>
                    </a:xfrm>
                    <a:prstGeom prst="rect">
                      <a:avLst/>
                    </a:prstGeom>
                    <a:noFill/>
                  </pic:spPr>
                </pic:pic>
              </a:graphicData>
            </a:graphic>
          </wp:anchor>
        </w:drawing>
      </w:r>
    </w:p>
    <w:p>
      <w:pPr>
        <w:spacing w:after="0" w:line="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-19050</wp:posOffset>
            </wp:positionV>
            <wp:extent cx="205676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ind w:left="6440"/>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9579"/>
          </w:cols>
          <w:pgMar w:left="880" w:top="274" w:right="1440" w:bottom="1440" w:gutter="0" w:footer="0" w:header="0"/>
        </w:sectPr>
      </w:pPr>
    </w:p>
    <w:bookmarkStart w:id="398" w:name="page399"/>
    <w:bookmarkEnd w:id="3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83(B) ELECTION AND INSTRUCTIONS</w:t>
      </w:r>
    </w:p>
    <w:p>
      <w:pPr>
        <w:spacing w:after="0" w:line="121" w:lineRule="exact"/>
        <w:rPr>
          <w:sz w:val="20"/>
          <w:szCs w:val="20"/>
          <w:color w:val="auto"/>
        </w:rPr>
      </w:pPr>
    </w:p>
    <w:p>
      <w:pPr>
        <w:ind w:right="260" w:firstLine="440"/>
        <w:spacing w:after="0" w:line="286" w:lineRule="auto"/>
        <w:rPr>
          <w:sz w:val="20"/>
          <w:szCs w:val="20"/>
          <w:color w:val="auto"/>
        </w:rPr>
      </w:pPr>
      <w:r>
        <w:rPr>
          <w:rFonts w:ascii="Arial" w:cs="Arial" w:eastAsia="Arial" w:hAnsi="Arial"/>
          <w:sz w:val="17"/>
          <w:szCs w:val="17"/>
          <w:color w:val="auto"/>
        </w:rPr>
        <w:t xml:space="preserve">These instructions are provided to assist you if you choose to make an election under Section 83(b) of the Internal Revenue Code, as amended, with respect to the shares of common stock of Adagio Therapeutics, Inc. transferred to you. </w:t>
      </w:r>
      <w:r>
        <w:rPr>
          <w:rFonts w:ascii="Arial" w:cs="Arial" w:eastAsia="Arial" w:hAnsi="Arial"/>
          <w:sz w:val="17"/>
          <w:szCs w:val="17"/>
          <w:b w:val="1"/>
          <w:bCs w:val="1"/>
          <w:color w:val="auto"/>
        </w:rPr>
        <w:t>Please consult with your personal tax advisor as to</w:t>
      </w:r>
      <w:r>
        <w:rPr>
          <w:rFonts w:ascii="Arial" w:cs="Arial" w:eastAsia="Arial" w:hAnsi="Arial"/>
          <w:sz w:val="17"/>
          <w:szCs w:val="17"/>
          <w:color w:val="auto"/>
        </w:rPr>
        <w:t xml:space="preserve"> </w:t>
      </w:r>
      <w:r>
        <w:rPr>
          <w:rFonts w:ascii="Arial" w:cs="Arial" w:eastAsia="Arial" w:hAnsi="Arial"/>
          <w:sz w:val="17"/>
          <w:szCs w:val="17"/>
          <w:b w:val="1"/>
          <w:bCs w:val="1"/>
          <w:color w:val="auto"/>
        </w:rPr>
        <w:t>whether an election of this nature will be in your best interests in light of your personal tax situation.</w:t>
      </w:r>
    </w:p>
    <w:p>
      <w:pPr>
        <w:spacing w:after="0" w:line="165"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 xml:space="preserve">The executed original of the Section 83(b) election must be filed with the Internal Revenue Service not later than 30 days after the date the shares were transferred to you. </w:t>
      </w:r>
      <w:r>
        <w:rPr>
          <w:rFonts w:ascii="Arial" w:cs="Arial" w:eastAsia="Arial" w:hAnsi="Arial"/>
          <w:sz w:val="17"/>
          <w:szCs w:val="17"/>
          <w:b w:val="1"/>
          <w:bCs w:val="1"/>
          <w:color w:val="auto"/>
        </w:rPr>
        <w:t>There is no remedy for failure to file on time.</w:t>
      </w:r>
      <w:r>
        <w:rPr>
          <w:rFonts w:ascii="Arial" w:cs="Arial" w:eastAsia="Arial" w:hAnsi="Arial"/>
          <w:sz w:val="17"/>
          <w:szCs w:val="17"/>
          <w:color w:val="auto"/>
        </w:rPr>
        <w:t xml:space="preserve"> The steps outlined below should be followed to ensure the election is mailed and filed correctly and in a timely manner. </w:t>
      </w:r>
      <w:r>
        <w:rPr>
          <w:rFonts w:ascii="Arial" w:cs="Arial" w:eastAsia="Arial" w:hAnsi="Arial"/>
          <w:sz w:val="17"/>
          <w:szCs w:val="17"/>
          <w:b w:val="1"/>
          <w:bCs w:val="1"/>
          <w:color w:val="auto"/>
        </w:rPr>
        <w:t>If you make the Section 83(b) election, the election is irrevocable.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Complete the Section 83(b) election form (attached as </w:t>
      </w:r>
      <w:r>
        <w:rPr>
          <w:rFonts w:ascii="Arial" w:cs="Arial" w:eastAsia="Arial" w:hAnsi="Arial"/>
          <w:sz w:val="18"/>
          <w:szCs w:val="18"/>
          <w:u w:val="single" w:color="auto"/>
          <w:color w:val="auto"/>
        </w:rPr>
        <w:t>Attachment 1</w:t>
      </w:r>
      <w:r>
        <w:rPr>
          <w:rFonts w:ascii="Arial" w:cs="Arial" w:eastAsia="Arial" w:hAnsi="Arial"/>
          <w:sz w:val="18"/>
          <w:szCs w:val="18"/>
          <w:color w:val="auto"/>
        </w:rPr>
        <w:t>) and make three (3) copies of the signed election form.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Prepare the cover letter to the Internal Revenue Service (sample letter attached as </w:t>
      </w:r>
      <w:r>
        <w:rPr>
          <w:rFonts w:ascii="Arial" w:cs="Arial" w:eastAsia="Arial" w:hAnsi="Arial"/>
          <w:sz w:val="18"/>
          <w:szCs w:val="18"/>
          <w:u w:val="single" w:color="auto"/>
          <w:color w:val="auto"/>
        </w:rPr>
        <w:t>Attachment 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7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One (1) copy must be sent to Adagio Therapeutics, Inc. for its records and one (1) copy of the Section 83(b) election form should be retained for your records.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Retain the Internal Revenue Service file stamped copy (when returned) for your records.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Please consult your personal tax advisor for the address of the office of the Internal Revenue Service to which you should mail your election form.</w:t>
      </w:r>
    </w:p>
    <w:p>
      <w:pPr>
        <w:sectPr>
          <w:pgSz w:w="11900" w:h="16838" w:orient="portrait"/>
          <w:cols w:equalWidth="0" w:num="1">
            <w:col w:w="10980"/>
          </w:cols>
          <w:pgMar w:left="440" w:top="270" w:right="479" w:bottom="1440" w:gutter="0" w:footer="0" w:header="0"/>
        </w:sectPr>
      </w:pPr>
    </w:p>
    <w:bookmarkStart w:id="399" w:name="page400"/>
    <w:bookmarkEnd w:id="399"/>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1</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ELECTION UNDER INTERNAL REVENUE CODE SECTION 83(B)</w:t>
      </w:r>
    </w:p>
    <w:p>
      <w:pPr>
        <w:spacing w:after="0" w:line="121"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of Adagio Therapeutics,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name, address and taxpayer identification number of the undersigned taxpayer are: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___________________________</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SSN: 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of the property with respect to which the election is being made: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__________________ (_____) shares of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date on which the property was transferred was ______________. The taxable year to which this election relates is calendar year ____.</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Nature of restrictions to which the property is subject:</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The Shares are subject to repurchase by the Company or its assignee upon the occurrence of certain events. This repurchase right lapses based upon the continued performance of services by the taxpayer over time.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market value at the time of transfer, determined without regard to any restriction other than a restriction which by its terms will never lapse, of the Shares is $______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amount paid by the taxpayer for the Shares is $______ ($____ per Share).</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undersigned has submitted a copy of this statement to the person for whom the services were performed in connection with the undersigned’s receipt of the above-described property. The transferee of such property is the person performing the services in connection with the transfer of said property.</w:t>
      </w:r>
    </w:p>
    <w:p>
      <w:pPr>
        <w:spacing w:after="0" w:line="184"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Dated: _____________, ____</w:t>
      </w:r>
      <w:r>
        <w:rPr>
          <w:sz w:val="20"/>
          <w:szCs w:val="20"/>
          <w:color w:val="auto"/>
        </w:rPr>
        <w:tab/>
      </w:r>
      <w:r>
        <w:rPr>
          <w:rFonts w:ascii="Arial" w:cs="Arial" w:eastAsia="Arial" w:hAnsi="Arial"/>
          <w:sz w:val="16"/>
          <w:szCs w:val="16"/>
          <w:color w:val="auto"/>
        </w:rPr>
        <w:t>Taxpayer Signature ________________________</w:t>
      </w:r>
    </w:p>
    <w:p>
      <w:pPr>
        <w:sectPr>
          <w:pgSz w:w="11900" w:h="16838" w:orient="portrait"/>
          <w:cols w:equalWidth="0" w:num="1">
            <w:col w:w="10860"/>
          </w:cols>
          <w:pgMar w:left="440" w:top="270" w:right="599" w:bottom="1440" w:gutter="0" w:footer="0" w:header="0"/>
        </w:sectPr>
      </w:pPr>
    </w:p>
    <w:bookmarkStart w:id="400" w:name="page401"/>
    <w:bookmarkEnd w:id="400"/>
    <w:p>
      <w:pPr>
        <w:jc w:val="center"/>
        <w:ind w:right="-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ATTACHMENT 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SAMPLE COVER LETTER TO INTERNAL REVENUE SERVICE</w:t>
      </w:r>
    </w:p>
    <w:p>
      <w:pPr>
        <w:spacing w:after="0" w:line="121" w:lineRule="exact"/>
        <w:rPr>
          <w:sz w:val="20"/>
          <w:szCs w:val="20"/>
          <w:color w:val="auto"/>
        </w:rPr>
      </w:pPr>
    </w:p>
    <w:p>
      <w:pPr>
        <w:ind w:left="4424"/>
        <w:spacing w:after="0"/>
        <w:rPr>
          <w:sz w:val="20"/>
          <w:szCs w:val="20"/>
          <w:color w:val="auto"/>
        </w:rPr>
      </w:pPr>
      <w:r>
        <w:rPr>
          <w:rFonts w:ascii="Arial" w:cs="Arial" w:eastAsia="Arial" w:hAnsi="Arial"/>
          <w:sz w:val="18"/>
          <w:szCs w:val="18"/>
          <w:color w:val="auto"/>
        </w:rPr>
        <w:t>__________________, 20___</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VIA CERTIFIED MAIL</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RETURN RECEIPT REQUESTED</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Internal Revenue Service</w:t>
      </w:r>
    </w:p>
    <w:p>
      <w:pPr>
        <w:spacing w:after="0" w:line="225"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color w:val="auto"/>
              </w:rPr>
              <w:t>Re:</w:t>
            </w:r>
          </w:p>
        </w:tc>
        <w:tc>
          <w:tcPr>
            <w:tcW w:w="9160" w:type="dxa"/>
            <w:vAlign w:val="bottom"/>
            <w:gridSpan w:val="4"/>
          </w:tcPr>
          <w:p>
            <w:pPr>
              <w:ind w:left="180"/>
              <w:spacing w:after="0"/>
              <w:rPr>
                <w:sz w:val="20"/>
                <w:szCs w:val="20"/>
                <w:color w:val="auto"/>
              </w:rPr>
            </w:pPr>
            <w:r>
              <w:rPr>
                <w:rFonts w:ascii="Arial" w:cs="Arial" w:eastAsia="Arial" w:hAnsi="Arial"/>
                <w:sz w:val="18"/>
                <w:szCs w:val="18"/>
                <w:color w:val="auto"/>
              </w:rPr>
              <w:t>Election under Section 83(b) of the Internal Revenue Code of 1986</w:t>
            </w:r>
          </w:p>
        </w:tc>
      </w:tr>
      <w:tr>
        <w:trPr>
          <w:trHeight w:val="190"/>
        </w:trPr>
        <w:tc>
          <w:tcPr>
            <w:tcW w:w="420" w:type="dxa"/>
            <w:vAlign w:val="bottom"/>
          </w:tcPr>
          <w:p>
            <w:pPr>
              <w:spacing w:after="0"/>
              <w:rPr>
                <w:sz w:val="16"/>
                <w:szCs w:val="16"/>
                <w:color w:val="auto"/>
              </w:rPr>
            </w:pPr>
          </w:p>
        </w:tc>
        <w:tc>
          <w:tcPr>
            <w:tcW w:w="9160" w:type="dxa"/>
            <w:vAlign w:val="bottom"/>
            <w:gridSpan w:val="4"/>
          </w:tcPr>
          <w:p>
            <w:pPr>
              <w:ind w:left="160"/>
              <w:spacing w:after="0" w:line="190" w:lineRule="exact"/>
              <w:rPr>
                <w:sz w:val="20"/>
                <w:szCs w:val="20"/>
                <w:color w:val="auto"/>
              </w:rPr>
            </w:pPr>
            <w:r>
              <w:rPr>
                <w:rFonts w:ascii="Arial" w:cs="Arial" w:eastAsia="Arial" w:hAnsi="Arial"/>
                <w:sz w:val="18"/>
                <w:szCs w:val="18"/>
                <w:color w:val="auto"/>
              </w:rPr>
              <w:t>Taxpayer:</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9160" w:type="dxa"/>
            <w:vAlign w:val="bottom"/>
            <w:gridSpan w:val="4"/>
          </w:tcPr>
          <w:p>
            <w:pPr>
              <w:ind w:left="160"/>
              <w:spacing w:after="0" w:line="196" w:lineRule="exact"/>
              <w:rPr>
                <w:sz w:val="20"/>
                <w:szCs w:val="20"/>
                <w:color w:val="auto"/>
              </w:rPr>
            </w:pPr>
            <w:r>
              <w:rPr>
                <w:rFonts w:ascii="Arial" w:cs="Arial" w:eastAsia="Arial" w:hAnsi="Arial"/>
                <w:sz w:val="18"/>
                <w:szCs w:val="18"/>
                <w:color w:val="auto"/>
              </w:rPr>
              <w:t>Taxpayer’s Social Security Number:</w:t>
            </w:r>
          </w:p>
        </w:tc>
      </w:tr>
      <w:tr>
        <w:trPr>
          <w:trHeight w:val="20"/>
        </w:trPr>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Enclosed please find an original and one copy of an Election under Section 83(b) of the Internal Revenue Code of 1986, as amended, being made by the taxpayer referenced above. Please acknowledge receipt of the enclosed materials by stamping the enclosed copy of the Election and returning it to me in the self-addressed stamped envelope provided herewith.</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
        <w:spacing w:after="0"/>
        <w:rPr>
          <w:sz w:val="20"/>
          <w:szCs w:val="20"/>
          <w:color w:val="auto"/>
        </w:rPr>
      </w:pPr>
      <w:r>
        <w:rPr>
          <w:rFonts w:ascii="Arial" w:cs="Arial" w:eastAsia="Arial" w:hAnsi="Arial"/>
          <w:sz w:val="18"/>
          <w:szCs w:val="18"/>
          <w:color w:val="auto"/>
        </w:rPr>
        <w:t>Enclosures</w:t>
      </w:r>
    </w:p>
    <w:p>
      <w:pPr>
        <w:spacing w:after="0" w:line="225" w:lineRule="exact"/>
        <w:rPr>
          <w:sz w:val="20"/>
          <w:szCs w:val="20"/>
          <w:color w:val="auto"/>
        </w:rPr>
      </w:pPr>
    </w:p>
    <w:p>
      <w:pPr>
        <w:ind w:left="444" w:hanging="444"/>
        <w:spacing w:after="0"/>
        <w:tabs>
          <w:tab w:leader="none" w:pos="44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Adagio Therapeutics, Inc.</w:t>
      </w:r>
    </w:p>
    <w:p>
      <w:pPr>
        <w:sectPr>
          <w:pgSz w:w="11900" w:h="16838" w:orient="portrait"/>
          <w:cols w:equalWidth="0" w:num="1">
            <w:col w:w="11004"/>
          </w:cols>
          <w:pgMar w:left="436" w:top="270" w:right="459" w:bottom="1440" w:gutter="0" w:footer="0" w:header="0"/>
        </w:sectPr>
      </w:pPr>
    </w:p>
    <w:bookmarkStart w:id="401" w:name="page402"/>
    <w:bookmarkEnd w:id="401"/>
    <w:p>
      <w:pPr>
        <w:ind w:left="4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ADAGIO THERAPEUTICS, INC.</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2020 EQUITY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Adagio Therapeutics,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Equity Incentive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has granted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participant set forth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Option to purchase the number of shares of the Company’s Common Stock (referred to herein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set forth below. The Option is subject to all of the terms and conditions as set forth herein and in the Stock Option Agreement attached hereto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xml:space="preserve"> and the Plan, each of which is incorporated herein by reference. Unless otherwise defined herein,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terms defined in the Plan shall have the same defined meanings in this Stock Option Grant Notice and the Stock Option Agreement.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Commencement Date: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Number of Shares Subject to Option: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ectPr>
          <w:pgSz w:w="11900" w:h="16838" w:orient="portrait"/>
          <w:cols w:equalWidth="0" w:num="1">
            <w:col w:w="11000"/>
          </w:cols>
          <w:pgMar w:left="440" w:top="270" w:right="45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[Incentive Stock Option/Non-Qualified Stock Option]</w:t>
      </w:r>
    </w:p>
    <w:p>
      <w:pPr>
        <w:spacing w:after="0" w:line="136"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80"/>
        <w:spacing w:after="0" w:line="272" w:lineRule="auto"/>
        <w:rPr>
          <w:sz w:val="20"/>
          <w:szCs w:val="20"/>
          <w:color w:val="auto"/>
        </w:rPr>
      </w:pPr>
      <w:r>
        <w:rPr>
          <w:rFonts w:ascii="Arial" w:cs="Arial" w:eastAsia="Arial" w:hAnsi="Arial"/>
          <w:sz w:val="17"/>
          <w:szCs w:val="17"/>
          <w:color w:val="auto"/>
        </w:rPr>
        <w:t>[Subject to the terms of the Agreement, the Option will vest as to 25% of the Shares on the first anniversary of the vesting commencement date set forth above (the “</w:t>
      </w:r>
      <w:r>
        <w:rPr>
          <w:rFonts w:ascii="Arial" w:cs="Arial" w:eastAsia="Arial" w:hAnsi="Arial"/>
          <w:sz w:val="17"/>
          <w:szCs w:val="17"/>
          <w:b w:val="1"/>
          <w:bCs w:val="1"/>
          <w:i w:val="1"/>
          <w:iCs w:val="1"/>
          <w:color w:val="auto"/>
        </w:rPr>
        <w:t>Vesting Commencement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Date”) </w:t>
      </w:r>
      <w:r>
        <w:rPr>
          <w:rFonts w:ascii="Arial" w:cs="Arial" w:eastAsia="Arial" w:hAnsi="Arial"/>
          <w:sz w:val="17"/>
          <w:szCs w:val="17"/>
          <w:color w:val="auto"/>
        </w:rPr>
        <w:t>and as to 1/48</w:t>
      </w:r>
      <w:r>
        <w:rPr>
          <w:rFonts w:ascii="Arial" w:cs="Arial" w:eastAsia="Arial" w:hAnsi="Arial"/>
          <w:sz w:val="14"/>
          <w:szCs w:val="14"/>
          <w:color w:val="auto"/>
        </w:rPr>
        <w:t>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Shares upon Participant’s completion of each successive month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continuous service as a Service Provider after the first anniversary of the Vesting Commencement Date.] [Notwithstanding the foregoing, the Option will vest in full immediately prior to a Change in Control, subject to Participant’s continued service as a Service Provider until immediately prior to such Change in Control.]</w:t>
      </w:r>
    </w:p>
    <w:p>
      <w:pPr>
        <w:spacing w:after="0" w:line="177" w:lineRule="exact"/>
        <w:rPr>
          <w:sz w:val="20"/>
          <w:szCs w:val="20"/>
          <w:color w:val="auto"/>
        </w:rPr>
      </w:pPr>
    </w:p>
    <w:p>
      <w:pPr>
        <w:sectPr>
          <w:pgSz w:w="11900" w:h="16838" w:orient="portrait"/>
          <w:cols w:equalWidth="0" w:num="2">
            <w:col w:w="3140" w:space="720"/>
            <w:col w:w="7140"/>
          </w:cols>
          <w:pgMar w:left="440" w:top="270" w:right="459" w:bottom="1440" w:gutter="0" w:footer="0" w:header="0"/>
          <w:type w:val="continuous"/>
        </w:sectPr>
      </w:pPr>
    </w:p>
    <w:p>
      <w:pPr>
        <w:ind w:right="60" w:firstLine="440"/>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Stock Option Agreement and this Grant Notice. Participant has reviewed the Stock Option Agreement, the Plan and this Grant Notice in their entirety, has had an opportunity to obtain the advice of counsel prior to executing this Grant Notice and fully understands all provisions of this Grant Notice, the Stock Option Agreement and the Plan. Participant hereby agrees to accept as binding, conclusive and final all decisions or interpretations of the Administrator of the Plan upon any questions arising under the Plan or the Option.</w:t>
      </w:r>
    </w:p>
    <w:p>
      <w:pPr>
        <w:sectPr>
          <w:pgSz w:w="11900" w:h="16838" w:orient="portrait"/>
          <w:cols w:equalWidth="0" w:num="1">
            <w:col w:w="11000"/>
          </w:cols>
          <w:pgMar w:left="440" w:top="270" w:right="459" w:bottom="1440" w:gutter="0" w:footer="0" w:header="0"/>
          <w:type w:val="continuous"/>
        </w:sectPr>
      </w:pPr>
    </w:p>
    <w:bookmarkStart w:id="402" w:name="page403"/>
    <w:bookmarkEnd w:id="402"/>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ADAGIO THERAPEUTICS, INC.</w:t>
            </w:r>
          </w:p>
        </w:tc>
        <w:tc>
          <w:tcPr>
            <w:tcW w:w="1540" w:type="dxa"/>
            <w:vAlign w:val="bottom"/>
          </w:tcPr>
          <w:p>
            <w:pPr>
              <w:spacing w:after="0"/>
              <w:rPr>
                <w:sz w:val="20"/>
                <w:szCs w:val="20"/>
                <w:color w:val="auto"/>
              </w:rPr>
            </w:pPr>
          </w:p>
        </w:tc>
        <w:tc>
          <w:tcPr>
            <w:tcW w:w="2220" w:type="dxa"/>
            <w:vAlign w:val="bottom"/>
          </w:tcPr>
          <w:p>
            <w:pPr>
              <w:ind w:left="20"/>
              <w:spacing w:after="0"/>
              <w:rPr>
                <w:sz w:val="20"/>
                <w:szCs w:val="20"/>
                <w:color w:val="auto"/>
              </w:rPr>
            </w:pPr>
            <w:r>
              <w:rPr>
                <w:rFonts w:ascii="Arial" w:cs="Arial" w:eastAsia="Arial" w:hAnsi="Arial"/>
                <w:sz w:val="18"/>
                <w:szCs w:val="18"/>
                <w:b w:val="1"/>
                <w:bCs w:val="1"/>
                <w:color w:val="auto"/>
              </w:rPr>
              <w:t>PARTICIPANT</w:t>
            </w:r>
          </w:p>
        </w:tc>
      </w:tr>
      <w:tr>
        <w:trPr>
          <w:trHeight w:val="39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[Participant Name]</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2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03" w:name="page404"/>
    <w:bookmarkEnd w:id="40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Adagio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Participant an Option under the Company’s 2020 Equity Incentive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to purchase the number of Shares indicated in the Stock Option Grant Notice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Stock Option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w:t>
      </w:r>
    </w:p>
    <w:p>
      <w:pPr>
        <w:spacing w:after="0" w:line="39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Incorporation of Terms of Plan</w:t>
      </w:r>
      <w:r>
        <w:rPr>
          <w:rFonts w:ascii="Arial" w:cs="Arial" w:eastAsia="Arial" w:hAnsi="Arial"/>
          <w:sz w:val="16"/>
          <w:szCs w:val="16"/>
          <w:color w:val="auto"/>
        </w:rPr>
        <w:t>. The Option is subject to the terms and conditions of the Plan which are incorporated herein by reference. In the event of a conflict between the terms of the Agreement and the Plan, the terms of the Plan shall control.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6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Grant of Option</w:t>
      </w:r>
      <w:r>
        <w:rPr>
          <w:rFonts w:ascii="Arial" w:cs="Arial" w:eastAsia="Arial" w:hAnsi="Arial"/>
          <w:sz w:val="18"/>
          <w:szCs w:val="18"/>
          <w:color w:val="auto"/>
        </w:rPr>
        <w:t xml:space="preserve">. In consideration of Participant’s past and/or continued employment with or service to the Company or a parent or subsidiary and for other good and valuable consideration, effective as of the grant date set forth in the Grant Notice (the “Grant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xml:space="preserve"> the Company irrevocably grants to Participant an Option to purchase any part or all of an aggregate of the number of Shares set forth in the Grant Notice, upon the terms and conditions set forth in the Plan and this Agreement. Unless designated as a Non-Qualified Stock Option in the Grant Notice, the Option shall be an Incentive Stock Option to the maximum extent permitted by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Vesting; Commencement of Exercisability</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3" w:lineRule="auto"/>
        <w:tabs>
          <w:tab w:leader="none" w:pos="123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Subject to Sections 2.1(b) and 2.3, the Option shall become vested and exercisable in such amounts and at such times as are set forth in the vesting schedule in the Grant Notice (the “</w:t>
      </w:r>
      <w:r>
        <w:rPr>
          <w:rFonts w:ascii="Arial" w:cs="Arial" w:eastAsia="Arial" w:hAnsi="Arial"/>
          <w:sz w:val="18"/>
          <w:szCs w:val="18"/>
          <w:b w:val="1"/>
          <w:bCs w:val="1"/>
          <w:i w:val="1"/>
          <w:iCs w:val="1"/>
          <w:color w:val="auto"/>
        </w:rPr>
        <w:t>Vesting Schedule”),</w:t>
      </w:r>
      <w:r>
        <w:rPr>
          <w:rFonts w:ascii="Arial" w:cs="Arial" w:eastAsia="Arial" w:hAnsi="Arial"/>
          <w:sz w:val="18"/>
          <w:szCs w:val="18"/>
          <w:color w:val="auto"/>
        </w:rPr>
        <w:t xml:space="preserve"> except that any Share as to which the Option would be fractionally vested will be accumulated and will vest and become exercisable only when a whole Share has accumulated.</w:t>
      </w:r>
    </w:p>
    <w:p>
      <w:pPr>
        <w:spacing w:after="0" w:line="183"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Unless otherwise determined by the Administrator, any portion of the Option that has not become vested and exercisable on or prior to the date of Participant’s Termination of Service shall be forfeited on the date of Participant’s Termination of Service and shall not thereafter become vested or exercisable.</w:t>
      </w:r>
    </w:p>
    <w:p>
      <w:pPr>
        <w:spacing w:after="0" w:line="184"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are cumulative. Each such installment which becomes vested and exercisable pursuant to the Vesting Schedule shall remain vested and exercisable until it becomes unexercisable under Section 2.3 or pursuant to the terms of the Plan. Once the Option becomes unexercisable, it shall be forfeited immediately.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04" w:name="page405"/>
    <w:bookmarkEnd w:id="40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225" w:lineRule="exact"/>
        <w:rPr>
          <w:sz w:val="20"/>
          <w:szCs w:val="20"/>
          <w:color w:val="auto"/>
        </w:rPr>
      </w:pPr>
    </w:p>
    <w:p>
      <w:pPr>
        <w:ind w:left="1220" w:hanging="233"/>
        <w:spacing w:after="0"/>
        <w:tabs>
          <w:tab w:leader="none" w:pos="12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225" w:lineRule="exact"/>
        <w:rPr>
          <w:rFonts w:ascii="Arial" w:cs="Arial" w:eastAsia="Arial" w:hAnsi="Arial"/>
          <w:sz w:val="18"/>
          <w:szCs w:val="18"/>
          <w:color w:val="auto"/>
        </w:rPr>
      </w:pPr>
    </w:p>
    <w:p>
      <w:pPr>
        <w:ind w:right="220" w:firstLine="987"/>
        <w:spacing w:after="0" w:line="277" w:lineRule="auto"/>
        <w:tabs>
          <w:tab w:leader="none" w:pos="124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expiration of three months following the date of Participant’s Termination of Service, unless such Termination of Service occurs by reason of Participant’s death, Disability or Cause;</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The expiration of one year following the date of Participant’s Termination of Service by reason of Participant’s death or Disability; or</w:t>
      </w:r>
    </w:p>
    <w:p>
      <w:pPr>
        <w:spacing w:after="0" w:line="248" w:lineRule="exact"/>
        <w:rPr>
          <w:rFonts w:ascii="Arial" w:cs="Arial" w:eastAsia="Arial" w:hAnsi="Arial"/>
          <w:sz w:val="16"/>
          <w:szCs w:val="16"/>
          <w:color w:val="auto"/>
        </w:rPr>
      </w:pPr>
    </w:p>
    <w:p>
      <w:pPr>
        <w:ind w:left="1240" w:hanging="253"/>
        <w:spacing w:after="0"/>
        <w:tabs>
          <w:tab w:leader="none" w:pos="12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The date of Participant’s Termination of Service for Cause.</w:t>
      </w:r>
    </w:p>
    <w:p>
      <w:pPr>
        <w:spacing w:after="0" w:line="225" w:lineRule="exact"/>
        <w:rPr>
          <w:sz w:val="20"/>
          <w:szCs w:val="20"/>
          <w:color w:val="auto"/>
        </w:rPr>
      </w:pPr>
    </w:p>
    <w:p>
      <w:pPr>
        <w:ind w:right="780" w:firstLine="440"/>
        <w:spacing w:after="0" w:line="277" w:lineRule="auto"/>
        <w:rPr>
          <w:sz w:val="20"/>
          <w:szCs w:val="20"/>
          <w:color w:val="auto"/>
        </w:rPr>
      </w:pPr>
      <w:r>
        <w:rPr>
          <w:rFonts w:ascii="Arial" w:cs="Arial" w:eastAsia="Arial" w:hAnsi="Arial"/>
          <w:sz w:val="18"/>
          <w:szCs w:val="18"/>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Cause</w:t>
      </w:r>
      <w:r>
        <w:rPr>
          <w:rFonts w:ascii="Arial" w:cs="Arial" w:eastAsia="Arial" w:hAnsi="Arial"/>
          <w:sz w:val="17"/>
          <w:szCs w:val="17"/>
          <w:color w:val="auto"/>
        </w:rPr>
        <w:t xml:space="preserve">,” means “Cause” (or any term of similar effect) as defined in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Participant’s unauthorized use or disclosure of confidential information or trade secrets of the Company or any material breach of a written agreement between Participant and the Company, including without limitation a material breach of any employment, confidentiality, non-compete, non-solicit or similar agreement; (ii) Participant’s commission of, indictment for or the entry of a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by Participant to, a felony under the laws of the United States or any state thereof or any crime involving dishonesty or moral turpitude (or any similar crime in any jurisdiction outside the United States); (iii) Participant’s negligence or willful misconduct in the performance of Participant’s duties or Participant’s willful or repeated failure or refusal to substantially perform assigned duties; (iv) any act of fraud, embezzlement, material misappropriation or dishonesty committed by Participant against the Company; or (v) any acts, omissions or statements by Participant which the Company determines to be materially detrimental or damaging to the reputation, operations, prospects or business relations of the Company.</w:t>
      </w:r>
    </w:p>
    <w:p>
      <w:pPr>
        <w:spacing w:after="0" w:line="182" w:lineRule="exact"/>
        <w:rPr>
          <w:sz w:val="20"/>
          <w:szCs w:val="20"/>
          <w:color w:val="auto"/>
        </w:rPr>
      </w:pPr>
    </w:p>
    <w:p>
      <w:pPr>
        <w:ind w:right="160" w:firstLine="440"/>
        <w:spacing w:after="0" w:line="288"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Special Tax Consequences</w:t>
      </w:r>
      <w:r>
        <w:rPr>
          <w:rFonts w:ascii="Arial" w:cs="Arial" w:eastAsia="Arial" w:hAnsi="Arial"/>
          <w:sz w:val="16"/>
          <w:szCs w:val="16"/>
          <w:color w:val="auto"/>
        </w:rPr>
        <w:t>. If the Option is intended to be an Incentive Stock Option, Participant acknowledges that, to the extent that the aggregate fair market value (determined as of the time the Option is granted) of all Shares with respect to which Incentive Stock Options, including, without limitation, the Option, are first exercisable for the first time by Participant in any calendar year exceeds $100,000 (or such other limitation as imposed by Section 422(d) of the Code), the Option and such other options (or the applicable portion thereof) shall be treated as not qualifying under Section 422 of the Code but rather shall be considered Non-Qualified Stock Options. Participant further acknowledges that the rule set forth in the preceding sentence shall be applied by taking Options and other “incentive stock options” into account in the order in which they were granted.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(3) months after Participant’s Termination of Service as an Employee, other than by reason of death or disability, the Option will be taxed as a Non-Qualified Stock Option.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4" w:right="439" w:bottom="1440" w:gutter="0" w:footer="0" w:header="0"/>
        </w:sectPr>
      </w:pPr>
    </w:p>
    <w:bookmarkStart w:id="405" w:name="page406"/>
    <w:bookmarkEnd w:id="40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2.3, be exercised by Participant’s personal representative or by any person empowered to do so under the deceased Participant’s will or under the then applicable laws of descent and distribution.</w:t>
      </w:r>
    </w:p>
    <w:p>
      <w:pPr>
        <w:spacing w:after="0" w:line="7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at any time prior to the time when the Option or portion thereof becomes unexercisable under Section 2.3.</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or the Secretary’s office, or such other place as may be determined by the Administrator, of all of the following prior to the time when the Option or such portion thereof becomes unexercisable under Section 2.3:</w:t>
      </w:r>
    </w:p>
    <w:p>
      <w:pPr>
        <w:spacing w:after="0" w:line="76" w:lineRule="exact"/>
        <w:rPr>
          <w:sz w:val="20"/>
          <w:szCs w:val="20"/>
          <w:color w:val="auto"/>
        </w:rPr>
      </w:pPr>
    </w:p>
    <w:p>
      <w:pPr>
        <w:ind w:right="320" w:firstLine="987"/>
        <w:spacing w:after="0" w:line="311" w:lineRule="auto"/>
        <w:tabs>
          <w:tab w:leader="none" w:pos="123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An exercise notice in substantially in the form attached as Exhibit B to the Grant Notice (or such other form as is prescribed by the Administrator) (the “</w:t>
      </w:r>
      <w:r>
        <w:rPr>
          <w:rFonts w:ascii="Arial" w:cs="Arial" w:eastAsia="Arial" w:hAnsi="Arial"/>
          <w:sz w:val="16"/>
          <w:szCs w:val="16"/>
          <w:b w:val="1"/>
          <w:bCs w:val="1"/>
          <w:i w:val="1"/>
          <w:iCs w:val="1"/>
          <w:color w:val="auto"/>
        </w:rPr>
        <w:t>Exercise Notice”)</w:t>
      </w:r>
      <w:r>
        <w:rPr>
          <w:rFonts w:ascii="Arial" w:cs="Arial" w:eastAsia="Arial" w:hAnsi="Arial"/>
          <w:sz w:val="16"/>
          <w:szCs w:val="16"/>
          <w:color w:val="auto"/>
        </w:rPr>
        <w:t xml:space="preserve"> in writing signed by Participant or any other person then entitled to exercise the Option or portion thereof, stating that the Option or portion thereof is thereby exercised, such notice complying with all applicable rules established by the Administrator; and</w:t>
      </w:r>
    </w:p>
    <w:p>
      <w:pPr>
        <w:spacing w:after="0" w:line="148" w:lineRule="exact"/>
        <w:rPr>
          <w:rFonts w:ascii="Arial" w:cs="Arial" w:eastAsia="Arial" w:hAnsi="Arial"/>
          <w:sz w:val="16"/>
          <w:szCs w:val="16"/>
          <w:color w:val="auto"/>
        </w:rPr>
      </w:pPr>
    </w:p>
    <w:p>
      <w:pPr>
        <w:ind w:left="1240" w:hanging="253"/>
        <w:spacing w:after="0"/>
        <w:tabs>
          <w:tab w:leader="none" w:pos="1240" w:val="left"/>
        </w:tabs>
        <w:numPr>
          <w:ilvl w:val="0"/>
          <w:numId w:val="277"/>
        </w:numPr>
        <w:rPr>
          <w:rFonts w:ascii="Arial" w:cs="Arial" w:eastAsia="Arial" w:hAnsi="Arial"/>
          <w:sz w:val="16"/>
          <w:szCs w:val="16"/>
          <w:color w:val="auto"/>
        </w:rPr>
      </w:pPr>
      <w:r>
        <w:rPr>
          <w:rFonts w:ascii="Arial" w:cs="Arial" w:eastAsia="Arial" w:hAnsi="Arial"/>
          <w:sz w:val="16"/>
          <w:szCs w:val="16"/>
          <w:color w:val="auto"/>
        </w:rPr>
        <w:t>Full payment for Shares with respect to which the Option or portion thereof is exercised in accordance with Section 5.6 of the Plan;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00" w:firstLine="987"/>
        <w:spacing w:after="0" w:line="277" w:lineRule="auto"/>
        <w:tabs>
          <w:tab w:leader="none" w:pos="1233"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receipt by the Company of full payment for any applicable withholding tax in cash, by wire transfer of immediately available funds, by check or in such other form as is permitted by the Plan; and</w:t>
      </w:r>
    </w:p>
    <w:p>
      <w:pPr>
        <w:spacing w:after="0" w:line="170" w:lineRule="exact"/>
        <w:rPr>
          <w:rFonts w:ascii="Arial" w:cs="Arial" w:eastAsia="Arial" w:hAnsi="Arial"/>
          <w:sz w:val="18"/>
          <w:szCs w:val="18"/>
          <w:color w:val="auto"/>
        </w:rPr>
      </w:pPr>
    </w:p>
    <w:p>
      <w:pPr>
        <w:ind w:right="240" w:firstLine="987"/>
        <w:spacing w:after="0" w:line="277" w:lineRule="auto"/>
        <w:tabs>
          <w:tab w:leader="none" w:pos="1246"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3.1 by any person or persons other than Participant, appropriate proof of the right of such person or persons to exercise the Option.</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PROVISIONS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63" w:lineRule="auto"/>
        <w:tabs>
          <w:tab w:leader="none" w:pos="12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0" w:right="499" w:bottom="1440" w:gutter="0" w:footer="0" w:header="0"/>
        </w:sectPr>
      </w:pPr>
    </w:p>
    <w:bookmarkStart w:id="406" w:name="page407"/>
    <w:bookmarkEnd w:id="406"/>
    <w:p>
      <w:pPr>
        <w:ind w:left="4" w:right="20" w:firstLine="991"/>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shall be addressed to the Company at its principal executive offices in care of the Secretary of the Company, and any notice to be given to Participant shall be addressed to Participant at the most recent address for Participant shown in the Company’s records. By a notice given pursuant to this Section 4.2,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4.2.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left="4" w:right="80" w:firstLine="991"/>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Governing Law</w:t>
      </w:r>
      <w:r>
        <w:rPr>
          <w:rFonts w:ascii="Arial" w:cs="Arial" w:eastAsia="Arial" w:hAnsi="Arial"/>
          <w:sz w:val="17"/>
          <w:szCs w:val="17"/>
          <w:color w:val="auto"/>
        </w:rPr>
        <w:t>; Severability. This Agreement and the Exercise Notice shall be administered, interpreted and enforced under the laws of the State of Delaware, without regard to the conflicts of law principles thereof. Should any provision of this Agreement be determined by a court of law to be illegal or unenforceable, the other provisions shall nevertheless remain effective and shall remain enforceable.</w:t>
      </w:r>
    </w:p>
    <w:p>
      <w:pPr>
        <w:spacing w:after="0" w:line="165" w:lineRule="exact"/>
        <w:rPr>
          <w:sz w:val="20"/>
          <w:szCs w:val="20"/>
          <w:color w:val="auto"/>
        </w:rPr>
      </w:pPr>
    </w:p>
    <w:p>
      <w:pPr>
        <w:ind w:left="4" w:right="120" w:firstLine="991"/>
        <w:spacing w:after="0" w:line="296"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is intended 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laws, rules and regulations. To the extent permitted by applicable law, the Plan and this Agreement shall be deemed amended to the extent necessary to conform to such laws, rules and regulations.</w:t>
      </w:r>
    </w:p>
    <w:p>
      <w:pPr>
        <w:spacing w:after="0" w:line="161"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65" w:lineRule="exact"/>
        <w:rPr>
          <w:sz w:val="20"/>
          <w:szCs w:val="20"/>
          <w:color w:val="auto"/>
        </w:rPr>
      </w:pPr>
    </w:p>
    <w:p>
      <w:pPr>
        <w:ind w:left="4" w:right="140" w:firstLine="991"/>
        <w:spacing w:after="0" w:line="263"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this Agreement (including, without limitation, all Exhibits hereto) constitute the entire agreement of the parties and supersede in their entirety all prior undertakings and agreements of the Company and Participant with respect to the subject matter hereof.</w:t>
      </w:r>
    </w:p>
    <w:p>
      <w:pPr>
        <w:spacing w:after="0" w:line="184" w:lineRule="exact"/>
        <w:rPr>
          <w:sz w:val="20"/>
          <w:szCs w:val="20"/>
          <w:color w:val="auto"/>
        </w:rPr>
      </w:pPr>
    </w:p>
    <w:p>
      <w:pPr>
        <w:ind w:left="4" w:right="60" w:firstLine="991"/>
        <w:spacing w:after="0" w:line="286"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agrees that Participant will not, without the prior written consent of the managing underwriter, during the period commencing on the date of the final prospectus relating to an initial public offering of any of the Company’s securities and ending on the date specified by the Company and the managing underwriter (such period not to exceed one hundred eighty (180) days, or such other period as may be requested by the Company or an underwriter to accommodate regulatory restrictions on (1) the publication or other distribution of research reports, and</w:t>
      </w:r>
    </w:p>
    <w:p>
      <w:pPr>
        <w:spacing w:after="0" w:line="1" w:lineRule="exact"/>
        <w:rPr>
          <w:sz w:val="20"/>
          <w:szCs w:val="20"/>
          <w:color w:val="auto"/>
        </w:rPr>
      </w:pPr>
    </w:p>
    <w:p>
      <w:pPr>
        <w:ind w:left="4" w:right="100" w:hanging="4"/>
        <w:spacing w:after="0" w:line="271" w:lineRule="auto"/>
        <w:tabs>
          <w:tab w:leader="none" w:pos="259" w:val="left"/>
        </w:tabs>
        <w:numPr>
          <w:ilvl w:val="0"/>
          <w:numId w:val="279"/>
        </w:numPr>
        <w:rPr>
          <w:rFonts w:ascii="Arial" w:cs="Arial" w:eastAsia="Arial" w:hAnsi="Arial"/>
          <w:sz w:val="17"/>
          <w:szCs w:val="17"/>
          <w:color w:val="auto"/>
        </w:rPr>
      </w:pPr>
      <w:r>
        <w:rPr>
          <w:rFonts w:ascii="Arial" w:cs="Arial" w:eastAsia="Arial" w:hAnsi="Arial"/>
          <w:sz w:val="17"/>
          <w:szCs w:val="17"/>
          <w:color w:val="auto"/>
        </w:rPr>
        <w:t>analyst recommendations and opinions, including, but not limited to, the restrictions contained in FINRA Rule 2241 or NYSE Rule 472(f)(4)),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such offering or (ii) enter into any swap or other arrangement that transfers to another, in whole or in part, any of the economic</w:t>
      </w:r>
    </w:p>
    <w:p>
      <w:pPr>
        <w:spacing w:after="0" w:line="35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64"/>
          </w:cols>
          <w:pgMar w:left="436" w:top="274" w:right="499" w:bottom="1440" w:gutter="0" w:footer="0" w:header="0"/>
        </w:sectPr>
      </w:pPr>
    </w:p>
    <w:bookmarkStart w:id="407" w:name="page408"/>
    <w:bookmarkEnd w:id="407"/>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consequences of ownership of such securities, whether any such transaction described in clause (i) or (ii) above is to be settled by delivery of Common Stock or other securities, in cash, or otherwise. The foregoing provisions of this Section shall apply only to an initial public offering of the Company’s securities and shall not apply to the sale of any shares to an underwriter pursuant to an underwriting agreement for such initial public offering. The underwriters in connection with such registration are intended third-party beneficiaries of this Section and shall have the right, power, and authority to enforce the provisions hereof as though they were a party hereto. Participant further agrees to execute such agreements as may be reasonably requested by the underwriters in connection with such registration that are consistent with this Section or that are necessary to give further effect thereto.</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80"/>
          </w:cols>
          <w:pgMar w:left="440" w:top="274" w:right="579" w:bottom="1440" w:gutter="0" w:footer="0" w:header="0"/>
        </w:sectPr>
      </w:pPr>
    </w:p>
    <w:bookmarkStart w:id="408" w:name="page409"/>
    <w:bookmarkEnd w:id="408"/>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gridSpan w:val="7"/>
            <w:vMerge w:val="restart"/>
          </w:tcPr>
          <w:p>
            <w:pPr>
              <w:ind w:left="20"/>
              <w:spacing w:after="0"/>
              <w:rPr>
                <w:sz w:val="20"/>
                <w:szCs w:val="20"/>
                <w:color w:val="auto"/>
              </w:rPr>
            </w:pPr>
            <w:r>
              <w:rPr>
                <w:rFonts w:ascii="Arial" w:cs="Arial" w:eastAsia="Arial" w:hAnsi="Arial"/>
                <w:sz w:val="18"/>
                <w:szCs w:val="18"/>
                <w:b w:val="1"/>
                <w:bCs w:val="1"/>
                <w:color w:val="auto"/>
              </w:rPr>
              <w:t>TO STOCK OPTION AGREEMENT</w:t>
            </w:r>
          </w:p>
        </w:tc>
        <w:tc>
          <w:tcPr>
            <w:tcW w:w="3960" w:type="dxa"/>
            <w:vAlign w:val="bottom"/>
            <w:gridSpan w:val="3"/>
          </w:tcPr>
          <w:p>
            <w:pPr>
              <w:ind w:left="3220"/>
              <w:spacing w:after="0"/>
              <w:rPr>
                <w:sz w:val="20"/>
                <w:szCs w:val="20"/>
                <w:color w:val="auto"/>
              </w:rPr>
            </w:pPr>
            <w:r>
              <w:rPr>
                <w:rFonts w:ascii="Arial" w:cs="Arial" w:eastAsia="Arial" w:hAnsi="Arial"/>
                <w:sz w:val="18"/>
                <w:szCs w:val="18"/>
                <w:b w:val="1"/>
                <w:bCs w:val="1"/>
                <w:color w:val="auto"/>
                <w:w w:val="92"/>
              </w:rPr>
              <w:t>Exhibit B</w:t>
            </w: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gridSpan w:val="7"/>
            <w:vMerge w:val="continue"/>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60" w:type="dxa"/>
            <w:vAlign w:val="bottom"/>
            <w:gridSpan w:val="6"/>
          </w:tcPr>
          <w:p>
            <w:pPr>
              <w:ind w:left="20"/>
              <w:spacing w:after="0"/>
              <w:rPr>
                <w:sz w:val="20"/>
                <w:szCs w:val="20"/>
                <w:color w:val="auto"/>
              </w:rPr>
            </w:pPr>
            <w:r>
              <w:rPr>
                <w:rFonts w:ascii="Arial" w:cs="Arial" w:eastAsia="Arial" w:hAnsi="Arial"/>
                <w:sz w:val="18"/>
                <w:szCs w:val="18"/>
                <w:b w:val="1"/>
                <w:bCs w:val="1"/>
                <w:color w:val="auto"/>
              </w:rPr>
              <w:t>FORM OF EXERCISE NOTICE</w:t>
            </w: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60" w:type="dxa"/>
            <w:vAlign w:val="bottom"/>
            <w:gridSpan w:val="4"/>
          </w:tcPr>
          <w:p>
            <w:pPr>
              <w:ind w:left="440"/>
              <w:spacing w:after="0"/>
              <w:rPr>
                <w:sz w:val="20"/>
                <w:szCs w:val="20"/>
                <w:color w:val="auto"/>
              </w:rPr>
            </w:pPr>
            <w:r>
              <w:rPr>
                <w:rFonts w:ascii="Arial" w:cs="Arial" w:eastAsia="Arial" w:hAnsi="Arial"/>
                <w:sz w:val="18"/>
                <w:szCs w:val="18"/>
                <w:color w:val="auto"/>
              </w:rPr>
              <w:t>Effective as of today,</w:t>
            </w:r>
          </w:p>
        </w:tc>
        <w:tc>
          <w:tcPr>
            <w:tcW w:w="580" w:type="dxa"/>
            <w:vAlign w:val="bottom"/>
            <w:gridSpan w:val="4"/>
          </w:tcPr>
          <w:p>
            <w:pPr>
              <w:ind w:left="540"/>
              <w:spacing w:after="0"/>
              <w:rPr>
                <w:sz w:val="20"/>
                <w:szCs w:val="20"/>
                <w:color w:val="auto"/>
              </w:rPr>
            </w:pPr>
            <w:r>
              <w:rPr>
                <w:rFonts w:ascii="Arial" w:cs="Arial" w:eastAsia="Arial" w:hAnsi="Arial"/>
                <w:sz w:val="10"/>
                <w:szCs w:val="10"/>
                <w:color w:val="auto"/>
                <w:w w:val="70"/>
              </w:rPr>
              <w: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80" w:type="dxa"/>
            <w:vAlign w:val="bottom"/>
            <w:gridSpan w:val="10"/>
          </w:tcPr>
          <w:p>
            <w:pPr>
              <w:ind w:left="160"/>
              <w:spacing w:after="0"/>
              <w:rPr>
                <w:sz w:val="20"/>
                <w:szCs w:val="20"/>
                <w:color w:val="auto"/>
              </w:rPr>
            </w:pPr>
            <w:r>
              <w:rPr>
                <w:rFonts w:ascii="Arial" w:cs="Arial" w:eastAsia="Arial" w:hAnsi="Arial"/>
                <w:sz w:val="18"/>
                <w:szCs w:val="18"/>
                <w:color w:val="auto"/>
              </w:rPr>
              <w:t xml:space="preserve">, the undersigned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hereby elects to exercise Participant’s option to</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line="196" w:lineRule="exact"/>
              <w:rPr>
                <w:sz w:val="20"/>
                <w:szCs w:val="20"/>
                <w:color w:val="auto"/>
              </w:rPr>
            </w:pPr>
            <w:r>
              <w:rPr>
                <w:rFonts w:ascii="Arial" w:cs="Arial" w:eastAsia="Arial" w:hAnsi="Arial"/>
                <w:sz w:val="18"/>
                <w:szCs w:val="18"/>
                <w:color w:val="auto"/>
                <w:w w:val="83"/>
              </w:rPr>
              <w:t>purchase</w:t>
            </w:r>
          </w:p>
        </w:tc>
        <w:tc>
          <w:tcPr>
            <w:tcW w:w="1300" w:type="dxa"/>
            <w:vAlign w:val="bottom"/>
            <w:tcBorders>
              <w:bottom w:val="single" w:sz="8" w:color="auto"/>
            </w:tcBorders>
          </w:tcPr>
          <w:p>
            <w:pPr>
              <w:spacing w:after="0"/>
              <w:rPr>
                <w:sz w:val="17"/>
                <w:szCs w:val="17"/>
                <w:color w:val="auto"/>
              </w:rPr>
            </w:pPr>
          </w:p>
        </w:tc>
        <w:tc>
          <w:tcPr>
            <w:tcW w:w="9080" w:type="dxa"/>
            <w:vAlign w:val="bottom"/>
            <w:gridSpan w:val="18"/>
          </w:tcPr>
          <w:p>
            <w:pPr>
              <w:spacing w:after="0" w:line="196" w:lineRule="exact"/>
              <w:rPr>
                <w:sz w:val="20"/>
                <w:szCs w:val="20"/>
                <w:color w:val="auto"/>
              </w:rPr>
            </w:pPr>
            <w:r>
              <w:rPr>
                <w:rFonts w:ascii="Arial" w:cs="Arial" w:eastAsia="Arial" w:hAnsi="Arial"/>
                <w:sz w:val="18"/>
                <w:szCs w:val="18"/>
                <w:color w:val="auto"/>
                <w:w w:val="95"/>
              </w:rPr>
              <w:t>Shares of Adagio Therapeutics, Inc. (the “</w:t>
            </w:r>
            <w:r>
              <w:rPr>
                <w:rFonts w:ascii="Arial" w:cs="Arial" w:eastAsia="Arial" w:hAnsi="Arial"/>
                <w:sz w:val="18"/>
                <w:szCs w:val="18"/>
                <w:b w:val="1"/>
                <w:bCs w:val="1"/>
                <w:i w:val="1"/>
                <w:iCs w:val="1"/>
                <w:color w:val="auto"/>
                <w:w w:val="95"/>
              </w:rPr>
              <w:t>Company</w:t>
            </w:r>
            <w:r>
              <w:rPr>
                <w:rFonts w:ascii="Arial" w:cs="Arial" w:eastAsia="Arial" w:hAnsi="Arial"/>
                <w:sz w:val="18"/>
                <w:szCs w:val="18"/>
                <w:color w:val="auto"/>
                <w:w w:val="95"/>
              </w:rPr>
              <w:t>”) under and pursuant to the Adagio Therapeutics, Inc. 2020 Equity</w:t>
            </w:r>
          </w:p>
        </w:tc>
        <w:tc>
          <w:tcPr>
            <w:tcW w:w="0" w:type="dxa"/>
            <w:vAlign w:val="bottom"/>
          </w:tcPr>
          <w:p>
            <w:pPr>
              <w:spacing w:after="0"/>
              <w:rPr>
                <w:sz w:val="1"/>
                <w:szCs w:val="1"/>
                <w:color w:val="auto"/>
              </w:rPr>
            </w:pPr>
          </w:p>
        </w:tc>
      </w:tr>
      <w:tr>
        <w:trPr>
          <w:trHeight w:val="196"/>
        </w:trPr>
        <w:tc>
          <w:tcPr>
            <w:tcW w:w="4820" w:type="dxa"/>
            <w:vAlign w:val="bottom"/>
            <w:gridSpan w:val="12"/>
          </w:tcPr>
          <w:p>
            <w:pPr>
              <w:spacing w:after="0" w:line="196" w:lineRule="exact"/>
              <w:rPr>
                <w:sz w:val="20"/>
                <w:szCs w:val="20"/>
                <w:color w:val="auto"/>
              </w:rPr>
            </w:pPr>
            <w:r>
              <w:rPr>
                <w:rFonts w:ascii="Arial" w:cs="Arial" w:eastAsia="Arial" w:hAnsi="Arial"/>
                <w:sz w:val="18"/>
                <w:szCs w:val="18"/>
                <w:color w:val="auto"/>
                <w:w w:val="91"/>
              </w:rPr>
              <w:t>Incentive Plan (the “</w:t>
            </w:r>
            <w:r>
              <w:rPr>
                <w:rFonts w:ascii="Arial" w:cs="Arial" w:eastAsia="Arial" w:hAnsi="Arial"/>
                <w:sz w:val="18"/>
                <w:szCs w:val="18"/>
                <w:b w:val="1"/>
                <w:bCs w:val="1"/>
                <w:i w:val="1"/>
                <w:iCs w:val="1"/>
                <w:color w:val="auto"/>
                <w:w w:val="91"/>
              </w:rPr>
              <w:t>Plan</w:t>
            </w:r>
            <w:r>
              <w:rPr>
                <w:rFonts w:ascii="Arial" w:cs="Arial" w:eastAsia="Arial" w:hAnsi="Arial"/>
                <w:sz w:val="18"/>
                <w:szCs w:val="18"/>
                <w:color w:val="auto"/>
                <w:w w:val="91"/>
              </w:rPr>
              <w:t>”) and the Stock Option Agreement dated</w:t>
            </w:r>
          </w:p>
        </w:tc>
        <w:tc>
          <w:tcPr>
            <w:tcW w:w="1240" w:type="dxa"/>
            <w:vAlign w:val="bottom"/>
          </w:tcPr>
          <w:p>
            <w:pPr>
              <w:spacing w:after="0"/>
              <w:rPr>
                <w:sz w:val="17"/>
                <w:szCs w:val="17"/>
                <w:color w:val="auto"/>
              </w:rPr>
            </w:pPr>
          </w:p>
        </w:tc>
        <w:tc>
          <w:tcPr>
            <w:tcW w:w="660" w:type="dxa"/>
            <w:vAlign w:val="bottom"/>
            <w:gridSpan w:val="3"/>
          </w:tcPr>
          <w:p>
            <w:pPr>
              <w:jc w:val="right"/>
              <w:ind w:right="420"/>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960" w:type="dxa"/>
            <w:vAlign w:val="bottom"/>
            <w:gridSpan w:val="3"/>
          </w:tcPr>
          <w:p>
            <w:pPr>
              <w:spacing w:after="0" w:line="196" w:lineRule="exact"/>
              <w:rPr>
                <w:sz w:val="20"/>
                <w:szCs w:val="20"/>
                <w:color w:val="auto"/>
              </w:rPr>
            </w:pPr>
            <w:r>
              <w:rPr>
                <w:rFonts w:ascii="Arial" w:cs="Arial" w:eastAsia="Arial" w:hAnsi="Arial"/>
                <w:sz w:val="18"/>
                <w:szCs w:val="18"/>
                <w:color w:val="auto"/>
                <w:w w:val="97"/>
              </w:rPr>
              <w:t>(the “</w:t>
            </w:r>
            <w:r>
              <w:rPr>
                <w:rFonts w:ascii="Arial" w:cs="Arial" w:eastAsia="Arial" w:hAnsi="Arial"/>
                <w:sz w:val="18"/>
                <w:szCs w:val="18"/>
                <w:b w:val="1"/>
                <w:bCs w:val="1"/>
                <w:i w:val="1"/>
                <w:iCs w:val="1"/>
                <w:color w:val="auto"/>
                <w:w w:val="97"/>
              </w:rPr>
              <w:t>Option Agreement</w:t>
            </w:r>
            <w:r>
              <w:rPr>
                <w:rFonts w:ascii="Arial" w:cs="Arial" w:eastAsia="Arial" w:hAnsi="Arial"/>
                <w:sz w:val="18"/>
                <w:szCs w:val="18"/>
                <w:color w:val="auto"/>
                <w:w w:val="97"/>
              </w:rPr>
              <w:t>”). Capitalized terms used</w:t>
            </w:r>
          </w:p>
        </w:tc>
        <w:tc>
          <w:tcPr>
            <w:tcW w:w="0" w:type="dxa"/>
            <w:vAlign w:val="bottom"/>
          </w:tcPr>
          <w:p>
            <w:pPr>
              <w:spacing w:after="0"/>
              <w:rPr>
                <w:sz w:val="1"/>
                <w:szCs w:val="1"/>
                <w:color w:val="auto"/>
              </w:rPr>
            </w:pPr>
          </w:p>
        </w:tc>
      </w:tr>
      <w:tr>
        <w:trPr>
          <w:trHeight w:val="20"/>
        </w:trPr>
        <w:tc>
          <w:tcPr>
            <w:tcW w:w="29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60" w:type="dxa"/>
            <w:vAlign w:val="bottom"/>
            <w:gridSpan w:val="13"/>
          </w:tcPr>
          <w:p>
            <w:pPr>
              <w:spacing w:after="0"/>
              <w:rPr>
                <w:sz w:val="20"/>
                <w:szCs w:val="20"/>
                <w:color w:val="auto"/>
              </w:rPr>
            </w:pPr>
            <w:r>
              <w:rPr>
                <w:rFonts w:ascii="Arial" w:cs="Arial" w:eastAsia="Arial" w:hAnsi="Arial"/>
                <w:sz w:val="18"/>
                <w:szCs w:val="18"/>
                <w:color w:val="auto"/>
                <w:w w:val="94"/>
              </w:rPr>
              <w:t>herein without definition shall have the meanings given in the Option Agreement.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Grant Date:</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Number of Shares as to which</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Option is Exercised:</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rPr>
              <w:t>Exercise Price per Share:</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Total Exercise Price:</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w w:val="94"/>
              </w:rPr>
              <w:t>Certificate to be issued in name of:</w:t>
            </w:r>
          </w:p>
        </w:tc>
        <w:tc>
          <w:tcPr>
            <w:tcW w:w="80" w:type="dxa"/>
            <w:vAlign w:val="bottom"/>
            <w:tcBorders>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860" w:type="dxa"/>
            <w:vAlign w:val="bottom"/>
            <w:gridSpan w:val="4"/>
          </w:tcPr>
          <w:p>
            <w:pPr>
              <w:spacing w:after="0"/>
              <w:rPr>
                <w:sz w:val="20"/>
                <w:szCs w:val="20"/>
                <w:color w:val="auto"/>
              </w:rPr>
            </w:pPr>
            <w:r>
              <w:rPr>
                <w:rFonts w:ascii="Arial" w:cs="Arial" w:eastAsia="Arial" w:hAnsi="Arial"/>
                <w:sz w:val="18"/>
                <w:szCs w:val="18"/>
                <w:b w:val="1"/>
                <w:bCs w:val="1"/>
                <w:color w:val="auto"/>
                <w:w w:val="96"/>
              </w:rPr>
              <w:t>Cash Payment delivered herewith:</w:t>
            </w: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000" w:type="dxa"/>
            <w:vAlign w:val="bottom"/>
            <w:gridSpan w:val="11"/>
          </w:tcPr>
          <w:p>
            <w:pPr>
              <w:spacing w:after="0"/>
              <w:rPr>
                <w:sz w:val="20"/>
                <w:szCs w:val="20"/>
                <w:color w:val="auto"/>
              </w:rPr>
            </w:pPr>
            <w:r>
              <w:rPr>
                <w:rFonts w:ascii="Arial" w:cs="Arial" w:eastAsia="Arial" w:hAnsi="Arial"/>
                <w:sz w:val="18"/>
                <w:szCs w:val="18"/>
                <w:color w:val="auto"/>
                <w:w w:val="93"/>
              </w:rPr>
              <w:t>(Representing the full Exercise Price for the Shares, as well as any applicable withholding tax)</w:t>
            </w:r>
          </w:p>
        </w:tc>
        <w:tc>
          <w:tcPr>
            <w:tcW w:w="0" w:type="dxa"/>
            <w:vAlign w:val="bottom"/>
          </w:tcPr>
          <w:p>
            <w:pPr>
              <w:spacing w:after="0"/>
              <w:rPr>
                <w:sz w:val="1"/>
                <w:szCs w:val="1"/>
                <w:color w:val="auto"/>
              </w:rPr>
            </w:pPr>
          </w:p>
        </w:tc>
      </w:tr>
      <w:tr>
        <w:trPr>
          <w:trHeight w:val="364"/>
        </w:trPr>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Type of Option:</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160" w:type="dxa"/>
            <w:vAlign w:val="bottom"/>
            <w:gridSpan w:val="16"/>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  </w:t>
            </w: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c>
          <w:tcPr>
            <w:tcW w:w="0" w:type="dxa"/>
            <w:vAlign w:val="bottom"/>
          </w:tcPr>
          <w:p>
            <w:pPr>
              <w:spacing w:after="0"/>
              <w:rPr>
                <w:sz w:val="1"/>
                <w:szCs w:val="1"/>
                <w:color w:val="auto"/>
              </w:rPr>
            </w:pPr>
          </w:p>
        </w:tc>
      </w:tr>
    </w:tbl>
    <w:p>
      <w:pPr>
        <w:spacing w:after="0" w:line="18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0" w:hanging="184"/>
        <w:spacing w:after="0"/>
        <w:tabs>
          <w:tab w:leader="none" w:pos="62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Representations of Participant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60" w:firstLine="987"/>
        <w:spacing w:after="0" w:line="277" w:lineRule="auto"/>
        <w:tabs>
          <w:tab w:leader="none" w:pos="123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Participant acknowledges that Participant has received, read and understood the Plan and the Option Agreement. Participant agrees to abide by and be bound by their terms and conditions.</w:t>
      </w:r>
    </w:p>
    <w:p>
      <w:pPr>
        <w:spacing w:after="0" w:line="170" w:lineRule="exact"/>
        <w:rPr>
          <w:rFonts w:ascii="Arial" w:cs="Arial" w:eastAsia="Arial" w:hAnsi="Arial"/>
          <w:sz w:val="18"/>
          <w:szCs w:val="18"/>
          <w:color w:val="auto"/>
        </w:rPr>
      </w:pPr>
    </w:p>
    <w:p>
      <w:pPr>
        <w:jc w:val="both"/>
        <w:ind w:right="300" w:firstLine="987"/>
        <w:spacing w:after="0" w:line="263" w:lineRule="auto"/>
        <w:tabs>
          <w:tab w:leader="none" w:pos="124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 xml:space="preserve">Participant acknowledges that Participant is purchasing the Shares for Participant’s own account for investment only, and not with a view to, or for sale in connection with, any distribution of the Shares in violation of the Securities Act of 1933, as amended (the “Securities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any rule or regulation under the Securities Act.</w:t>
      </w:r>
    </w:p>
    <w:p>
      <w:pPr>
        <w:spacing w:after="0" w:line="183" w:lineRule="exact"/>
        <w:rPr>
          <w:rFonts w:ascii="Arial" w:cs="Arial" w:eastAsia="Arial" w:hAnsi="Arial"/>
          <w:sz w:val="18"/>
          <w:szCs w:val="18"/>
          <w:color w:val="auto"/>
        </w:rPr>
      </w:pPr>
    </w:p>
    <w:p>
      <w:pPr>
        <w:ind w:right="780" w:firstLine="987"/>
        <w:spacing w:after="0" w:line="342" w:lineRule="auto"/>
        <w:tabs>
          <w:tab w:leader="none" w:pos="1236" w:val="left"/>
        </w:tabs>
        <w:numPr>
          <w:ilvl w:val="1"/>
          <w:numId w:val="280"/>
        </w:numPr>
        <w:rPr>
          <w:rFonts w:ascii="Arial" w:cs="Arial" w:eastAsia="Arial" w:hAnsi="Arial"/>
          <w:sz w:val="16"/>
          <w:szCs w:val="16"/>
          <w:color w:val="auto"/>
        </w:rPr>
      </w:pPr>
      <w:r>
        <w:rPr>
          <w:rFonts w:ascii="Arial" w:cs="Arial" w:eastAsia="Arial" w:hAnsi="Arial"/>
          <w:sz w:val="16"/>
          <w:szCs w:val="16"/>
          <w:color w:val="auto"/>
        </w:rPr>
        <w:t>Participant has had such opportunity as Participant has deemed adequate to obtain from representatives of the Company such information as is necessary to permit Participant to evaluate the merits and risks of Participant’s investment in the Company.</w:t>
      </w:r>
    </w:p>
    <w:p>
      <w:pPr>
        <w:spacing w:after="0" w:line="123" w:lineRule="exact"/>
        <w:rPr>
          <w:rFonts w:ascii="Arial" w:cs="Arial" w:eastAsia="Arial" w:hAnsi="Arial"/>
          <w:sz w:val="16"/>
          <w:szCs w:val="16"/>
          <w:color w:val="auto"/>
        </w:rPr>
      </w:pPr>
    </w:p>
    <w:p>
      <w:pPr>
        <w:ind w:right="540" w:firstLine="987"/>
        <w:spacing w:after="0" w:line="277" w:lineRule="auto"/>
        <w:tabs>
          <w:tab w:leader="none" w:pos="124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Participant has sufficient experience in business, financial and investment matters to be able to evaluate the risks involved in the purchase of the Shares and to make an informed investment decision with respect to such purchase.</w:t>
      </w:r>
    </w:p>
    <w:p>
      <w:pPr>
        <w:spacing w:after="0" w:line="170" w:lineRule="exact"/>
        <w:rPr>
          <w:rFonts w:ascii="Arial" w:cs="Arial" w:eastAsia="Arial" w:hAnsi="Arial"/>
          <w:sz w:val="18"/>
          <w:szCs w:val="18"/>
          <w:color w:val="auto"/>
        </w:rPr>
      </w:pPr>
    </w:p>
    <w:p>
      <w:pPr>
        <w:ind w:right="360" w:firstLine="987"/>
        <w:spacing w:after="0" w:line="277" w:lineRule="auto"/>
        <w:tabs>
          <w:tab w:leader="none" w:pos="123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Participant can afford a complete loss of the value of the Shares and is able to bear the economic risk of holding such Shares for an indefinite period.</w:t>
      </w:r>
    </w:p>
    <w:p>
      <w:pPr>
        <w:spacing w:after="0" w:line="170" w:lineRule="exact"/>
        <w:rPr>
          <w:rFonts w:ascii="Arial" w:cs="Arial" w:eastAsia="Arial" w:hAnsi="Arial"/>
          <w:sz w:val="18"/>
          <w:szCs w:val="18"/>
          <w:color w:val="auto"/>
        </w:rPr>
      </w:pPr>
    </w:p>
    <w:p>
      <w:pPr>
        <w:ind w:right="20" w:firstLine="987"/>
        <w:spacing w:after="0" w:line="259" w:lineRule="auto"/>
        <w:tabs>
          <w:tab w:leader="none" w:pos="1216" w:val="left"/>
        </w:tabs>
        <w:numPr>
          <w:ilvl w:val="1"/>
          <w:numId w:val="280"/>
        </w:numPr>
        <w:rPr>
          <w:rFonts w:ascii="Arial" w:cs="Arial" w:eastAsia="Arial" w:hAnsi="Arial"/>
          <w:sz w:val="18"/>
          <w:szCs w:val="18"/>
          <w:color w:val="auto"/>
        </w:rPr>
      </w:pPr>
      <w:r>
        <w:rPr>
          <w:rFonts w:ascii="Arial" w:cs="Arial" w:eastAsia="Arial" w:hAnsi="Arial"/>
          <w:sz w:val="18"/>
          <w:szCs w:val="18"/>
          <w:color w:val="auto"/>
        </w:rPr>
        <w:t>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56" w:right="439" w:bottom="1440" w:gutter="0" w:footer="0" w:header="0"/>
        </w:sectPr>
      </w:pPr>
    </w:p>
    <w:bookmarkStart w:id="409" w:name="page410"/>
    <w:bookmarkEnd w:id="409"/>
    <w:p>
      <w:pPr>
        <w:ind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spacing w:after="0" w:line="187" w:lineRule="exact"/>
        <w:rPr>
          <w:sz w:val="20"/>
          <w:szCs w:val="20"/>
          <w:color w:val="auto"/>
        </w:rPr>
      </w:pPr>
    </w:p>
    <w:p>
      <w:pPr>
        <w:ind w:right="200" w:firstLine="436"/>
        <w:spacing w:after="0" w:line="255" w:lineRule="auto"/>
        <w:tabs>
          <w:tab w:leader="none" w:pos="62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192" w:lineRule="exact"/>
        <w:rPr>
          <w:rFonts w:ascii="Arial" w:cs="Arial" w:eastAsia="Arial" w:hAnsi="Arial"/>
          <w:sz w:val="18"/>
          <w:szCs w:val="18"/>
          <w:color w:val="auto"/>
        </w:rPr>
      </w:pPr>
    </w:p>
    <w:p>
      <w:pPr>
        <w:ind w:left="620" w:hanging="184"/>
        <w:spacing w:after="0"/>
        <w:tabs>
          <w:tab w:leader="none" w:pos="62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Restrictive Legends and Stop-Transfer Orders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987"/>
        <w:spacing w:after="0" w:line="263" w:lineRule="auto"/>
        <w:tabs>
          <w:tab w:leader="none" w:pos="123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Legends. Participant understands and agrees that the Company shall cause any certificates issued evidencing the Shares to have the legends set forth below or legends substantially equivalent thereto, together with any other legends that may be required by state or federal securities laws:</w:t>
      </w:r>
    </w:p>
    <w:p>
      <w:pPr>
        <w:spacing w:after="0" w:line="76"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(“ACT”), NOR HAVE THEY BEEN REGISTERED OR QUALIFIED UNDER THE SECURITIES LAWS OF ANY STATE. NO TRANSFER OF SUCH SECURITIES WILL BE PERMITTED UNLESS A REGISTRATION STATEMENT UNDER THE ACT IS IN EFFECT AS TO SUCH TRANSFER, THE TRANSFER IS MADE IN ACCORDANCE WITH RULE 144 UNDER THE ACT, OR IN THE OPINION OF COUNSEL (WHICH MAY BE COUNSEL FOR THE COMPANY) REGISTRATION UNDER THE ACT IS UNNECESSARY IN ORDER FOR SUCH TRANSFER TO COMPLY WITH THE ACT AND WITH APPLICABLE STATE SECURITIES LAWS.</w:t>
      </w:r>
    </w:p>
    <w:p>
      <w:pPr>
        <w:spacing w:after="0" w:line="87" w:lineRule="exact"/>
        <w:rPr>
          <w:sz w:val="20"/>
          <w:szCs w:val="20"/>
          <w:color w:val="auto"/>
        </w:rPr>
      </w:pPr>
    </w:p>
    <w:p>
      <w:pPr>
        <w:ind w:left="980" w:right="80"/>
        <w:spacing w:after="0" w:line="286" w:lineRule="auto"/>
        <w:rPr>
          <w:sz w:val="20"/>
          <w:szCs w:val="20"/>
          <w:color w:val="auto"/>
        </w:rPr>
      </w:pPr>
      <w:r>
        <w:rPr>
          <w:rFonts w:ascii="Arial" w:cs="Arial" w:eastAsia="Arial" w:hAnsi="Arial"/>
          <w:sz w:val="17"/>
          <w:szCs w:val="17"/>
          <w:color w:val="auto"/>
        </w:rPr>
        <w:t>THE SHARES REPRESENTED BY THIS CERTIFICATE MAY BE TRANSFERRED ONLY IN ACCORDANCE WITH THE TERMS OF AN AGREEMENT BETWEEN THE COMPANY AND THE STOCKHOLDER, A COPY OF WHICH IS ON FILE WITH THE SECRETARY OF THE COMPANY. SUCH TRANSFER RESTRICTIONS ARE BINDING ON TRANSFEREES OF THESE SHARES.</w:t>
      </w:r>
    </w:p>
    <w:p>
      <w:pPr>
        <w:spacing w:after="0" w:line="165" w:lineRule="exact"/>
        <w:rPr>
          <w:sz w:val="20"/>
          <w:szCs w:val="20"/>
          <w:color w:val="auto"/>
        </w:rPr>
      </w:pPr>
    </w:p>
    <w:p>
      <w:pPr>
        <w:ind w:right="60" w:firstLine="987"/>
        <w:spacing w:after="0" w:line="263" w:lineRule="auto"/>
        <w:tabs>
          <w:tab w:leader="none" w:pos="124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00"/>
          </w:cols>
          <w:pgMar w:left="440" w:top="274" w:right="459" w:bottom="1440" w:gutter="0" w:footer="0" w:header="0"/>
        </w:sectPr>
      </w:pPr>
    </w:p>
    <w:bookmarkStart w:id="410" w:name="page411"/>
    <w:bookmarkEnd w:id="410"/>
    <w:p>
      <w:pPr>
        <w:jc w:val="both"/>
        <w:ind w:right="200" w:firstLine="987"/>
        <w:spacing w:after="0" w:line="263" w:lineRule="auto"/>
        <w:tabs>
          <w:tab w:leader="none" w:pos="1236" w:val="left"/>
        </w:tabs>
        <w:numPr>
          <w:ilvl w:val="1"/>
          <w:numId w:val="2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be required (i) to transfer on 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w:t>
      </w:r>
    </w:p>
    <w:p>
      <w:pPr>
        <w:spacing w:after="0" w:line="183" w:lineRule="exact"/>
        <w:rPr>
          <w:rFonts w:ascii="Arial" w:cs="Arial" w:eastAsia="Arial" w:hAnsi="Arial"/>
          <w:sz w:val="18"/>
          <w:szCs w:val="18"/>
          <w:color w:val="auto"/>
        </w:rPr>
      </w:pPr>
    </w:p>
    <w:p>
      <w:pPr>
        <w:ind w:right="440" w:firstLine="436"/>
        <w:spacing w:after="0" w:line="277"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Any notice required or permitted hereunder shall be given in accordance with the provisions set forth in Section 4.2 of the Option Agreement.</w:t>
      </w:r>
    </w:p>
    <w:p>
      <w:pPr>
        <w:spacing w:after="0" w:line="170" w:lineRule="exact"/>
        <w:rPr>
          <w:rFonts w:ascii="Arial" w:cs="Arial" w:eastAsia="Arial" w:hAnsi="Arial"/>
          <w:sz w:val="18"/>
          <w:szCs w:val="18"/>
          <w:color w:val="auto"/>
        </w:rPr>
      </w:pPr>
    </w:p>
    <w:p>
      <w:pPr>
        <w:ind w:right="60" w:firstLine="436"/>
        <w:spacing w:after="0" w:line="257"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Further Instruments</w:t>
      </w:r>
      <w:r>
        <w:rPr>
          <w:rFonts w:ascii="Arial" w:cs="Arial" w:eastAsia="Arial" w:hAnsi="Arial"/>
          <w:sz w:val="18"/>
          <w:szCs w:val="18"/>
          <w:color w:val="auto"/>
        </w:rPr>
        <w:t>. Participant hereby agrees to execute such further instruments and to take such further action as the Company requests to carry out the purposes and intent of this Agreement and the Plan,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in accordance with Section 10.15 of the Plan.</w:t>
      </w:r>
    </w:p>
    <w:p>
      <w:pPr>
        <w:spacing w:after="0" w:line="187" w:lineRule="exact"/>
        <w:rPr>
          <w:rFonts w:ascii="Arial" w:cs="Arial" w:eastAsia="Arial" w:hAnsi="Arial"/>
          <w:sz w:val="18"/>
          <w:szCs w:val="18"/>
          <w:color w:val="auto"/>
        </w:rPr>
      </w:pPr>
    </w:p>
    <w:p>
      <w:pPr>
        <w:jc w:val="both"/>
        <w:ind w:right="160" w:firstLine="436"/>
        <w:spacing w:after="0" w:line="263" w:lineRule="auto"/>
        <w:tabs>
          <w:tab w:leader="none" w:pos="620"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and Option Agreement are incorporated herein by reference. This Agreement, the Plan and the Option Agreement constitute the entire agreement of the parties and supersede in their entirety all prior undertakings and agreements of the Company and Participant with respect to the subject matter hereof.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ACCEPTED BY: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b w:val="1"/>
                <w:bCs w:val="1"/>
                <w:color w:val="auto"/>
              </w:rPr>
              <w:t>SUBMITTED BY:</w:t>
            </w:r>
          </w:p>
        </w:tc>
      </w:t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ADAGIO THERAPEUTICS, INC.</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80" w:type="dxa"/>
            <w:vAlign w:val="bottom"/>
          </w:tcPr>
          <w:p>
            <w:pPr>
              <w:ind w:left="160"/>
              <w:spacing w:after="0"/>
              <w:rPr>
                <w:sz w:val="20"/>
                <w:szCs w:val="20"/>
                <w:color w:val="auto"/>
              </w:rPr>
            </w:pPr>
            <w:r>
              <w:rPr>
                <w:rFonts w:ascii="Arial" w:cs="Arial" w:eastAsia="Arial" w:hAnsi="Arial"/>
                <w:sz w:val="18"/>
                <w:szCs w:val="18"/>
                <w:b w:val="1"/>
                <w:bCs w:val="1"/>
                <w:color w:val="auto"/>
              </w:rPr>
              <w:t>PARTICIPANT</w:t>
            </w:r>
          </w:p>
        </w:tc>
      </w:tr>
      <w:tr>
        <w:trPr>
          <w:trHeight w:val="47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r>
        <w:trPr>
          <w:trHeight w:val="318"/>
        </w:trPr>
        <w:tc>
          <w:tcPr>
            <w:tcW w:w="5280" w:type="dxa"/>
            <w:vAlign w:val="bottom"/>
            <w:gridSpan w:val="3"/>
          </w:tcPr>
          <w:p>
            <w:pPr>
              <w:spacing w:after="0"/>
              <w:rPr>
                <w:sz w:val="20"/>
                <w:szCs w:val="20"/>
                <w:color w:val="auto"/>
              </w:rPr>
            </w:pPr>
            <w:r>
              <w:rPr>
                <w:rFonts w:ascii="Arial" w:cs="Arial" w:eastAsia="Arial" w:hAnsi="Arial"/>
                <w:sz w:val="18"/>
                <w:szCs w:val="18"/>
                <w:color w:val="auto"/>
              </w:rPr>
              <w:t>Name: _</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[Participant Name]</w:t>
            </w:r>
          </w:p>
        </w:tc>
      </w:tr>
      <w:tr>
        <w:trPr>
          <w:trHeight w:val="324"/>
        </w:trPr>
        <w:tc>
          <w:tcPr>
            <w:tcW w:w="420" w:type="dxa"/>
            <w:vAlign w:val="bottom"/>
            <w:gridSpan w:val="2"/>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358"/>
        </w:trPr>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5740" w:type="dxa"/>
            <w:vAlign w:val="bottom"/>
            <w:gridSpan w:val="3"/>
          </w:tcPr>
          <w:p>
            <w:pPr>
              <w:ind w:left="80"/>
              <w:spacing w:after="0"/>
              <w:rPr>
                <w:sz w:val="20"/>
                <w:szCs w:val="20"/>
                <w:color w:val="auto"/>
              </w:rPr>
            </w:pPr>
            <w:r>
              <w:rPr>
                <w:rFonts w:ascii="Arial" w:cs="Arial" w:eastAsia="Arial" w:hAnsi="Arial"/>
                <w:sz w:val="18"/>
                <w:szCs w:val="18"/>
                <w:color w:val="auto"/>
              </w:rPr>
              <w:t>B-3</w:t>
            </w:r>
          </w:p>
        </w:tc>
      </w:tr>
    </w:tbl>
    <w:p>
      <w:pPr>
        <w:sectPr>
          <w:pgSz w:w="11900" w:h="16838" w:orient="portrait"/>
          <w:cols w:equalWidth="0" w:num="1">
            <w:col w:w="11020"/>
          </w:cols>
          <w:pgMar w:left="440" w:top="274" w:right="439" w:bottom="1440" w:gutter="0" w:footer="0" w:header="0"/>
        </w:sectPr>
      </w:pPr>
    </w:p>
    <w:bookmarkStart w:id="411" w:name="page412"/>
    <w:bookmarkEnd w:id="411"/>
    <w:p>
      <w:pPr>
        <w:ind w:left="10120"/>
        <w:spacing w:after="0"/>
        <w:rPr>
          <w:sz w:val="20"/>
          <w:szCs w:val="20"/>
          <w:color w:val="auto"/>
        </w:rPr>
      </w:pPr>
      <w:r>
        <w:rPr>
          <w:rFonts w:ascii="Arial" w:cs="Arial" w:eastAsia="Arial" w:hAnsi="Arial"/>
          <w:sz w:val="17"/>
          <w:szCs w:val="17"/>
          <w:color w:val="auto"/>
        </w:rPr>
        <w:t>Exhibit 10.5</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LICENSE AGREEMENT</w:t>
      </w:r>
    </w:p>
    <w:p>
      <w:pPr>
        <w:spacing w:after="0" w:line="225" w:lineRule="exact"/>
        <w:rPr>
          <w:sz w:val="20"/>
          <w:szCs w:val="20"/>
          <w:color w:val="auto"/>
        </w:rPr>
      </w:pPr>
    </w:p>
    <w:p>
      <w:pPr>
        <w:jc w:val="both"/>
        <w:ind w:right="6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SSIGNMENT AND</w:t>
      </w:r>
      <w:r>
        <w:rPr>
          <w:rFonts w:ascii="Arial" w:cs="Arial" w:eastAsia="Arial" w:hAnsi="Arial"/>
          <w:sz w:val="17"/>
          <w:szCs w:val="17"/>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July 8, 2020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DIMAB</w:t>
      </w:r>
      <w:r>
        <w:rPr>
          <w:rFonts w:ascii="Arial" w:cs="Arial" w:eastAsia="Arial" w:hAnsi="Arial"/>
          <w:sz w:val="17"/>
          <w:szCs w:val="17"/>
          <w:b w:val="1"/>
          <w:bCs w:val="1"/>
          <w:color w:val="auto"/>
        </w:rPr>
        <w:t>, LLC</w:t>
      </w:r>
      <w:r>
        <w:rPr>
          <w:rFonts w:ascii="Arial" w:cs="Arial" w:eastAsia="Arial" w:hAnsi="Arial"/>
          <w:sz w:val="17"/>
          <w:szCs w:val="17"/>
          <w:color w:val="auto"/>
        </w:rPr>
        <w:t>, a Delaware limited liability company having an address at 7 Lucent Drive, Lebanon, NH 03766 (“</w:t>
      </w:r>
      <w:r>
        <w:rPr>
          <w:rFonts w:ascii="Arial" w:cs="Arial" w:eastAsia="Arial" w:hAnsi="Arial"/>
          <w:sz w:val="17"/>
          <w:szCs w:val="17"/>
          <w:b w:val="1"/>
          <w:bCs w:val="1"/>
          <w:color w:val="auto"/>
        </w:rPr>
        <w:t>Adimab</w:t>
      </w:r>
      <w:r>
        <w:rPr>
          <w:rFonts w:ascii="Arial" w:cs="Arial" w:eastAsia="Arial" w:hAnsi="Arial"/>
          <w:sz w:val="17"/>
          <w:szCs w:val="17"/>
          <w:color w:val="auto"/>
        </w:rPr>
        <w:t>”), and Adagio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Inc., a Delaware corporation having an address at 303 Wyman Street, Suite 300, Waltham, Massachusetts 02451 (“</w:t>
      </w:r>
      <w:r>
        <w:rPr>
          <w:rFonts w:ascii="Arial" w:cs="Arial" w:eastAsia="Arial" w:hAnsi="Arial"/>
          <w:sz w:val="17"/>
          <w:szCs w:val="17"/>
          <w:b w:val="1"/>
          <w:bCs w:val="1"/>
          <w:color w:val="auto"/>
        </w:rPr>
        <w:t>Adagio</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225"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Adimab has proprietary antibodies against a variety of sarbecoronaviruses, including COVID-19, as well as related Patents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including data related to such antibodies;</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Adagio desires to develop, manufacture and commercialize one or more CoV Antibodies against CoV in accordance with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w:t>
      </w:r>
    </w:p>
    <w:p>
      <w:pPr>
        <w:spacing w:after="0" w:line="162" w:lineRule="exact"/>
        <w:rPr>
          <w:sz w:val="20"/>
          <w:szCs w:val="20"/>
          <w:color w:val="auto"/>
        </w:rPr>
      </w:pPr>
    </w:p>
    <w:p>
      <w:pPr>
        <w:ind w:right="620" w:firstLine="440"/>
        <w:spacing w:after="0" w:line="312"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b w:val="1"/>
          <w:bCs w:val="1"/>
          <w:color w:val="auto"/>
        </w:rPr>
        <w:t xml:space="preserve">, </w:t>
      </w:r>
      <w:r>
        <w:rPr>
          <w:rFonts w:ascii="Arial" w:cs="Arial" w:eastAsia="Arial" w:hAnsi="Arial"/>
          <w:sz w:val="17"/>
          <w:szCs w:val="17"/>
          <w:color w:val="auto"/>
        </w:rPr>
        <w:t>in consideration of the foregoing premises and the mutual covenants set forth below,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are hereby acknowledged, Adimab and Adagio hereby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initially capitalized terms have the following meanings (and derivative forms of them shall be interpreted accordingly):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Adagio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Adagio Approvals</w:t>
      </w:r>
      <w:r>
        <w:rPr>
          <w:rFonts w:ascii="Arial" w:cs="Arial" w:eastAsia="Arial" w:hAnsi="Arial"/>
          <w:sz w:val="18"/>
          <w:szCs w:val="18"/>
          <w:color w:val="auto"/>
        </w:rPr>
        <w:t>” has the meaning set forth in Section 3.6 (</w:t>
      </w:r>
      <w:r>
        <w:rPr>
          <w:rFonts w:ascii="Arial" w:cs="Arial" w:eastAsia="Arial" w:hAnsi="Arial"/>
          <w:sz w:val="18"/>
          <w:szCs w:val="18"/>
          <w:i w:val="1"/>
          <w:iCs w:val="1"/>
          <w:color w:val="auto"/>
        </w:rPr>
        <w:t>Regulatory</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Adagio Derived Antibody</w:t>
      </w:r>
      <w:r>
        <w:rPr>
          <w:rFonts w:ascii="Arial" w:cs="Arial" w:eastAsia="Arial" w:hAnsi="Arial"/>
          <w:sz w:val="18"/>
          <w:szCs w:val="18"/>
          <w:color w:val="auto"/>
        </w:rPr>
        <w:t>” means any modified or derivative form of an Adimab CoV Antibody (including [***]) created by or on behalf</w:t>
      </w:r>
      <w:r>
        <w:rPr>
          <w:rFonts w:ascii="Arial" w:cs="Arial" w:eastAsia="Arial" w:hAnsi="Arial"/>
          <w:sz w:val="18"/>
          <w:szCs w:val="18"/>
          <w:b w:val="1"/>
          <w:bCs w:val="1"/>
          <w:color w:val="auto"/>
        </w:rPr>
        <w:t xml:space="preserve"> </w:t>
      </w:r>
      <w:r>
        <w:rPr>
          <w:rFonts w:ascii="Arial" w:cs="Arial" w:eastAsia="Arial" w:hAnsi="Arial"/>
          <w:sz w:val="18"/>
          <w:szCs w:val="18"/>
          <w:color w:val="auto"/>
        </w:rPr>
        <w:t>of Adagio or its Licensees, including any [***] and including [***], and including [***]. For clarity, any modified or derivative form of any Adagio Derived Antibody shall itself be an Adagio Derived Antibody.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Adagio Indemnitees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Adagio Invention</w:t>
      </w:r>
      <w:r>
        <w:rPr>
          <w:rFonts w:ascii="Arial" w:cs="Arial" w:eastAsia="Arial" w:hAnsi="Arial"/>
          <w:sz w:val="18"/>
          <w:szCs w:val="18"/>
          <w:color w:val="auto"/>
        </w:rPr>
        <w:t>” means any invention, whether or not patentable, that is made solely by one or more employees, consultants or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of Adagio in the course and as a result of the practice of the License or the discovery, optimization, research, development, manufacture or commercialization of Adagio Derived Antibodies or Products.</w:t>
      </w:r>
    </w:p>
    <w:p>
      <w:pPr>
        <w:spacing w:after="0" w:line="176" w:lineRule="exact"/>
        <w:rPr>
          <w:sz w:val="20"/>
          <w:szCs w:val="20"/>
          <w:color w:val="auto"/>
        </w:rPr>
      </w:pPr>
    </w:p>
    <w:p>
      <w:pPr>
        <w:ind w:right="240" w:firstLine="440"/>
        <w:spacing w:after="0" w:line="314"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w:t>
      </w:r>
      <w:r>
        <w:rPr>
          <w:rFonts w:ascii="Arial" w:cs="Arial" w:eastAsia="Arial" w:hAnsi="Arial"/>
          <w:sz w:val="16"/>
          <w:szCs w:val="16"/>
          <w:b w:val="1"/>
          <w:bCs w:val="1"/>
          <w:color w:val="auto"/>
        </w:rPr>
        <w:t>Adagio Know-How</w:t>
      </w:r>
      <w:r>
        <w:rPr>
          <w:rFonts w:ascii="Arial" w:cs="Arial" w:eastAsia="Arial" w:hAnsi="Arial"/>
          <w:sz w:val="16"/>
          <w:szCs w:val="16"/>
          <w:color w:val="auto"/>
        </w:rPr>
        <w:t>” shall mean all Know-How Controlled by Adagio as of the effective date of termination of this Agreement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necessary or useful for the development, manufacture or commercialization of CoV Antibodies in the Field, including, without limitation, all data and results of any research, preclinical, clinical, stability, toxicology or other study of any such CoV Antibody conducted by or on behalf of Adagio.</w:t>
      </w:r>
    </w:p>
    <w:p>
      <w:pPr>
        <w:sectPr>
          <w:pgSz w:w="11900" w:h="16838" w:orient="portrait"/>
          <w:cols w:equalWidth="0" w:num="1">
            <w:col w:w="11020"/>
          </w:cols>
          <w:pgMar w:left="440" w:top="125" w:right="439" w:bottom="1440" w:gutter="0" w:footer="0" w:header="0"/>
        </w:sectPr>
      </w:pPr>
    </w:p>
    <w:bookmarkStart w:id="412" w:name="page413"/>
    <w:bookmarkEnd w:id="412"/>
    <w:p>
      <w:pPr>
        <w:jc w:val="both"/>
        <w:ind w:left="4" w:right="2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 </w:t>
      </w:r>
      <w:r>
        <w:rPr>
          <w:rFonts w:ascii="Arial" w:cs="Arial" w:eastAsia="Arial" w:hAnsi="Arial"/>
          <w:sz w:val="17"/>
          <w:szCs w:val="17"/>
          <w:color w:val="auto"/>
        </w:rPr>
        <w:t>“</w:t>
      </w:r>
      <w:r>
        <w:rPr>
          <w:rFonts w:ascii="Arial" w:cs="Arial" w:eastAsia="Arial" w:hAnsi="Arial"/>
          <w:sz w:val="17"/>
          <w:szCs w:val="17"/>
          <w:b w:val="1"/>
          <w:bCs w:val="1"/>
          <w:color w:val="auto"/>
        </w:rPr>
        <w:t>Adagio Materials</w:t>
      </w:r>
      <w:r>
        <w:rPr>
          <w:rFonts w:ascii="Arial" w:cs="Arial" w:eastAsia="Arial" w:hAnsi="Arial"/>
          <w:sz w:val="17"/>
          <w:szCs w:val="17"/>
          <w:color w:val="auto"/>
        </w:rPr>
        <w:t>” means (a) any tangible biological or chemical materials (including antigen samples and other Know-How in the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tangible biological or chemical materials) created by Adagio in the practice of the License or in the development or manufacture of CoV Antibodies and Products, and (b) the quantities of CoV Antibody provided to Adagio by Adimab under this Agreement.</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Adagio Patents</w:t>
      </w:r>
      <w:r>
        <w:rPr>
          <w:rFonts w:ascii="Arial" w:cs="Arial" w:eastAsia="Arial" w:hAnsi="Arial"/>
          <w:sz w:val="18"/>
          <w:szCs w:val="18"/>
          <w:color w:val="auto"/>
        </w:rPr>
        <w:t>” means Patents Covering Adagio Inventions.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Adagio Regulatory Filings</w:t>
      </w:r>
      <w:r>
        <w:rPr>
          <w:rFonts w:ascii="Arial" w:cs="Arial" w:eastAsia="Arial" w:hAnsi="Arial"/>
          <w:sz w:val="18"/>
          <w:szCs w:val="18"/>
          <w:color w:val="auto"/>
        </w:rPr>
        <w:t>” has the meaning set forth in Section 3.6 (</w:t>
      </w:r>
      <w:r>
        <w:rPr>
          <w:rFonts w:ascii="Arial" w:cs="Arial" w:eastAsia="Arial" w:hAnsi="Arial"/>
          <w:sz w:val="18"/>
          <w:szCs w:val="18"/>
          <w:i w:val="1"/>
          <w:iCs w:val="1"/>
          <w:color w:val="auto"/>
        </w:rPr>
        <w:t>Regulatory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Adimab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Adimab CoV Antibody</w:t>
      </w:r>
      <w:r>
        <w:rPr>
          <w:rFonts w:ascii="Arial" w:cs="Arial" w:eastAsia="Arial" w:hAnsi="Arial"/>
          <w:sz w:val="18"/>
          <w:szCs w:val="18"/>
          <w:color w:val="auto"/>
        </w:rPr>
        <w:t>” means:</w:t>
      </w:r>
    </w:p>
    <w:p>
      <w:pPr>
        <w:spacing w:after="0" w:line="121" w:lineRule="exact"/>
        <w:rPr>
          <w:sz w:val="20"/>
          <w:szCs w:val="20"/>
          <w:color w:val="auto"/>
        </w:rPr>
      </w:pPr>
    </w:p>
    <w:p>
      <w:pPr>
        <w:ind w:left="4" w:right="200" w:firstLine="987"/>
        <w:spacing w:after="0" w:line="277" w:lineRule="auto"/>
        <w:tabs>
          <w:tab w:leader="none" w:pos="1250"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 xml:space="preserve">any CoV-specific antibody Controlled by Adimab and discovered or identified by or on behalf of Adimab, on or before the Effective Date, including those antibodies listed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(each, an “</w:t>
      </w:r>
      <w:r>
        <w:rPr>
          <w:rFonts w:ascii="Arial" w:cs="Arial" w:eastAsia="Arial" w:hAnsi="Arial"/>
          <w:sz w:val="18"/>
          <w:szCs w:val="18"/>
          <w:b w:val="1"/>
          <w:bCs w:val="1"/>
          <w:color w:val="auto"/>
        </w:rPr>
        <w:t>Initial CoV Antibody</w:t>
      </w:r>
      <w:r>
        <w:rPr>
          <w:rFonts w:ascii="Arial" w:cs="Arial" w:eastAsia="Arial" w:hAnsi="Arial"/>
          <w:sz w:val="18"/>
          <w:szCs w:val="18"/>
          <w:color w:val="auto"/>
        </w:rPr>
        <w:t>”); or</w:t>
      </w:r>
    </w:p>
    <w:p>
      <w:pPr>
        <w:spacing w:after="0" w:line="170" w:lineRule="exact"/>
        <w:rPr>
          <w:rFonts w:ascii="Arial" w:cs="Arial" w:eastAsia="Arial" w:hAnsi="Arial"/>
          <w:sz w:val="18"/>
          <w:szCs w:val="18"/>
          <w:b w:val="1"/>
          <w:bCs w:val="1"/>
          <w:color w:val="auto"/>
        </w:rPr>
      </w:pPr>
    </w:p>
    <w:p>
      <w:pPr>
        <w:ind w:left="4" w:right="20" w:firstLine="987"/>
        <w:spacing w:after="0" w:line="311" w:lineRule="auto"/>
        <w:tabs>
          <w:tab w:leader="none" w:pos="1260"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any modified or derivative form of any Initial CoV Antibody (including [***]) created by or on behalf of Adimab (whether before, on, or after the Effective Date), including any [***] and including [***], and including [***] (in each case, an “</w:t>
      </w:r>
      <w:r>
        <w:rPr>
          <w:rFonts w:ascii="Arial" w:cs="Arial" w:eastAsia="Arial" w:hAnsi="Arial"/>
          <w:sz w:val="16"/>
          <w:szCs w:val="16"/>
          <w:b w:val="1"/>
          <w:bCs w:val="1"/>
          <w:color w:val="auto"/>
        </w:rPr>
        <w:t>Adimab Derived Antibody</w:t>
      </w:r>
      <w:r>
        <w:rPr>
          <w:rFonts w:ascii="Arial" w:cs="Arial" w:eastAsia="Arial" w:hAnsi="Arial"/>
          <w:sz w:val="16"/>
          <w:szCs w:val="16"/>
          <w:color w:val="auto"/>
        </w:rPr>
        <w:t>”). For clarity, any modified or derivative form of any Adimab Derived Antibody created by or on behalf of Adimab shall itself be an Adimab Derived Antibody.</w:t>
      </w:r>
    </w:p>
    <w:p>
      <w:pPr>
        <w:spacing w:after="0" w:line="145"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b w:val="1"/>
          <w:bCs w:val="1"/>
          <w:color w:val="auto"/>
        </w:rPr>
        <w:t xml:space="preserve">1.12 </w:t>
      </w:r>
      <w:r>
        <w:rPr>
          <w:rFonts w:ascii="Arial" w:cs="Arial" w:eastAsia="Arial" w:hAnsi="Arial"/>
          <w:sz w:val="16"/>
          <w:szCs w:val="16"/>
          <w:color w:val="auto"/>
        </w:rPr>
        <w:t>“</w:t>
      </w:r>
      <w:r>
        <w:rPr>
          <w:rFonts w:ascii="Arial" w:cs="Arial" w:eastAsia="Arial" w:hAnsi="Arial"/>
          <w:sz w:val="16"/>
          <w:szCs w:val="16"/>
          <w:b w:val="1"/>
          <w:bCs w:val="1"/>
          <w:color w:val="auto"/>
        </w:rPr>
        <w:t>Adimab CoV Assets</w:t>
      </w:r>
      <w:r>
        <w:rPr>
          <w:rFonts w:ascii="Arial" w:cs="Arial" w:eastAsia="Arial" w:hAnsi="Arial"/>
          <w:sz w:val="16"/>
          <w:szCs w:val="16"/>
          <w:color w:val="auto"/>
        </w:rPr>
        <w:t>” means, collectively, the following to the extent Controlled by Adimab: (a) the Adimab CoV Antibodies; (b) the CoV</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Patents; (c) any Know-How related to the Adimab CoV Antibodies, including data generated with respect to the Adimab CoV Antibodies; and</w:t>
      </w:r>
    </w:p>
    <w:p>
      <w:pPr>
        <w:spacing w:after="0" w:line="1" w:lineRule="exact"/>
        <w:rPr>
          <w:sz w:val="20"/>
          <w:szCs w:val="20"/>
          <w:color w:val="auto"/>
        </w:rPr>
      </w:pPr>
    </w:p>
    <w:p>
      <w:pPr>
        <w:ind w:left="4" w:right="180" w:hanging="4"/>
        <w:spacing w:after="0" w:line="260" w:lineRule="auto"/>
        <w:tabs>
          <w:tab w:leader="none" w:pos="25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any Adimab Materials specifically related to the Adimab CoV Antibodies, including patient samples; </w:t>
      </w:r>
      <w:r>
        <w:rPr>
          <w:rFonts w:ascii="Arial" w:cs="Arial" w:eastAsia="Arial" w:hAnsi="Arial"/>
          <w:sz w:val="18"/>
          <w:szCs w:val="18"/>
          <w:i w:val="1"/>
          <w:iCs w:val="1"/>
          <w:color w:val="auto"/>
        </w:rPr>
        <w:t>provided, however</w:t>
      </w:r>
      <w:r>
        <w:rPr>
          <w:rFonts w:ascii="Arial" w:cs="Arial" w:eastAsia="Arial" w:hAnsi="Arial"/>
          <w:sz w:val="18"/>
          <w:szCs w:val="18"/>
          <w:color w:val="auto"/>
        </w:rPr>
        <w:t>, that Adimab CoV Assets excludes Adimab Platform Patents and Adimab Platform Technologies.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Adimab Derived Antibody</w:t>
      </w:r>
      <w:r>
        <w:rPr>
          <w:rFonts w:ascii="Arial" w:cs="Arial" w:eastAsia="Arial" w:hAnsi="Arial"/>
          <w:sz w:val="18"/>
          <w:szCs w:val="18"/>
          <w:color w:val="auto"/>
        </w:rPr>
        <w:t>” has the meaning set forth in Section 1.11(b) (</w:t>
      </w:r>
      <w:r>
        <w:rPr>
          <w:rFonts w:ascii="Arial" w:cs="Arial" w:eastAsia="Arial" w:hAnsi="Arial"/>
          <w:sz w:val="18"/>
          <w:szCs w:val="18"/>
          <w:i w:val="1"/>
          <w:iCs w:val="1"/>
          <w:color w:val="auto"/>
        </w:rPr>
        <w:t>Adimab CoV Antibody</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Adimab Indemnitees</w:t>
      </w:r>
      <w:r>
        <w:rPr>
          <w:rFonts w:ascii="Arial" w:cs="Arial" w:eastAsia="Arial" w:hAnsi="Arial"/>
          <w:sz w:val="18"/>
          <w:szCs w:val="18"/>
          <w:color w:val="auto"/>
        </w:rPr>
        <w:t>” has the meaning set forth in Section 8.2 (</w:t>
      </w:r>
      <w:r>
        <w:rPr>
          <w:rFonts w:ascii="Arial" w:cs="Arial" w:eastAsia="Arial" w:hAnsi="Arial"/>
          <w:sz w:val="18"/>
          <w:szCs w:val="18"/>
          <w:i w:val="1"/>
          <w:iCs w:val="1"/>
          <w:color w:val="auto"/>
        </w:rPr>
        <w:t>Indemnification by Adagio</w:t>
      </w:r>
      <w:r>
        <w:rPr>
          <w:rFonts w:ascii="Arial" w:cs="Arial" w:eastAsia="Arial" w:hAnsi="Arial"/>
          <w:sz w:val="18"/>
          <w:szCs w:val="18"/>
          <w:color w:val="auto"/>
        </w:rPr>
        <w:t>).</w:t>
      </w:r>
    </w:p>
    <w:p>
      <w:pPr>
        <w:spacing w:after="0" w:line="225" w:lineRule="exact"/>
        <w:rPr>
          <w:sz w:val="20"/>
          <w:szCs w:val="20"/>
          <w:color w:val="auto"/>
        </w:rPr>
      </w:pPr>
    </w:p>
    <w:p>
      <w:pPr>
        <w:ind w:left="4" w:right="180" w:firstLine="440"/>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Adimab Materials</w:t>
      </w:r>
      <w:r>
        <w:rPr>
          <w:rFonts w:ascii="Arial" w:cs="Arial" w:eastAsia="Arial" w:hAnsi="Arial"/>
          <w:sz w:val="18"/>
          <w:szCs w:val="18"/>
          <w:color w:val="auto"/>
        </w:rPr>
        <w:t>” means any tangible biological or chemical materials (including [***]) used or created by Adimab under a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CoV research program, including quantities of Adimab CoV Antibodies [***], but excluding any quantities of CoV Antibodies [***] provided to Adagio (which, for clarity, are deemed Adagio Materials under this Agreement).</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413" w:name="page414"/>
    <w:bookmarkEnd w:id="413"/>
    <w:p>
      <w:pPr>
        <w:ind w:left="4" w:right="30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Arial" w:cs="Arial" w:eastAsia="Arial" w:hAnsi="Arial"/>
          <w:sz w:val="17"/>
          <w:szCs w:val="17"/>
          <w:color w:val="auto"/>
        </w:rPr>
        <w:t>“</w:t>
      </w:r>
      <w:r>
        <w:rPr>
          <w:rFonts w:ascii="Arial" w:cs="Arial" w:eastAsia="Arial" w:hAnsi="Arial"/>
          <w:sz w:val="17"/>
          <w:szCs w:val="17"/>
          <w:b w:val="1"/>
          <w:bCs w:val="1"/>
          <w:color w:val="auto"/>
        </w:rPr>
        <w:t>Adimab Platform Patents</w:t>
      </w:r>
      <w:r>
        <w:rPr>
          <w:rFonts w:ascii="Arial" w:cs="Arial" w:eastAsia="Arial" w:hAnsi="Arial"/>
          <w:sz w:val="17"/>
          <w:szCs w:val="17"/>
          <w:color w:val="auto"/>
        </w:rPr>
        <w:t>” means all Patents Adimab Controls during the Term that claim or Cover Adimab Platform Technology. For</w:t>
      </w:r>
      <w:r>
        <w:rPr>
          <w:rFonts w:ascii="Arial" w:cs="Arial" w:eastAsia="Arial" w:hAnsi="Arial"/>
          <w:sz w:val="17"/>
          <w:szCs w:val="17"/>
          <w:b w:val="1"/>
          <w:bCs w:val="1"/>
          <w:color w:val="auto"/>
        </w:rPr>
        <w:t xml:space="preserve"> </w:t>
      </w:r>
      <w:r>
        <w:rPr>
          <w:rFonts w:ascii="Arial" w:cs="Arial" w:eastAsia="Arial" w:hAnsi="Arial"/>
          <w:sz w:val="17"/>
          <w:szCs w:val="17"/>
          <w:color w:val="auto"/>
        </w:rPr>
        <w:t>clarity, Adimab Platform Patents specifically exclude: (a) CoV Antibody Patents; and (b) any Patents Controlled by Adimab to the extent that they Cover any invention or subject matter other than the manner in which Adimab discovered the Adimab CoV Antibodies.</w:t>
      </w:r>
    </w:p>
    <w:p>
      <w:pPr>
        <w:spacing w:after="0" w:line="158" w:lineRule="exact"/>
        <w:rPr>
          <w:sz w:val="20"/>
          <w:szCs w:val="20"/>
          <w:color w:val="auto"/>
        </w:rPr>
      </w:pPr>
    </w:p>
    <w:p>
      <w:pPr>
        <w:ind w:left="4" w:right="300" w:firstLine="440"/>
        <w:spacing w:after="0" w:line="289" w:lineRule="auto"/>
        <w:rPr>
          <w:sz w:val="20"/>
          <w:szCs w:val="20"/>
          <w:color w:val="auto"/>
        </w:rPr>
      </w:pPr>
      <w:r>
        <w:rPr>
          <w:rFonts w:ascii="Arial" w:cs="Arial" w:eastAsia="Arial" w:hAnsi="Arial"/>
          <w:sz w:val="16"/>
          <w:szCs w:val="16"/>
          <w:b w:val="1"/>
          <w:bCs w:val="1"/>
          <w:color w:val="auto"/>
        </w:rPr>
        <w:t xml:space="preserve">1.17 </w:t>
      </w:r>
      <w:r>
        <w:rPr>
          <w:rFonts w:ascii="Arial" w:cs="Arial" w:eastAsia="Arial" w:hAnsi="Arial"/>
          <w:sz w:val="16"/>
          <w:szCs w:val="16"/>
          <w:color w:val="auto"/>
        </w:rPr>
        <w:t>“</w:t>
      </w:r>
      <w:r>
        <w:rPr>
          <w:rFonts w:ascii="Arial" w:cs="Arial" w:eastAsia="Arial" w:hAnsi="Arial"/>
          <w:sz w:val="16"/>
          <w:szCs w:val="16"/>
          <w:b w:val="1"/>
          <w:bCs w:val="1"/>
          <w:color w:val="auto"/>
        </w:rPr>
        <w:t>Adimab Platform Technology</w:t>
      </w:r>
      <w:r>
        <w:rPr>
          <w:rFonts w:ascii="Arial" w:cs="Arial" w:eastAsia="Arial" w:hAnsi="Arial"/>
          <w:sz w:val="16"/>
          <w:szCs w:val="16"/>
          <w:color w:val="auto"/>
        </w:rPr>
        <w:t>” means (a) methods of discovery and optimization of antibodies, which methods include [***], (b) all</w:t>
      </w:r>
      <w:r>
        <w:rPr>
          <w:rFonts w:ascii="Arial" w:cs="Arial" w:eastAsia="Arial" w:hAnsi="Arial"/>
          <w:sz w:val="16"/>
          <w:szCs w:val="16"/>
          <w:b w:val="1"/>
          <w:bCs w:val="1"/>
          <w:color w:val="auto"/>
        </w:rPr>
        <w:t xml:space="preserve"> </w:t>
      </w:r>
      <w:r>
        <w:rPr>
          <w:rFonts w:ascii="Arial" w:cs="Arial" w:eastAsia="Arial" w:hAnsi="Arial"/>
          <w:sz w:val="16"/>
          <w:szCs w:val="16"/>
          <w:color w:val="auto"/>
        </w:rPr>
        <w:t>methods, materials and other Know-How used in the foregoing and (c) platforms embodying any of the foregoing in (a) or (b), or components, component steps or other portions thereof; in each case, solely to the extent the foregoing either (i) are Covered by Patents Controlled by Adimab or</w:t>
      </w:r>
    </w:p>
    <w:p>
      <w:pPr>
        <w:spacing w:after="0" w:line="2" w:lineRule="exact"/>
        <w:rPr>
          <w:sz w:val="20"/>
          <w:szCs w:val="20"/>
          <w:color w:val="auto"/>
        </w:rPr>
      </w:pPr>
    </w:p>
    <w:p>
      <w:pPr>
        <w:ind w:left="4" w:right="60" w:hanging="4"/>
        <w:spacing w:after="0" w:line="265" w:lineRule="auto"/>
        <w:tabs>
          <w:tab w:leader="none" w:pos="26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constitute Confidential Information of Adimab. For clarity, Adimab Platform Technology includes technology Controlled by, or confidential or proprietary to, Adimab that is used by Adimab in the discovery and optimization of any Adimab CoV Antibody, in each case based on the manner in which Adimab discovered or optimized such Adimab CoV Antibody, but not based on the specific composition of or any Sequence information regarding such Adimab CoV Antibody (or any product containing an Adimab CoV Antibody), but Adimab Platform Technology excludes: (A) Adimab CoV Antibodies; and (B) technology Controlled by, or confidential or proprietary to, Adimab that is related to: (1) product formulation;</w:t>
      </w:r>
    </w:p>
    <w:p>
      <w:pPr>
        <w:ind w:left="4"/>
        <w:spacing w:after="0" w:line="255" w:lineRule="auto"/>
        <w:rPr>
          <w:rFonts w:ascii="Arial" w:cs="Arial" w:eastAsia="Arial" w:hAnsi="Arial"/>
          <w:sz w:val="17"/>
          <w:szCs w:val="17"/>
          <w:color w:val="auto"/>
        </w:rPr>
      </w:pPr>
      <w:r>
        <w:rPr>
          <w:rFonts w:ascii="Arial" w:cs="Arial" w:eastAsia="Arial" w:hAnsi="Arial"/>
          <w:sz w:val="18"/>
          <w:szCs w:val="18"/>
          <w:color w:val="auto"/>
        </w:rPr>
        <w:t>(2) manufacturing, purification, or production; (3) modification or optimization of antibodies; (4) CoV (including any antigen representation thereof), or any mechanism of action via interaction with CoV, or methods of using antibodies based on their interaction with CoV; or (5) if other than an IgG, the construct of any Product.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has the meaning set forth in Section 10.4(b)(i) (</w:t>
      </w: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left="4" w:right="320" w:firstLine="440"/>
        <w:spacing w:after="0" w:line="314" w:lineRule="auto"/>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 entity that, directly or indirectly, through one or more intermediaries, controls, is controlled by or is under common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with a Party. For this purpose, “control” means the possession, directly or indirectly, of fifty percent (50%) or more of the voting securities entitled to elect the directors or management of the entity, or of the actual power to elect or direct the management of the entity.</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2.1(a) (</w:t>
      </w:r>
      <w:r>
        <w:rPr>
          <w:rFonts w:ascii="Arial" w:cs="Arial" w:eastAsia="Arial" w:hAnsi="Arial"/>
          <w:sz w:val="18"/>
          <w:szCs w:val="18"/>
          <w:i w:val="1"/>
          <w:iCs w:val="1"/>
          <w:color w:val="auto"/>
        </w:rPr>
        <w:t>Alliance Managers</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61" w:lineRule="auto"/>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Antibody</w:t>
      </w:r>
      <w:r>
        <w:rPr>
          <w:rFonts w:ascii="Arial" w:cs="Arial" w:eastAsia="Arial" w:hAnsi="Arial"/>
          <w:sz w:val="18"/>
          <w:szCs w:val="18"/>
          <w:color w:val="auto"/>
        </w:rPr>
        <w:t>” means any full-length antibody, fragment thereof, and chemically modified version thereof (including any pegylated versions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regardless of whether containing amino acid substitutions), all of the foregoing whether naturally occurring, artificially produced, raised in an artificial system, or created through modification of an antibody produced in any of the foregoing ways or otherwise, and whether represented by physical material, nucleic acid sequences, or amino acid sequences.</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Assignment</w:t>
      </w:r>
      <w:r>
        <w:rPr>
          <w:rFonts w:ascii="Arial" w:cs="Arial" w:eastAsia="Arial" w:hAnsi="Arial"/>
          <w:sz w:val="18"/>
          <w:szCs w:val="18"/>
          <w:color w:val="auto"/>
        </w:rPr>
        <w:t>” has the meaning set forth in Section 3.1(a)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Bankruptcy Laws</w:t>
      </w:r>
      <w:r>
        <w:rPr>
          <w:rFonts w:ascii="Arial" w:cs="Arial" w:eastAsia="Arial" w:hAnsi="Arial"/>
          <w:sz w:val="18"/>
          <w:szCs w:val="18"/>
          <w:color w:val="auto"/>
        </w:rPr>
        <w:t>” has the meaning set forth in Section 10.2 (</w:t>
      </w:r>
      <w:r>
        <w:rPr>
          <w:rFonts w:ascii="Arial" w:cs="Arial" w:eastAsia="Arial" w:hAnsi="Arial"/>
          <w:sz w:val="18"/>
          <w:szCs w:val="18"/>
          <w:i w:val="1"/>
          <w:iCs w:val="1"/>
          <w:color w:val="auto"/>
        </w:rPr>
        <w:t>Bankruptcy Code</w:t>
      </w:r>
      <w:r>
        <w:rPr>
          <w:rFonts w:ascii="Arial" w:cs="Arial" w:eastAsia="Arial" w:hAnsi="Arial"/>
          <w:sz w:val="18"/>
          <w:szCs w:val="18"/>
          <w:color w:val="auto"/>
        </w:rPr>
        <w:t>).</w:t>
      </w:r>
    </w:p>
    <w:p>
      <w:pPr>
        <w:spacing w:after="0" w:line="162"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414" w:name="page415"/>
    <w:bookmarkEnd w:id="414"/>
    <w:p>
      <w:pPr>
        <w:ind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1.25 </w:t>
      </w:r>
      <w:r>
        <w:rPr>
          <w:rFonts w:ascii="Arial" w:cs="Arial" w:eastAsia="Arial" w:hAnsi="Arial"/>
          <w:sz w:val="16"/>
          <w:szCs w:val="16"/>
          <w:color w:val="auto"/>
        </w:rPr>
        <w:t>“</w:t>
      </w:r>
      <w:r>
        <w:rPr>
          <w:rFonts w:ascii="Arial" w:cs="Arial" w:eastAsia="Arial" w:hAnsi="Arial"/>
          <w:sz w:val="16"/>
          <w:szCs w:val="16"/>
          <w:b w:val="1"/>
          <w:bCs w:val="1"/>
          <w:color w:val="auto"/>
        </w:rPr>
        <w:t xml:space="preserve">Biosimilar” </w:t>
      </w:r>
      <w:r>
        <w:rPr>
          <w:rFonts w:ascii="Arial" w:cs="Arial" w:eastAsia="Arial" w:hAnsi="Arial"/>
          <w:sz w:val="16"/>
          <w:szCs w:val="16"/>
          <w:color w:val="auto"/>
        </w:rPr>
        <w:t>means, with respect to a Product in a country, any pharmaceutical biologic product that (a) is similar to such Product; (b) has</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route of administration, dosage form and strength as such Product; (c) obtained regulatory approval under a biosimilar application submitted in accordance with the then-current rules and regulations in such country that referred to or relied on data submitted by Adagio, or any of its Affiliates or Licensees, in an NDA for the Product in such country; and (d) is sold in the same country as such Product by a Third Party that is not a Licensee of Adagio or its Affiliates and did not purchase such product in a chain of distribution that included any of Adagio or its Affiliates or Licensees.</w:t>
      </w:r>
    </w:p>
    <w:p>
      <w:pPr>
        <w:spacing w:after="0" w:line="154"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Blocking Adagio Patents</w:t>
      </w:r>
      <w:r>
        <w:rPr>
          <w:rFonts w:ascii="Arial" w:cs="Arial" w:eastAsia="Arial" w:hAnsi="Arial"/>
          <w:sz w:val="18"/>
          <w:szCs w:val="18"/>
          <w:color w:val="auto"/>
        </w:rPr>
        <w:t>” shall mean, in the case of termination (i) by Adimab pursuant to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or (ii) by Adagio pursuant to Section 9.3 (</w:t>
      </w:r>
      <w:r>
        <w:rPr>
          <w:rFonts w:ascii="Arial" w:cs="Arial" w:eastAsia="Arial" w:hAnsi="Arial"/>
          <w:sz w:val="18"/>
          <w:szCs w:val="18"/>
          <w:i w:val="1"/>
          <w:iCs w:val="1"/>
          <w:color w:val="auto"/>
        </w:rPr>
        <w:t>Termination for Convenience</w:t>
      </w:r>
      <w:r>
        <w:rPr>
          <w:rFonts w:ascii="Arial" w:cs="Arial" w:eastAsia="Arial" w:hAnsi="Arial"/>
          <w:sz w:val="18"/>
          <w:szCs w:val="18"/>
          <w:color w:val="auto"/>
        </w:rPr>
        <w:t xml:space="preserve">): Adagio Patents that, in the absence of a license thereunder, would be infringed by the manufacture, use, sale, offer for sale or import of any CoV Antibody;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“Blocking Adagio Patents” shall exclude any and all Patents licensed to Adagio by any Third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CDR</w:t>
      </w:r>
      <w:r>
        <w:rPr>
          <w:rFonts w:ascii="Arial" w:cs="Arial" w:eastAsia="Arial" w:hAnsi="Arial"/>
          <w:sz w:val="18"/>
          <w:szCs w:val="18"/>
          <w:color w:val="auto"/>
        </w:rPr>
        <w:t>” means the complementarity determining regions of an antibody.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product containing a CoV Antibody in combination with one or more Other Active(s).</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 xml:space="preserve">1.29 </w:t>
      </w:r>
      <w:r>
        <w:rPr>
          <w:rFonts w:ascii="Arial" w:cs="Arial" w:eastAsia="Arial" w:hAnsi="Arial"/>
          <w:sz w:val="17"/>
          <w:szCs w:val="17"/>
          <w:color w:val="auto"/>
        </w:rPr>
        <w:t>“</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Adagio’s obligation under this Agreement to conduct a particular activity, a</w:t>
      </w:r>
      <w:r>
        <w:rPr>
          <w:rFonts w:ascii="Arial" w:cs="Arial" w:eastAsia="Arial" w:hAnsi="Arial"/>
          <w:sz w:val="17"/>
          <w:szCs w:val="17"/>
          <w:b w:val="1"/>
          <w:bCs w:val="1"/>
          <w:color w:val="auto"/>
        </w:rPr>
        <w:t xml:space="preserve"> </w:t>
      </w:r>
      <w:r>
        <w:rPr>
          <w:rFonts w:ascii="Arial" w:cs="Arial" w:eastAsia="Arial" w:hAnsi="Arial"/>
          <w:sz w:val="17"/>
          <w:szCs w:val="17"/>
          <w:color w:val="auto"/>
        </w:rPr>
        <w:t>level of efforts and resources similar to those efforts and resources normally used by Adagio for a similar product owned by it or to which it has rights, which product is at a similar stage in its development or product life and is of similar market potential, based on conditions then prevailing and taking into account safety, efficacy, product profile, the competitiveness of the marketplace, the proprietary position of the product, the regulatory structure involved, the market potential and profitability of the product, and other relevant scientific, technical and commercial factors.</w:t>
      </w:r>
    </w:p>
    <w:p>
      <w:pPr>
        <w:spacing w:after="0" w:line="168" w:lineRule="exact"/>
        <w:rPr>
          <w:sz w:val="20"/>
          <w:szCs w:val="20"/>
          <w:color w:val="auto"/>
        </w:rPr>
      </w:pPr>
    </w:p>
    <w:p>
      <w:pPr>
        <w:jc w:val="both"/>
        <w:ind w:right="140" w:firstLine="440"/>
        <w:spacing w:after="0" w:line="314" w:lineRule="auto"/>
        <w:rPr>
          <w:sz w:val="20"/>
          <w:szCs w:val="20"/>
          <w:color w:val="auto"/>
        </w:rPr>
      </w:pPr>
      <w:r>
        <w:rPr>
          <w:rFonts w:ascii="Arial" w:cs="Arial" w:eastAsia="Arial" w:hAnsi="Arial"/>
          <w:sz w:val="16"/>
          <w:szCs w:val="16"/>
          <w:b w:val="1"/>
          <w:bCs w:val="1"/>
          <w:color w:val="auto"/>
        </w:rPr>
        <w:t xml:space="preserve">1.30 </w:t>
      </w:r>
      <w:r>
        <w:rPr>
          <w:rFonts w:ascii="Arial" w:cs="Arial" w:eastAsia="Arial" w:hAnsi="Arial"/>
          <w:sz w:val="16"/>
          <w:szCs w:val="16"/>
          <w:color w:val="auto"/>
        </w:rPr>
        <w:t>“</w:t>
      </w:r>
      <w:r>
        <w:rPr>
          <w:rFonts w:ascii="Arial" w:cs="Arial" w:eastAsia="Arial" w:hAnsi="Arial"/>
          <w:sz w:val="16"/>
          <w:szCs w:val="16"/>
          <w:b w:val="1"/>
          <w:bCs w:val="1"/>
          <w:color w:val="auto"/>
        </w:rPr>
        <w:t>Companion Diagnostic</w:t>
      </w:r>
      <w:r>
        <w:rPr>
          <w:rFonts w:ascii="Arial" w:cs="Arial" w:eastAsia="Arial" w:hAnsi="Arial"/>
          <w:sz w:val="16"/>
          <w:szCs w:val="16"/>
          <w:color w:val="auto"/>
        </w:rPr>
        <w:t>” means an</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 vitro</w:t>
      </w:r>
      <w:r>
        <w:rPr>
          <w:rFonts w:ascii="Arial" w:cs="Arial" w:eastAsia="Arial" w:hAnsi="Arial"/>
          <w:sz w:val="16"/>
          <w:szCs w:val="16"/>
          <w:b w:val="1"/>
          <w:bCs w:val="1"/>
          <w:color w:val="auto"/>
        </w:rPr>
        <w:t xml:space="preserve"> </w:t>
      </w:r>
      <w:r>
        <w:rPr>
          <w:rFonts w:ascii="Arial" w:cs="Arial" w:eastAsia="Arial" w:hAnsi="Arial"/>
          <w:sz w:val="16"/>
          <w:szCs w:val="16"/>
          <w:color w:val="auto"/>
        </w:rPr>
        <w:t>diagnostic device consisting of or containing CoV Antibody(ies) that provides information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safe and effective use of a particular therapeutic Product, where the use of such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 is stipulated in the instructions for use in the labeling of both such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device and the corresponding therapeutic Product approved by the applicable Regulatory Authority.</w:t>
      </w:r>
    </w:p>
    <w:p>
      <w:pPr>
        <w:spacing w:after="0" w:line="142"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Compulsory License</w:t>
      </w:r>
      <w:r>
        <w:rPr>
          <w:rFonts w:ascii="Arial" w:cs="Arial" w:eastAsia="Arial" w:hAnsi="Arial"/>
          <w:sz w:val="18"/>
          <w:szCs w:val="18"/>
          <w:color w:val="auto"/>
        </w:rPr>
        <w:t>” means, in the case of a Product in a country, a compulsory license obtained by a Third Party through the order,</w:t>
      </w:r>
      <w:r>
        <w:rPr>
          <w:rFonts w:ascii="Arial" w:cs="Arial" w:eastAsia="Arial" w:hAnsi="Arial"/>
          <w:sz w:val="18"/>
          <w:szCs w:val="18"/>
          <w:b w:val="1"/>
          <w:bCs w:val="1"/>
          <w:color w:val="auto"/>
        </w:rPr>
        <w:t xml:space="preserve"> </w:t>
      </w:r>
      <w:r>
        <w:rPr>
          <w:rFonts w:ascii="Arial" w:cs="Arial" w:eastAsia="Arial" w:hAnsi="Arial"/>
          <w:sz w:val="18"/>
          <w:szCs w:val="18"/>
          <w:color w:val="auto"/>
        </w:rPr>
        <w:t>decree or grant of a Regulatory Authority or other governmental authority of such country, authorizing such Third Party to manufacture, use, sell, offer for sale or import such Product in such country.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6.1(a) (</w:t>
      </w:r>
      <w:r>
        <w:rPr>
          <w:rFonts w:ascii="Arial" w:cs="Arial" w:eastAsia="Arial" w:hAnsi="Arial"/>
          <w:sz w:val="18"/>
          <w:szCs w:val="18"/>
          <w:i w:val="1"/>
          <w:iCs w:val="1"/>
          <w:color w:val="auto"/>
        </w:rPr>
        <w:t>Confidential Information</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 xml:space="preserve">1.33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Know-How, Patents or other intellectual property rights, possession by a Party, whether by ownership</w:t>
      </w:r>
      <w:r>
        <w:rPr>
          <w:rFonts w:ascii="Arial" w:cs="Arial" w:eastAsia="Arial" w:hAnsi="Arial"/>
          <w:sz w:val="17"/>
          <w:szCs w:val="17"/>
          <w:b w:val="1"/>
          <w:bCs w:val="1"/>
          <w:color w:val="auto"/>
        </w:rPr>
        <w:t xml:space="preserve"> </w:t>
      </w:r>
      <w:r>
        <w:rPr>
          <w:rFonts w:ascii="Arial" w:cs="Arial" w:eastAsia="Arial" w:hAnsi="Arial"/>
          <w:sz w:val="17"/>
          <w:szCs w:val="17"/>
          <w:color w:val="auto"/>
        </w:rPr>
        <w:t>or license (other than pursuant to this Agreement) of the ability to grant a license or sublicense under such Know-How, Patents or other intellectual property rights as provided for in this Agreement without violating the terms of any written agreement with any Third Party.</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415" w:name="page416"/>
    <w:bookmarkEnd w:id="41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1.34 </w:t>
      </w:r>
      <w:r>
        <w:rPr>
          <w:rFonts w:ascii="Arial" w:cs="Arial" w:eastAsia="Arial" w:hAnsi="Arial"/>
          <w:sz w:val="18"/>
          <w:szCs w:val="18"/>
          <w:color w:val="auto"/>
        </w:rPr>
        <w:t>“</w:t>
      </w:r>
      <w:r>
        <w:rPr>
          <w:rFonts w:ascii="Arial" w:cs="Arial" w:eastAsia="Arial" w:hAnsi="Arial"/>
          <w:sz w:val="18"/>
          <w:szCs w:val="18"/>
          <w:b w:val="1"/>
          <w:bCs w:val="1"/>
          <w:color w:val="auto"/>
        </w:rPr>
        <w:t>CoV</w:t>
      </w:r>
      <w:r>
        <w:rPr>
          <w:rFonts w:ascii="Arial" w:cs="Arial" w:eastAsia="Arial" w:hAnsi="Arial"/>
          <w:sz w:val="18"/>
          <w:szCs w:val="18"/>
          <w:color w:val="auto"/>
        </w:rPr>
        <w:t>” means all corona viruses, including COVID-19 and SARS.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CoV Antibodies</w:t>
      </w:r>
      <w:r>
        <w:rPr>
          <w:rFonts w:ascii="Arial" w:cs="Arial" w:eastAsia="Arial" w:hAnsi="Arial"/>
          <w:sz w:val="18"/>
          <w:szCs w:val="18"/>
          <w:color w:val="auto"/>
        </w:rPr>
        <w:t>” means, collectively, Adimab CoV Antibodies and Adagio Derived Antibodies.</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CoV Antibody Patents</w:t>
      </w:r>
      <w:r>
        <w:rPr>
          <w:rFonts w:ascii="Arial" w:cs="Arial" w:eastAsia="Arial" w:hAnsi="Arial"/>
          <w:sz w:val="18"/>
          <w:szCs w:val="18"/>
          <w:color w:val="auto"/>
        </w:rPr>
        <w:t>” means those Patents that Cover Adimab CoV Antibodies, including those Patents set forth on</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hereto.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CoV Antibody Patents exclude: (a) Adimab Platform Patents; and (b) those Patents that Cover Adagio Derived Antibodies (except to the extent any claim of any such Patent claims priority to any of the Patents set forth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or “</w:t>
      </w:r>
      <w:r>
        <w:rPr>
          <w:rFonts w:ascii="Arial" w:cs="Arial" w:eastAsia="Arial" w:hAnsi="Arial"/>
          <w:sz w:val="18"/>
          <w:szCs w:val="18"/>
          <w:b w:val="1"/>
          <w:bCs w:val="1"/>
          <w:color w:val="auto"/>
        </w:rPr>
        <w:t>Covering</w:t>
      </w:r>
      <w:r>
        <w:rPr>
          <w:rFonts w:ascii="Arial" w:cs="Arial" w:eastAsia="Arial" w:hAnsi="Arial"/>
          <w:sz w:val="18"/>
          <w:szCs w:val="18"/>
          <w:color w:val="auto"/>
        </w:rPr>
        <w:t>” or the like, means, with respect to a particular CoV Antibody or Product and a particular Patent,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 use, sale, offer for sale or import of such CoV Antibody or Product would, but for ownership of, or a license under, such Patent, infringe a Valid Claim of such Patent in the applicable country on the date that the relevant event or activity occurs.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6.2 (</w:t>
      </w:r>
      <w:r>
        <w:rPr>
          <w:rFonts w:ascii="Arial" w:cs="Arial" w:eastAsia="Arial" w:hAnsi="Arial"/>
          <w:sz w:val="18"/>
          <w:szCs w:val="18"/>
          <w:i w:val="1"/>
          <w:iCs w:val="1"/>
          <w:color w:val="auto"/>
        </w:rPr>
        <w:t>Exclusions from Nondisclosure Obligation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10.4(a)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1.40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 in the European Union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Excluded Technology</w:t>
      </w:r>
      <w:r>
        <w:rPr>
          <w:rFonts w:ascii="Arial" w:cs="Arial" w:eastAsia="Arial" w:hAnsi="Arial"/>
          <w:sz w:val="18"/>
          <w:szCs w:val="18"/>
          <w:color w:val="auto"/>
        </w:rPr>
        <w:t>” means Third Party technology (and the Patents that Cover and the Know-How that embodies such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related to:</w:t>
      </w:r>
    </w:p>
    <w:p>
      <w:pPr>
        <w:spacing w:after="0" w:line="58" w:lineRule="exact"/>
        <w:rPr>
          <w:sz w:val="20"/>
          <w:szCs w:val="20"/>
          <w:color w:val="auto"/>
        </w:rPr>
      </w:pPr>
    </w:p>
    <w:p>
      <w:pPr>
        <w:ind w:left="1240" w:hanging="253"/>
        <w:spacing w:after="0"/>
        <w:tabs>
          <w:tab w:leader="none" w:pos="124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manufacturing, purification, or production;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the Sequence of, or any modification to, an CoV Antibody (including Third Party Patents relating to pegylation or other chemical</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modification);</w:t>
      </w:r>
    </w:p>
    <w:p>
      <w:pPr>
        <w:spacing w:after="0" w:line="210" w:lineRule="exact"/>
        <w:rPr>
          <w:rFonts w:ascii="Arial" w:cs="Arial" w:eastAsia="Arial" w:hAnsi="Arial"/>
          <w:sz w:val="17"/>
          <w:szCs w:val="17"/>
          <w:b w:val="1"/>
          <w:bCs w:val="1"/>
          <w:color w:val="auto"/>
        </w:rPr>
      </w:pPr>
    </w:p>
    <w:p>
      <w:pPr>
        <w:ind w:firstLine="987"/>
        <w:spacing w:after="0" w:line="277" w:lineRule="auto"/>
        <w:tabs>
          <w:tab w:leader="none" w:pos="1256" w:val="left"/>
        </w:tabs>
        <w:numPr>
          <w:ilvl w:val="0"/>
          <w:numId w:val="288"/>
        </w:numPr>
        <w:rPr>
          <w:rFonts w:ascii="Arial" w:cs="Arial" w:eastAsia="Arial" w:hAnsi="Arial"/>
          <w:sz w:val="18"/>
          <w:szCs w:val="18"/>
          <w:b w:val="1"/>
          <w:bCs w:val="1"/>
          <w:color w:val="auto"/>
        </w:rPr>
      </w:pPr>
      <w:r>
        <w:rPr>
          <w:rFonts w:ascii="Arial" w:cs="Arial" w:eastAsia="Arial" w:hAnsi="Arial"/>
          <w:sz w:val="18"/>
          <w:szCs w:val="18"/>
          <w:color w:val="auto"/>
        </w:rPr>
        <w:t xml:space="preserve">technology used in activities performed by or on behalf of Adagio or its Licensees, including assays,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testing, and modifications to CoV Antibodies;</w:t>
      </w:r>
    </w:p>
    <w:p>
      <w:pPr>
        <w:spacing w:after="0" w:line="170" w:lineRule="exact"/>
        <w:rPr>
          <w:rFonts w:ascii="Arial" w:cs="Arial" w:eastAsia="Arial" w:hAnsi="Arial"/>
          <w:sz w:val="18"/>
          <w:szCs w:val="18"/>
          <w:b w:val="1"/>
          <w:bCs w:val="1"/>
          <w:color w:val="auto"/>
        </w:rPr>
      </w:pPr>
    </w:p>
    <w:p>
      <w:pPr>
        <w:ind w:right="60" w:firstLine="987"/>
        <w:spacing w:after="0" w:line="308" w:lineRule="auto"/>
        <w:tabs>
          <w:tab w:leader="none" w:pos="1236" w:val="left"/>
        </w:tabs>
        <w:numPr>
          <w:ilvl w:val="0"/>
          <w:numId w:val="288"/>
        </w:numPr>
        <w:rPr>
          <w:rFonts w:ascii="Arial" w:cs="Arial" w:eastAsia="Arial" w:hAnsi="Arial"/>
          <w:sz w:val="17"/>
          <w:szCs w:val="17"/>
          <w:b w:val="1"/>
          <w:bCs w:val="1"/>
          <w:color w:val="auto"/>
        </w:rPr>
      </w:pPr>
      <w:r>
        <w:rPr>
          <w:rFonts w:ascii="Arial" w:cs="Arial" w:eastAsia="Arial" w:hAnsi="Arial"/>
          <w:sz w:val="17"/>
          <w:szCs w:val="17"/>
          <w:color w:val="auto"/>
        </w:rPr>
        <w:t>CoV (including any antigen representation thereof), or any mechanism of action via interaction with CoV, or antibodies based on their interaction with CoV, or their having been tested for their activity against CoV in a biological assay, or other methods of using antibodies;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0" w:right="519" w:bottom="1440" w:gutter="0" w:footer="0" w:header="0"/>
        </w:sectPr>
      </w:pPr>
    </w:p>
    <w:bookmarkStart w:id="416" w:name="page417"/>
    <w:bookmarkEnd w:id="416"/>
    <w:p>
      <w:pPr>
        <w:ind w:left="1220" w:hanging="233"/>
        <w:spacing w:after="0"/>
        <w:tabs>
          <w:tab w:leader="none" w:pos="122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use of Adagio Materials; or</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289"/>
        </w:numPr>
        <w:rPr>
          <w:rFonts w:ascii="Arial" w:cs="Arial" w:eastAsia="Arial" w:hAnsi="Arial"/>
          <w:sz w:val="18"/>
          <w:szCs w:val="18"/>
          <w:b w:val="1"/>
          <w:bCs w:val="1"/>
          <w:color w:val="auto"/>
        </w:rPr>
      </w:pPr>
      <w:r>
        <w:rPr>
          <w:rFonts w:ascii="Arial" w:cs="Arial" w:eastAsia="Arial" w:hAnsi="Arial"/>
          <w:sz w:val="18"/>
          <w:szCs w:val="18"/>
          <w:color w:val="auto"/>
        </w:rPr>
        <w:t>if other than an IgG, the construct of any Product.</w:t>
      </w:r>
    </w:p>
    <w:p>
      <w:pPr>
        <w:spacing w:after="0" w:line="221"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 in the U.S. having substantially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function.</w:t>
      </w:r>
    </w:p>
    <w:p>
      <w:pPr>
        <w:spacing w:after="0" w:line="162" w:lineRule="exact"/>
        <w:rPr>
          <w:sz w:val="20"/>
          <w:szCs w:val="20"/>
          <w:color w:val="auto"/>
        </w:rPr>
      </w:pPr>
    </w:p>
    <w:p>
      <w:pPr>
        <w:ind w:right="120" w:firstLine="440"/>
        <w:spacing w:after="0" w:line="274" w:lineRule="auto"/>
        <w:rPr>
          <w:sz w:val="20"/>
          <w:szCs w:val="20"/>
          <w:color w:val="auto"/>
        </w:rPr>
      </w:pPr>
      <w:r>
        <w:rPr>
          <w:rFonts w:ascii="Arial" w:cs="Arial" w:eastAsia="Arial" w:hAnsi="Arial"/>
          <w:sz w:val="17"/>
          <w:szCs w:val="17"/>
          <w:b w:val="1"/>
          <w:bCs w:val="1"/>
          <w:color w:val="auto"/>
        </w:rPr>
        <w:t xml:space="preserve">1.44 </w:t>
      </w:r>
      <w:r>
        <w:rPr>
          <w:rFonts w:ascii="Arial" w:cs="Arial" w:eastAsia="Arial" w:hAnsi="Arial"/>
          <w:sz w:val="17"/>
          <w:szCs w:val="17"/>
          <w:color w:val="auto"/>
        </w:rPr>
        <w:t>“</w:t>
      </w:r>
      <w:r>
        <w:rPr>
          <w:rFonts w:ascii="Arial" w:cs="Arial" w:eastAsia="Arial" w:hAnsi="Arial"/>
          <w:sz w:val="17"/>
          <w:szCs w:val="17"/>
          <w:b w:val="1"/>
          <w:bCs w:val="1"/>
          <w:color w:val="auto"/>
        </w:rPr>
        <w:t>Field</w:t>
      </w:r>
      <w:r>
        <w:rPr>
          <w:rFonts w:ascii="Arial" w:cs="Arial" w:eastAsia="Arial" w:hAnsi="Arial"/>
          <w:sz w:val="17"/>
          <w:szCs w:val="17"/>
          <w:color w:val="auto"/>
        </w:rPr>
        <w:t>” means all indications and uses;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Adagio proposes to commercialize any Product as a diagnostic (other than</w:t>
      </w:r>
      <w:r>
        <w:rPr>
          <w:rFonts w:ascii="Arial" w:cs="Arial" w:eastAsia="Arial" w:hAnsi="Arial"/>
          <w:sz w:val="17"/>
          <w:szCs w:val="17"/>
          <w:b w:val="1"/>
          <w:bCs w:val="1"/>
          <w:color w:val="auto"/>
        </w:rPr>
        <w:t xml:space="preserve"> </w:t>
      </w:r>
      <w:r>
        <w:rPr>
          <w:rFonts w:ascii="Arial" w:cs="Arial" w:eastAsia="Arial" w:hAnsi="Arial"/>
          <w:sz w:val="17"/>
          <w:szCs w:val="17"/>
          <w:color w:val="auto"/>
        </w:rPr>
        <w:t>as a Companion Diagnostic) or as a research reagent, the Parties will first negotiate commercially reasonable financial terms for such field of use. For clarity: (a) no further negotiation will be required for the development, manufacture, or commercialization of any Companion Diagnostic; (b) Adagio shall pay royalties with respect to Net Sales of Companion Diagnostics in accordance with Section 4.2 of this Agreement; (c) no Milestone Payments shall be payable with respect to any Companion Diagnostic; and (d) no other or additional financial terms will apply to the development, manufacture, or commercialization of any Companion Diagnostic.</w:t>
      </w:r>
    </w:p>
    <w:p>
      <w:pPr>
        <w:spacing w:after="0" w:line="17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transfer or disposition for value or for end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of such Product in such country after Marketing Approval (and, if legally required, pricing approval) for such Product has been received in such country.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1.46 </w:t>
      </w:r>
      <w:r>
        <w:rPr>
          <w:rFonts w:ascii="Arial" w:cs="Arial" w:eastAsia="Arial" w:hAnsi="Arial"/>
          <w:sz w:val="18"/>
          <w:szCs w:val="18"/>
          <w:color w:val="auto"/>
        </w:rPr>
        <w:t>“</w:t>
      </w:r>
      <w:r>
        <w:rPr>
          <w:rFonts w:ascii="Arial" w:cs="Arial" w:eastAsia="Arial" w:hAnsi="Arial"/>
          <w:sz w:val="18"/>
          <w:szCs w:val="18"/>
          <w:b w:val="1"/>
          <w:bCs w:val="1"/>
          <w:color w:val="auto"/>
        </w:rPr>
        <w:t>First Product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b w:val="1"/>
          <w:bCs w:val="1"/>
          <w:color w:val="auto"/>
        </w:rPr>
        <w:t xml:space="preserve">1.47 </w:t>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conditions beyond a Party’s reasonable control or ability to plan for, including acts of God, war, pandemic,</w:t>
      </w:r>
      <w:r>
        <w:rPr>
          <w:rFonts w:ascii="Arial" w:cs="Arial" w:eastAsia="Arial" w:hAnsi="Arial"/>
          <w:sz w:val="18"/>
          <w:szCs w:val="18"/>
          <w:b w:val="1"/>
          <w:bCs w:val="1"/>
          <w:color w:val="auto"/>
        </w:rPr>
        <w:t xml:space="preserve"> </w:t>
      </w:r>
      <w:r>
        <w:rPr>
          <w:rFonts w:ascii="Arial" w:cs="Arial" w:eastAsia="Arial" w:hAnsi="Arial"/>
          <w:sz w:val="18"/>
          <w:szCs w:val="18"/>
          <w:color w:val="auto"/>
        </w:rPr>
        <w:t>terrorism, civil commotion, labor strike or lock-out; epidemic; failure or default of public utilities or common carriers; and destruction of facilities or materials by fire, earthquake, storm or like catastrophe.</w:t>
      </w:r>
    </w:p>
    <w:p>
      <w:pPr>
        <w:spacing w:after="0" w:line="176" w:lineRule="exact"/>
        <w:rPr>
          <w:sz w:val="20"/>
          <w:szCs w:val="20"/>
          <w:color w:val="auto"/>
        </w:rPr>
      </w:pPr>
    </w:p>
    <w:p>
      <w:pPr>
        <w:ind w:firstLine="440"/>
        <w:spacing w:after="0" w:line="298" w:lineRule="auto"/>
        <w:rPr>
          <w:sz w:val="20"/>
          <w:szCs w:val="20"/>
          <w:color w:val="auto"/>
        </w:rPr>
      </w:pPr>
      <w:r>
        <w:rPr>
          <w:rFonts w:ascii="Arial" w:cs="Arial" w:eastAsia="Arial" w:hAnsi="Arial"/>
          <w:sz w:val="16"/>
          <w:szCs w:val="16"/>
          <w:b w:val="1"/>
          <w:bCs w:val="1"/>
          <w:color w:val="auto"/>
        </w:rPr>
        <w:t xml:space="preserve">1.48 </w:t>
      </w:r>
      <w:r>
        <w:rPr>
          <w:rFonts w:ascii="Arial" w:cs="Arial" w:eastAsia="Arial" w:hAnsi="Arial"/>
          <w:sz w:val="16"/>
          <w:szCs w:val="16"/>
          <w:color w:val="auto"/>
        </w:rPr>
        <w:t>“</w:t>
      </w:r>
      <w:r>
        <w:rPr>
          <w:rFonts w:ascii="Arial" w:cs="Arial" w:eastAsia="Arial" w:hAnsi="Arial"/>
          <w:sz w:val="16"/>
          <w:szCs w:val="16"/>
          <w:b w:val="1"/>
          <w:bCs w:val="1"/>
          <w:color w:val="auto"/>
        </w:rPr>
        <w:t>FTE</w:t>
      </w:r>
      <w:r>
        <w:rPr>
          <w:rFonts w:ascii="Arial" w:cs="Arial" w:eastAsia="Arial" w:hAnsi="Arial"/>
          <w:sz w:val="16"/>
          <w:szCs w:val="16"/>
          <w:color w:val="auto"/>
        </w:rPr>
        <w:t>” means the equivalent of a full-time employee’s working days over a [***] period (taking account of normal vacations, sick days and</w:t>
      </w:r>
      <w:r>
        <w:rPr>
          <w:rFonts w:ascii="Arial" w:cs="Arial" w:eastAsia="Arial" w:hAnsi="Arial"/>
          <w:sz w:val="16"/>
          <w:szCs w:val="16"/>
          <w:b w:val="1"/>
          <w:bCs w:val="1"/>
          <w:color w:val="auto"/>
        </w:rPr>
        <w:t xml:space="preserve"> </w:t>
      </w:r>
      <w:r>
        <w:rPr>
          <w:rFonts w:ascii="Arial" w:cs="Arial" w:eastAsia="Arial" w:hAnsi="Arial"/>
          <w:sz w:val="16"/>
          <w:szCs w:val="16"/>
          <w:color w:val="auto"/>
        </w:rPr>
        <w:t>holidays not being considered working days), which equates to a total of [***] hours per [***] period of work performed by a fully qualified Adimab employee or consultant. Overtime, and work on weekends, holidays, and the like will not be counted with any multiplier (</w:t>
      </w:r>
      <w:r>
        <w:rPr>
          <w:rFonts w:ascii="Arial" w:cs="Arial" w:eastAsia="Arial" w:hAnsi="Arial"/>
          <w:sz w:val="16"/>
          <w:szCs w:val="16"/>
          <w:i w:val="1"/>
          <w:iCs w:val="1"/>
          <w:color w:val="auto"/>
        </w:rPr>
        <w:t>e.g.</w:t>
      </w:r>
      <w:r>
        <w:rPr>
          <w:rFonts w:ascii="Arial" w:cs="Arial" w:eastAsia="Arial" w:hAnsi="Arial"/>
          <w:sz w:val="16"/>
          <w:szCs w:val="16"/>
          <w:color w:val="auto"/>
        </w:rPr>
        <w:t xml:space="preserve"> time-and-a-half or double time) toward the number of hours that are used to calculate the FTE contribution. To provide an FTE over a given period that is less than a year means to provide the proportionate share (corresponding to the proportion that such period bears to a full year) during such period of a full year’s FTE.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FTE.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Fully-Paid Product</w:t>
      </w:r>
      <w:r>
        <w:rPr>
          <w:rFonts w:ascii="Arial" w:cs="Arial" w:eastAsia="Arial" w:hAnsi="Arial"/>
          <w:sz w:val="18"/>
          <w:szCs w:val="18"/>
          <w:color w:val="auto"/>
        </w:rPr>
        <w:t>” has the meaning set forth in Section 9.5(b)(i) (</w:t>
      </w:r>
      <w:r>
        <w:rPr>
          <w:rFonts w:ascii="Arial" w:cs="Arial" w:eastAsia="Arial" w:hAnsi="Arial"/>
          <w:sz w:val="18"/>
          <w:szCs w:val="18"/>
          <w:i w:val="1"/>
          <w:iCs w:val="1"/>
          <w:color w:val="auto"/>
        </w:rPr>
        <w:t>Termination But For Fully-Paid Products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in the United States, an Investigational New Drug application (as more fully described in 21 CFR Part 312, or its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 filed with the FDA, or any successor application to the foregoing; or (b) in any other country or group of countries, the equivalent application or filing filed with the governing Regulatory Authority in such country or group of countries necessary to commence human clinical trials in such jurisdiction.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17" w:name="page418"/>
    <w:bookmarkEnd w:id="41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1.52 </w:t>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Indemnify</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has the meaning set forth in Section 8.3 (</w:t>
      </w:r>
      <w:r>
        <w:rPr>
          <w:rFonts w:ascii="Arial" w:cs="Arial" w:eastAsia="Arial" w:hAnsi="Arial"/>
          <w:sz w:val="18"/>
          <w:szCs w:val="18"/>
          <w:i w:val="1"/>
          <w:iCs w:val="1"/>
          <w:color w:val="auto"/>
        </w:rPr>
        <w:t>Indemnification Procedures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Initial CoV Antibody</w:t>
      </w:r>
      <w:r>
        <w:rPr>
          <w:rFonts w:ascii="Arial" w:cs="Arial" w:eastAsia="Arial" w:hAnsi="Arial"/>
          <w:sz w:val="18"/>
          <w:szCs w:val="18"/>
          <w:color w:val="auto"/>
        </w:rPr>
        <w:t>” has the meaning set forth in Section 1.11(a) (</w:t>
      </w:r>
      <w:r>
        <w:rPr>
          <w:rFonts w:ascii="Arial" w:cs="Arial" w:eastAsia="Arial" w:hAnsi="Arial"/>
          <w:sz w:val="18"/>
          <w:szCs w:val="18"/>
          <w:i w:val="1"/>
          <w:iCs w:val="1"/>
          <w:color w:val="auto"/>
        </w:rPr>
        <w:t>Adimab CoV Antibody</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Know-How</w:t>
      </w:r>
      <w:r>
        <w:rPr>
          <w:rFonts w:ascii="Arial" w:cs="Arial" w:eastAsia="Arial" w:hAnsi="Arial"/>
          <w:sz w:val="17"/>
          <w:szCs w:val="17"/>
          <w:color w:val="auto"/>
        </w:rPr>
        <w:t>” means all proprietary technical information and know-how in any tangible or intangible form, including (a) inventions,</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discoveries, trade 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that, in each case ((a) and (b)), are not in the public domain. Notwithstanding the foregoing, Know-How excludes Patent claims.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License</w:t>
      </w:r>
      <w:r>
        <w:rPr>
          <w:rFonts w:ascii="Arial" w:cs="Arial" w:eastAsia="Arial" w:hAnsi="Arial"/>
          <w:sz w:val="18"/>
          <w:szCs w:val="18"/>
          <w:color w:val="auto"/>
        </w:rPr>
        <w:t>” has the meaning set forth in Section 3.1(b) (</w:t>
      </w:r>
      <w:r>
        <w:rPr>
          <w:rFonts w:ascii="Arial" w:cs="Arial" w:eastAsia="Arial" w:hAnsi="Arial"/>
          <w:sz w:val="18"/>
          <w:szCs w:val="18"/>
          <w:i w:val="1"/>
          <w:iCs w:val="1"/>
          <w:color w:val="auto"/>
        </w:rPr>
        <w:t>License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 xml:space="preserve">1.59 </w:t>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means a Third Party to whom Adagio or its Affiliate has granted, directly or indirectly through one or more tiers of sublicense, a</w:t>
      </w:r>
      <w:r>
        <w:rPr>
          <w:rFonts w:ascii="Arial" w:cs="Arial" w:eastAsia="Arial" w:hAnsi="Arial"/>
          <w:sz w:val="16"/>
          <w:szCs w:val="16"/>
          <w:b w:val="1"/>
          <w:bCs w:val="1"/>
          <w:color w:val="auto"/>
        </w:rPr>
        <w:t xml:space="preserve"> </w:t>
      </w:r>
      <w:r>
        <w:rPr>
          <w:rFonts w:ascii="Arial" w:cs="Arial" w:eastAsia="Arial" w:hAnsi="Arial"/>
          <w:sz w:val="16"/>
          <w:szCs w:val="16"/>
          <w:color w:val="auto"/>
        </w:rPr>
        <w:t>license, sublicense or other right to develop, manufacture, or commercialize any CoV Antibody or Product; but specifically excluding any Third Party contract service provider. For clarity, licensees of CoV Antibody Patents and sublicensees of the License shall be Licensees.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Licensee Agreement</w:t>
      </w:r>
      <w:r>
        <w:rPr>
          <w:rFonts w:ascii="Arial" w:cs="Arial" w:eastAsia="Arial" w:hAnsi="Arial"/>
          <w:sz w:val="18"/>
          <w:szCs w:val="18"/>
          <w:color w:val="auto"/>
        </w:rPr>
        <w:t>” has the meaning set forth in Section 3.2 (</w:t>
      </w:r>
      <w:r>
        <w:rPr>
          <w:rFonts w:ascii="Arial" w:cs="Arial" w:eastAsia="Arial" w:hAnsi="Arial"/>
          <w:sz w:val="18"/>
          <w:szCs w:val="18"/>
          <w:i w:val="1"/>
          <w:iCs w:val="1"/>
          <w:color w:val="auto"/>
        </w:rPr>
        <w:t>Licensees and Sublicensees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Major European Market</w:t>
      </w:r>
      <w:r>
        <w:rPr>
          <w:rFonts w:ascii="Arial" w:cs="Arial" w:eastAsia="Arial" w:hAnsi="Arial"/>
          <w:sz w:val="18"/>
          <w:szCs w:val="18"/>
          <w:color w:val="auto"/>
        </w:rPr>
        <w:t>” means any of [***].</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any of the [***].</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Marketing Approval</w:t>
      </w:r>
      <w:r>
        <w:rPr>
          <w:rFonts w:ascii="Arial" w:cs="Arial" w:eastAsia="Arial" w:hAnsi="Arial"/>
          <w:sz w:val="18"/>
          <w:szCs w:val="18"/>
          <w:color w:val="auto"/>
        </w:rPr>
        <w:t>” means, within any given country, approval to market and sell a Product legally as a drug or biologic,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an NDA. Pricing approval need not be obtained in order for Marketing Approval to be achieved.</w:t>
      </w:r>
    </w:p>
    <w:p>
      <w:pPr>
        <w:spacing w:after="0" w:line="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00"/>
          </w:cols>
          <w:pgMar w:left="440" w:top="270" w:right="559" w:bottom="1440" w:gutter="0" w:footer="0" w:header="0"/>
        </w:sectPr>
      </w:pPr>
    </w:p>
    <w:bookmarkStart w:id="418" w:name="page419"/>
    <w:bookmarkEnd w:id="41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1.65 </w:t>
      </w: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303" w:lineRule="auto"/>
        <w:rPr>
          <w:sz w:val="20"/>
          <w:szCs w:val="20"/>
          <w:color w:val="auto"/>
        </w:rPr>
      </w:pPr>
      <w:r>
        <w:rPr>
          <w:rFonts w:ascii="Arial" w:cs="Arial" w:eastAsia="Arial" w:hAnsi="Arial"/>
          <w:sz w:val="16"/>
          <w:szCs w:val="16"/>
          <w:b w:val="1"/>
          <w:bCs w:val="1"/>
          <w:color w:val="auto"/>
        </w:rPr>
        <w:t xml:space="preserve">1.67 </w:t>
      </w:r>
      <w:r>
        <w:rPr>
          <w:rFonts w:ascii="Arial" w:cs="Arial" w:eastAsia="Arial" w:hAnsi="Arial"/>
          <w:sz w:val="16"/>
          <w:szCs w:val="16"/>
          <w:color w:val="auto"/>
        </w:rPr>
        <w:t>“</w:t>
      </w:r>
      <w:r>
        <w:rPr>
          <w:rFonts w:ascii="Arial" w:cs="Arial" w:eastAsia="Arial" w:hAnsi="Arial"/>
          <w:sz w:val="16"/>
          <w:szCs w:val="16"/>
          <w:b w:val="1"/>
          <w:bCs w:val="1"/>
          <w:color w:val="auto"/>
        </w:rPr>
        <w:t>NDA</w:t>
      </w:r>
      <w:r>
        <w:rPr>
          <w:rFonts w:ascii="Arial" w:cs="Arial" w:eastAsia="Arial" w:hAnsi="Arial"/>
          <w:sz w:val="16"/>
          <w:szCs w:val="16"/>
          <w:color w:val="auto"/>
        </w:rPr>
        <w:t>” means: (a) in the United States, as applicable, a New Drug Application (as more fully described in 21 CFR Part 314.50, et seq., or its</w:t>
      </w:r>
      <w:r>
        <w:rPr>
          <w:rFonts w:ascii="Arial" w:cs="Arial" w:eastAsia="Arial" w:hAnsi="Arial"/>
          <w:sz w:val="16"/>
          <w:szCs w:val="16"/>
          <w:b w:val="1"/>
          <w:bCs w:val="1"/>
          <w:color w:val="auto"/>
        </w:rPr>
        <w:t xml:space="preserve"> </w:t>
      </w:r>
      <w:r>
        <w:rPr>
          <w:rFonts w:ascii="Arial" w:cs="Arial" w:eastAsia="Arial" w:hAnsi="Arial"/>
          <w:sz w:val="16"/>
          <w:szCs w:val="16"/>
          <w:color w:val="auto"/>
        </w:rPr>
        <w:t>successor regulation) or a Biologics License Application (as more fully described in 21 CFR Part 601, et seq., or its successor regulation), filed with the FDA, or any successor application to either of the foregoing; or (b) in any other country or group of countries, the equivalent application or submission for approval to market a pharmaceutical product filed with the governing Regulatory Authority in such country or group of countries.</w:t>
      </w:r>
    </w:p>
    <w:p>
      <w:pPr>
        <w:spacing w:after="0" w:line="151"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 xml:space="preserve">1.68 </w:t>
      </w:r>
      <w:r>
        <w:rPr>
          <w:rFonts w:ascii="Arial" w:cs="Arial" w:eastAsia="Arial" w:hAnsi="Arial"/>
          <w:sz w:val="17"/>
          <w:szCs w:val="17"/>
          <w:color w:val="auto"/>
        </w:rPr>
        <w:t>“</w:t>
      </w:r>
      <w:r>
        <w:rPr>
          <w:rFonts w:ascii="Arial" w:cs="Arial" w:eastAsia="Arial" w:hAnsi="Arial"/>
          <w:sz w:val="17"/>
          <w:szCs w:val="17"/>
          <w:b w:val="1"/>
          <w:bCs w:val="1"/>
          <w:color w:val="auto"/>
        </w:rPr>
        <w:t>Net Sales</w:t>
      </w:r>
      <w:r>
        <w:rPr>
          <w:rFonts w:ascii="Arial" w:cs="Arial" w:eastAsia="Arial" w:hAnsi="Arial"/>
          <w:sz w:val="17"/>
          <w:szCs w:val="17"/>
          <w:color w:val="auto"/>
        </w:rPr>
        <w:t>” means the gross amounts invoiced for sales or other dispositions of Products (including Companion Diagnostics) by or on behalf</w:t>
      </w:r>
      <w:r>
        <w:rPr>
          <w:rFonts w:ascii="Arial" w:cs="Arial" w:eastAsia="Arial" w:hAnsi="Arial"/>
          <w:sz w:val="17"/>
          <w:szCs w:val="17"/>
          <w:b w:val="1"/>
          <w:bCs w:val="1"/>
          <w:color w:val="auto"/>
        </w:rPr>
        <w:t xml:space="preserve"> </w:t>
      </w:r>
      <w:r>
        <w:rPr>
          <w:rFonts w:ascii="Arial" w:cs="Arial" w:eastAsia="Arial" w:hAnsi="Arial"/>
          <w:sz w:val="17"/>
          <w:szCs w:val="17"/>
          <w:color w:val="auto"/>
        </w:rPr>
        <w:t>of Adagio, its Affiliates and Licensees (each, a “</w:t>
      </w:r>
      <w:r>
        <w:rPr>
          <w:rFonts w:ascii="Arial" w:cs="Arial" w:eastAsia="Arial" w:hAnsi="Arial"/>
          <w:sz w:val="17"/>
          <w:szCs w:val="17"/>
          <w:b w:val="1"/>
          <w:bCs w:val="1"/>
          <w:color w:val="auto"/>
        </w:rPr>
        <w:t>Selling Party</w:t>
      </w:r>
      <w:r>
        <w:rPr>
          <w:rFonts w:ascii="Arial" w:cs="Arial" w:eastAsia="Arial" w:hAnsi="Arial"/>
          <w:sz w:val="17"/>
          <w:szCs w:val="17"/>
          <w:color w:val="auto"/>
        </w:rPr>
        <w:t>”) to Third Parties (other than a Selling Party), less the following deductions actually incurred, allowed, paid, accrued or otherwise specifically allocated to Products by the Selling Party (if not previously deducted in calculating the amount invoiced), all in compliance with applicable accounting standards, consistently applied by the Selling Party:</w:t>
      </w:r>
    </w:p>
    <w:p>
      <w:pPr>
        <w:spacing w:after="0" w:line="169" w:lineRule="exact"/>
        <w:rPr>
          <w:sz w:val="20"/>
          <w:szCs w:val="20"/>
          <w:color w:val="auto"/>
        </w:rPr>
      </w:pPr>
    </w:p>
    <w:p>
      <w:pPr>
        <w:ind w:left="1240" w:hanging="253"/>
        <w:spacing w:after="0"/>
        <w:tabs>
          <w:tab w:leader="none" w:pos="1240"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trade, cash and quantity discounts actually allowed with respect to such sales;</w:t>
      </w:r>
    </w:p>
    <w:p>
      <w:pPr>
        <w:spacing w:after="0" w:line="225" w:lineRule="exact"/>
        <w:rPr>
          <w:rFonts w:ascii="Arial" w:cs="Arial" w:eastAsia="Arial" w:hAnsi="Arial"/>
          <w:sz w:val="18"/>
          <w:szCs w:val="18"/>
          <w:b w:val="1"/>
          <w:bCs w:val="1"/>
          <w:color w:val="auto"/>
        </w:rPr>
      </w:pPr>
    </w:p>
    <w:p>
      <w:pPr>
        <w:ind w:right="60" w:firstLine="987"/>
        <w:spacing w:after="0" w:line="263" w:lineRule="auto"/>
        <w:tabs>
          <w:tab w:leader="none" w:pos="1256"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compulsory or negotiated cash payments and rebates to governmental authorities (or designated beneficiaries thereof) in the context of any national or local health insurance programs or similar programs, including pay-for-performance agreements and risk sharing agreements, in each case with respect to Product;</w:t>
      </w:r>
    </w:p>
    <w:p>
      <w:pPr>
        <w:spacing w:after="0" w:line="183" w:lineRule="exact"/>
        <w:rPr>
          <w:rFonts w:ascii="Arial" w:cs="Arial" w:eastAsia="Arial" w:hAnsi="Arial"/>
          <w:sz w:val="18"/>
          <w:szCs w:val="18"/>
          <w:b w:val="1"/>
          <w:bCs w:val="1"/>
          <w:color w:val="auto"/>
        </w:rPr>
      </w:pPr>
    </w:p>
    <w:p>
      <w:pPr>
        <w:ind w:right="300" w:firstLine="987"/>
        <w:spacing w:after="0" w:line="263" w:lineRule="auto"/>
        <w:tabs>
          <w:tab w:leader="none" w:pos="1236"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rebates, chargebacks, administrative fees, and discounts to managed health care organizations, group purchasing organizations, insurers, pharmacy benefit managers (or equivalent thereof), specialty pharmacy providers, purchasers, reimbursers, or trade customers, in each case with respect to Product;</w:t>
      </w:r>
    </w:p>
    <w:p>
      <w:pPr>
        <w:spacing w:after="0" w:line="183" w:lineRule="exact"/>
        <w:rPr>
          <w:rFonts w:ascii="Arial" w:cs="Arial" w:eastAsia="Arial" w:hAnsi="Arial"/>
          <w:sz w:val="18"/>
          <w:szCs w:val="18"/>
          <w:b w:val="1"/>
          <w:bCs w:val="1"/>
          <w:color w:val="auto"/>
        </w:rPr>
      </w:pPr>
    </w:p>
    <w:p>
      <w:pPr>
        <w:ind w:right="40" w:firstLine="987"/>
        <w:spacing w:after="0" w:line="277" w:lineRule="auto"/>
        <w:tabs>
          <w:tab w:leader="none" w:pos="1256"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reasonable fees paid to wholesalers, distributors, selling agents (excluding sales representatives of the Selling Party), group purchasing organizations, Third Party payors, and managed care entities, in each case with respect to Product;</w:t>
      </w:r>
    </w:p>
    <w:p>
      <w:pPr>
        <w:spacing w:after="0" w:line="170" w:lineRule="exact"/>
        <w:rPr>
          <w:rFonts w:ascii="Arial" w:cs="Arial" w:eastAsia="Arial" w:hAnsi="Arial"/>
          <w:sz w:val="18"/>
          <w:szCs w:val="18"/>
          <w:b w:val="1"/>
          <w:bCs w:val="1"/>
          <w:color w:val="auto"/>
        </w:rPr>
      </w:pPr>
    </w:p>
    <w:p>
      <w:pPr>
        <w:ind w:right="20" w:firstLine="987"/>
        <w:spacing w:after="0" w:line="277" w:lineRule="auto"/>
        <w:tabs>
          <w:tab w:leader="none" w:pos="1236"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retroactive price reductions, credits or allowances actually granted upon claims, rejections or returns of Product, including for recalls or damaged or expired goods, billing errors and reserves for returns, in each case with respect to Product;</w:t>
      </w:r>
    </w:p>
    <w:p>
      <w:pPr>
        <w:spacing w:after="0" w:line="170" w:lineRule="exact"/>
        <w:rPr>
          <w:rFonts w:ascii="Arial" w:cs="Arial" w:eastAsia="Arial" w:hAnsi="Arial"/>
          <w:sz w:val="18"/>
          <w:szCs w:val="18"/>
          <w:b w:val="1"/>
          <w:bCs w:val="1"/>
          <w:color w:val="auto"/>
        </w:rPr>
      </w:pPr>
    </w:p>
    <w:p>
      <w:pPr>
        <w:ind w:right="420" w:firstLine="987"/>
        <w:spacing w:after="0" w:line="263" w:lineRule="auto"/>
        <w:tabs>
          <w:tab w:leader="none" w:pos="1216" w:val="left"/>
        </w:tabs>
        <w:numPr>
          <w:ilvl w:val="0"/>
          <w:numId w:val="290"/>
        </w:numPr>
        <w:rPr>
          <w:rFonts w:ascii="Arial" w:cs="Arial" w:eastAsia="Arial" w:hAnsi="Arial"/>
          <w:sz w:val="18"/>
          <w:szCs w:val="18"/>
          <w:b w:val="1"/>
          <w:bCs w:val="1"/>
          <w:color w:val="auto"/>
        </w:rPr>
      </w:pPr>
      <w:r>
        <w:rPr>
          <w:rFonts w:ascii="Arial" w:cs="Arial" w:eastAsia="Arial" w:hAnsi="Arial"/>
          <w:sz w:val="18"/>
          <w:szCs w:val="18"/>
          <w:color w:val="auto"/>
        </w:rPr>
        <w:t>excise taxes, use taxes, tariffs, sales taxes and customs duties or other government charges or fees imposed on the sale of Product (including VAT, but only to the extent that such VAT taxes are not reimbursable or refundable), specifically excluding, for clarity, any income taxes assessed against the income arising from such sale;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419" w:name="page420"/>
    <w:bookmarkEnd w:id="419"/>
    <w:p>
      <w:pPr>
        <w:ind w:right="160" w:firstLine="987"/>
        <w:spacing w:after="0" w:line="277" w:lineRule="auto"/>
        <w:tabs>
          <w:tab w:leader="none" w:pos="1246" w:val="left"/>
        </w:tabs>
        <w:numPr>
          <w:ilvl w:val="0"/>
          <w:numId w:val="29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outbound freight, shipment, insurance and other distribution costs to the extent included in the invoiced price and separately itemized on the invoice, in each case with respect to Product; and</w:t>
      </w:r>
    </w:p>
    <w:p>
      <w:pPr>
        <w:spacing w:after="0" w:line="170" w:lineRule="exact"/>
        <w:rPr>
          <w:rFonts w:ascii="Arial" w:cs="Arial" w:eastAsia="Arial" w:hAnsi="Arial"/>
          <w:sz w:val="18"/>
          <w:szCs w:val="18"/>
          <w:b w:val="1"/>
          <w:bCs w:val="1"/>
          <w:color w:val="auto"/>
        </w:rPr>
      </w:pPr>
    </w:p>
    <w:p>
      <w:pPr>
        <w:ind w:right="140" w:firstLine="987"/>
        <w:spacing w:after="0" w:line="308" w:lineRule="auto"/>
        <w:tabs>
          <w:tab w:leader="none" w:pos="1256" w:val="left"/>
        </w:tabs>
        <w:numPr>
          <w:ilvl w:val="0"/>
          <w:numId w:val="291"/>
        </w:numPr>
        <w:rPr>
          <w:rFonts w:ascii="Arial" w:cs="Arial" w:eastAsia="Arial" w:hAnsi="Arial"/>
          <w:sz w:val="17"/>
          <w:szCs w:val="17"/>
          <w:b w:val="1"/>
          <w:bCs w:val="1"/>
          <w:color w:val="auto"/>
        </w:rPr>
      </w:pPr>
      <w:r>
        <w:rPr>
          <w:rFonts w:ascii="Arial" w:cs="Arial" w:eastAsia="Arial" w:hAnsi="Arial"/>
          <w:sz w:val="17"/>
          <w:szCs w:val="17"/>
          <w:color w:val="auto"/>
        </w:rPr>
        <w:t xml:space="preserve">amounts actually written off as bad debt or otherwise uncollectible with respect to Product;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if any such written-off amounts are subsequently collected, such collected amounts shall be included in Net Sales in the period in which they are collected.</w:t>
      </w:r>
    </w:p>
    <w:p>
      <w:pPr>
        <w:spacing w:after="0" w:line="146"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 xml:space="preserve">For clarity, sale of a Product by a Selling Party to another Selling Party for resale by such entity to a Third Party (other than a Selling Party) shall not be deemed a sale for purposes of this definition of “Net Sales,”;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first sale thereafter by a Selling Party to a Third Party (other than a Selling Party) shall be included in the computation of Net Sales. If a Selling Party sells or disposes of a Product to a Third Party (other than a Selling Party) in a country in a transaction that is not an arm’s-length sale (defined below), the gross amount invoiced for such Product for purposes of calculating Net Sales for such transaction shall be deemed to equal the weighted (by sales volume) average sale price of such Product in such country to arm’s-length purchasers during the calendar quarter in which such sale or disposition occurs. For purposes of the foregoing, an “arm’s-length sale” is a sale of Product solely for cash consideration to a Third Party that is unaffiliated with the Selling Party.</w:t>
      </w:r>
    </w:p>
    <w:p>
      <w:pPr>
        <w:spacing w:after="0" w:line="166" w:lineRule="exact"/>
        <w:rPr>
          <w:sz w:val="20"/>
          <w:szCs w:val="20"/>
          <w:color w:val="auto"/>
        </w:rPr>
      </w:pPr>
    </w:p>
    <w:p>
      <w:pPr>
        <w:ind w:right="80" w:firstLine="440"/>
        <w:spacing w:after="0" w:line="301" w:lineRule="auto"/>
        <w:rPr>
          <w:sz w:val="20"/>
          <w:szCs w:val="20"/>
          <w:color w:val="auto"/>
        </w:rPr>
      </w:pPr>
      <w:r>
        <w:rPr>
          <w:rFonts w:ascii="Arial" w:cs="Arial" w:eastAsia="Arial" w:hAnsi="Arial"/>
          <w:sz w:val="16"/>
          <w:szCs w:val="16"/>
          <w:color w:val="auto"/>
        </w:rPr>
        <w:t>Further, transfers or dispositions of Products as free promotional samples in commercially reasonable amounts, consistent with prevailing pharmaceutical industry standards, or in any patient assistance, test marketing program, named-patient program or compassionate use program (so long as such Products are provided without charge or at or below the Selling Party’s cost), donated to non-profit institutions or government agencies, or used in research, development or regulatory activities, including, without limitation, clinical trials, shall be disregarded in determining Net Sales.</w:t>
      </w:r>
    </w:p>
    <w:p>
      <w:pPr>
        <w:spacing w:after="0" w:line="15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On a country-by-country basis, if a Product under this Agreement is sold in the form of a Combination Product in a country, Net Sales for the purpose of determining royalties due hereunder shall be calculated as follows:</w:t>
      </w:r>
    </w:p>
    <w:p>
      <w:pPr>
        <w:spacing w:after="0" w:line="58" w:lineRule="exact"/>
        <w:rPr>
          <w:sz w:val="20"/>
          <w:szCs w:val="20"/>
          <w:color w:val="auto"/>
        </w:rPr>
      </w:pPr>
    </w:p>
    <w:p>
      <w:pPr>
        <w:ind w:right="20" w:firstLine="1428"/>
        <w:spacing w:after="0" w:line="256" w:lineRule="auto"/>
        <w:tabs>
          <w:tab w:leader="none" w:pos="1647"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Where both Product containing the applicable CoV Antibody as its sole active therapeutic ingredient (“</w:t>
      </w:r>
      <w:r>
        <w:rPr>
          <w:rFonts w:ascii="Arial" w:cs="Arial" w:eastAsia="Arial" w:hAnsi="Arial"/>
          <w:sz w:val="18"/>
          <w:szCs w:val="18"/>
          <w:b w:val="1"/>
          <w:bCs w:val="1"/>
          <w:color w:val="auto"/>
        </w:rPr>
        <w:t>Single-Agent Product</w:t>
      </w:r>
      <w:r>
        <w:rPr>
          <w:rFonts w:ascii="Arial" w:cs="Arial" w:eastAsia="Arial" w:hAnsi="Arial"/>
          <w:sz w:val="18"/>
          <w:szCs w:val="18"/>
          <w:color w:val="auto"/>
        </w:rPr>
        <w:t>”) and all Other Active(s) in such Combination Product are sold separately in such country, Net Sales shall be calculated by multiplying actual Net Sales of such Combination Product in such country (as determined without the application of this paragraph) by the fraction A/(A+B), where A is the weighted average sale price (by sales volume) of Single-Agent Product in such country, and B is the weighted average sale price (by sales volume) of the Other Active(s) in the Combination Product when sold separately, in each case in the same dosage and dosage form and in the same country as the Combination Product during the applicable reporting period.</w:t>
      </w:r>
    </w:p>
    <w:p>
      <w:pPr>
        <w:spacing w:after="0" w:line="191" w:lineRule="exact"/>
        <w:rPr>
          <w:rFonts w:ascii="Arial" w:cs="Arial" w:eastAsia="Arial" w:hAnsi="Arial"/>
          <w:sz w:val="18"/>
          <w:szCs w:val="18"/>
          <w:b w:val="1"/>
          <w:bCs w:val="1"/>
          <w:color w:val="auto"/>
        </w:rPr>
      </w:pPr>
    </w:p>
    <w:p>
      <w:pPr>
        <w:ind w:firstLine="1428"/>
        <w:spacing w:after="0" w:line="259" w:lineRule="auto"/>
        <w:tabs>
          <w:tab w:leader="none" w:pos="1697" w:val="left"/>
        </w:tabs>
        <w:numPr>
          <w:ilvl w:val="0"/>
          <w:numId w:val="292"/>
        </w:numPr>
        <w:rPr>
          <w:rFonts w:ascii="Arial" w:cs="Arial" w:eastAsia="Arial" w:hAnsi="Arial"/>
          <w:sz w:val="18"/>
          <w:szCs w:val="18"/>
          <w:b w:val="1"/>
          <w:bCs w:val="1"/>
          <w:color w:val="auto"/>
        </w:rPr>
      </w:pPr>
      <w:r>
        <w:rPr>
          <w:rFonts w:ascii="Arial" w:cs="Arial" w:eastAsia="Arial" w:hAnsi="Arial"/>
          <w:sz w:val="18"/>
          <w:szCs w:val="18"/>
          <w:color w:val="auto"/>
        </w:rPr>
        <w:t>If Single-Agent Product is sold in such country, but none of the Other Active(s) is sold separately in such country, Net Sales shall be calculated by multiplying actual Net Sales of such Combination Product in such country (as determined without the application of this paragraph) by the fraction A/C, where A is the weighted average sale price (by sales volume) of such Single-Agent Product in such country, and C is the weighted average sale price (by sales volume) of the Combination Product in such country.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20" w:name="page421"/>
    <w:bookmarkEnd w:id="420"/>
    <w:p>
      <w:pPr>
        <w:ind w:right="60" w:firstLine="1428"/>
        <w:spacing w:after="0" w:line="301" w:lineRule="auto"/>
        <w:tabs>
          <w:tab w:leader="none" w:pos="1747" w:val="left"/>
        </w:tabs>
        <w:numPr>
          <w:ilvl w:val="0"/>
          <w:numId w:val="29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Single-Agent Product is not sold in such country, but the Other Active(s) are sold separately in such country, Net Sales shall be calculated by multiplying actual Net Sales of such Combination Product in such country (as determined without the application of this paragraph) by the fraction (C-D)/C, where C is the weighted average sale price (by sales volume) of the Combination Product in such country, and D is the sum of the weighted average sale price (by sales volume) of the Other Active(s) in the Combination Product when sold separately in such country.</w:t>
      </w:r>
    </w:p>
    <w:p>
      <w:pPr>
        <w:spacing w:after="0" w:line="157" w:lineRule="exact"/>
        <w:rPr>
          <w:rFonts w:ascii="Arial" w:cs="Arial" w:eastAsia="Arial" w:hAnsi="Arial"/>
          <w:sz w:val="16"/>
          <w:szCs w:val="16"/>
          <w:b w:val="1"/>
          <w:bCs w:val="1"/>
          <w:color w:val="auto"/>
        </w:rPr>
      </w:pPr>
    </w:p>
    <w:p>
      <w:pPr>
        <w:ind w:right="160" w:firstLine="1428"/>
        <w:spacing w:after="0" w:line="257" w:lineRule="auto"/>
        <w:tabs>
          <w:tab w:leader="none" w:pos="1737" w:val="left"/>
        </w:tabs>
        <w:numPr>
          <w:ilvl w:val="0"/>
          <w:numId w:val="293"/>
        </w:numPr>
        <w:rPr>
          <w:rFonts w:ascii="Arial" w:cs="Arial" w:eastAsia="Arial" w:hAnsi="Arial"/>
          <w:sz w:val="18"/>
          <w:szCs w:val="18"/>
          <w:b w:val="1"/>
          <w:bCs w:val="1"/>
          <w:color w:val="auto"/>
        </w:rPr>
      </w:pPr>
      <w:r>
        <w:rPr>
          <w:rFonts w:ascii="Arial" w:cs="Arial" w:eastAsia="Arial" w:hAnsi="Arial"/>
          <w:sz w:val="18"/>
          <w:szCs w:val="18"/>
          <w:color w:val="auto"/>
        </w:rPr>
        <w:t>If neither Single-Agent Product nor the Other Active(s) are sold separately in such country, Net Sales for the purpose of determining royalties due hereunder for the Combination Product shall be determined by mutual agreement of the Parties in good faith based on the relative value contributions of the CoV Antibody and the Other Active(s), such agreement not to be unreasonably withheld. If the Parties are unable to reach mutual agreement as to the relative value contributions of the CoV Antibody and the Other Active(s), such relative value contributions shall be determined [***].</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Other Active</w:t>
      </w:r>
      <w:r>
        <w:rPr>
          <w:rFonts w:ascii="Arial" w:cs="Arial" w:eastAsia="Arial" w:hAnsi="Arial"/>
          <w:sz w:val="18"/>
          <w:szCs w:val="18"/>
          <w:color w:val="auto"/>
        </w:rPr>
        <w:t>” means any active therapeutic ingredient other than a CoV Antibody.</w:t>
      </w:r>
    </w:p>
    <w:p>
      <w:pPr>
        <w:spacing w:after="0" w:line="225" w:lineRule="exact"/>
        <w:rPr>
          <w:sz w:val="20"/>
          <w:szCs w:val="20"/>
          <w:color w:val="auto"/>
        </w:rPr>
      </w:pPr>
    </w:p>
    <w:p>
      <w:pPr>
        <w:ind w:right="240" w:firstLine="440"/>
        <w:spacing w:after="0" w:line="312" w:lineRule="auto"/>
        <w:rPr>
          <w:sz w:val="20"/>
          <w:szCs w:val="20"/>
          <w:color w:val="auto"/>
        </w:rPr>
      </w:pPr>
      <w:r>
        <w:rPr>
          <w:rFonts w:ascii="Arial" w:cs="Arial" w:eastAsia="Arial" w:hAnsi="Arial"/>
          <w:sz w:val="17"/>
          <w:szCs w:val="17"/>
          <w:b w:val="1"/>
          <w:bCs w:val="1"/>
          <w:color w:val="auto"/>
        </w:rPr>
        <w:t xml:space="preserve">1.70 </w:t>
      </w:r>
      <w:r>
        <w:rPr>
          <w:rFonts w:ascii="Arial" w:cs="Arial" w:eastAsia="Arial" w:hAnsi="Arial"/>
          <w:sz w:val="17"/>
          <w:szCs w:val="17"/>
          <w:color w:val="auto"/>
        </w:rPr>
        <w:t>“</w:t>
      </w:r>
      <w:r>
        <w:rPr>
          <w:rFonts w:ascii="Arial" w:cs="Arial" w:eastAsia="Arial" w:hAnsi="Arial"/>
          <w:sz w:val="17"/>
          <w:szCs w:val="17"/>
          <w:b w:val="1"/>
          <w:bCs w:val="1"/>
          <w:color w:val="auto"/>
        </w:rPr>
        <w:t>Other Adagio Patents</w:t>
      </w:r>
      <w:r>
        <w:rPr>
          <w:rFonts w:ascii="Arial" w:cs="Arial" w:eastAsia="Arial" w:hAnsi="Arial"/>
          <w:sz w:val="17"/>
          <w:szCs w:val="17"/>
          <w:color w:val="auto"/>
        </w:rPr>
        <w:t>” means all Adagio Patents (other than Blocking Adagio Patents) that claim inventions actually practiced by or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Adagio in the manufacture, use, sale, offer for sale or import of any CoV Antibody prior to termination of this Agreement.</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Adimab or Adagio.</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1.72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anywhere in the world, including all of the following categories of patents and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and their foreign equivalents: provisional, utility, divisional, continuation, continuation-in-part, and substitution applications; and utility, re-issue, re-examination, renewal and extended patents; and any rights associated with extended patent terms, including Patent Term Adjustment (PTA), Patent Term Extension (PTE), Supplementary Protection Certificates (SPC); and other similar rights.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1.73 </w:t>
      </w:r>
      <w:r>
        <w:rPr>
          <w:rFonts w:ascii="Arial" w:cs="Arial" w:eastAsia="Arial" w:hAnsi="Arial"/>
          <w:sz w:val="16"/>
          <w:szCs w:val="16"/>
          <w:color w:val="auto"/>
        </w:rPr>
        <w:t>“</w:t>
      </w:r>
      <w:r>
        <w:rPr>
          <w:rFonts w:ascii="Arial" w:cs="Arial" w:eastAsia="Arial" w:hAnsi="Arial"/>
          <w:sz w:val="16"/>
          <w:szCs w:val="16"/>
          <w:b w:val="1"/>
          <w:bCs w:val="1"/>
          <w:color w:val="auto"/>
        </w:rPr>
        <w:t>Phase I Trial</w:t>
      </w:r>
      <w:r>
        <w:rPr>
          <w:rFonts w:ascii="Arial" w:cs="Arial" w:eastAsia="Arial" w:hAnsi="Arial"/>
          <w:sz w:val="16"/>
          <w:szCs w:val="16"/>
          <w:color w:val="auto"/>
        </w:rPr>
        <w:t>” means a human clinical trial conducted in any country that would satisfy the requirements for a Phase 1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312.21(a) (or any amended or successor regulations).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1.74 </w:t>
      </w:r>
      <w:r>
        <w:rPr>
          <w:rFonts w:ascii="Arial" w:cs="Arial" w:eastAsia="Arial" w:hAnsi="Arial"/>
          <w:sz w:val="16"/>
          <w:szCs w:val="16"/>
          <w:color w:val="auto"/>
        </w:rPr>
        <w:t>“</w:t>
      </w:r>
      <w:r>
        <w:rPr>
          <w:rFonts w:ascii="Arial" w:cs="Arial" w:eastAsia="Arial" w:hAnsi="Arial"/>
          <w:sz w:val="16"/>
          <w:szCs w:val="16"/>
          <w:b w:val="1"/>
          <w:bCs w:val="1"/>
          <w:color w:val="auto"/>
        </w:rPr>
        <w:t>Phase II Trial</w:t>
      </w:r>
      <w:r>
        <w:rPr>
          <w:rFonts w:ascii="Arial" w:cs="Arial" w:eastAsia="Arial" w:hAnsi="Arial"/>
          <w:sz w:val="16"/>
          <w:szCs w:val="16"/>
          <w:color w:val="auto"/>
        </w:rPr>
        <w:t>” means a human clinical trial conducted in any country that would satisfy the requirements for a Phase 2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312.21(b) (or any amended or successor regulations).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1.75 </w:t>
      </w:r>
      <w:r>
        <w:rPr>
          <w:rFonts w:ascii="Arial" w:cs="Arial" w:eastAsia="Arial" w:hAnsi="Arial"/>
          <w:sz w:val="16"/>
          <w:szCs w:val="16"/>
          <w:color w:val="auto"/>
        </w:rPr>
        <w:t>“</w:t>
      </w:r>
      <w:r>
        <w:rPr>
          <w:rFonts w:ascii="Arial" w:cs="Arial" w:eastAsia="Arial" w:hAnsi="Arial"/>
          <w:sz w:val="16"/>
          <w:szCs w:val="16"/>
          <w:b w:val="1"/>
          <w:bCs w:val="1"/>
          <w:color w:val="auto"/>
        </w:rPr>
        <w:t>Phase III Trial</w:t>
      </w:r>
      <w:r>
        <w:rPr>
          <w:rFonts w:ascii="Arial" w:cs="Arial" w:eastAsia="Arial" w:hAnsi="Arial"/>
          <w:sz w:val="16"/>
          <w:szCs w:val="16"/>
          <w:color w:val="auto"/>
        </w:rPr>
        <w:t>” means a human clinical trial conducted in any country that would satisfy the requirements for a Phase 3 study as defined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21 CFR § 312.21(c) (or any amended or successor regulations).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421" w:name="page422"/>
    <w:bookmarkEnd w:id="421"/>
    <w:p>
      <w:pPr>
        <w:ind w:right="84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1.76 </w:t>
      </w:r>
      <w:r>
        <w:rPr>
          <w:rFonts w:ascii="Arial" w:cs="Arial" w:eastAsia="Arial" w:hAnsi="Arial"/>
          <w:sz w:val="18"/>
          <w:szCs w:val="18"/>
          <w:color w:val="auto"/>
        </w:rPr>
        <w:t>“</w:t>
      </w:r>
      <w:r>
        <w:rPr>
          <w:rFonts w:ascii="Arial" w:cs="Arial" w:eastAsia="Arial" w:hAnsi="Arial"/>
          <w:sz w:val="18"/>
          <w:szCs w:val="18"/>
          <w:b w:val="1"/>
          <w:bCs w:val="1"/>
          <w:color w:val="auto"/>
        </w:rPr>
        <w:t>PMDA</w:t>
      </w:r>
      <w:r>
        <w:rPr>
          <w:rFonts w:ascii="Arial" w:cs="Arial" w:eastAsia="Arial" w:hAnsi="Arial"/>
          <w:sz w:val="18"/>
          <w:szCs w:val="18"/>
          <w:color w:val="auto"/>
        </w:rPr>
        <w:t>” shall mean the Japanese Pharmaceuticals and Medical Devices Agency or any successor agency thereto in Japan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firstLine="440"/>
        <w:spacing w:after="0" w:line="312" w:lineRule="auto"/>
        <w:rPr>
          <w:sz w:val="20"/>
          <w:szCs w:val="20"/>
          <w:color w:val="auto"/>
        </w:rPr>
      </w:pPr>
      <w:r>
        <w:rPr>
          <w:rFonts w:ascii="Arial" w:cs="Arial" w:eastAsia="Arial" w:hAnsi="Arial"/>
          <w:sz w:val="17"/>
          <w:szCs w:val="17"/>
          <w:b w:val="1"/>
          <w:bCs w:val="1"/>
          <w:color w:val="auto"/>
        </w:rPr>
        <w:t xml:space="preserve">1.77 </w:t>
      </w:r>
      <w:r>
        <w:rPr>
          <w:rFonts w:ascii="Arial" w:cs="Arial" w:eastAsia="Arial" w:hAnsi="Arial"/>
          <w:sz w:val="17"/>
          <w:szCs w:val="17"/>
          <w:color w:val="auto"/>
        </w:rPr>
        <w:t>“</w:t>
      </w:r>
      <w:r>
        <w:rPr>
          <w:rFonts w:ascii="Arial" w:cs="Arial" w:eastAsia="Arial" w:hAnsi="Arial"/>
          <w:sz w:val="17"/>
          <w:szCs w:val="17"/>
          <w:b w:val="1"/>
          <w:bCs w:val="1"/>
          <w:color w:val="auto"/>
        </w:rPr>
        <w:t>Product</w:t>
      </w:r>
      <w:r>
        <w:rPr>
          <w:rFonts w:ascii="Arial" w:cs="Arial" w:eastAsia="Arial" w:hAnsi="Arial"/>
          <w:sz w:val="17"/>
          <w:szCs w:val="17"/>
          <w:color w:val="auto"/>
        </w:rPr>
        <w:t>” means any pharmaceutical product (whether or not such product has received Marketing Approval) that comprises or contains one</w:t>
      </w:r>
      <w:r>
        <w:rPr>
          <w:rFonts w:ascii="Arial" w:cs="Arial" w:eastAsia="Arial" w:hAnsi="Arial"/>
          <w:sz w:val="17"/>
          <w:szCs w:val="17"/>
          <w:b w:val="1"/>
          <w:bCs w:val="1"/>
          <w:color w:val="auto"/>
        </w:rPr>
        <w:t xml:space="preserve"> </w:t>
      </w:r>
      <w:r>
        <w:rPr>
          <w:rFonts w:ascii="Arial" w:cs="Arial" w:eastAsia="Arial" w:hAnsi="Arial"/>
          <w:sz w:val="17"/>
          <w:szCs w:val="17"/>
          <w:color w:val="auto"/>
        </w:rPr>
        <w:t>or more CoV Antibodies (whether or not as the sole active ingredient(s)), including, without limitation, any Companion Diagnostic.</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6.2 (</w:t>
      </w:r>
      <w:r>
        <w:rPr>
          <w:rFonts w:ascii="Arial" w:cs="Arial" w:eastAsia="Arial" w:hAnsi="Arial"/>
          <w:sz w:val="18"/>
          <w:szCs w:val="18"/>
          <w:i w:val="1"/>
          <w:iCs w:val="1"/>
          <w:color w:val="auto"/>
        </w:rPr>
        <w:t>Exclusions from Nondisclosure Obligation</w:t>
      </w:r>
      <w:r>
        <w:rPr>
          <w:rFonts w:ascii="Arial" w:cs="Arial" w:eastAsia="Arial" w:hAnsi="Arial"/>
          <w:sz w:val="18"/>
          <w:szCs w:val="18"/>
          <w:color w:val="auto"/>
        </w:rPr>
        <w:t>).</w:t>
      </w:r>
    </w:p>
    <w:p>
      <w:pPr>
        <w:spacing w:after="0" w:line="225" w:lineRule="exact"/>
        <w:rPr>
          <w:sz w:val="20"/>
          <w:szCs w:val="20"/>
          <w:color w:val="auto"/>
        </w:rPr>
      </w:pPr>
    </w:p>
    <w:p>
      <w:pPr>
        <w:jc w:val="both"/>
        <w:ind w:right="280" w:firstLine="440"/>
        <w:spacing w:after="0" w:line="266" w:lineRule="auto"/>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shall mean any national, supranational or other regulatory agency, department, bureau or other governmental or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having the administrative authority to regulate the development or marketing of pharmaceutical products in any country or other jurisdiction, including the FDA in the U.S., the EMA in the European Union, and the PMDA in Japan.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Royalty Payment</w:t>
      </w:r>
      <w:r>
        <w:rPr>
          <w:rFonts w:ascii="Arial" w:cs="Arial" w:eastAsia="Arial" w:hAnsi="Arial"/>
          <w:sz w:val="18"/>
          <w:szCs w:val="18"/>
          <w:color w:val="auto"/>
        </w:rPr>
        <w:t>” has the meaning set forth in Section 4.2(a) (</w:t>
      </w:r>
      <w:r>
        <w:rPr>
          <w:rFonts w:ascii="Arial" w:cs="Arial" w:eastAsia="Arial" w:hAnsi="Arial"/>
          <w:sz w:val="18"/>
          <w:szCs w:val="18"/>
          <w:i w:val="1"/>
          <w:iCs w:val="1"/>
          <w:color w:val="auto"/>
        </w:rPr>
        <w:t>Royalty Payments</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means, on a Product-by-Product and country-by-country basis, the term beginning on First Commercial Sale of a Product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 country and ending at the later of (a) twelve (12) years after the First Commercial Sale of such Product in such country and (b) the expiration of the last Valid Claim of an CoV Antibody Patent listed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(or a Patent claiming priority to an CoV Antibody Patent listed on </w:t>
      </w:r>
      <w:r>
        <w:rPr>
          <w:rFonts w:ascii="Arial" w:cs="Arial" w:eastAsia="Arial" w:hAnsi="Arial"/>
          <w:sz w:val="18"/>
          <w:szCs w:val="18"/>
          <w:b w:val="1"/>
          <w:bCs w:val="1"/>
          <w:color w:val="auto"/>
        </w:rPr>
        <w:t>Exhibit B</w:t>
      </w:r>
      <w:r>
        <w:rPr>
          <w:rFonts w:ascii="Arial" w:cs="Arial" w:eastAsia="Arial" w:hAnsi="Arial"/>
          <w:sz w:val="18"/>
          <w:szCs w:val="18"/>
          <w:color w:val="auto"/>
        </w:rPr>
        <w:t xml:space="preserve"> hereto) Covering such Product in such country.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set forth in Section 10.4(b)(i) (</w:t>
      </w:r>
      <w:r>
        <w:rPr>
          <w:rFonts w:ascii="Arial" w:cs="Arial" w:eastAsia="Arial" w:hAnsi="Arial"/>
          <w:sz w:val="18"/>
          <w:szCs w:val="18"/>
          <w:i w:val="1"/>
          <w:iCs w:val="1"/>
          <w:color w:val="auto"/>
        </w:rPr>
        <w:t>Arbitration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Sale Transaction</w:t>
      </w:r>
      <w:r>
        <w:rPr>
          <w:rFonts w:ascii="Arial" w:cs="Arial" w:eastAsia="Arial" w:hAnsi="Arial"/>
          <w:sz w:val="18"/>
          <w:szCs w:val="18"/>
          <w:color w:val="auto"/>
        </w:rPr>
        <w:t>” has the meaning set forth in Section 10.7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color w:val="auto"/>
        </w:rPr>
        <w:t>Second Product</w:t>
      </w:r>
      <w:r>
        <w:rPr>
          <w:rFonts w:ascii="Arial" w:cs="Arial" w:eastAsia="Arial" w:hAnsi="Arial"/>
          <w:sz w:val="18"/>
          <w:szCs w:val="18"/>
          <w:color w:val="auto"/>
        </w:rPr>
        <w:t>” has the meaning set forth in Section 4.1(a)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provided in Section 1.68 (</w:t>
      </w:r>
      <w:r>
        <w:rPr>
          <w:rFonts w:ascii="Arial" w:cs="Arial" w:eastAsia="Arial" w:hAnsi="Arial"/>
          <w:sz w:val="18"/>
          <w:szCs w:val="18"/>
          <w:i w:val="1"/>
          <w:iCs w:val="1"/>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1.86 </w:t>
      </w:r>
      <w:r>
        <w:rPr>
          <w:rFonts w:ascii="Arial" w:cs="Arial" w:eastAsia="Arial" w:hAnsi="Arial"/>
          <w:sz w:val="18"/>
          <w:szCs w:val="18"/>
          <w:color w:val="auto"/>
        </w:rPr>
        <w:t>“</w:t>
      </w:r>
      <w:r>
        <w:rPr>
          <w:rFonts w:ascii="Arial" w:cs="Arial" w:eastAsia="Arial" w:hAnsi="Arial"/>
          <w:sz w:val="18"/>
          <w:szCs w:val="18"/>
          <w:b w:val="1"/>
          <w:bCs w:val="1"/>
          <w:color w:val="auto"/>
        </w:rPr>
        <w:t>Sequence</w:t>
      </w:r>
      <w:r>
        <w:rPr>
          <w:rFonts w:ascii="Arial" w:cs="Arial" w:eastAsia="Arial" w:hAnsi="Arial"/>
          <w:sz w:val="18"/>
          <w:szCs w:val="18"/>
          <w:color w:val="auto"/>
        </w:rPr>
        <w:t>” means, with respect to any Antibody, the amino acid sequence of such Antibody and the corresponding nucleic acid sequences</w:t>
      </w:r>
      <w:r>
        <w:rPr>
          <w:rFonts w:ascii="Arial" w:cs="Arial" w:eastAsia="Arial" w:hAnsi="Arial"/>
          <w:sz w:val="18"/>
          <w:szCs w:val="18"/>
          <w:b w:val="1"/>
          <w:bCs w:val="1"/>
          <w:color w:val="auto"/>
        </w:rPr>
        <w:t xml:space="preserve"> </w:t>
      </w:r>
      <w:r>
        <w:rPr>
          <w:rFonts w:ascii="Arial" w:cs="Arial" w:eastAsia="Arial" w:hAnsi="Arial"/>
          <w:sz w:val="18"/>
          <w:szCs w:val="18"/>
          <w:color w:val="auto"/>
        </w:rPr>
        <w:t>encoding such Antibody.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Single-Agent Product</w:t>
      </w:r>
      <w:r>
        <w:rPr>
          <w:rFonts w:ascii="Arial" w:cs="Arial" w:eastAsia="Arial" w:hAnsi="Arial"/>
          <w:sz w:val="18"/>
          <w:szCs w:val="18"/>
          <w:color w:val="auto"/>
        </w:rPr>
        <w:t>” has the meaning set forth in Section 1.76 (</w:t>
      </w:r>
      <w:r>
        <w:rPr>
          <w:rFonts w:ascii="Arial" w:cs="Arial" w:eastAsia="Arial" w:hAnsi="Arial"/>
          <w:sz w:val="18"/>
          <w:szCs w:val="18"/>
          <w:i w:val="1"/>
          <w:iCs w:val="1"/>
          <w:color w:val="auto"/>
        </w:rPr>
        <w:t>Net Sales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9.1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 entity other than a Party or a Party’s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Third Party Acquirer</w:t>
      </w:r>
      <w:r>
        <w:rPr>
          <w:rFonts w:ascii="Arial" w:cs="Arial" w:eastAsia="Arial" w:hAnsi="Arial"/>
          <w:sz w:val="18"/>
          <w:szCs w:val="18"/>
          <w:color w:val="auto"/>
        </w:rPr>
        <w:t>” has the meaning set forth in Section 10.7 (</w:t>
      </w:r>
      <w:r>
        <w:rPr>
          <w:rFonts w:ascii="Arial" w:cs="Arial" w:eastAsia="Arial" w:hAnsi="Arial"/>
          <w:sz w:val="18"/>
          <w:szCs w:val="18"/>
          <w:i w:val="1"/>
          <w:iCs w:val="1"/>
          <w:color w:val="auto"/>
        </w:rPr>
        <w:t>Assignment</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Third-Party Claims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22" w:name="page423"/>
    <w:bookmarkEnd w:id="422"/>
    <w:p>
      <w:pPr>
        <w:ind w:right="8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1.92 </w:t>
      </w:r>
      <w:r>
        <w:rPr>
          <w:rFonts w:ascii="Arial" w:cs="Arial" w:eastAsia="Arial" w:hAnsi="Arial"/>
          <w:sz w:val="18"/>
          <w:szCs w:val="18"/>
          <w:color w:val="auto"/>
        </w:rPr>
        <w:t>“</w:t>
      </w:r>
      <w:r>
        <w:rPr>
          <w:rFonts w:ascii="Arial" w:cs="Arial" w:eastAsia="Arial" w:hAnsi="Arial"/>
          <w:sz w:val="18"/>
          <w:szCs w:val="18"/>
          <w:b w:val="1"/>
          <w:bCs w:val="1"/>
          <w:color w:val="auto"/>
        </w:rPr>
        <w:t>Third Party Patent License</w:t>
      </w:r>
      <w:r>
        <w:rPr>
          <w:rFonts w:ascii="Arial" w:cs="Arial" w:eastAsia="Arial" w:hAnsi="Arial"/>
          <w:sz w:val="18"/>
          <w:szCs w:val="18"/>
          <w:color w:val="auto"/>
        </w:rPr>
        <w:t>” means a license under a Patent of a Third Party that Adagio determines in good faith is reasonably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manufacture, use, sale, offer for sale or import of a CoV Antibody or Product in order to avoid potential Third Party claims of patent infringement based on the way in which Adimab discovered an Adimab CoV Antibody using Adimab Platform Technology. For clarity, Third Party Patent Licenses explicitly excludes (a) licenses to any Patent other than a Patent Covering the way in which an Adimab CoV Antibody was discovered using Adimab Platform Technology and (b) licenses to Excluded Technology.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Unrestricted CoV Antibody</w:t>
      </w:r>
      <w:r>
        <w:rPr>
          <w:rFonts w:ascii="Arial" w:cs="Arial" w:eastAsia="Arial" w:hAnsi="Arial"/>
          <w:sz w:val="18"/>
          <w:szCs w:val="18"/>
          <w:color w:val="auto"/>
        </w:rPr>
        <w:t>” means any CoV-specific antibody that is not an CoV Antibody.</w:t>
      </w:r>
    </w:p>
    <w:p>
      <w:pPr>
        <w:spacing w:after="0" w:line="225"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1.94 </w:t>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claim of a Patent, which claim (a) is issued and unexpired and has not been found to be unpatentable, invalid or</w:t>
      </w:r>
      <w:r>
        <w:rPr>
          <w:rFonts w:ascii="Arial" w:cs="Arial" w:eastAsia="Arial" w:hAnsi="Arial"/>
          <w:sz w:val="18"/>
          <w:szCs w:val="18"/>
          <w:b w:val="1"/>
          <w:bCs w:val="1"/>
          <w:color w:val="auto"/>
        </w:rPr>
        <w:t xml:space="preserve"> </w:t>
      </w:r>
      <w:r>
        <w:rPr>
          <w:rFonts w:ascii="Arial" w:cs="Arial" w:eastAsia="Arial" w:hAnsi="Arial"/>
          <w:sz w:val="18"/>
          <w:szCs w:val="18"/>
          <w:color w:val="auto"/>
        </w:rPr>
        <w:t>unenforceable by a court or other authority having jurisdiction, from which decision no appeal is taken, will be taken or can be taken; or (b) is pending and has not been finally abandoned or finally rejected and has been pending for no more than [***].</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1.95 </w:t>
      </w:r>
      <w:r>
        <w:rPr>
          <w:rFonts w:ascii="Arial" w:cs="Arial" w:eastAsia="Arial" w:hAnsi="Arial"/>
          <w:sz w:val="18"/>
          <w:szCs w:val="18"/>
          <w:color w:val="auto"/>
        </w:rPr>
        <w:t>“</w:t>
      </w:r>
      <w:r>
        <w:rPr>
          <w:rFonts w:ascii="Arial" w:cs="Arial" w:eastAsia="Arial" w:hAnsi="Arial"/>
          <w:sz w:val="18"/>
          <w:szCs w:val="18"/>
          <w:b w:val="1"/>
          <w:bCs w:val="1"/>
          <w:color w:val="auto"/>
        </w:rPr>
        <w:t>Work Plan</w:t>
      </w:r>
      <w:r>
        <w:rPr>
          <w:rFonts w:ascii="Arial" w:cs="Arial" w:eastAsia="Arial" w:hAnsi="Arial"/>
          <w:sz w:val="18"/>
          <w:szCs w:val="18"/>
          <w:color w:val="auto"/>
        </w:rPr>
        <w:t>” has the meaning set forth in Section 2.2 (</w:t>
      </w:r>
      <w:r>
        <w:rPr>
          <w:rFonts w:ascii="Arial" w:cs="Arial" w:eastAsia="Arial" w:hAnsi="Arial"/>
          <w:sz w:val="18"/>
          <w:szCs w:val="18"/>
          <w:i w:val="1"/>
          <w:iCs w:val="1"/>
          <w:color w:val="auto"/>
        </w:rPr>
        <w:t>Work Plans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References in the body of this Agreement to “Sections” or “Articles” refer to the sections or articles of this Agreement. The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“including” and derivative forms of them shall be deemed followed by the phrase “without limitation” regardless of whether such phrase appears there (and with no implication being drawn from its inconsistent inclusion or non-inclusion) and the term “or” has the inclusive meaning represented by the phrase “and/or” (regardless of whether it is actually written and drawing no implication from the actual use of the phrase “and/or” in some instances but not in others).</w:t>
      </w:r>
    </w:p>
    <w:p>
      <w:pPr>
        <w:spacing w:after="0" w:line="39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WORK PLANS AND COORDINATION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Coordination.</w:t>
      </w:r>
    </w:p>
    <w:p>
      <w:pPr>
        <w:spacing w:after="0" w:line="225" w:lineRule="exact"/>
        <w:rPr>
          <w:sz w:val="20"/>
          <w:szCs w:val="20"/>
          <w:color w:val="auto"/>
        </w:rPr>
      </w:pPr>
    </w:p>
    <w:p>
      <w:pPr>
        <w:ind w:right="280" w:firstLine="987"/>
        <w:spacing w:after="0" w:line="266" w:lineRule="auto"/>
        <w:tabs>
          <w:tab w:leader="none" w:pos="1246"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Alliance Managers</w:t>
      </w:r>
      <w:r>
        <w:rPr>
          <w:rFonts w:ascii="Arial" w:cs="Arial" w:eastAsia="Arial" w:hAnsi="Arial"/>
          <w:sz w:val="18"/>
          <w:szCs w:val="18"/>
          <w:color w:val="auto"/>
        </w:rPr>
        <w:t>. Each Party shall designate in writing within [***]after the Effective Date an “</w:t>
      </w:r>
      <w:r>
        <w:rPr>
          <w:rFonts w:ascii="Arial" w:cs="Arial" w:eastAsia="Arial" w:hAnsi="Arial"/>
          <w:sz w:val="18"/>
          <w:szCs w:val="18"/>
          <w:b w:val="1"/>
          <w:bCs w:val="1"/>
          <w:color w:val="auto"/>
        </w:rPr>
        <w:t>Alliance Manager</w:t>
      </w:r>
      <w:r>
        <w:rPr>
          <w:rFonts w:ascii="Arial" w:cs="Arial" w:eastAsia="Arial" w:hAnsi="Arial"/>
          <w:sz w:val="18"/>
          <w:szCs w:val="18"/>
          <w:color w:val="auto"/>
        </w:rPr>
        <w:t>” to be the</w:t>
      </w:r>
      <w:r>
        <w:rPr>
          <w:rFonts w:ascii="Arial" w:cs="Arial" w:eastAsia="Arial" w:hAnsi="Arial"/>
          <w:sz w:val="18"/>
          <w:szCs w:val="18"/>
          <w:b w:val="1"/>
          <w:bCs w:val="1"/>
          <w:color w:val="auto"/>
        </w:rPr>
        <w:t xml:space="preserve"> </w:t>
      </w:r>
      <w:r>
        <w:rPr>
          <w:rFonts w:ascii="Arial" w:cs="Arial" w:eastAsia="Arial" w:hAnsi="Arial"/>
          <w:sz w:val="18"/>
          <w:szCs w:val="18"/>
          <w:color w:val="auto"/>
        </w:rPr>
        <w:t>primary contact for such Party. A Party may replace its Alliance Manager at any time upon written notice to the other Party. The Alliance Managers shall be responsible for managing communications between the Parties with respect to this Agreement.</w:t>
      </w:r>
    </w:p>
    <w:p>
      <w:pPr>
        <w:spacing w:after="0" w:line="175" w:lineRule="exact"/>
        <w:rPr>
          <w:rFonts w:ascii="Arial" w:cs="Arial" w:eastAsia="Arial" w:hAnsi="Arial"/>
          <w:sz w:val="18"/>
          <w:szCs w:val="18"/>
          <w:b w:val="1"/>
          <w:bCs w:val="1"/>
          <w:color w:val="auto"/>
        </w:rPr>
      </w:pPr>
    </w:p>
    <w:p>
      <w:pPr>
        <w:jc w:val="both"/>
        <w:ind w:right="240" w:firstLine="987"/>
        <w:spacing w:after="0" w:line="266" w:lineRule="auto"/>
        <w:tabs>
          <w:tab w:leader="none" w:pos="1256"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Campaign Manager</w:t>
      </w:r>
      <w:r>
        <w:rPr>
          <w:rFonts w:ascii="Arial" w:cs="Arial" w:eastAsia="Arial" w:hAnsi="Arial"/>
          <w:sz w:val="18"/>
          <w:szCs w:val="18"/>
          <w:color w:val="auto"/>
        </w:rPr>
        <w:t>. For the period of time beginning on the Effective Date and [***] for any reason, [***] shall not perform, or</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supervise the performance of, research relating to antibodies targeting CoV using Adimab Platform Technology for Adimab (whether for itself or on behalf of any Third Party) other than for Adagio.</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423" w:name="page424"/>
    <w:bookmarkEnd w:id="423"/>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 Work Plans and Budgets</w:t>
      </w:r>
      <w:r>
        <w:rPr>
          <w:rFonts w:ascii="Arial" w:cs="Arial" w:eastAsia="Arial" w:hAnsi="Arial"/>
          <w:sz w:val="18"/>
          <w:szCs w:val="18"/>
          <w:color w:val="auto"/>
        </w:rPr>
        <w:t>.</w:t>
      </w:r>
    </w:p>
    <w:p>
      <w:pPr>
        <w:spacing w:after="0" w:line="225" w:lineRule="exact"/>
        <w:rPr>
          <w:sz w:val="20"/>
          <w:szCs w:val="20"/>
          <w:color w:val="auto"/>
        </w:rPr>
      </w:pPr>
    </w:p>
    <w:p>
      <w:pPr>
        <w:ind w:right="140" w:firstLine="987"/>
        <w:spacing w:after="0" w:line="277" w:lineRule="auto"/>
        <w:tabs>
          <w:tab w:leader="none" w:pos="1246"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Work Plans</w:t>
      </w:r>
      <w:r>
        <w:rPr>
          <w:rFonts w:ascii="Arial" w:cs="Arial" w:eastAsia="Arial" w:hAnsi="Arial"/>
          <w:sz w:val="17"/>
          <w:szCs w:val="17"/>
          <w:color w:val="auto"/>
        </w:rPr>
        <w:t>. Adimab and Adagio shall agree on [***] written work plans setting forth the expected timeline, budget and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deliverables in connection with certain activities under this Agreement (each, a “</w:t>
      </w:r>
      <w:r>
        <w:rPr>
          <w:rFonts w:ascii="Arial" w:cs="Arial" w:eastAsia="Arial" w:hAnsi="Arial"/>
          <w:sz w:val="17"/>
          <w:szCs w:val="17"/>
          <w:b w:val="1"/>
          <w:bCs w:val="1"/>
          <w:color w:val="auto"/>
        </w:rPr>
        <w:t>Work Plan</w:t>
      </w:r>
      <w:r>
        <w:rPr>
          <w:rFonts w:ascii="Arial" w:cs="Arial" w:eastAsia="Arial" w:hAnsi="Arial"/>
          <w:sz w:val="17"/>
          <w:szCs w:val="17"/>
          <w:color w:val="auto"/>
        </w:rPr>
        <w:t xml:space="preserve">”), and each Party shall perform its obligations under such Work Plans in accordance therewith. As of the Effective Date, the Parties have agreed upon the initial Work Plan attached hereto as </w:t>
      </w:r>
      <w:r>
        <w:rPr>
          <w:rFonts w:ascii="Arial" w:cs="Arial" w:eastAsia="Arial" w:hAnsi="Arial"/>
          <w:sz w:val="17"/>
          <w:szCs w:val="17"/>
          <w:b w:val="1"/>
          <w:bCs w:val="1"/>
          <w:color w:val="auto"/>
        </w:rPr>
        <w:t>Exhibit C</w:t>
      </w:r>
      <w:r>
        <w:rPr>
          <w:rFonts w:ascii="Arial" w:cs="Arial" w:eastAsia="Arial" w:hAnsi="Arial"/>
          <w:sz w:val="17"/>
          <w:szCs w:val="17"/>
          <w:color w:val="auto"/>
        </w:rPr>
        <w:t>. For clarity, such Work Plans may cover affinity maturation or other optimization of CoV Antibodies, production of Adimab Materials, including CoV Antibodies, for use by Adagio, and support services such as IP support or program management.</w:t>
      </w:r>
    </w:p>
    <w:p>
      <w:pPr>
        <w:spacing w:after="0" w:line="167" w:lineRule="exact"/>
        <w:rPr>
          <w:rFonts w:ascii="Arial" w:cs="Arial" w:eastAsia="Arial" w:hAnsi="Arial"/>
          <w:sz w:val="17"/>
          <w:szCs w:val="17"/>
          <w:b w:val="1"/>
          <w:bCs w:val="1"/>
          <w:color w:val="auto"/>
        </w:rPr>
      </w:pPr>
    </w:p>
    <w:p>
      <w:pPr>
        <w:ind w:firstLine="987"/>
        <w:spacing w:after="0" w:line="298" w:lineRule="auto"/>
        <w:tabs>
          <w:tab w:leader="none" w:pos="1256" w:val="left"/>
        </w:tabs>
        <w:numPr>
          <w:ilvl w:val="0"/>
          <w:numId w:val="295"/>
        </w:numPr>
        <w:rPr>
          <w:rFonts w:ascii="Arial" w:cs="Arial" w:eastAsia="Arial" w:hAnsi="Arial"/>
          <w:sz w:val="16"/>
          <w:szCs w:val="16"/>
          <w:b w:val="1"/>
          <w:bCs w:val="1"/>
          <w:color w:val="auto"/>
        </w:rPr>
      </w:pPr>
      <w:r>
        <w:rPr>
          <w:rFonts w:ascii="Arial" w:cs="Arial" w:eastAsia="Arial" w:hAnsi="Arial"/>
          <w:sz w:val="16"/>
          <w:szCs w:val="16"/>
          <w:b w:val="1"/>
          <w:bCs w:val="1"/>
          <w:color w:val="auto"/>
        </w:rPr>
        <w:t>Work Plan Budgets</w:t>
      </w:r>
      <w:r>
        <w:rPr>
          <w:rFonts w:ascii="Arial" w:cs="Arial" w:eastAsia="Arial" w:hAnsi="Arial"/>
          <w:sz w:val="16"/>
          <w:szCs w:val="16"/>
          <w:color w:val="auto"/>
        </w:rPr>
        <w:t>. Adagio shall compensate Adimab on a calendar quarterly basis for Adimab’s performance of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and in accordance with, each Work Plan, in an amount determined by multiplying the actual FTEs expended by Adimab in the performance of such obligations during such calendar quarter by the FTE Rate. If Adimab anticipates an overage of more than [***] of the FTEs estimated for a given Work Plan, then Adimab shall cease work on such Work Plan until receiving instruction from Adagio to either (i) permanently cease work on such Work Plan, (ii) decrease the amount of work based on a mutually agreed revised Work Plan, or (iii) proceed as planned notwithstanding the overage.</w:t>
      </w:r>
    </w:p>
    <w:p>
      <w:pPr>
        <w:spacing w:after="0" w:line="153" w:lineRule="exact"/>
        <w:rPr>
          <w:rFonts w:ascii="Arial" w:cs="Arial" w:eastAsia="Arial" w:hAnsi="Arial"/>
          <w:sz w:val="16"/>
          <w:szCs w:val="16"/>
          <w:b w:val="1"/>
          <w:bCs w:val="1"/>
          <w:color w:val="auto"/>
        </w:rPr>
      </w:pPr>
    </w:p>
    <w:p>
      <w:pPr>
        <w:ind w:right="100" w:firstLine="987"/>
        <w:spacing w:after="0" w:line="277" w:lineRule="auto"/>
        <w:tabs>
          <w:tab w:leader="none" w:pos="1236"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Invoices</w:t>
      </w:r>
      <w:r>
        <w:rPr>
          <w:rFonts w:ascii="Arial" w:cs="Arial" w:eastAsia="Arial" w:hAnsi="Arial"/>
          <w:sz w:val="17"/>
          <w:szCs w:val="17"/>
          <w:color w:val="auto"/>
        </w:rPr>
        <w:t>. Within [***] after the end of each calendar quarter, Adimab will provide a written invoice to Adagio setting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detail the FTEs incurred in furtherance of activities under each then-current Work Plan. Such quarterly invoices will be accompanied by available supporting documentation, receipts or related documents to the extent reasonable to verify such incurred or committed FTEs for that calendar quarter. Within [***] after its receipt of such quarterly invoice, Adagio shall pay any amounts set forth in such quarterly invoice. The audit rights set forth in Section 4.7 (</w:t>
      </w:r>
      <w:r>
        <w:rPr>
          <w:rFonts w:ascii="Arial" w:cs="Arial" w:eastAsia="Arial" w:hAnsi="Arial"/>
          <w:sz w:val="17"/>
          <w:szCs w:val="17"/>
          <w:i w:val="1"/>
          <w:iCs w:val="1"/>
          <w:color w:val="auto"/>
        </w:rPr>
        <w:t>Records; Audit</w:t>
      </w:r>
      <w:r>
        <w:rPr>
          <w:rFonts w:ascii="Arial" w:cs="Arial" w:eastAsia="Arial" w:hAnsi="Arial"/>
          <w:sz w:val="17"/>
          <w:szCs w:val="17"/>
          <w:color w:val="auto"/>
        </w:rPr>
        <w:t>) shall apply to any payment made pursuant to this Section 2.2(c) (</w:t>
      </w:r>
      <w:r>
        <w:rPr>
          <w:rFonts w:ascii="Arial" w:cs="Arial" w:eastAsia="Arial" w:hAnsi="Arial"/>
          <w:sz w:val="17"/>
          <w:szCs w:val="17"/>
          <w:i w:val="1"/>
          <w:iCs w:val="1"/>
          <w:color w:val="auto"/>
        </w:rPr>
        <w:t>Invoices</w:t>
      </w:r>
      <w:r>
        <w:rPr>
          <w:rFonts w:ascii="Arial" w:cs="Arial" w:eastAsia="Arial" w:hAnsi="Arial"/>
          <w:sz w:val="17"/>
          <w:szCs w:val="17"/>
          <w:color w:val="auto"/>
        </w:rPr>
        <w:t>).</w:t>
      </w:r>
    </w:p>
    <w:p>
      <w:pPr>
        <w:spacing w:after="0" w:line="168" w:lineRule="exact"/>
        <w:rPr>
          <w:sz w:val="20"/>
          <w:szCs w:val="20"/>
          <w:color w:val="auto"/>
        </w:rPr>
      </w:pPr>
    </w:p>
    <w:p>
      <w:pPr>
        <w:ind w:firstLine="440"/>
        <w:spacing w:after="0" w:line="303" w:lineRule="auto"/>
        <w:rPr>
          <w:sz w:val="20"/>
          <w:szCs w:val="20"/>
          <w:color w:val="auto"/>
        </w:rPr>
      </w:pPr>
      <w:r>
        <w:rPr>
          <w:rFonts w:ascii="Arial" w:cs="Arial" w:eastAsia="Arial" w:hAnsi="Arial"/>
          <w:sz w:val="16"/>
          <w:szCs w:val="16"/>
          <w:b w:val="1"/>
          <w:bCs w:val="1"/>
          <w:color w:val="auto"/>
        </w:rPr>
        <w:t>2.3 Reports</w:t>
      </w:r>
      <w:r>
        <w:rPr>
          <w:rFonts w:ascii="Arial" w:cs="Arial" w:eastAsia="Arial" w:hAnsi="Arial"/>
          <w:sz w:val="16"/>
          <w:szCs w:val="16"/>
          <w:color w:val="auto"/>
        </w:rPr>
        <w:t>. Adagio shall provide [***] written reports to Adimab summarizing the research and development activities conducted by or 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behalf of Adagio with respect to CoV Antibodies during the preceding [***]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Adagio shall not be required to submit such reports so long as an Adimab designee is on the Adagio Board of Directors or an Adimab employee is also a member of the management team of Adagio. For the avoidance of doubt, in no event shall Adagio have any obligation to disclose to Adimab the Sequence of any Adagio Derived Antibody.</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Adimab Materials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4" w:lineRule="auto"/>
        <w:tabs>
          <w:tab w:leader="none" w:pos="1246" w:val="left"/>
        </w:tabs>
        <w:numPr>
          <w:ilvl w:val="0"/>
          <w:numId w:val="296"/>
        </w:numPr>
        <w:rPr>
          <w:rFonts w:ascii="Arial" w:cs="Arial" w:eastAsia="Arial" w:hAnsi="Arial"/>
          <w:sz w:val="17"/>
          <w:szCs w:val="17"/>
          <w:b w:val="1"/>
          <w:bCs w:val="1"/>
          <w:color w:val="auto"/>
        </w:rPr>
      </w:pPr>
      <w:r>
        <w:rPr>
          <w:rFonts w:ascii="Arial" w:cs="Arial" w:eastAsia="Arial" w:hAnsi="Arial"/>
          <w:sz w:val="17"/>
          <w:szCs w:val="17"/>
          <w:b w:val="1"/>
          <w:bCs w:val="1"/>
          <w:color w:val="auto"/>
        </w:rPr>
        <w:t>Access to Adimab Materials Within Adagio</w:t>
      </w:r>
      <w:r>
        <w:rPr>
          <w:rFonts w:ascii="Arial" w:cs="Arial" w:eastAsia="Arial" w:hAnsi="Arial"/>
          <w:sz w:val="17"/>
          <w:szCs w:val="17"/>
          <w:color w:val="auto"/>
        </w:rPr>
        <w:t>. Adagio may allow access to Adimab Materials, other Confidential Information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Adimab, and CoV Antibodies to those employees, officers and consultants of Adagio who require such access in order to enable Adagio to conduct activities with respect to the CoV Antibodies;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 each such employee, officer or consultant is bound by obligations of confidentiality and non-use regarding Confidential Information of Adimab, ownership, use and disposition of CoV Antibodies, including Adimab Materials, that, in each case, are no less protective of Adimab than the terms of this Agreement; and (ii) Adagio shall at all times be fully responsible for its employees’, officers’ and consultants’ compliance with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424" w:name="page425"/>
    <w:bookmarkEnd w:id="424"/>
    <w:p>
      <w:pPr>
        <w:ind w:left="4" w:firstLine="987"/>
        <w:spacing w:after="0" w:line="285" w:lineRule="auto"/>
        <w:tabs>
          <w:tab w:leader="none" w:pos="1260" w:val="left"/>
        </w:tabs>
        <w:numPr>
          <w:ilvl w:val="1"/>
          <w:numId w:val="29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Party Access to Adimab Materials</w:t>
      </w:r>
      <w:r>
        <w:rPr>
          <w:rFonts w:ascii="Arial" w:cs="Arial" w:eastAsia="Arial" w:hAnsi="Arial"/>
          <w:sz w:val="16"/>
          <w:szCs w:val="16"/>
          <w:color w:val="auto"/>
        </w:rPr>
        <w:t>. Adagio may engage Third Party contractors to perform activities on behalf of Adagio;</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 however</w:t>
      </w:r>
      <w:r>
        <w:rPr>
          <w:rFonts w:ascii="Arial" w:cs="Arial" w:eastAsia="Arial" w:hAnsi="Arial"/>
          <w:sz w:val="16"/>
          <w:szCs w:val="16"/>
          <w:color w:val="auto"/>
        </w:rPr>
        <w:t>, that: (i) none of Adimab’s rights hereunder are diminished or otherwise adversely affected as a result of such contracting; (ii) each</w:t>
      </w:r>
      <w:r>
        <w:rPr>
          <w:rFonts w:ascii="Arial" w:cs="Arial" w:eastAsia="Arial" w:hAnsi="Arial"/>
          <w:sz w:val="16"/>
          <w:szCs w:val="16"/>
          <w:i w:val="1"/>
          <w:iCs w:val="1"/>
          <w:color w:val="auto"/>
        </w:rPr>
        <w:t xml:space="preserve"> </w:t>
      </w:r>
      <w:r>
        <w:rPr>
          <w:rFonts w:ascii="Arial" w:cs="Arial" w:eastAsia="Arial" w:hAnsi="Arial"/>
          <w:sz w:val="16"/>
          <w:szCs w:val="16"/>
          <w:color w:val="auto"/>
        </w:rPr>
        <w:t>such contractor undertakes in writing obligations of confidentiality and non-use regarding Confidential Information of Adimab, ownership, disposition, and use of CoV Antibodies, including Adimab Materials, that, in each case, are no less protective of Adimab than the terms of this Agreement; (iii) prior to initiating performance of any such activities on behalf of Adagio, each such contractor has signed a binding agreement or instrument assigning, and agreeing to assign, to Adagio all data and other work product relating to Adimab Materials and CoV Antibodies generated by such contractor; (other than any intellectual property rights contained therein that are solely related to improvements to any such subcontractor’s background technology); and</w:t>
      </w:r>
    </w:p>
    <w:p>
      <w:pPr>
        <w:ind w:left="304" w:hanging="304"/>
        <w:spacing w:after="0"/>
        <w:tabs>
          <w:tab w:leader="none" w:pos="30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Adagio shall at all times be fully responsible for each such contractor’s compliance with this Agreement.</w:t>
      </w:r>
    </w:p>
    <w:p>
      <w:pPr>
        <w:spacing w:after="0" w:line="206" w:lineRule="exact"/>
        <w:rPr>
          <w:rFonts w:ascii="Arial" w:cs="Arial" w:eastAsia="Arial" w:hAnsi="Arial"/>
          <w:sz w:val="18"/>
          <w:szCs w:val="18"/>
          <w:color w:val="auto"/>
        </w:rPr>
      </w:pPr>
    </w:p>
    <w:p>
      <w:pPr>
        <w:ind w:left="4" w:right="40" w:firstLine="987"/>
        <w:spacing w:after="0" w:line="303" w:lineRule="auto"/>
        <w:tabs>
          <w:tab w:leader="none" w:pos="1240" w:val="left"/>
        </w:tabs>
        <w:numPr>
          <w:ilvl w:val="1"/>
          <w:numId w:val="298"/>
        </w:numPr>
        <w:rPr>
          <w:rFonts w:ascii="Arial" w:cs="Arial" w:eastAsia="Arial" w:hAnsi="Arial"/>
          <w:sz w:val="16"/>
          <w:szCs w:val="16"/>
          <w:b w:val="1"/>
          <w:bCs w:val="1"/>
          <w:color w:val="auto"/>
        </w:rPr>
      </w:pPr>
      <w:r>
        <w:rPr>
          <w:rFonts w:ascii="Arial" w:cs="Arial" w:eastAsia="Arial" w:hAnsi="Arial"/>
          <w:sz w:val="16"/>
          <w:szCs w:val="16"/>
          <w:b w:val="1"/>
          <w:bCs w:val="1"/>
          <w:color w:val="auto"/>
        </w:rPr>
        <w:t>Limits on Use of Adimab Materials</w:t>
      </w:r>
      <w:r>
        <w:rPr>
          <w:rFonts w:ascii="Arial" w:cs="Arial" w:eastAsia="Arial" w:hAnsi="Arial"/>
          <w:sz w:val="16"/>
          <w:szCs w:val="16"/>
          <w:color w:val="auto"/>
        </w:rPr>
        <w:t>. Adagio understands and agrees that Adimab Materials may have unpredictable and unknown</w:t>
      </w:r>
      <w:r>
        <w:rPr>
          <w:rFonts w:ascii="Arial" w:cs="Arial" w:eastAsia="Arial" w:hAnsi="Arial"/>
          <w:sz w:val="16"/>
          <w:szCs w:val="16"/>
          <w:b w:val="1"/>
          <w:bCs w:val="1"/>
          <w:color w:val="auto"/>
        </w:rPr>
        <w:t xml:space="preserve"> </w:t>
      </w:r>
      <w:r>
        <w:rPr>
          <w:rFonts w:ascii="Arial" w:cs="Arial" w:eastAsia="Arial" w:hAnsi="Arial"/>
          <w:sz w:val="16"/>
          <w:szCs w:val="16"/>
          <w:color w:val="auto"/>
        </w:rPr>
        <w:t>chemical properties, that they are to be used with caution, and that, except as expressly permitted by Article 3 (</w:t>
      </w:r>
      <w:r>
        <w:rPr>
          <w:rFonts w:ascii="Arial" w:cs="Arial" w:eastAsia="Arial" w:hAnsi="Arial"/>
          <w:sz w:val="16"/>
          <w:szCs w:val="16"/>
          <w:i w:val="1"/>
          <w:iCs w:val="1"/>
          <w:color w:val="auto"/>
        </w:rPr>
        <w:t>License and Assignment; Development &amp;</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w:t>
      </w:r>
      <w:r>
        <w:rPr>
          <w:rFonts w:ascii="Arial" w:cs="Arial" w:eastAsia="Arial" w:hAnsi="Arial"/>
          <w:sz w:val="16"/>
          <w:szCs w:val="16"/>
          <w:color w:val="auto"/>
        </w:rPr>
        <w:t>), they are not to be used for testing in or treatment of humans. At no time shall the physical Adimab Materials delivered by Adimab</w:t>
      </w:r>
      <w:r>
        <w:rPr>
          <w:rFonts w:ascii="Arial" w:cs="Arial" w:eastAsia="Arial" w:hAnsi="Arial"/>
          <w:sz w:val="16"/>
          <w:szCs w:val="16"/>
          <w:i w:val="1"/>
          <w:iCs w:val="1"/>
          <w:color w:val="auto"/>
        </w:rPr>
        <w:t xml:space="preserve"> </w:t>
      </w:r>
      <w:r>
        <w:rPr>
          <w:rFonts w:ascii="Arial" w:cs="Arial" w:eastAsia="Arial" w:hAnsi="Arial"/>
          <w:sz w:val="16"/>
          <w:szCs w:val="16"/>
          <w:color w:val="auto"/>
        </w:rPr>
        <w:t>to Adagio be used in humans for any purpose. Adagio shall use Adimab Materials in compliance with all applicable laws and regulations.</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2.5 Adimab Retained Rights.</w:t>
      </w:r>
    </w:p>
    <w:p>
      <w:pPr>
        <w:spacing w:after="0" w:line="225" w:lineRule="exact"/>
        <w:rPr>
          <w:sz w:val="20"/>
          <w:szCs w:val="20"/>
          <w:color w:val="auto"/>
        </w:rPr>
      </w:pPr>
    </w:p>
    <w:p>
      <w:pPr>
        <w:ind w:left="4" w:right="20" w:firstLine="987"/>
        <w:spacing w:after="0" w:line="273" w:lineRule="auto"/>
        <w:tabs>
          <w:tab w:leader="none" w:pos="1250" w:val="left"/>
        </w:tabs>
        <w:numPr>
          <w:ilvl w:val="0"/>
          <w:numId w:val="299"/>
        </w:numPr>
        <w:rPr>
          <w:rFonts w:ascii="Arial" w:cs="Arial" w:eastAsia="Arial" w:hAnsi="Arial"/>
          <w:sz w:val="17"/>
          <w:szCs w:val="17"/>
          <w:b w:val="1"/>
          <w:bCs w:val="1"/>
          <w:color w:val="auto"/>
        </w:rPr>
      </w:pPr>
      <w:r>
        <w:rPr>
          <w:rFonts w:ascii="Arial" w:cs="Arial" w:eastAsia="Arial" w:hAnsi="Arial"/>
          <w:sz w:val="17"/>
          <w:szCs w:val="17"/>
          <w:b w:val="1"/>
          <w:bCs w:val="1"/>
          <w:color w:val="auto"/>
        </w:rPr>
        <w:t>Adimab Platform Technology</w:t>
      </w:r>
      <w:r>
        <w:rPr>
          <w:rFonts w:ascii="Arial" w:cs="Arial" w:eastAsia="Arial" w:hAnsi="Arial"/>
          <w:sz w:val="17"/>
          <w:szCs w:val="17"/>
          <w:color w:val="auto"/>
        </w:rPr>
        <w:t>. Adimab will at all times retain the exclusive and absolute right to practice and license the Adimab</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Platform Technology and the Adimab Platform Patents for any and all purposes; </w:t>
      </w:r>
      <w:r>
        <w:rPr>
          <w:rFonts w:ascii="Arial" w:cs="Arial" w:eastAsia="Arial" w:hAnsi="Arial"/>
          <w:sz w:val="17"/>
          <w:szCs w:val="17"/>
          <w:i w:val="1"/>
          <w:iCs w:val="1"/>
          <w:color w:val="auto"/>
        </w:rPr>
        <w:t>provided, however</w:t>
      </w:r>
      <w:r>
        <w:rPr>
          <w:rFonts w:ascii="Arial" w:cs="Arial" w:eastAsia="Arial" w:hAnsi="Arial"/>
          <w:sz w:val="17"/>
          <w:szCs w:val="17"/>
          <w:color w:val="auto"/>
        </w:rPr>
        <w:t>, that Adimab shall not deliver Adimab CoV Antibodies to any Third Party. For clarity, Adimab may use the Adimab Platform Technology to discover, optimize, develop, manufacture, and commercialize Unrestricted CoV Antibodies on behalf of itself or Third Parties, without limitation. Except as set forth in this Section 2.5(a) (</w:t>
      </w:r>
      <w:r>
        <w:rPr>
          <w:rFonts w:ascii="Arial" w:cs="Arial" w:eastAsia="Arial" w:hAnsi="Arial"/>
          <w:sz w:val="17"/>
          <w:szCs w:val="17"/>
          <w:i w:val="1"/>
          <w:iCs w:val="1"/>
          <w:color w:val="auto"/>
        </w:rPr>
        <w:t>Adimab</w:t>
      </w:r>
      <w:r>
        <w:rPr>
          <w:rFonts w:ascii="Arial" w:cs="Arial" w:eastAsia="Arial" w:hAnsi="Arial"/>
          <w:sz w:val="17"/>
          <w:szCs w:val="17"/>
          <w:color w:val="auto"/>
        </w:rPr>
        <w:t xml:space="preserve"> </w:t>
      </w:r>
      <w:r>
        <w:rPr>
          <w:rFonts w:ascii="Arial" w:cs="Arial" w:eastAsia="Arial" w:hAnsi="Arial"/>
          <w:sz w:val="17"/>
          <w:szCs w:val="17"/>
          <w:i w:val="1"/>
          <w:iCs w:val="1"/>
          <w:color w:val="auto"/>
        </w:rPr>
        <w:t>Platform Technology</w:t>
      </w:r>
      <w:r>
        <w:rPr>
          <w:rFonts w:ascii="Arial" w:cs="Arial" w:eastAsia="Arial" w:hAnsi="Arial"/>
          <w:sz w:val="17"/>
          <w:szCs w:val="17"/>
          <w:color w:val="auto"/>
        </w:rPr>
        <w:t>), nothing herein shall prevent Adimab from licensing or transferring some or all of the Adimab Platform Technology to a Third</w:t>
      </w:r>
      <w:r>
        <w:rPr>
          <w:rFonts w:ascii="Arial" w:cs="Arial" w:eastAsia="Arial" w:hAnsi="Arial"/>
          <w:sz w:val="17"/>
          <w:szCs w:val="17"/>
          <w:i w:val="1"/>
          <w:iCs w:val="1"/>
          <w:color w:val="auto"/>
        </w:rPr>
        <w:t xml:space="preserve"> </w:t>
      </w:r>
      <w:r>
        <w:rPr>
          <w:rFonts w:ascii="Arial" w:cs="Arial" w:eastAsia="Arial" w:hAnsi="Arial"/>
          <w:sz w:val="17"/>
          <w:szCs w:val="17"/>
          <w:color w:val="auto"/>
        </w:rPr>
        <w:t>Party (including technical support in connection therewith) nor shall anything herein require Adimab to in any way limit the use of the Adimab Platform Technology by Adimab or a Third Party for purposes of generating antibodies against CoV.</w:t>
      </w:r>
    </w:p>
    <w:p>
      <w:pPr>
        <w:spacing w:after="0" w:line="171" w:lineRule="exact"/>
        <w:rPr>
          <w:rFonts w:ascii="Arial" w:cs="Arial" w:eastAsia="Arial" w:hAnsi="Arial"/>
          <w:sz w:val="17"/>
          <w:szCs w:val="17"/>
          <w:b w:val="1"/>
          <w:bCs w:val="1"/>
          <w:color w:val="auto"/>
        </w:rPr>
      </w:pPr>
    </w:p>
    <w:p>
      <w:pPr>
        <w:ind w:left="4" w:right="100" w:firstLine="987"/>
        <w:spacing w:after="0" w:line="255" w:lineRule="auto"/>
        <w:tabs>
          <w:tab w:leader="none" w:pos="1260"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Antibodies within Libraries</w:t>
      </w:r>
      <w:r>
        <w:rPr>
          <w:rFonts w:ascii="Arial" w:cs="Arial" w:eastAsia="Arial" w:hAnsi="Arial"/>
          <w:sz w:val="18"/>
          <w:szCs w:val="18"/>
          <w:color w:val="auto"/>
        </w:rPr>
        <w:t>. Notwithstanding anything to the contrary in this Agreement, nothing herein shall require Adimab to</w:t>
      </w:r>
      <w:r>
        <w:rPr>
          <w:rFonts w:ascii="Arial" w:cs="Arial" w:eastAsia="Arial" w:hAnsi="Arial"/>
          <w:sz w:val="18"/>
          <w:szCs w:val="18"/>
          <w:b w:val="1"/>
          <w:bCs w:val="1"/>
          <w:color w:val="auto"/>
        </w:rPr>
        <w:t xml:space="preserve"> </w:t>
      </w:r>
      <w:r>
        <w:rPr>
          <w:rFonts w:ascii="Arial" w:cs="Arial" w:eastAsia="Arial" w:hAnsi="Arial"/>
          <w:sz w:val="18"/>
          <w:szCs w:val="18"/>
          <w:color w:val="auto"/>
        </w:rPr>
        <w:t>physically remove from its antibody libraries any CoV Antibody that is included in any antibody library it has generated or will generate. Adagio acknowledges that Adimab has transferred antibody libraries to numerous partners and may transfer additional antibody libraries to partners in the future, and that although statistically unlikely, it is theoretically possible that such antibody libraries contain antibodies with the same Sequence as an CoV Antibody. Adimab hereby reserves the right for Adimab to license or transfer any antibody library to Third Parties (including the transfer of physical possession of such antibody libraries, which may contain samples of an CoV Antibody included therein, to a Third Party as part of the transfer of libraries).</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425" w:name="page426"/>
    <w:bookmarkEnd w:id="425"/>
    <w:p>
      <w:pPr>
        <w:ind w:right="460" w:firstLine="987"/>
        <w:spacing w:after="0" w:line="282" w:lineRule="auto"/>
        <w:tabs>
          <w:tab w:leader="none" w:pos="1236" w:val="left"/>
        </w:tabs>
        <w:numPr>
          <w:ilvl w:val="0"/>
          <w:numId w:val="30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Clarifications</w:t>
      </w:r>
      <w:r>
        <w:rPr>
          <w:rFonts w:ascii="Arial" w:cs="Arial" w:eastAsia="Arial" w:hAnsi="Arial"/>
          <w:sz w:val="18"/>
          <w:szCs w:val="18"/>
          <w:color w:val="auto"/>
        </w:rPr>
        <w:t>. For clarity, subject to Section 2.5(a) (</w:t>
      </w:r>
      <w:r>
        <w:rPr>
          <w:rFonts w:ascii="Arial" w:cs="Arial" w:eastAsia="Arial" w:hAnsi="Arial"/>
          <w:sz w:val="18"/>
          <w:szCs w:val="18"/>
          <w:i w:val="1"/>
          <w:iCs w:val="1"/>
          <w:color w:val="auto"/>
        </w:rPr>
        <w:t>Adimab Platform Technology</w:t>
      </w:r>
      <w:r>
        <w:rPr>
          <w:rFonts w:ascii="Arial" w:cs="Arial" w:eastAsia="Arial" w:hAnsi="Arial"/>
          <w:sz w:val="18"/>
          <w:szCs w:val="18"/>
          <w:color w:val="auto"/>
        </w:rPr>
        <w:t>), nothing contained in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to prohibit or restrict Adimab from:</w:t>
      </w:r>
    </w:p>
    <w:p>
      <w:pPr>
        <w:spacing w:after="0" w:line="57" w:lineRule="exact"/>
        <w:rPr>
          <w:rFonts w:ascii="Arial" w:cs="Arial" w:eastAsia="Arial" w:hAnsi="Arial"/>
          <w:sz w:val="18"/>
          <w:szCs w:val="18"/>
          <w:b w:val="1"/>
          <w:bCs w:val="1"/>
          <w:color w:val="auto"/>
        </w:rPr>
      </w:pPr>
    </w:p>
    <w:p>
      <w:pPr>
        <w:ind w:right="540" w:firstLine="1428"/>
        <w:spacing w:after="0" w:line="277" w:lineRule="auto"/>
        <w:tabs>
          <w:tab w:leader="none" w:pos="1647"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using the Adimab Platform Technology to discover, optimize, develop, manufacture, and commercialize Unrestricted CoV Antibodies on behalf of itself or Third Parties;</w:t>
      </w:r>
    </w:p>
    <w:p>
      <w:pPr>
        <w:spacing w:after="0" w:line="170" w:lineRule="exact"/>
        <w:rPr>
          <w:rFonts w:ascii="Arial" w:cs="Arial" w:eastAsia="Arial" w:hAnsi="Arial"/>
          <w:sz w:val="18"/>
          <w:szCs w:val="18"/>
          <w:b w:val="1"/>
          <w:bCs w:val="1"/>
          <w:color w:val="auto"/>
        </w:rPr>
      </w:pPr>
    </w:p>
    <w:p>
      <w:pPr>
        <w:ind w:right="620" w:firstLine="1428"/>
        <w:spacing w:after="0" w:line="277" w:lineRule="auto"/>
        <w:tabs>
          <w:tab w:leader="none" w:pos="1697"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licensing or transferring any Unrestricted CoV Antibody (including the transfer of physical possession of samples of any Unrestricted CoV Antibody) to any Third Party;</w:t>
      </w:r>
    </w:p>
    <w:p>
      <w:pPr>
        <w:spacing w:after="0" w:line="170" w:lineRule="exact"/>
        <w:rPr>
          <w:rFonts w:ascii="Arial" w:cs="Arial" w:eastAsia="Arial" w:hAnsi="Arial"/>
          <w:sz w:val="18"/>
          <w:szCs w:val="18"/>
          <w:b w:val="1"/>
          <w:bCs w:val="1"/>
          <w:color w:val="auto"/>
        </w:rPr>
      </w:pPr>
    </w:p>
    <w:p>
      <w:pPr>
        <w:ind w:right="120" w:firstLine="1428"/>
        <w:spacing w:after="0" w:line="277" w:lineRule="auto"/>
        <w:tabs>
          <w:tab w:leader="none" w:pos="1747" w:val="left"/>
        </w:tabs>
        <w:numPr>
          <w:ilvl w:val="1"/>
          <w:numId w:val="300"/>
        </w:numPr>
        <w:rPr>
          <w:rFonts w:ascii="Arial" w:cs="Arial" w:eastAsia="Arial" w:hAnsi="Arial"/>
          <w:sz w:val="18"/>
          <w:szCs w:val="18"/>
          <w:b w:val="1"/>
          <w:bCs w:val="1"/>
          <w:color w:val="auto"/>
        </w:rPr>
      </w:pPr>
      <w:r>
        <w:rPr>
          <w:rFonts w:ascii="Arial" w:cs="Arial" w:eastAsia="Arial" w:hAnsi="Arial"/>
          <w:sz w:val="18"/>
          <w:szCs w:val="18"/>
          <w:color w:val="auto"/>
        </w:rPr>
        <w:t>using or generating libraries which may include CoV Antibodies, subject to Adimab’s compliance with Section 2.6(a) (</w:t>
      </w:r>
      <w:r>
        <w:rPr>
          <w:rFonts w:ascii="Arial" w:cs="Arial" w:eastAsia="Arial" w:hAnsi="Arial"/>
          <w:sz w:val="18"/>
          <w:szCs w:val="18"/>
          <w:i w:val="1"/>
          <w:iCs w:val="1"/>
          <w:color w:val="auto"/>
        </w:rPr>
        <w:t>Adimab</w:t>
      </w:r>
      <w:r>
        <w:rPr>
          <w:rFonts w:ascii="Arial" w:cs="Arial" w:eastAsia="Arial" w:hAnsi="Arial"/>
          <w:sz w:val="18"/>
          <w:szCs w:val="18"/>
          <w:color w:val="auto"/>
        </w:rPr>
        <w:t xml:space="preserve"> </w:t>
      </w:r>
      <w:r>
        <w:rPr>
          <w:rFonts w:ascii="Arial" w:cs="Arial" w:eastAsia="Arial" w:hAnsi="Arial"/>
          <w:sz w:val="18"/>
          <w:szCs w:val="18"/>
          <w:i w:val="1"/>
          <w:iCs w:val="1"/>
          <w:color w:val="auto"/>
        </w:rPr>
        <w:t>Negative Covenants</w:t>
      </w:r>
      <w:r>
        <w:rPr>
          <w:rFonts w:ascii="Arial" w:cs="Arial" w:eastAsia="Arial" w:hAnsi="Arial"/>
          <w:sz w:val="18"/>
          <w:szCs w:val="18"/>
          <w:color w:val="auto"/>
        </w:rPr>
        <w:t>); or</w:t>
      </w:r>
    </w:p>
    <w:p>
      <w:pPr>
        <w:spacing w:after="0" w:line="170" w:lineRule="exact"/>
        <w:rPr>
          <w:rFonts w:ascii="Arial" w:cs="Arial" w:eastAsia="Arial" w:hAnsi="Arial"/>
          <w:sz w:val="18"/>
          <w:szCs w:val="18"/>
          <w:b w:val="1"/>
          <w:bCs w:val="1"/>
          <w:color w:val="auto"/>
        </w:rPr>
      </w:pPr>
    </w:p>
    <w:p>
      <w:pPr>
        <w:ind w:right="540" w:firstLine="1428"/>
        <w:spacing w:after="0" w:line="308" w:lineRule="auto"/>
        <w:tabs>
          <w:tab w:leader="none" w:pos="1737" w:val="left"/>
        </w:tabs>
        <w:numPr>
          <w:ilvl w:val="1"/>
          <w:numId w:val="300"/>
        </w:numPr>
        <w:rPr>
          <w:rFonts w:ascii="Arial" w:cs="Arial" w:eastAsia="Arial" w:hAnsi="Arial"/>
          <w:sz w:val="17"/>
          <w:szCs w:val="17"/>
          <w:b w:val="1"/>
          <w:bCs w:val="1"/>
          <w:color w:val="auto"/>
        </w:rPr>
      </w:pPr>
      <w:r>
        <w:rPr>
          <w:rFonts w:ascii="Arial" w:cs="Arial" w:eastAsia="Arial" w:hAnsi="Arial"/>
          <w:sz w:val="17"/>
          <w:szCs w:val="17"/>
          <w:color w:val="auto"/>
        </w:rPr>
        <w:t>licensing or transferring antibody libraries to any Third Party (including samples of any CoV Antibody contained in such libraries, but solely as contained in such libraries), subject to Adimab’s compliance with Section 2.6(a) (</w:t>
      </w:r>
      <w:r>
        <w:rPr>
          <w:rFonts w:ascii="Arial" w:cs="Arial" w:eastAsia="Arial" w:hAnsi="Arial"/>
          <w:sz w:val="17"/>
          <w:szCs w:val="17"/>
          <w:i w:val="1"/>
          <w:iCs w:val="1"/>
          <w:color w:val="auto"/>
        </w:rPr>
        <w:t>Adimab Negative Covenants</w:t>
      </w:r>
      <w:r>
        <w:rPr>
          <w:rFonts w:ascii="Arial" w:cs="Arial" w:eastAsia="Arial" w:hAnsi="Arial"/>
          <w:sz w:val="17"/>
          <w:szCs w:val="17"/>
          <w:color w:val="auto"/>
        </w:rPr>
        <w:t>).</w:t>
      </w:r>
    </w:p>
    <w:p>
      <w:pPr>
        <w:spacing w:after="0" w:line="14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2.6 Certain Negative Covenants</w:t>
      </w:r>
      <w:r>
        <w:rPr>
          <w:rFonts w:ascii="Arial" w:cs="Arial" w:eastAsia="Arial" w:hAnsi="Arial"/>
          <w:sz w:val="18"/>
          <w:szCs w:val="18"/>
          <w:color w:val="auto"/>
        </w:rPr>
        <w:t>. The following covenants are in addition to any express covenants of the parties contained elsewhere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firstLine="1428"/>
        <w:spacing w:after="0" w:line="298" w:lineRule="auto"/>
        <w:tabs>
          <w:tab w:leader="none" w:pos="1687" w:val="left"/>
        </w:tabs>
        <w:numPr>
          <w:ilvl w:val="0"/>
          <w:numId w:val="301"/>
        </w:numPr>
        <w:rPr>
          <w:rFonts w:ascii="Arial" w:cs="Arial" w:eastAsia="Arial" w:hAnsi="Arial"/>
          <w:sz w:val="16"/>
          <w:szCs w:val="16"/>
          <w:b w:val="1"/>
          <w:bCs w:val="1"/>
          <w:color w:val="auto"/>
        </w:rPr>
      </w:pPr>
      <w:r>
        <w:rPr>
          <w:rFonts w:ascii="Arial" w:cs="Arial" w:eastAsia="Arial" w:hAnsi="Arial"/>
          <w:sz w:val="16"/>
          <w:szCs w:val="16"/>
          <w:b w:val="1"/>
          <w:bCs w:val="1"/>
          <w:color w:val="auto"/>
        </w:rPr>
        <w:t>Adimab Negative Covenants</w:t>
      </w:r>
      <w:r>
        <w:rPr>
          <w:rFonts w:ascii="Arial" w:cs="Arial" w:eastAsia="Arial" w:hAnsi="Arial"/>
          <w:sz w:val="16"/>
          <w:szCs w:val="16"/>
          <w:color w:val="auto"/>
        </w:rPr>
        <w:t>. Adimab and its Affiliates shall not grant to any Third Party any license, option or other right</w:t>
      </w:r>
      <w:r>
        <w:rPr>
          <w:rFonts w:ascii="Arial" w:cs="Arial" w:eastAsia="Arial" w:hAnsi="Arial"/>
          <w:sz w:val="16"/>
          <w:szCs w:val="16"/>
          <w:b w:val="1"/>
          <w:bCs w:val="1"/>
          <w:color w:val="auto"/>
        </w:rPr>
        <w:t xml:space="preserve"> </w:t>
      </w:r>
      <w:r>
        <w:rPr>
          <w:rFonts w:ascii="Arial" w:cs="Arial" w:eastAsia="Arial" w:hAnsi="Arial"/>
          <w:sz w:val="16"/>
          <w:szCs w:val="16"/>
          <w:color w:val="auto"/>
        </w:rPr>
        <w:t>under or with respect to any CoV Antibody Patent and shall not deliver any isolated Adimab CoV Antibody to any Third Party. Adimab further covenants that if any Third Party to which Adimab or its Affiliate has transferred any antibody library that includes any Adimab CoV Antibody requests, or inquires as to the availability of, any license, option or other rights to any Adimab CoV Antibody, or requests the nucleic acid sequence or amino acid sequence of any Adimab CoV Antibody, or requests additional physical material of any Adimab CoV Antibody, Adimab or its Affiliate shall:</w:t>
      </w:r>
    </w:p>
    <w:p>
      <w:pPr>
        <w:spacing w:after="0" w:line="50" w:lineRule="exact"/>
        <w:rPr>
          <w:sz w:val="20"/>
          <w:szCs w:val="20"/>
          <w:color w:val="auto"/>
        </w:rPr>
      </w:pPr>
    </w:p>
    <w:p>
      <w:pPr>
        <w:ind w:right="80" w:firstLine="1428"/>
        <w:spacing w:after="0" w:line="342" w:lineRule="auto"/>
        <w:tabs>
          <w:tab w:leader="none" w:pos="1647"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t>inform such Third Party that rights to such Adimab CoV Antibody are not available and that Adimab’s contractual obligations to another Adimab partner prohibit it from providing the sequence information for, or any additional physical material of, such Adimab CoV Antibody;</w:t>
      </w:r>
    </w:p>
    <w:p>
      <w:pPr>
        <w:spacing w:after="0" w:line="123" w:lineRule="exact"/>
        <w:rPr>
          <w:rFonts w:ascii="Arial" w:cs="Arial" w:eastAsia="Arial" w:hAnsi="Arial"/>
          <w:sz w:val="16"/>
          <w:szCs w:val="16"/>
          <w:b w:val="1"/>
          <w:bCs w:val="1"/>
          <w:color w:val="auto"/>
        </w:rPr>
      </w:pPr>
    </w:p>
    <w:p>
      <w:pPr>
        <w:ind w:firstLine="1428"/>
        <w:spacing w:after="0" w:line="263" w:lineRule="auto"/>
        <w:tabs>
          <w:tab w:leader="none" w:pos="1697"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not disclose to such Third Party the Sequence information (to the extent that such sequence has not been published) for such Adimab CoV Antibody (it being understood that such Third Party may determine the Sequence of such Adimab CoV Antibody on its own initiative, and the same shall not constitute a breach of this Agreement by Adimab); and</w:t>
      </w:r>
    </w:p>
    <w:p>
      <w:pPr>
        <w:spacing w:after="0" w:line="183" w:lineRule="exact"/>
        <w:rPr>
          <w:rFonts w:ascii="Arial" w:cs="Arial" w:eastAsia="Arial" w:hAnsi="Arial"/>
          <w:sz w:val="18"/>
          <w:szCs w:val="18"/>
          <w:b w:val="1"/>
          <w:bCs w:val="1"/>
          <w:color w:val="auto"/>
        </w:rPr>
      </w:pPr>
    </w:p>
    <w:p>
      <w:pPr>
        <w:ind w:left="1740" w:hanging="312"/>
        <w:spacing w:after="0"/>
        <w:tabs>
          <w:tab w:leader="none" w:pos="174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not deliver any additional physical material of such Adimab CoV Antibodies to a Third Party.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LICENSE AND ASSIGNMENT; DEVELOPMENT &amp; COMMERCIALIZATION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Development and Commercialization License and Assignment</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82" w:lineRule="auto"/>
        <w:tabs>
          <w:tab w:leader="none" w:pos="1246"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 Subject to the terms and conditions of this Agreement, effective on the Effective Date, Adimab hereby assigns to Adagio</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 title and interest in and to all CoV Antibodies and all Adimab CoV Assets (the “</w:t>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161" w:lineRule="exact"/>
        <w:rPr>
          <w:rFonts w:ascii="Arial" w:cs="Arial" w:eastAsia="Arial" w:hAnsi="Arial"/>
          <w:sz w:val="18"/>
          <w:szCs w:val="18"/>
          <w:b w:val="1"/>
          <w:bCs w:val="1"/>
          <w:color w:val="auto"/>
        </w:rPr>
      </w:pPr>
    </w:p>
    <w:p>
      <w:pPr>
        <w:ind w:right="120" w:firstLine="987"/>
        <w:spacing w:after="0" w:line="298" w:lineRule="auto"/>
        <w:tabs>
          <w:tab w:leader="none" w:pos="1256" w:val="left"/>
        </w:tabs>
        <w:numPr>
          <w:ilvl w:val="0"/>
          <w:numId w:val="303"/>
        </w:numPr>
        <w:rPr>
          <w:rFonts w:ascii="Arial" w:cs="Arial" w:eastAsia="Arial" w:hAnsi="Arial"/>
          <w:sz w:val="16"/>
          <w:szCs w:val="16"/>
          <w:b w:val="1"/>
          <w:bCs w:val="1"/>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Subject to the terms and conditions of this Agreement, effective on the Effective Date, Adimab hereby grants to Adagio a</w:t>
      </w:r>
      <w:r>
        <w:rPr>
          <w:rFonts w:ascii="Arial" w:cs="Arial" w:eastAsia="Arial" w:hAnsi="Arial"/>
          <w:sz w:val="16"/>
          <w:szCs w:val="16"/>
          <w:b w:val="1"/>
          <w:bCs w:val="1"/>
          <w:color w:val="auto"/>
        </w:rPr>
        <w:t xml:space="preserve"> </w:t>
      </w:r>
      <w:r>
        <w:rPr>
          <w:rFonts w:ascii="Arial" w:cs="Arial" w:eastAsia="Arial" w:hAnsi="Arial"/>
          <w:sz w:val="16"/>
          <w:szCs w:val="16"/>
          <w:color w:val="auto"/>
        </w:rPr>
        <w:t>non-exclusive, worldwide license, including the right to sublicense through multiple tiers of sublicense in accordance with Section 3.2 (</w:t>
      </w:r>
      <w:r>
        <w:rPr>
          <w:rFonts w:ascii="Arial" w:cs="Arial" w:eastAsia="Arial" w:hAnsi="Arial"/>
          <w:sz w:val="16"/>
          <w:szCs w:val="16"/>
          <w:i w:val="1"/>
          <w:iCs w:val="1"/>
          <w:color w:val="auto"/>
        </w:rPr>
        <w:t>Licensees and</w:t>
      </w:r>
      <w:r>
        <w:rPr>
          <w:rFonts w:ascii="Arial" w:cs="Arial" w:eastAsia="Arial" w:hAnsi="Arial"/>
          <w:sz w:val="16"/>
          <w:szCs w:val="16"/>
          <w:color w:val="auto"/>
        </w:rPr>
        <w:t xml:space="preserve"> </w:t>
      </w:r>
      <w:r>
        <w:rPr>
          <w:rFonts w:ascii="Arial" w:cs="Arial" w:eastAsia="Arial" w:hAnsi="Arial"/>
          <w:sz w:val="16"/>
          <w:szCs w:val="16"/>
          <w:i w:val="1"/>
          <w:iCs w:val="1"/>
          <w:color w:val="auto"/>
        </w:rPr>
        <w:t>Sublicensees</w:t>
      </w:r>
      <w:r>
        <w:rPr>
          <w:rFonts w:ascii="Arial" w:cs="Arial" w:eastAsia="Arial" w:hAnsi="Arial"/>
          <w:sz w:val="16"/>
          <w:szCs w:val="16"/>
          <w:color w:val="auto"/>
        </w:rPr>
        <w:t>), under the Adimab Platform Patents and Adimab Platform Technology, to research, develop, have developed, make, have made, use, sell,</w:t>
      </w:r>
      <w:r>
        <w:rPr>
          <w:rFonts w:ascii="Arial" w:cs="Arial" w:eastAsia="Arial" w:hAnsi="Arial"/>
          <w:sz w:val="16"/>
          <w:szCs w:val="16"/>
          <w:i w:val="1"/>
          <w:iCs w:val="1"/>
          <w:color w:val="auto"/>
        </w:rPr>
        <w:t xml:space="preserve"> </w:t>
      </w:r>
      <w:r>
        <w:rPr>
          <w:rFonts w:ascii="Arial" w:cs="Arial" w:eastAsia="Arial" w:hAnsi="Arial"/>
          <w:sz w:val="16"/>
          <w:szCs w:val="16"/>
          <w:color w:val="auto"/>
        </w:rPr>
        <w:t>have sold, offer for sale, import and export CoV Antibodies and Products in the Field (the “</w:t>
      </w:r>
      <w:r>
        <w:rPr>
          <w:rFonts w:ascii="Arial" w:cs="Arial" w:eastAsia="Arial" w:hAnsi="Arial"/>
          <w:sz w:val="16"/>
          <w:szCs w:val="16"/>
          <w:b w:val="1"/>
          <w:bCs w:val="1"/>
          <w:color w:val="auto"/>
        </w:rPr>
        <w:t>License</w:t>
      </w:r>
      <w:r>
        <w:rPr>
          <w:rFonts w:ascii="Arial" w:cs="Arial" w:eastAsia="Arial" w:hAnsi="Arial"/>
          <w:sz w:val="16"/>
          <w:szCs w:val="16"/>
          <w:color w:val="auto"/>
        </w:rPr>
        <w:t>”) during the Term. For the avoidance of doubt, the License specifically excludes the right to use the Adimab Platform Technology to discover or optimize antibodies.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3.2 Licensees and Sublicensees</w:t>
      </w:r>
      <w:r>
        <w:rPr>
          <w:rFonts w:ascii="Arial" w:cs="Arial" w:eastAsia="Arial" w:hAnsi="Arial"/>
          <w:sz w:val="16"/>
          <w:szCs w:val="16"/>
          <w:color w:val="auto"/>
        </w:rPr>
        <w:t>. Adagio shall have the right to grant licenses or sublicenses, through multiple tiers of sublicense, under the</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License and/or the CoV Antibody Patents, in each case solely with respect to any CoV Antibody or Product. Any license or sublicense (or option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license or sublicense) of any CoV Antibody or Product granted to any Licensee, and any direct or indirect license or sublicense (or option to license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sublicense) under the License and/or the CoV Antibody Patents granted to any Licensee, shall be made solely pursuant to a written agreement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Licensee Agreement</w:t>
      </w:r>
      <w:r>
        <w:rPr>
          <w:rFonts w:ascii="Arial" w:cs="Arial" w:eastAsia="Arial" w:hAnsi="Arial"/>
          <w:sz w:val="16"/>
          <w:szCs w:val="16"/>
          <w:color w:val="auto"/>
        </w:rPr>
        <w:t>”) that is consistent with all relevant terms and conditions of this Agreement and that includes the applicable Licensee’s express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to comply with all applicable terms of this Agreement, including, for clarity, Section 9.4 (</w:t>
      </w:r>
      <w:r>
        <w:rPr>
          <w:rFonts w:ascii="Arial" w:cs="Arial" w:eastAsia="Arial" w:hAnsi="Arial"/>
          <w:sz w:val="16"/>
          <w:szCs w:val="16"/>
          <w:i w:val="1"/>
          <w:iCs w:val="1"/>
          <w:color w:val="auto"/>
        </w:rPr>
        <w:t>Commitments Regarding CoV Antibodies</w:t>
      </w:r>
      <w:r>
        <w:rPr>
          <w:rFonts w:ascii="Arial" w:cs="Arial" w:eastAsia="Arial" w:hAnsi="Arial"/>
          <w:sz w:val="16"/>
          <w:szCs w:val="16"/>
          <w:color w:val="auto"/>
        </w:rPr>
        <w:t>). Adagio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remain responsible for all payments and other performance obligations due under this Agreement, notwithstanding any license or sublicense that 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grant.</w:t>
      </w:r>
    </w:p>
    <w:p>
      <w:pPr>
        <w:spacing w:after="0" w:line="20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3.3 Additional Covenants. </w:t>
      </w:r>
      <w:r>
        <w:rPr>
          <w:rFonts w:ascii="Arial" w:cs="Arial" w:eastAsia="Arial" w:hAnsi="Arial"/>
          <w:sz w:val="17"/>
          <w:szCs w:val="17"/>
          <w:color w:val="auto"/>
        </w:rPr>
        <w:t>The provisions of Section 2.6(a) (</w:t>
      </w:r>
      <w:r>
        <w:rPr>
          <w:rFonts w:ascii="Arial" w:cs="Arial" w:eastAsia="Arial" w:hAnsi="Arial"/>
          <w:sz w:val="17"/>
          <w:szCs w:val="17"/>
          <w:i w:val="1"/>
          <w:iCs w:val="1"/>
          <w:color w:val="auto"/>
        </w:rPr>
        <w:t>Adimab Negative Covenants</w:t>
      </w:r>
      <w:r>
        <w:rPr>
          <w:rFonts w:ascii="Arial" w:cs="Arial" w:eastAsia="Arial" w:hAnsi="Arial"/>
          <w:sz w:val="17"/>
          <w:szCs w:val="17"/>
          <w:color w:val="auto"/>
        </w:rPr>
        <w:t>) shall apply,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mutatis mutandis</w:t>
      </w:r>
      <w:r>
        <w:rPr>
          <w:rFonts w:ascii="Arial" w:cs="Arial" w:eastAsia="Arial" w:hAnsi="Arial"/>
          <w:sz w:val="17"/>
          <w:szCs w:val="17"/>
          <w:color w:val="auto"/>
        </w:rPr>
        <w:t>. Adagio covenants not to</w:t>
      </w:r>
      <w:r>
        <w:rPr>
          <w:rFonts w:ascii="Arial" w:cs="Arial" w:eastAsia="Arial" w:hAnsi="Arial"/>
          <w:sz w:val="17"/>
          <w:szCs w:val="17"/>
          <w:b w:val="1"/>
          <w:bCs w:val="1"/>
          <w:color w:val="auto"/>
        </w:rPr>
        <w:t xml:space="preserve"> </w:t>
      </w:r>
      <w:r>
        <w:rPr>
          <w:rFonts w:ascii="Arial" w:cs="Arial" w:eastAsia="Arial" w:hAnsi="Arial"/>
          <w:sz w:val="17"/>
          <w:szCs w:val="17"/>
          <w:color w:val="auto"/>
        </w:rPr>
        <w:t>practice, and not to permit or cause any of its Affiliates or any Licensee or other Third Party to practice: (a) any Adimab Platform Patents or Adimab Platform Technology for any purpose outside the express scope of the License; or (b) the CoV Antibody Patents, and Adagio Patents that Cover Adagio Derived Antibodies (and solely with respect to the claims of such Adagio Patents that Cover Adagio Derived Antibodies), for the purpose of researching, developing, manufacturing or commercializing CoV-specific antibodies that are not CoV Antibodies.</w:t>
      </w:r>
    </w:p>
    <w:p>
      <w:pPr>
        <w:spacing w:after="0" w:line="168"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3.4 Acknowledgment Regarding Adagio Derived Antibodies</w:t>
      </w:r>
      <w:r>
        <w:rPr>
          <w:rFonts w:ascii="Arial" w:cs="Arial" w:eastAsia="Arial" w:hAnsi="Arial"/>
          <w:sz w:val="17"/>
          <w:szCs w:val="17"/>
          <w:color w:val="auto"/>
        </w:rPr>
        <w:t>. Adagio hereby acknowledges and agrees that, regardless of whether or not any of</w:t>
      </w:r>
      <w:r>
        <w:rPr>
          <w:rFonts w:ascii="Arial" w:cs="Arial" w:eastAsia="Arial" w:hAnsi="Arial"/>
          <w:sz w:val="17"/>
          <w:szCs w:val="17"/>
          <w:b w:val="1"/>
          <w:bCs w:val="1"/>
          <w:color w:val="auto"/>
        </w:rPr>
        <w:t xml:space="preserve"> </w:t>
      </w:r>
      <w:r>
        <w:rPr>
          <w:rFonts w:ascii="Arial" w:cs="Arial" w:eastAsia="Arial" w:hAnsi="Arial"/>
          <w:sz w:val="17"/>
          <w:szCs w:val="17"/>
          <w:color w:val="auto"/>
        </w:rPr>
        <w:t>the manufacture, use, sale, offer for sale and import of an Adagio Derived Antibody is Covered by, or would require the practice of, or a license under, any Adimab Platform Technology, Adimab Platform Patents or CoV Antibody Patents, all Adagio Derived Antibodies, and all Products comprising or containing any Adagio Derived Antibody, developed or commercialized by or on behalf of Adagio or any of its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427" w:name="page428"/>
    <w:bookmarkEnd w:id="427"/>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Affiliates or Licensees, whether during or after the Term, and whether or not any such Adagio Derived Antibody is a CoV Antibody, are milestone- and royalty-bearing to Adimab in accordance with Article 4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shall not be construed as granting to Adagio any license or other right under any Adimab Platform Technology, Adimab Platform Patents or CoV Antibody Patents, or any other Patents or Know-How Controlled by Adimab, to develop or commercialize any CoV-specific antibody other than as expressly permitted by this Agreement.</w:t>
      </w:r>
    </w:p>
    <w:p>
      <w:pPr>
        <w:spacing w:after="0" w:line="153" w:lineRule="exact"/>
        <w:rPr>
          <w:sz w:val="20"/>
          <w:szCs w:val="20"/>
          <w:color w:val="auto"/>
        </w:rPr>
      </w:pPr>
    </w:p>
    <w:p>
      <w:pPr>
        <w:ind w:left="4" w:right="80" w:firstLine="440"/>
        <w:spacing w:after="0" w:line="258" w:lineRule="auto"/>
        <w:rPr>
          <w:sz w:val="20"/>
          <w:szCs w:val="20"/>
          <w:color w:val="auto"/>
        </w:rPr>
      </w:pPr>
      <w:r>
        <w:rPr>
          <w:rFonts w:ascii="Arial" w:cs="Arial" w:eastAsia="Arial" w:hAnsi="Arial"/>
          <w:sz w:val="18"/>
          <w:szCs w:val="18"/>
          <w:b w:val="1"/>
          <w:bCs w:val="1"/>
          <w:color w:val="auto"/>
        </w:rPr>
        <w:t>3.5 Diligence</w:t>
      </w:r>
      <w:r>
        <w:rPr>
          <w:rFonts w:ascii="Arial" w:cs="Arial" w:eastAsia="Arial" w:hAnsi="Arial"/>
          <w:sz w:val="18"/>
          <w:szCs w:val="18"/>
          <w:color w:val="auto"/>
        </w:rPr>
        <w:t>. Adagio (directly or through its Affiliates or Licensees) shall use Commercially Reasonable Efforts: (a) to file an IND for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one Product in the Field [***]; (b) to conduct or have conducted such preclinical and clinical development activities as are necessary to support the filing of an NDA for at least one Product in the Field [***]; (c) to file an NDA, and obtain Marketing Approval, for at least one Product in the Field [***]; and (d) following receipt of Marketing Approval (and, if required, pricing approval) for a Product in the Field in any country or other regulatory jurisdiction, to market and sell such Product in the Field in such country or other jurisdiction.</w:t>
      </w:r>
    </w:p>
    <w:p>
      <w:pPr>
        <w:spacing w:after="0" w:line="183" w:lineRule="exact"/>
        <w:rPr>
          <w:sz w:val="20"/>
          <w:szCs w:val="20"/>
          <w:color w:val="auto"/>
        </w:rPr>
      </w:pPr>
    </w:p>
    <w:p>
      <w:pPr>
        <w:jc w:val="both"/>
        <w:ind w:left="4" w:right="240" w:firstLine="440"/>
        <w:spacing w:after="0" w:line="281" w:lineRule="auto"/>
        <w:rPr>
          <w:sz w:val="20"/>
          <w:szCs w:val="20"/>
          <w:color w:val="auto"/>
        </w:rPr>
      </w:pPr>
      <w:r>
        <w:rPr>
          <w:rFonts w:ascii="Arial" w:cs="Arial" w:eastAsia="Arial" w:hAnsi="Arial"/>
          <w:sz w:val="17"/>
          <w:szCs w:val="17"/>
          <w:b w:val="1"/>
          <w:bCs w:val="1"/>
          <w:color w:val="auto"/>
        </w:rPr>
        <w:t>3.6 Regulatory</w:t>
      </w:r>
      <w:r>
        <w:rPr>
          <w:rFonts w:ascii="Arial" w:cs="Arial" w:eastAsia="Arial" w:hAnsi="Arial"/>
          <w:sz w:val="17"/>
          <w:szCs w:val="17"/>
          <w:color w:val="auto"/>
        </w:rPr>
        <w:t>. Adagio (itself or with or through its Affiliates or Licensees) shall be solely responsible for preparing and submitting all INDs,</w:t>
      </w:r>
      <w:r>
        <w:rPr>
          <w:rFonts w:ascii="Arial" w:cs="Arial" w:eastAsia="Arial" w:hAnsi="Arial"/>
          <w:sz w:val="17"/>
          <w:szCs w:val="17"/>
          <w:b w:val="1"/>
          <w:bCs w:val="1"/>
          <w:color w:val="auto"/>
        </w:rPr>
        <w:t xml:space="preserve"> </w:t>
      </w:r>
      <w:r>
        <w:rPr>
          <w:rFonts w:ascii="Arial" w:cs="Arial" w:eastAsia="Arial" w:hAnsi="Arial"/>
          <w:sz w:val="17"/>
          <w:szCs w:val="17"/>
          <w:color w:val="auto"/>
        </w:rPr>
        <w:t>NDAs and other regulatory filings for CoV Antibodies and Products in the Field (collectively, “</w:t>
      </w:r>
      <w:r>
        <w:rPr>
          <w:rFonts w:ascii="Arial" w:cs="Arial" w:eastAsia="Arial" w:hAnsi="Arial"/>
          <w:sz w:val="17"/>
          <w:szCs w:val="17"/>
          <w:b w:val="1"/>
          <w:bCs w:val="1"/>
          <w:color w:val="auto"/>
        </w:rPr>
        <w:t>Adagio Regulatory Filings</w:t>
      </w:r>
      <w:r>
        <w:rPr>
          <w:rFonts w:ascii="Arial" w:cs="Arial" w:eastAsia="Arial" w:hAnsi="Arial"/>
          <w:sz w:val="17"/>
          <w:szCs w:val="17"/>
          <w:color w:val="auto"/>
        </w:rPr>
        <w:t>”), and for obtaining and maintaining all Marketing Approvals for Products in the Field (“</w:t>
      </w:r>
      <w:r>
        <w:rPr>
          <w:rFonts w:ascii="Arial" w:cs="Arial" w:eastAsia="Arial" w:hAnsi="Arial"/>
          <w:sz w:val="17"/>
          <w:szCs w:val="17"/>
          <w:b w:val="1"/>
          <w:bCs w:val="1"/>
          <w:color w:val="auto"/>
        </w:rPr>
        <w:t>Adagio Approvals</w:t>
      </w:r>
      <w:r>
        <w:rPr>
          <w:rFonts w:ascii="Arial" w:cs="Arial" w:eastAsia="Arial" w:hAnsi="Arial"/>
          <w:sz w:val="17"/>
          <w:szCs w:val="17"/>
          <w:color w:val="auto"/>
        </w:rPr>
        <w:t>”), at Adagio’s sole expense. All Adagio Regulatory Filings and Adagio Approvals shall be submitted in the name of, and owned by, Adagio (or its Affiliate or Licensee, as applicable).</w:t>
      </w:r>
    </w:p>
    <w:p>
      <w:pPr>
        <w:spacing w:after="0" w:line="16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b w:val="1"/>
          <w:bCs w:val="1"/>
          <w:color w:val="auto"/>
        </w:rPr>
        <w:t xml:space="preserve">3.7 Disclosure Regarding Adagio Efforts. </w:t>
      </w:r>
      <w:r>
        <w:rPr>
          <w:rFonts w:ascii="Arial" w:cs="Arial" w:eastAsia="Arial" w:hAnsi="Arial"/>
          <w:sz w:val="16"/>
          <w:szCs w:val="16"/>
          <w:color w:val="auto"/>
        </w:rPr>
        <w:t>(a) Prior to initiation of the first Phase I Trial of a Product, Adagio shall provide semi-annual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reports to Adimab in [***] summarizing the pre-clinical Product development efforts of Adagio and its Affiliates and Licensees during the preceding</w:t>
      </w:r>
    </w:p>
    <w:p>
      <w:pPr>
        <w:spacing w:after="0" w:line="1" w:lineRule="exact"/>
        <w:rPr>
          <w:sz w:val="20"/>
          <w:szCs w:val="20"/>
          <w:color w:val="auto"/>
        </w:rPr>
      </w:pPr>
    </w:p>
    <w:p>
      <w:pPr>
        <w:ind w:left="4" w:hanging="4"/>
        <w:spacing w:after="0" w:line="253" w:lineRule="auto"/>
        <w:tabs>
          <w:tab w:leader="none" w:pos="439"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and of its intended Product development efforts for the following [***]; and (b) after initiation of the first Phase I Trial of a Product, Adagio shall provide annual written reports to Adimab in [***] summarizing the pre-clinical and clinical Product development, registration and commercialization efforts of Adagio and its Affiliates and Licensees in the Major Markets during the preceding [***] and of its intended Product development, registration and commercialization efforts for the following [***].</w:t>
      </w:r>
    </w:p>
    <w:p>
      <w:pPr>
        <w:spacing w:after="0" w:line="200" w:lineRule="exact"/>
        <w:rPr>
          <w:sz w:val="20"/>
          <w:szCs w:val="20"/>
          <w:color w:val="auto"/>
        </w:rPr>
      </w:pPr>
    </w:p>
    <w:p>
      <w:pPr>
        <w:spacing w:after="0" w:line="20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FINANCIAL TERMS</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 Milestone Payments</w:t>
      </w:r>
      <w:r>
        <w:rPr>
          <w:rFonts w:ascii="Arial" w:cs="Arial" w:eastAsia="Arial" w:hAnsi="Arial"/>
          <w:sz w:val="18"/>
          <w:szCs w:val="18"/>
          <w:color w:val="auto"/>
        </w:rPr>
        <w:t>.</w:t>
      </w:r>
    </w:p>
    <w:p>
      <w:pPr>
        <w:spacing w:after="0" w:line="225" w:lineRule="exact"/>
        <w:rPr>
          <w:sz w:val="20"/>
          <w:szCs w:val="20"/>
          <w:color w:val="auto"/>
        </w:rPr>
      </w:pPr>
    </w:p>
    <w:p>
      <w:pPr>
        <w:ind w:left="4" w:right="140" w:firstLine="987"/>
        <w:spacing w:after="0" w:line="281" w:lineRule="auto"/>
        <w:tabs>
          <w:tab w:leader="none" w:pos="1250"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Milestone Events</w:t>
      </w:r>
      <w:r>
        <w:rPr>
          <w:rFonts w:ascii="Arial" w:cs="Arial" w:eastAsia="Arial" w:hAnsi="Arial"/>
          <w:sz w:val="17"/>
          <w:szCs w:val="17"/>
          <w:color w:val="auto"/>
        </w:rPr>
        <w:t>. Subject to Section 4.1(b) (</w:t>
      </w:r>
      <w:r>
        <w:rPr>
          <w:rFonts w:ascii="Arial" w:cs="Arial" w:eastAsia="Arial" w:hAnsi="Arial"/>
          <w:sz w:val="17"/>
          <w:szCs w:val="17"/>
          <w:i w:val="1"/>
          <w:iCs w:val="1"/>
          <w:color w:val="auto"/>
        </w:rPr>
        <w:t>Maximum Milestone Payments</w:t>
      </w:r>
      <w:r>
        <w:rPr>
          <w:rFonts w:ascii="Arial" w:cs="Arial" w:eastAsia="Arial" w:hAnsi="Arial"/>
          <w:sz w:val="17"/>
          <w:szCs w:val="17"/>
          <w:color w:val="auto"/>
        </w:rPr>
        <w:t>) and Section 4.2(c) (</w:t>
      </w:r>
      <w:r>
        <w:rPr>
          <w:rFonts w:ascii="Arial" w:cs="Arial" w:eastAsia="Arial" w:hAnsi="Arial"/>
          <w:sz w:val="17"/>
          <w:szCs w:val="17"/>
          <w:i w:val="1"/>
          <w:iCs w:val="1"/>
          <w:color w:val="auto"/>
        </w:rPr>
        <w:t>Catch-Up Payments</w:t>
      </w:r>
      <w:r>
        <w:rPr>
          <w:rFonts w:ascii="Arial" w:cs="Arial" w:eastAsia="Arial" w:hAnsi="Arial"/>
          <w:sz w:val="17"/>
          <w:szCs w:val="17"/>
          <w:color w:val="auto"/>
        </w:rPr>
        <w:t>), Adagio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report in writing to Adimab the first achievement of each event set forth in the table below (each, a “</w:t>
      </w:r>
      <w:r>
        <w:rPr>
          <w:rFonts w:ascii="Arial" w:cs="Arial" w:eastAsia="Arial" w:hAnsi="Arial"/>
          <w:sz w:val="17"/>
          <w:szCs w:val="17"/>
          <w:b w:val="1"/>
          <w:bCs w:val="1"/>
          <w:color w:val="auto"/>
        </w:rPr>
        <w:t>Milestone Event</w:t>
      </w:r>
      <w:r>
        <w:rPr>
          <w:rFonts w:ascii="Arial" w:cs="Arial" w:eastAsia="Arial" w:hAnsi="Arial"/>
          <w:sz w:val="17"/>
          <w:szCs w:val="17"/>
          <w:color w:val="auto"/>
        </w:rPr>
        <w:t>”) by (i) the first Product (excluding any Companion Diagnostic) to achieve such Milestone Event (“</w:t>
      </w:r>
      <w:r>
        <w:rPr>
          <w:rFonts w:ascii="Arial" w:cs="Arial" w:eastAsia="Arial" w:hAnsi="Arial"/>
          <w:sz w:val="17"/>
          <w:szCs w:val="17"/>
          <w:b w:val="1"/>
          <w:bCs w:val="1"/>
          <w:color w:val="auto"/>
        </w:rPr>
        <w:t>First Product</w:t>
      </w:r>
      <w:r>
        <w:rPr>
          <w:rFonts w:ascii="Arial" w:cs="Arial" w:eastAsia="Arial" w:hAnsi="Arial"/>
          <w:sz w:val="17"/>
          <w:szCs w:val="17"/>
          <w:color w:val="auto"/>
        </w:rPr>
        <w:t>”) and (ii) the first Product (excluding any Companion Diagnostic) containing or incorporating a CoV Antibody other than the CoV Antibody contained or incorporated in the First</w:t>
      </w:r>
    </w:p>
    <w:p>
      <w:pPr>
        <w:spacing w:after="0" w:line="10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4"/>
          </w:cols>
          <w:pgMar w:left="436" w:top="274" w:right="519" w:bottom="1440" w:gutter="0" w:footer="0" w:header="0"/>
        </w:sectPr>
      </w:pPr>
    </w:p>
    <w:bookmarkStart w:id="428" w:name="page429"/>
    <w:bookmarkEnd w:id="4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 (“</w:t>
      </w:r>
      <w:r>
        <w:rPr>
          <w:rFonts w:ascii="Arial" w:cs="Arial" w:eastAsia="Arial" w:hAnsi="Arial"/>
          <w:sz w:val="16"/>
          <w:szCs w:val="16"/>
          <w:b w:val="1"/>
          <w:bCs w:val="1"/>
          <w:color w:val="auto"/>
        </w:rPr>
        <w:t>Second Product</w:t>
      </w:r>
      <w:r>
        <w:rPr>
          <w:rFonts w:ascii="Arial" w:cs="Arial" w:eastAsia="Arial" w:hAnsi="Arial"/>
          <w:sz w:val="16"/>
          <w:szCs w:val="16"/>
          <w:color w:val="auto"/>
        </w:rPr>
        <w:t>”), and, in each case, pay the corresponding milestone payment set forth in the table below (each, a “</w:t>
      </w:r>
      <w:r>
        <w:rPr>
          <w:rFonts w:ascii="Arial" w:cs="Arial" w:eastAsia="Arial" w:hAnsi="Arial"/>
          <w:sz w:val="16"/>
          <w:szCs w:val="16"/>
          <w:b w:val="1"/>
          <w:bCs w:val="1"/>
          <w:color w:val="auto"/>
        </w:rPr>
        <w:t>Milestone Payment</w:t>
      </w:r>
      <w:r>
        <w:rPr>
          <w:rFonts w:ascii="Arial" w:cs="Arial" w:eastAsia="Arial" w:hAnsi="Arial"/>
          <w:sz w:val="16"/>
          <w:szCs w:val="16"/>
          <w:color w:val="auto"/>
        </w:rPr>
        <w: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Adimab, each within [***] after the first achievement of the corresponding Milestone Event by such Product: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Milestone Event</w:t>
            </w:r>
          </w:p>
        </w:tc>
        <w:tc>
          <w:tcPr>
            <w:tcW w:w="120" w:type="dxa"/>
            <w:vAlign w:val="bottom"/>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3"/>
          </w:tcPr>
          <w:p>
            <w:pPr>
              <w:jc w:val="right"/>
              <w:ind w:right="2859"/>
              <w:spacing w:after="0"/>
              <w:rPr>
                <w:sz w:val="20"/>
                <w:szCs w:val="20"/>
                <w:color w:val="auto"/>
              </w:rPr>
            </w:pPr>
            <w:r>
              <w:rPr>
                <w:rFonts w:ascii="Arial" w:cs="Arial" w:eastAsia="Arial" w:hAnsi="Arial"/>
                <w:sz w:val="14"/>
                <w:szCs w:val="14"/>
                <w:b w:val="1"/>
                <w:bCs w:val="1"/>
                <w:color w:val="auto"/>
              </w:rPr>
              <w:t>Milestone Payment</w:t>
            </w:r>
          </w:p>
        </w:tc>
        <w:tc>
          <w:tcPr>
            <w:tcW w:w="0" w:type="dxa"/>
            <w:vAlign w:val="bottom"/>
          </w:tcPr>
          <w:p>
            <w:pPr>
              <w:spacing w:after="0"/>
              <w:rPr>
                <w:sz w:val="1"/>
                <w:szCs w:val="1"/>
                <w:color w:val="auto"/>
              </w:rPr>
            </w:pPr>
          </w:p>
        </w:tc>
      </w:tr>
      <w:tr>
        <w:trPr>
          <w:trHeight w:val="155"/>
        </w:trPr>
        <w:tc>
          <w:tcPr>
            <w:tcW w:w="3860" w:type="dxa"/>
            <w:vAlign w:val="bottom"/>
            <w:vMerge w:val="restart"/>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3"/>
                <w:szCs w:val="13"/>
                <w:color w:val="auto"/>
              </w:rPr>
            </w:pPr>
          </w:p>
        </w:tc>
        <w:tc>
          <w:tcPr>
            <w:tcW w:w="254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First Product</w:t>
            </w:r>
          </w:p>
        </w:tc>
        <w:tc>
          <w:tcPr>
            <w:tcW w:w="9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Borders>
              <w:bottom w:val="single" w:sz="8" w:color="auto"/>
            </w:tcBorders>
          </w:tcPr>
          <w:p>
            <w:pPr>
              <w:jc w:val="right"/>
              <w:ind w:right="1139"/>
              <w:spacing w:after="0" w:line="155" w:lineRule="exact"/>
              <w:rPr>
                <w:sz w:val="20"/>
                <w:szCs w:val="20"/>
                <w:color w:val="auto"/>
              </w:rPr>
            </w:pPr>
            <w:r>
              <w:rPr>
                <w:rFonts w:ascii="Arial" w:cs="Arial" w:eastAsia="Arial" w:hAnsi="Arial"/>
                <w:sz w:val="14"/>
                <w:szCs w:val="14"/>
                <w:b w:val="1"/>
                <w:bCs w:val="1"/>
                <w:color w:val="auto"/>
              </w:rPr>
              <w:t>Second Product</w:t>
            </w:r>
          </w:p>
        </w:tc>
        <w:tc>
          <w:tcPr>
            <w:tcW w:w="0" w:type="dxa"/>
            <w:vAlign w:val="bottom"/>
          </w:tcPr>
          <w:p>
            <w:pPr>
              <w:spacing w:after="0"/>
              <w:rPr>
                <w:sz w:val="1"/>
                <w:szCs w:val="1"/>
                <w:color w:val="auto"/>
              </w:rPr>
            </w:pPr>
          </w:p>
        </w:tc>
      </w:tr>
      <w:tr>
        <w:trPr>
          <w:trHeight w:val="224"/>
        </w:trPr>
        <w:tc>
          <w:tcPr>
            <w:tcW w:w="38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540" w:type="dxa"/>
            <w:vAlign w:val="bottom"/>
          </w:tcPr>
          <w:p>
            <w:pPr>
              <w:jc w:val="right"/>
              <w:ind w:right="2079"/>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60" w:type="dxa"/>
            <w:vAlign w:val="bottom"/>
          </w:tcPr>
          <w:p>
            <w:pPr>
              <w:spacing w:after="0"/>
              <w:rPr>
                <w:sz w:val="20"/>
                <w:szCs w:val="20"/>
                <w:color w:val="auto"/>
              </w:rPr>
            </w:pPr>
            <w:r>
              <w:rPr>
                <w:rFonts w:ascii="Arial" w:cs="Arial" w:eastAsia="Arial" w:hAnsi="Arial"/>
                <w:sz w:val="18"/>
                <w:szCs w:val="18"/>
                <w:color w:val="auto"/>
              </w:rPr>
              <w:t>[***]</w:t>
            </w:r>
          </w:p>
        </w:tc>
        <w:tc>
          <w:tcPr>
            <w:tcW w:w="2660" w:type="dxa"/>
            <w:vAlign w:val="bottom"/>
            <w:gridSpan w:val="2"/>
          </w:tcPr>
          <w:p>
            <w:pPr>
              <w:jc w:val="right"/>
              <w:ind w:right="2079"/>
              <w:spacing w:after="0"/>
              <w:rPr>
                <w:sz w:val="20"/>
                <w:szCs w:val="20"/>
                <w:color w:val="auto"/>
              </w:rPr>
            </w:pPr>
            <w:r>
              <w:rPr>
                <w:rFonts w:ascii="Arial" w:cs="Arial" w:eastAsia="Arial" w:hAnsi="Arial"/>
                <w:sz w:val="18"/>
                <w:szCs w:val="18"/>
                <w:color w:val="auto"/>
              </w:rPr>
              <w:t>[***]</w:t>
            </w:r>
          </w:p>
        </w:tc>
        <w:tc>
          <w:tcPr>
            <w:tcW w:w="4500" w:type="dxa"/>
            <w:vAlign w:val="bottom"/>
            <w:gridSpan w:val="3"/>
          </w:tcPr>
          <w:p>
            <w:pPr>
              <w:jc w:val="right"/>
              <w:ind w:right="293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firstLine="987"/>
        <w:spacing w:after="0" w:line="282" w:lineRule="auto"/>
        <w:tabs>
          <w:tab w:leader="none" w:pos="1256"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Maximum Milestone Payments</w:t>
      </w:r>
      <w:r>
        <w:rPr>
          <w:rFonts w:ascii="Arial" w:cs="Arial" w:eastAsia="Arial" w:hAnsi="Arial"/>
          <w:sz w:val="18"/>
          <w:szCs w:val="18"/>
          <w:color w:val="auto"/>
        </w:rPr>
        <w:t>. For clarity, the maximum aggregate amount of Milestone Payments payable under this Section 4.1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Milestone Payments</w:t>
      </w:r>
      <w:r>
        <w:rPr>
          <w:rFonts w:ascii="Arial" w:cs="Arial" w:eastAsia="Arial" w:hAnsi="Arial"/>
          <w:sz w:val="18"/>
          <w:szCs w:val="18"/>
          <w:color w:val="auto"/>
        </w:rPr>
        <w:t>) for any and all Products is [***].</w:t>
      </w:r>
    </w:p>
    <w:p>
      <w:pPr>
        <w:spacing w:after="0" w:line="161" w:lineRule="exact"/>
        <w:rPr>
          <w:rFonts w:ascii="Arial" w:cs="Arial" w:eastAsia="Arial" w:hAnsi="Arial"/>
          <w:sz w:val="18"/>
          <w:szCs w:val="18"/>
          <w:b w:val="1"/>
          <w:bCs w:val="1"/>
          <w:color w:val="auto"/>
        </w:rPr>
      </w:pPr>
    </w:p>
    <w:p>
      <w:pPr>
        <w:ind w:right="140" w:firstLine="987"/>
        <w:spacing w:after="0" w:line="298" w:lineRule="auto"/>
        <w:tabs>
          <w:tab w:leader="none" w:pos="1236" w:val="left"/>
        </w:tabs>
        <w:numPr>
          <w:ilvl w:val="0"/>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Catch-Up Payments</w:t>
      </w:r>
      <w:r>
        <w:rPr>
          <w:rFonts w:ascii="Arial" w:cs="Arial" w:eastAsia="Arial" w:hAnsi="Arial"/>
          <w:sz w:val="16"/>
          <w:szCs w:val="16"/>
          <w:color w:val="auto"/>
        </w:rPr>
        <w:t>. If a later-stage clinical Milestone Event is achieved for any Product without one or more earlier-stage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Milestone Events having been achieved for that Product, then Adagio shall pay the Milestone Payment(s) for such previous clinical Milestone Event(s) along with the payment for the most recently achieved clinical-stage Milestone Event. If a Milestone Event related to filing of an NDA for any Product is achieved without one or more of the clinical Milestone Events being achieved for that Product, then Adagio shall pay the Milestone Payment(s) for such previous clinical Milestone Event(s) along with the payment for the first Milestone Event related to filing of an NDA for such Product.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Royalties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81" w:lineRule="auto"/>
        <w:tabs>
          <w:tab w:leader="none" w:pos="1246" w:val="left"/>
        </w:tabs>
        <w:numPr>
          <w:ilvl w:val="0"/>
          <w:numId w:val="307"/>
        </w:numPr>
        <w:rPr>
          <w:rFonts w:ascii="Arial" w:cs="Arial" w:eastAsia="Arial" w:hAnsi="Arial"/>
          <w:sz w:val="17"/>
          <w:szCs w:val="17"/>
          <w:b w:val="1"/>
          <w:bCs w:val="1"/>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 Subject to the remainder of Section 4.2 (</w:t>
      </w:r>
      <w:r>
        <w:rPr>
          <w:rFonts w:ascii="Arial" w:cs="Arial" w:eastAsia="Arial" w:hAnsi="Arial"/>
          <w:sz w:val="17"/>
          <w:szCs w:val="17"/>
          <w:i w:val="1"/>
          <w:iCs w:val="1"/>
          <w:color w:val="auto"/>
        </w:rPr>
        <w:t>Royalties</w:t>
      </w:r>
      <w:r>
        <w:rPr>
          <w:rFonts w:ascii="Arial" w:cs="Arial" w:eastAsia="Arial" w:hAnsi="Arial"/>
          <w:sz w:val="17"/>
          <w:szCs w:val="17"/>
          <w:color w:val="auto"/>
        </w:rPr>
        <w:t>), Adagio shall pay Adimab, on a Product-by-Product and</w:t>
      </w:r>
      <w:r>
        <w:rPr>
          <w:rFonts w:ascii="Arial" w:cs="Arial" w:eastAsia="Arial" w:hAnsi="Arial"/>
          <w:sz w:val="17"/>
          <w:szCs w:val="17"/>
          <w:b w:val="1"/>
          <w:bCs w:val="1"/>
          <w:color w:val="auto"/>
        </w:rPr>
        <w:t xml:space="preserve"> </w:t>
      </w:r>
      <w:r>
        <w:rPr>
          <w:rFonts w:ascii="Arial" w:cs="Arial" w:eastAsia="Arial" w:hAnsi="Arial"/>
          <w:sz w:val="17"/>
          <w:szCs w:val="17"/>
          <w:color w:val="auto"/>
        </w:rPr>
        <w:t>country-by-country basis, a royalty of [***] of Net Sales of a Product in a country during the applicable Royalty Term for such Product in such country (“</w:t>
      </w:r>
      <w:r>
        <w:rPr>
          <w:rFonts w:ascii="Arial" w:cs="Arial" w:eastAsia="Arial" w:hAnsi="Arial"/>
          <w:sz w:val="17"/>
          <w:szCs w:val="17"/>
          <w:b w:val="1"/>
          <w:bCs w:val="1"/>
          <w:color w:val="auto"/>
        </w:rPr>
        <w:t>Royalty Payments</w:t>
      </w:r>
      <w:r>
        <w:rPr>
          <w:rFonts w:ascii="Arial" w:cs="Arial" w:eastAsia="Arial" w:hAnsi="Arial"/>
          <w:sz w:val="17"/>
          <w:szCs w:val="17"/>
          <w:color w:val="auto"/>
        </w:rPr>
        <w:t>”). On a Product-by-Product and country-by-country basis, upon expiration of the Royalty Term with respect to a Product in a country, the License with respect to such Product in such country shall become royalty-free, fully-paid, irrevocable and perpetual.</w:t>
      </w:r>
    </w:p>
    <w:p>
      <w:pPr>
        <w:spacing w:after="0" w:line="164" w:lineRule="exact"/>
        <w:rPr>
          <w:rFonts w:ascii="Arial" w:cs="Arial" w:eastAsia="Arial" w:hAnsi="Arial"/>
          <w:sz w:val="17"/>
          <w:szCs w:val="17"/>
          <w:b w:val="1"/>
          <w:bCs w:val="1"/>
          <w:color w:val="auto"/>
        </w:rPr>
      </w:pPr>
    </w:p>
    <w:p>
      <w:pPr>
        <w:ind w:right="20" w:firstLine="987"/>
        <w:spacing w:after="0" w:line="292" w:lineRule="auto"/>
        <w:tabs>
          <w:tab w:leader="none" w:pos="1256" w:val="left"/>
        </w:tabs>
        <w:numPr>
          <w:ilvl w:val="0"/>
          <w:numId w:val="30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Third Party IP</w:t>
      </w:r>
      <w:r>
        <w:rPr>
          <w:rFonts w:ascii="Arial" w:cs="Arial" w:eastAsia="Arial" w:hAnsi="Arial"/>
          <w:sz w:val="16"/>
          <w:szCs w:val="16"/>
          <w:color w:val="auto"/>
        </w:rPr>
        <w:t>. If Adagio enters into any Third Party Patent License, then [***] of the royalties actually paid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Third Party under such Third Party Patent License with respect to sales of any given Product in any given calendar quarter in any given country may be offset against the Royalty Payment, if any, that would otherwise have been payable to Adimab with respect to Net Sales of such Product in such calendar quarter in such country;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event shall the royalty owed to Adimab be reduced by more than [***] of the payment which would otherwise be due hereunder by reason of any and all such offsets in the aggregate. It is understood, agreed and acknowledged that Adimab’s allowing Adagio to claim the credit of this Section 4.2(b) (</w:t>
      </w:r>
      <w:r>
        <w:rPr>
          <w:rFonts w:ascii="Arial" w:cs="Arial" w:eastAsia="Arial" w:hAnsi="Arial"/>
          <w:sz w:val="16"/>
          <w:szCs w:val="16"/>
          <w:i w:val="1"/>
          <w:iCs w:val="1"/>
          <w:color w:val="auto"/>
        </w:rPr>
        <w:t>Adjustments for Third Party IP</w:t>
      </w:r>
      <w:r>
        <w:rPr>
          <w:rFonts w:ascii="Arial" w:cs="Arial" w:eastAsia="Arial" w:hAnsi="Arial"/>
          <w:sz w:val="16"/>
          <w:szCs w:val="16"/>
          <w:color w:val="auto"/>
        </w:rPr>
        <w:t>) as to any particular Third Party Patent License: (i) does not mean Adimab believes that the licensed Patents of the Third Party were infringed by or Cover any aspect of the discovery or optimization work 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429" w:name="page430"/>
    <w:bookmarkEnd w:id="429"/>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Adimab; and (ii) is not, will not be, and shall not be under any circumstances construed as an admission of any kind. Adimab may have many reasons not to challenge any given assertion of the credit of this Section 4.2(b) (</w:t>
      </w:r>
      <w:r>
        <w:rPr>
          <w:rFonts w:ascii="Arial" w:cs="Arial" w:eastAsia="Arial" w:hAnsi="Arial"/>
          <w:sz w:val="16"/>
          <w:szCs w:val="16"/>
          <w:i w:val="1"/>
          <w:iCs w:val="1"/>
          <w:color w:val="auto"/>
        </w:rPr>
        <w:t>Adjustment for Third Party IP</w:t>
      </w:r>
      <w:r>
        <w:rPr>
          <w:rFonts w:ascii="Arial" w:cs="Arial" w:eastAsia="Arial" w:hAnsi="Arial"/>
          <w:sz w:val="16"/>
          <w:szCs w:val="16"/>
          <w:color w:val="auto"/>
        </w:rPr>
        <w:t>) by Adagio, including: (1) maintaining good relations with a counterparty; (2) an assessment that the costs of the credit are outweighed by the benefits of Adagio having a license in place that makes it feel comfortable to proceed with the Product (resulting in a greater likelihood of milestones and royalties being paid to Adimab); (3) resource limitations that make it impracticable to challenge Adagio’s assertion of such credit even though Adimab may disagree whether this is proper; and</w:t>
      </w:r>
    </w:p>
    <w:p>
      <w:pPr>
        <w:spacing w:after="0" w:line="2" w:lineRule="exact"/>
        <w:rPr>
          <w:sz w:val="20"/>
          <w:szCs w:val="20"/>
          <w:color w:val="auto"/>
        </w:rPr>
      </w:pPr>
    </w:p>
    <w:p>
      <w:pPr>
        <w:ind w:left="264" w:hanging="264"/>
        <w:spacing w:after="0"/>
        <w:tabs>
          <w:tab w:leader="none" w:pos="2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other reasons other than thinking that the relevant Patents Cover or were infringed by any aspect of the discovery or optimization work.</w:t>
      </w:r>
    </w:p>
    <w:p>
      <w:pPr>
        <w:spacing w:after="0" w:line="206" w:lineRule="exact"/>
        <w:rPr>
          <w:rFonts w:ascii="Arial" w:cs="Arial" w:eastAsia="Arial" w:hAnsi="Arial"/>
          <w:sz w:val="18"/>
          <w:szCs w:val="18"/>
          <w:color w:val="auto"/>
        </w:rPr>
      </w:pPr>
    </w:p>
    <w:p>
      <w:pPr>
        <w:ind w:left="4" w:right="40" w:firstLine="987"/>
        <w:spacing w:after="0" w:line="256" w:lineRule="auto"/>
        <w:tabs>
          <w:tab w:leader="none" w:pos="124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Biosimilar Competition. </w:t>
      </w:r>
      <w:r>
        <w:rPr>
          <w:rFonts w:ascii="Arial" w:cs="Arial" w:eastAsia="Arial" w:hAnsi="Arial"/>
          <w:sz w:val="18"/>
          <w:szCs w:val="18"/>
          <w:color w:val="auto"/>
        </w:rPr>
        <w:t>On a Product-by-Product and country-by-country basis, if, during the Royalty Term for a Product in a</w:t>
      </w:r>
      <w:r>
        <w:rPr>
          <w:rFonts w:ascii="Arial" w:cs="Arial" w:eastAsia="Arial" w:hAnsi="Arial"/>
          <w:sz w:val="18"/>
          <w:szCs w:val="18"/>
          <w:b w:val="1"/>
          <w:bCs w:val="1"/>
          <w:color w:val="auto"/>
        </w:rPr>
        <w:t xml:space="preserve"> </w:t>
      </w:r>
      <w:r>
        <w:rPr>
          <w:rFonts w:ascii="Arial" w:cs="Arial" w:eastAsia="Arial" w:hAnsi="Arial"/>
          <w:sz w:val="18"/>
          <w:szCs w:val="18"/>
          <w:color w:val="auto"/>
        </w:rPr>
        <w:t>country, sales of Biosimilars of such Product account for [***] of aggregate unit sales of such Product and such Biosimilars in such country in a calendar quarter, as determined by reference to applicable sales data obtained from a reputable independent source (</w:t>
      </w:r>
      <w:r>
        <w:rPr>
          <w:rFonts w:ascii="Arial" w:cs="Arial" w:eastAsia="Arial" w:hAnsi="Arial"/>
          <w:sz w:val="18"/>
          <w:szCs w:val="18"/>
          <w:i w:val="1"/>
          <w:iCs w:val="1"/>
          <w:color w:val="auto"/>
        </w:rPr>
        <w:t>e.g.</w:t>
      </w:r>
      <w:r>
        <w:rPr>
          <w:rFonts w:ascii="Arial" w:cs="Arial" w:eastAsia="Arial" w:hAnsi="Arial"/>
          <w:sz w:val="18"/>
          <w:szCs w:val="18"/>
          <w:color w:val="auto"/>
        </w:rPr>
        <w:t>, IMS Health), then for the remainder of the Royalty Term for such Product in such country, the royalties that would otherwise be payable by Adagio under Section 4.2(a) (</w:t>
      </w:r>
      <w:r>
        <w:rPr>
          <w:rFonts w:ascii="Arial" w:cs="Arial" w:eastAsia="Arial" w:hAnsi="Arial"/>
          <w:sz w:val="18"/>
          <w:szCs w:val="18"/>
          <w:i w:val="1"/>
          <w:iCs w:val="1"/>
          <w:color w:val="auto"/>
        </w:rPr>
        <w:t>Royalty</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(as adjusted pursuant to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 to the extent applicable), with respect to Net Sales of such Product in</w:t>
      </w:r>
      <w:r>
        <w:rPr>
          <w:rFonts w:ascii="Arial" w:cs="Arial" w:eastAsia="Arial" w:hAnsi="Arial"/>
          <w:sz w:val="18"/>
          <w:szCs w:val="18"/>
          <w:i w:val="1"/>
          <w:iCs w:val="1"/>
          <w:color w:val="auto"/>
        </w:rPr>
        <w:t xml:space="preserve"> </w:t>
      </w:r>
      <w:r>
        <w:rPr>
          <w:rFonts w:ascii="Arial" w:cs="Arial" w:eastAsia="Arial" w:hAnsi="Arial"/>
          <w:sz w:val="18"/>
          <w:szCs w:val="18"/>
          <w:color w:val="auto"/>
        </w:rPr>
        <w:t>such country shall be [***].</w:t>
      </w:r>
    </w:p>
    <w:p>
      <w:pPr>
        <w:spacing w:after="0" w:line="187" w:lineRule="exact"/>
        <w:rPr>
          <w:rFonts w:ascii="Arial" w:cs="Arial" w:eastAsia="Arial" w:hAnsi="Arial"/>
          <w:sz w:val="18"/>
          <w:szCs w:val="18"/>
          <w:b w:val="1"/>
          <w:bCs w:val="1"/>
          <w:color w:val="auto"/>
        </w:rPr>
      </w:pPr>
    </w:p>
    <w:p>
      <w:pPr>
        <w:ind w:left="4" w:firstLine="987"/>
        <w:spacing w:after="0" w:line="255" w:lineRule="auto"/>
        <w:tabs>
          <w:tab w:leader="none" w:pos="126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Compulsory Licensing. </w:t>
      </w:r>
      <w:r>
        <w:rPr>
          <w:rFonts w:ascii="Arial" w:cs="Arial" w:eastAsia="Arial" w:hAnsi="Arial"/>
          <w:sz w:val="18"/>
          <w:szCs w:val="18"/>
          <w:color w:val="auto"/>
        </w:rPr>
        <w:t>If a Compulsory License is granted to a Third Party with respect to a Product in a country, and the royalty rate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by such Third Party to Adagio or its Affiliate or Licensee for such Compulsory License does not equal or exceed the royalty rate provided by Section 4.2(a) (</w:t>
      </w:r>
      <w:r>
        <w:rPr>
          <w:rFonts w:ascii="Arial" w:cs="Arial" w:eastAsia="Arial" w:hAnsi="Arial"/>
          <w:sz w:val="18"/>
          <w:szCs w:val="18"/>
          <w:i w:val="1"/>
          <w:iCs w:val="1"/>
          <w:color w:val="auto"/>
        </w:rPr>
        <w:t>Royalty Payments</w:t>
      </w:r>
      <w:r>
        <w:rPr>
          <w:rFonts w:ascii="Arial" w:cs="Arial" w:eastAsia="Arial" w:hAnsi="Arial"/>
          <w:sz w:val="18"/>
          <w:szCs w:val="18"/>
          <w:color w:val="auto"/>
        </w:rPr>
        <w:t>) (as adjusted pursuant to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 and 4.3(c) (</w:t>
      </w:r>
      <w:r>
        <w:rPr>
          <w:rFonts w:ascii="Arial" w:cs="Arial" w:eastAsia="Arial" w:hAnsi="Arial"/>
          <w:sz w:val="18"/>
          <w:szCs w:val="18"/>
          <w:i w:val="1"/>
          <w:iCs w:val="1"/>
          <w:color w:val="auto"/>
        </w:rPr>
        <w:t>Biosimilar Competition</w:t>
      </w:r>
      <w:r>
        <w:rPr>
          <w:rFonts w:ascii="Arial" w:cs="Arial" w:eastAsia="Arial" w:hAnsi="Arial"/>
          <w:sz w:val="18"/>
          <w:szCs w:val="18"/>
          <w:color w:val="auto"/>
        </w:rPr>
        <w:t>), to the extent applicable), then in lieu of Royalty Payments with respect to such Third Party’s Net Sales of such Product in such country, Adagio shall pay to Adimab [***] of the royalties paid by such Third Party to Adagio or its Affiliate or Licensee with respect to such Third Party’s sales of such Product in such country for the period during which such Compulsory License is in effect, but only with respect to sales or other dispositions of that Product in that country by that Third Party compulsory licensee.</w:t>
      </w:r>
    </w:p>
    <w:p>
      <w:pPr>
        <w:spacing w:after="0" w:line="188" w:lineRule="exact"/>
        <w:rPr>
          <w:rFonts w:ascii="Arial" w:cs="Arial" w:eastAsia="Arial" w:hAnsi="Arial"/>
          <w:sz w:val="18"/>
          <w:szCs w:val="18"/>
          <w:b w:val="1"/>
          <w:bCs w:val="1"/>
          <w:color w:val="auto"/>
        </w:rPr>
      </w:pPr>
    </w:p>
    <w:p>
      <w:pPr>
        <w:ind w:left="4" w:right="180" w:firstLine="987"/>
        <w:spacing w:after="0" w:line="289" w:lineRule="auto"/>
        <w:tabs>
          <w:tab w:leader="none" w:pos="1240" w:val="left"/>
        </w:tabs>
        <w:numPr>
          <w:ilvl w:val="1"/>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Royalty Floor</w:t>
      </w:r>
      <w:r>
        <w:rPr>
          <w:rFonts w:ascii="Arial" w:cs="Arial" w:eastAsia="Arial" w:hAnsi="Arial"/>
          <w:sz w:val="17"/>
          <w:szCs w:val="17"/>
          <w:color w:val="auto"/>
        </w:rPr>
        <w:t>. Except as expressly set forth in Section 4.2(d) (</w:t>
      </w:r>
      <w:r>
        <w:rPr>
          <w:rFonts w:ascii="Arial" w:cs="Arial" w:eastAsia="Arial" w:hAnsi="Arial"/>
          <w:sz w:val="17"/>
          <w:szCs w:val="17"/>
          <w:i w:val="1"/>
          <w:iCs w:val="1"/>
          <w:color w:val="auto"/>
        </w:rPr>
        <w:t>Compulsory Licensing</w:t>
      </w:r>
      <w:r>
        <w:rPr>
          <w:rFonts w:ascii="Arial" w:cs="Arial" w:eastAsia="Arial" w:hAnsi="Arial"/>
          <w:sz w:val="17"/>
          <w:szCs w:val="17"/>
          <w:color w:val="auto"/>
        </w:rPr>
        <w:t>), in no event shall the effective royalty rate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to Net Sales of a Product in a country in a given calendar quarter for purposes of Royalty Payments hereunder be reduced, by reason of any and all applicable adjustments in the aggregate, to less than [***] of Net Sales of such Product in such country.</w:t>
      </w:r>
    </w:p>
    <w:p>
      <w:pPr>
        <w:spacing w:after="0" w:line="157" w:lineRule="exact"/>
        <w:rPr>
          <w:rFonts w:ascii="Arial" w:cs="Arial" w:eastAsia="Arial" w:hAnsi="Arial"/>
          <w:sz w:val="17"/>
          <w:szCs w:val="17"/>
          <w:b w:val="1"/>
          <w:bCs w:val="1"/>
          <w:color w:val="auto"/>
        </w:rPr>
      </w:pPr>
    </w:p>
    <w:p>
      <w:pPr>
        <w:ind w:left="4" w:right="220" w:firstLine="987"/>
        <w:spacing w:after="0" w:line="266" w:lineRule="auto"/>
        <w:tabs>
          <w:tab w:leader="none" w:pos="1220" w:val="left"/>
        </w:tabs>
        <w:numPr>
          <w:ilvl w:val="1"/>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Know-How Royalty</w:t>
      </w:r>
      <w:r>
        <w:rPr>
          <w:rFonts w:ascii="Arial" w:cs="Arial" w:eastAsia="Arial" w:hAnsi="Arial"/>
          <w:sz w:val="18"/>
          <w:szCs w:val="18"/>
          <w:color w:val="auto"/>
        </w:rPr>
        <w:t>. For clarity, the Patent licenses granted to Adagio under this Agreement are non-royalty-bearing and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have negotiated Royalty Payments based on the value of the Know-How (primarily in the form of trade secrets) used in the generation of CoV Antibodies assigned to Adagio hereunder.</w:t>
      </w:r>
    </w:p>
    <w:p>
      <w:pPr>
        <w:spacing w:after="0" w:line="176"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4.3 Quarterly Payment Timing</w:t>
      </w:r>
      <w:r>
        <w:rPr>
          <w:rFonts w:ascii="Arial" w:cs="Arial" w:eastAsia="Arial" w:hAnsi="Arial"/>
          <w:sz w:val="18"/>
          <w:szCs w:val="18"/>
          <w:color w:val="auto"/>
        </w:rPr>
        <w:t>. All Royalty Payments due under Section 4.2 (</w:t>
      </w:r>
      <w:r>
        <w:rPr>
          <w:rFonts w:ascii="Arial" w:cs="Arial" w:eastAsia="Arial" w:hAnsi="Arial"/>
          <w:sz w:val="18"/>
          <w:szCs w:val="18"/>
          <w:i w:val="1"/>
          <w:iCs w:val="1"/>
          <w:color w:val="auto"/>
        </w:rPr>
        <w:t>Royalties</w:t>
      </w:r>
      <w:r>
        <w:rPr>
          <w:rFonts w:ascii="Arial" w:cs="Arial" w:eastAsia="Arial" w:hAnsi="Arial"/>
          <w:sz w:val="18"/>
          <w:szCs w:val="18"/>
          <w:color w:val="auto"/>
        </w:rPr>
        <w:t>) shall be paid quarterly within [***] after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calendar quarter for which royalties are due.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430" w:name="page431"/>
    <w:bookmarkEnd w:id="430"/>
    <w:p>
      <w:pPr>
        <w:ind w:right="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4.4 Royalty Payment Reports</w:t>
      </w:r>
      <w:r>
        <w:rPr>
          <w:rFonts w:ascii="Arial" w:cs="Arial" w:eastAsia="Arial" w:hAnsi="Arial"/>
          <w:sz w:val="18"/>
          <w:szCs w:val="18"/>
          <w:color w:val="auto"/>
        </w:rPr>
        <w:t>. With respect to each calendar quarter, within [***] after the end of the calendar quarter, Adagio shall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Adimab a written report stating the number and description of all Products sold during the relevant calendar quarter; the gross sales associated with such sales; and the calculation of Net Sales on such sales, including the amount of any deduction provided for in the definition of Net Sales. The report shall provide all such information on a country-by-country and Product-by-Product basis.</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4.5 Payment Method</w:t>
      </w:r>
      <w:r>
        <w:rPr>
          <w:rFonts w:ascii="Arial" w:cs="Arial" w:eastAsia="Arial" w:hAnsi="Arial"/>
          <w:sz w:val="18"/>
          <w:szCs w:val="18"/>
          <w:color w:val="auto"/>
        </w:rPr>
        <w:t>. All payments due under this Agreement to Adimab shall be made by bank wire transfer in immediately available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 designated by Adimab. All payments hereunder shall be made in the legal currency of the United States of America, and all references to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dollars</w:t>
      </w:r>
      <w:r>
        <w:rPr>
          <w:rFonts w:ascii="Arial" w:cs="Arial" w:eastAsia="Arial" w:hAnsi="Arial"/>
          <w:sz w:val="18"/>
          <w:szCs w:val="18"/>
          <w:color w:val="auto"/>
        </w:rPr>
        <w:t>” shall refer to United States dollars (</w:t>
      </w:r>
      <w:r>
        <w:rPr>
          <w:rFonts w:ascii="Arial" w:cs="Arial" w:eastAsia="Arial" w:hAnsi="Arial"/>
          <w:sz w:val="18"/>
          <w:szCs w:val="18"/>
          <w:i w:val="1"/>
          <w:iCs w:val="1"/>
          <w:color w:val="auto"/>
        </w:rPr>
        <w:t>i.e.</w:t>
      </w:r>
      <w:r>
        <w:rPr>
          <w:rFonts w:ascii="Arial" w:cs="Arial" w:eastAsia="Arial" w:hAnsi="Arial"/>
          <w:sz w:val="18"/>
          <w:szCs w:val="18"/>
          <w:color w:val="auto"/>
        </w:rPr>
        <w:t>, the legal currency of the United States).</w:t>
      </w:r>
    </w:p>
    <w:p>
      <w:pPr>
        <w:spacing w:after="0" w:line="176"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4.6 Taxes</w:t>
      </w:r>
      <w:r>
        <w:rPr>
          <w:rFonts w:ascii="Arial" w:cs="Arial" w:eastAsia="Arial" w:hAnsi="Arial"/>
          <w:sz w:val="16"/>
          <w:szCs w:val="16"/>
          <w:color w:val="auto"/>
        </w:rPr>
        <w:t>. Adimab will pay any and all taxes levied on account of any payments made to it under this Agreement. The parties shall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cooperate in good faith to achieve legally-available tax efficiencies related to payments under this Agreement. To the extent that Adagio is required to deduct and withhold taxes on any payment to Adimab, Adagio shall deduct and withhold such taxes and pay the amounts of such taxes to the proper government authority in a timely manner and promptly submit to Adimab an official tax certificate or other evidence of such withholding sufficient to enable Adimab to claim such payment of taxes. Adagio shall provide Adimab with reasonable assistance in order to allow Adimab to recover, as permitted by applicable law, withholding taxes, value added taxes or similar obligations resulting from payments made hereunder or to obtain the benefit of any present or future treaty against double taxation which may apply to such payments. Adimab shall provide Adagio with any tax forms that may be reasonably necessary in order for Adagio not to withhold tax or to withhold tax at a reduced rate under an applicable bilateral tax income treaty. Adimab shall use reasonable efforts to provide any such tax forms to Adagio at least [***] prior to the due date identified by Adagio for any payment for which Adimab desires that Adagio apply a reduced withholding rate. Adagio shall make all payments due hereunder from the United States.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4.7 Records; Audit</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1" w:lineRule="auto"/>
        <w:tabs>
          <w:tab w:leader="none" w:pos="1246" w:val="left"/>
        </w:tabs>
        <w:numPr>
          <w:ilvl w:val="0"/>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Records</w:t>
      </w:r>
      <w:r>
        <w:rPr>
          <w:rFonts w:ascii="Arial" w:cs="Arial" w:eastAsia="Arial" w:hAnsi="Arial"/>
          <w:sz w:val="18"/>
          <w:szCs w:val="18"/>
          <w:color w:val="auto"/>
        </w:rPr>
        <w:t>. Each Party shall keep (and shall cause its Affiliates and, in the case of Adagio, its Licensees to keep) complete and accurate</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of all transactions and other business activities under this Agreement in sufficient detail to confirm the accuracy of all reports furnished by a Party to the other Party under this Agreement and all payments by a Party to the other Party under this Agreement for at least [***] following the end of the calendar year to which they pertain.</w:t>
      </w:r>
    </w:p>
    <w:p>
      <w:pPr>
        <w:spacing w:after="0" w:line="179" w:lineRule="exact"/>
        <w:rPr>
          <w:rFonts w:ascii="Arial" w:cs="Arial" w:eastAsia="Arial" w:hAnsi="Arial"/>
          <w:sz w:val="18"/>
          <w:szCs w:val="18"/>
          <w:b w:val="1"/>
          <w:bCs w:val="1"/>
          <w:color w:val="auto"/>
        </w:rPr>
      </w:pPr>
    </w:p>
    <w:p>
      <w:pPr>
        <w:ind w:right="60" w:firstLine="987"/>
        <w:spacing w:after="0" w:line="298" w:lineRule="auto"/>
        <w:tabs>
          <w:tab w:leader="none" w:pos="1256" w:val="left"/>
        </w:tabs>
        <w:numPr>
          <w:ilvl w:val="0"/>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t>Audit Rights</w:t>
      </w:r>
      <w:r>
        <w:rPr>
          <w:rFonts w:ascii="Arial" w:cs="Arial" w:eastAsia="Arial" w:hAnsi="Arial"/>
          <w:sz w:val="16"/>
          <w:szCs w:val="16"/>
          <w:color w:val="auto"/>
        </w:rPr>
        <w:t>. During the Term and for [***] after the final payment has been made under this Agreement, each Party shall have the</w:t>
      </w:r>
      <w:r>
        <w:rPr>
          <w:rFonts w:ascii="Arial" w:cs="Arial" w:eastAsia="Arial" w:hAnsi="Arial"/>
          <w:sz w:val="16"/>
          <w:szCs w:val="16"/>
          <w:b w:val="1"/>
          <w:bCs w:val="1"/>
          <w:color w:val="auto"/>
        </w:rPr>
        <w:t xml:space="preserve"> </w:t>
      </w:r>
      <w:r>
        <w:rPr>
          <w:rFonts w:ascii="Arial" w:cs="Arial" w:eastAsia="Arial" w:hAnsi="Arial"/>
          <w:sz w:val="16"/>
          <w:szCs w:val="16"/>
          <w:color w:val="auto"/>
        </w:rPr>
        <w:t>right, once annually, to cause an independent, certified public accountant of international standing and reasonably acceptable to the other Party to audit such records solely to confirm the accuracy and completeness of all such reports and all such payments described in Section 4.7(a) (</w:t>
      </w:r>
      <w:r>
        <w:rPr>
          <w:rFonts w:ascii="Arial" w:cs="Arial" w:eastAsia="Arial" w:hAnsi="Arial"/>
          <w:sz w:val="16"/>
          <w:szCs w:val="16"/>
          <w:i w:val="1"/>
          <w:iCs w:val="1"/>
          <w:color w:val="auto"/>
        </w:rPr>
        <w:t>Records</w:t>
      </w:r>
      <w:r>
        <w:rPr>
          <w:rFonts w:ascii="Arial" w:cs="Arial" w:eastAsia="Arial" w:hAnsi="Arial"/>
          <w:sz w:val="16"/>
          <w:szCs w:val="16"/>
          <w:color w:val="auto"/>
        </w:rPr>
        <w:t>). No calendar year shall be subject to audit under this section more than once. Such audits may be exercised during normal business hours upon at least [***] prior written notice to the audited Party in the location where the records are maintained. The auditor will execute a reasonable written confidentiality</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0" w:right="459" w:bottom="1440" w:gutter="0" w:footer="0" w:header="0"/>
        </w:sectPr>
      </w:pPr>
    </w:p>
    <w:bookmarkStart w:id="431" w:name="page432"/>
    <w:bookmarkEnd w:id="43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with the audited Party and will disclose to the auditing Party only such information as is reasonably necessary to provide the auditing Party with information regarding any actual or potential discrepancies between amounts reported and actually paid and amounts payable under this Agreement. The auditor will send a copy of the report to the audited Party at the same time it is sent to the auditing Party. The report sent to both Parties will include the methodology and calculations used to determine the results. If the audit reveals that either Party has underpaid any amounts payable to the other Party, then such first Party will be entitled to recover any amounts plus interest in accordance with Section 4.10 (</w:t>
      </w:r>
      <w:r>
        <w:rPr>
          <w:rFonts w:ascii="Arial" w:cs="Arial" w:eastAsia="Arial" w:hAnsi="Arial"/>
          <w:sz w:val="17"/>
          <w:szCs w:val="17"/>
          <w:i w:val="1"/>
          <w:iCs w:val="1"/>
          <w:color w:val="auto"/>
        </w:rPr>
        <w:t>Late Payments</w:t>
      </w:r>
      <w:r>
        <w:rPr>
          <w:rFonts w:ascii="Arial" w:cs="Arial" w:eastAsia="Arial" w:hAnsi="Arial"/>
          <w:sz w:val="17"/>
          <w:szCs w:val="17"/>
          <w:color w:val="auto"/>
        </w:rPr>
        <w:t xml:space="preserve">). The fees charged by such accountant will be paid by the auditing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audit reveals a net underpayment of monies owed by the audited Party of more than [***] for the period audited, then the audited Party shall, in addition, pay the reasonable fees and expenses of such audit. If such audit discloses an overpayment by Adagio, then Adagio shall have the right to deduct the amount of such overpayment from any amount owed to Adimab under this Agreement.</w:t>
      </w:r>
    </w:p>
    <w:p>
      <w:pPr>
        <w:spacing w:after="0" w:line="177"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b w:val="1"/>
          <w:bCs w:val="1"/>
          <w:color w:val="auto"/>
        </w:rPr>
        <w:t>4.8 Foreign Exchange</w:t>
      </w:r>
      <w:r>
        <w:rPr>
          <w:rFonts w:ascii="Arial" w:cs="Arial" w:eastAsia="Arial" w:hAnsi="Arial"/>
          <w:sz w:val="17"/>
          <w:szCs w:val="17"/>
          <w:color w:val="auto"/>
        </w:rPr>
        <w:t>. If any currency conversion shall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shall be made using the rate of exchange for such currency used throughout Adagio’s accounting system for financial reporting purposes for the calendar quarter for which payment is due. With any payment in relation to which a currency conversion is performed to calculate the amount of payment due, Adagio shall provide to Adimab a copy of the exchange rates used in such calculation.</w:t>
      </w:r>
    </w:p>
    <w:p>
      <w:pPr>
        <w:spacing w:after="0" w:line="165"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4.9 Non-refundable, non-creditable payments</w:t>
      </w:r>
      <w:r>
        <w:rPr>
          <w:rFonts w:ascii="Arial" w:cs="Arial" w:eastAsia="Arial" w:hAnsi="Arial"/>
          <w:sz w:val="18"/>
          <w:szCs w:val="18"/>
          <w:color w:val="auto"/>
        </w:rPr>
        <w:t>. Each payment that is required under this Agreement is non-refundable and non-creditable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4.2(b)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4.10 Late Payments</w:t>
      </w:r>
      <w:r>
        <w:rPr>
          <w:rFonts w:ascii="Arial" w:cs="Arial" w:eastAsia="Arial" w:hAnsi="Arial"/>
          <w:sz w:val="18"/>
          <w:szCs w:val="18"/>
          <w:color w:val="auto"/>
        </w:rPr>
        <w:t>. Any amount owed by Adagio to Adimab under this Agreement that is not paid within the applicable time period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herein will accrue interest at the rate of [***] as quoted in the [***] (or if it no longer exists, a similarly authoritative source) calculated on a daily basis, or, if lower, the highest rate permitted under applicable law.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Ownership and Inventorship</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Patents</w:t>
      </w:r>
      <w:r>
        <w:rPr>
          <w:rFonts w:ascii="Arial" w:cs="Arial" w:eastAsia="Arial" w:hAnsi="Arial"/>
          <w:sz w:val="18"/>
          <w:szCs w:val="18"/>
          <w:color w:val="auto"/>
        </w:rPr>
        <w:t>. Adimab shall at all times remain the sole and exclusive owner of the Adimab Platform Patents.</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 Antibody Patents. </w:t>
      </w:r>
      <w:r>
        <w:rPr>
          <w:rFonts w:ascii="Arial" w:cs="Arial" w:eastAsia="Arial" w:hAnsi="Arial"/>
          <w:sz w:val="18"/>
          <w:szCs w:val="18"/>
          <w:color w:val="auto"/>
        </w:rPr>
        <w:t>Adagio shall be the sole and exclusive owner of all CoV Antibody Patents.</w:t>
      </w:r>
    </w:p>
    <w:p>
      <w:pPr>
        <w:spacing w:after="0" w:line="225" w:lineRule="exact"/>
        <w:rPr>
          <w:rFonts w:ascii="Arial" w:cs="Arial" w:eastAsia="Arial" w:hAnsi="Arial"/>
          <w:sz w:val="18"/>
          <w:szCs w:val="18"/>
          <w:b w:val="1"/>
          <w:bCs w:val="1"/>
          <w:color w:val="auto"/>
        </w:rPr>
      </w:pPr>
    </w:p>
    <w:p>
      <w:pPr>
        <w:ind w:right="440" w:firstLine="987"/>
        <w:spacing w:after="0" w:line="282" w:lineRule="auto"/>
        <w:tabs>
          <w:tab w:leader="none" w:pos="123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Other Patents</w:t>
      </w:r>
      <w:r>
        <w:rPr>
          <w:rFonts w:ascii="Arial" w:cs="Arial" w:eastAsia="Arial" w:hAnsi="Arial"/>
          <w:sz w:val="18"/>
          <w:szCs w:val="18"/>
          <w:color w:val="auto"/>
        </w:rPr>
        <w:t>. Except as expressly set forth in Section 5.1(b) (</w:t>
      </w:r>
      <w:r>
        <w:rPr>
          <w:rFonts w:ascii="Arial" w:cs="Arial" w:eastAsia="Arial" w:hAnsi="Arial"/>
          <w:sz w:val="18"/>
          <w:szCs w:val="18"/>
          <w:i w:val="1"/>
          <w:iCs w:val="1"/>
          <w:color w:val="auto"/>
        </w:rPr>
        <w:t>CoV Antibody Patents</w:t>
      </w:r>
      <w:r>
        <w:rPr>
          <w:rFonts w:ascii="Arial" w:cs="Arial" w:eastAsia="Arial" w:hAnsi="Arial"/>
          <w:sz w:val="18"/>
          <w:szCs w:val="18"/>
          <w:color w:val="auto"/>
        </w:rPr>
        <w:t>) and Section 9.5(b)(ii) (</w:t>
      </w:r>
      <w:r>
        <w:rPr>
          <w:rFonts w:ascii="Arial" w:cs="Arial" w:eastAsia="Arial" w:hAnsi="Arial"/>
          <w:sz w:val="18"/>
          <w:szCs w:val="18"/>
          <w:i w:val="1"/>
          <w:iCs w:val="1"/>
          <w:color w:val="auto"/>
        </w:rPr>
        <w:t>Assignment of CoV</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 nothing in this Agreement shall alter the ownership of the Parties’ Patents.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432" w:name="page433"/>
    <w:bookmarkEnd w:id="432"/>
    <w:p>
      <w:pPr>
        <w:ind w:right="560" w:firstLine="987"/>
        <w:spacing w:after="0" w:line="282" w:lineRule="auto"/>
        <w:tabs>
          <w:tab w:leader="none" w:pos="125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Inventorship</w:t>
      </w:r>
      <w:r>
        <w:rPr>
          <w:rFonts w:ascii="Arial" w:cs="Arial" w:eastAsia="Arial" w:hAnsi="Arial"/>
          <w:sz w:val="18"/>
          <w:szCs w:val="18"/>
          <w:color w:val="auto"/>
        </w:rPr>
        <w:t>. For purposes of this Agreement, inventorship of any invention, whether or not patentable, shall be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United States patent law.</w:t>
      </w:r>
    </w:p>
    <w:p>
      <w:pPr>
        <w:spacing w:after="0" w:line="162"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b w:val="1"/>
          <w:bCs w:val="1"/>
          <w:color w:val="auto"/>
        </w:rPr>
        <w:t>5.2 Assignment</w:t>
      </w:r>
      <w:r>
        <w:rPr>
          <w:rFonts w:ascii="Arial" w:cs="Arial" w:eastAsia="Arial" w:hAnsi="Arial"/>
          <w:sz w:val="16"/>
          <w:szCs w:val="16"/>
          <w:color w:val="auto"/>
        </w:rPr>
        <w:t>. Each Party shall promptly execute and deliver, or require its employees or contractors to execute and deliver, all documents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instruments necessary or reasonably requested by the other Party to effectuate, evidence, record and perfect the Assignment and the ownership of CoV Antibody Patents set forth in Section 5.1(b) (</w:t>
      </w:r>
      <w:r>
        <w:rPr>
          <w:rFonts w:ascii="Arial" w:cs="Arial" w:eastAsia="Arial" w:hAnsi="Arial"/>
          <w:sz w:val="16"/>
          <w:szCs w:val="16"/>
          <w:i w:val="1"/>
          <w:iCs w:val="1"/>
          <w:color w:val="auto"/>
        </w:rPr>
        <w:t>CoV Antibody Patents</w:t>
      </w:r>
      <w:r>
        <w:rPr>
          <w:rFonts w:ascii="Arial" w:cs="Arial" w:eastAsia="Arial" w:hAnsi="Arial"/>
          <w:sz w:val="16"/>
          <w:szCs w:val="16"/>
          <w:color w:val="auto"/>
        </w:rPr>
        <w:t>) and Section 9.5(b)(ii) (</w:t>
      </w:r>
      <w:r>
        <w:rPr>
          <w:rFonts w:ascii="Arial" w:cs="Arial" w:eastAsia="Arial" w:hAnsi="Arial"/>
          <w:sz w:val="16"/>
          <w:szCs w:val="16"/>
          <w:i w:val="1"/>
          <w:iCs w:val="1"/>
          <w:color w:val="auto"/>
        </w:rPr>
        <w:t>Assignment of CoV Antibody Patents</w:t>
      </w:r>
      <w:r>
        <w:rPr>
          <w:rFonts w:ascii="Arial" w:cs="Arial" w:eastAsia="Arial" w:hAnsi="Arial"/>
          <w:sz w:val="16"/>
          <w:szCs w:val="16"/>
          <w:color w:val="auto"/>
        </w:rPr>
        <w:t>), and to enable the other Party to apply for and prosecute such CoV Antibody Patents in any country. Each Party hereby designates and appoints the other Party and its duly authorized officers and agents as its agent and attorney-in-fact to act for and on behalf of such Party solely to execute, deliver and file the foregoing documents and instruments, with the same legal force and effect as if executed by such Party if a Party is unable for any reason to secure the other Party’s or its representatives’ signature on any such document or instrument. Each Party acknowledges that this appointment is coupled with an interest. Each Party shall make its relevant personnel (and their assignments and signatures on such documents and instruments) reasonably available to the other Party for assistance in accordance with this Article 5 (</w:t>
      </w:r>
      <w:r>
        <w:rPr>
          <w:rFonts w:ascii="Arial" w:cs="Arial" w:eastAsia="Arial" w:hAnsi="Arial"/>
          <w:sz w:val="16"/>
          <w:szCs w:val="16"/>
          <w:i w:val="1"/>
          <w:iCs w:val="1"/>
          <w:color w:val="auto"/>
        </w:rPr>
        <w:t>Intellectual Property</w:t>
      </w:r>
      <w:r>
        <w:rPr>
          <w:rFonts w:ascii="Arial" w:cs="Arial" w:eastAsia="Arial" w:hAnsi="Arial"/>
          <w:sz w:val="16"/>
          <w:szCs w:val="16"/>
          <w:color w:val="auto"/>
        </w:rPr>
        <w:t>) at no charge.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5.3 Patent Prosecution and Maintenance</w:t>
      </w:r>
      <w:r>
        <w:rPr>
          <w:rFonts w:ascii="Arial" w:cs="Arial" w:eastAsia="Arial" w:hAnsi="Arial"/>
          <w:sz w:val="18"/>
          <w:szCs w:val="18"/>
          <w:color w:val="auto"/>
        </w:rPr>
        <w:t>.</w:t>
      </w:r>
    </w:p>
    <w:p>
      <w:pPr>
        <w:spacing w:after="0" w:line="225" w:lineRule="exact"/>
        <w:rPr>
          <w:sz w:val="20"/>
          <w:szCs w:val="20"/>
          <w:color w:val="auto"/>
        </w:rPr>
      </w:pPr>
    </w:p>
    <w:p>
      <w:pPr>
        <w:ind w:right="500" w:firstLine="987"/>
        <w:spacing w:after="0" w:line="282" w:lineRule="auto"/>
        <w:tabs>
          <w:tab w:leader="none" w:pos="1246"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Technology</w:t>
      </w:r>
      <w:r>
        <w:rPr>
          <w:rFonts w:ascii="Arial" w:cs="Arial" w:eastAsia="Arial" w:hAnsi="Arial"/>
          <w:sz w:val="18"/>
          <w:szCs w:val="18"/>
          <w:color w:val="auto"/>
        </w:rPr>
        <w:t>. Adimab shall have the sole right (but not the obligation) to file, prosecute, maintain, defend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all Patents directed to Adimab Platform Technology and all Adimab Platform Patents, all at its own expense.</w:t>
      </w:r>
    </w:p>
    <w:p>
      <w:pPr>
        <w:spacing w:after="0" w:line="161"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CoV Antibody Patents and Adagio Patents</w:t>
      </w:r>
      <w:r>
        <w:rPr>
          <w:rFonts w:ascii="Arial" w:cs="Arial" w:eastAsia="Arial" w:hAnsi="Arial"/>
          <w:sz w:val="18"/>
          <w:szCs w:val="18"/>
          <w:color w:val="auto"/>
        </w:rPr>
        <w:t>. From and after the Effective Date:</w:t>
      </w:r>
    </w:p>
    <w:p>
      <w:pPr>
        <w:spacing w:after="0" w:line="229" w:lineRule="exact"/>
        <w:rPr>
          <w:rFonts w:ascii="Arial" w:cs="Arial" w:eastAsia="Arial" w:hAnsi="Arial"/>
          <w:sz w:val="18"/>
          <w:szCs w:val="18"/>
          <w:b w:val="1"/>
          <w:bCs w:val="1"/>
          <w:color w:val="auto"/>
        </w:rPr>
      </w:pPr>
    </w:p>
    <w:p>
      <w:pPr>
        <w:ind w:left="1640" w:hanging="212"/>
        <w:spacing w:after="0"/>
        <w:tabs>
          <w:tab w:leader="none" w:pos="1640" w:val="left"/>
        </w:tabs>
        <w:numPr>
          <w:ilvl w:val="1"/>
          <w:numId w:val="312"/>
        </w:numPr>
        <w:rPr>
          <w:rFonts w:ascii="Arial" w:cs="Arial" w:eastAsia="Arial" w:hAnsi="Arial"/>
          <w:sz w:val="16"/>
          <w:szCs w:val="16"/>
          <w:b w:val="1"/>
          <w:bCs w:val="1"/>
          <w:color w:val="auto"/>
        </w:rPr>
      </w:pPr>
      <w:r>
        <w:rPr>
          <w:rFonts w:ascii="Arial" w:cs="Arial" w:eastAsia="Arial" w:hAnsi="Arial"/>
          <w:sz w:val="16"/>
          <w:szCs w:val="16"/>
          <w:color w:val="auto"/>
        </w:rPr>
        <w:t>Adagio shall have the sole right to prosecute, maintain, enforce and defend all CoV Antibody Patents and Adagio Patents, all at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its own expense;</w:t>
      </w:r>
    </w:p>
    <w:p>
      <w:pPr>
        <w:spacing w:after="0" w:line="210" w:lineRule="exact"/>
        <w:rPr>
          <w:rFonts w:ascii="Arial" w:cs="Arial" w:eastAsia="Arial" w:hAnsi="Arial"/>
          <w:sz w:val="16"/>
          <w:szCs w:val="16"/>
          <w:b w:val="1"/>
          <w:bCs w:val="1"/>
          <w:color w:val="auto"/>
        </w:rPr>
      </w:pPr>
    </w:p>
    <w:p>
      <w:pPr>
        <w:ind w:left="1700" w:hanging="272"/>
        <w:spacing w:after="0"/>
        <w:tabs>
          <w:tab w:leader="none" w:pos="1700"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Adimab and its Affiliates shall not file, and shall not cause to be filed, any additional CoV Antibody Patents;</w:t>
      </w:r>
    </w:p>
    <w:p>
      <w:pPr>
        <w:spacing w:after="0" w:line="225" w:lineRule="exact"/>
        <w:rPr>
          <w:rFonts w:ascii="Arial" w:cs="Arial" w:eastAsia="Arial" w:hAnsi="Arial"/>
          <w:sz w:val="18"/>
          <w:szCs w:val="18"/>
          <w:b w:val="1"/>
          <w:bCs w:val="1"/>
          <w:color w:val="auto"/>
        </w:rPr>
      </w:pPr>
    </w:p>
    <w:p>
      <w:pPr>
        <w:ind w:right="400" w:firstLine="1428"/>
        <w:spacing w:after="0" w:line="277" w:lineRule="auto"/>
        <w:tabs>
          <w:tab w:leader="none" w:pos="1747"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Adimab shall have the right to review and comment on prosecution of CoV Antibody Patents, and Adagio shall consider in good faith the requests and comments of Adimab with respect thereto;</w:t>
      </w:r>
    </w:p>
    <w:p>
      <w:pPr>
        <w:spacing w:after="0" w:line="170" w:lineRule="exact"/>
        <w:rPr>
          <w:rFonts w:ascii="Arial" w:cs="Arial" w:eastAsia="Arial" w:hAnsi="Arial"/>
          <w:sz w:val="18"/>
          <w:szCs w:val="18"/>
          <w:b w:val="1"/>
          <w:bCs w:val="1"/>
          <w:color w:val="auto"/>
        </w:rPr>
      </w:pPr>
    </w:p>
    <w:p>
      <w:pPr>
        <w:ind w:firstLine="1428"/>
        <w:spacing w:after="0" w:line="277" w:lineRule="auto"/>
        <w:tabs>
          <w:tab w:leader="none" w:pos="1737"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Adagio shall provide Adimab with drafts of proposed patent office submissions with respect to CoV Antibody Patents, including draft patent applications and related correspondence, no less than [***] in advance of filing; and</w:t>
      </w:r>
    </w:p>
    <w:p>
      <w:pPr>
        <w:spacing w:after="0" w:line="170" w:lineRule="exact"/>
        <w:rPr>
          <w:rFonts w:ascii="Arial" w:cs="Arial" w:eastAsia="Arial" w:hAnsi="Arial"/>
          <w:sz w:val="18"/>
          <w:szCs w:val="18"/>
          <w:b w:val="1"/>
          <w:bCs w:val="1"/>
          <w:color w:val="auto"/>
        </w:rPr>
      </w:pPr>
    </w:p>
    <w:p>
      <w:pPr>
        <w:ind w:right="160" w:firstLine="1428"/>
        <w:spacing w:after="0" w:line="263" w:lineRule="auto"/>
        <w:tabs>
          <w:tab w:leader="none" w:pos="1687" w:val="left"/>
        </w:tabs>
        <w:numPr>
          <w:ilvl w:val="1"/>
          <w:numId w:val="312"/>
        </w:numPr>
        <w:rPr>
          <w:rFonts w:ascii="Arial" w:cs="Arial" w:eastAsia="Arial" w:hAnsi="Arial"/>
          <w:sz w:val="18"/>
          <w:szCs w:val="18"/>
          <w:b w:val="1"/>
          <w:bCs w:val="1"/>
          <w:color w:val="auto"/>
        </w:rPr>
      </w:pPr>
      <w:r>
        <w:rPr>
          <w:rFonts w:ascii="Arial" w:cs="Arial" w:eastAsia="Arial" w:hAnsi="Arial"/>
          <w:sz w:val="18"/>
          <w:szCs w:val="18"/>
          <w:color w:val="auto"/>
        </w:rPr>
        <w:t>Adagio shall keep Adimab reasonably informed of progress with regard to the prosecution and maintenance of CoV Antibody Patents and shall provide Adimab with copies of all correspondence received from patent offices relating thereto (including office actions and the like) promptly after receipt.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433" w:name="page434"/>
    <w:bookmarkEnd w:id="433"/>
    <w:p>
      <w:pPr>
        <w:ind w:right="400" w:firstLine="987"/>
        <w:spacing w:after="0" w:line="289" w:lineRule="auto"/>
        <w:tabs>
          <w:tab w:leader="none" w:pos="1236" w:val="left"/>
        </w:tabs>
        <w:numPr>
          <w:ilvl w:val="0"/>
          <w:numId w:val="31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Responsibility</w:t>
      </w:r>
      <w:r>
        <w:rPr>
          <w:rFonts w:ascii="Arial" w:cs="Arial" w:eastAsia="Arial" w:hAnsi="Arial"/>
          <w:sz w:val="17"/>
          <w:szCs w:val="17"/>
          <w:color w:val="auto"/>
        </w:rPr>
        <w:t>. It is understood and agreed that searching for, identification and evaluation of Third-Party Patents that may Cover</w:t>
      </w:r>
      <w:r>
        <w:rPr>
          <w:rFonts w:ascii="Arial" w:cs="Arial" w:eastAsia="Arial" w:hAnsi="Arial"/>
          <w:sz w:val="17"/>
          <w:szCs w:val="17"/>
          <w:b w:val="1"/>
          <w:bCs w:val="1"/>
          <w:color w:val="auto"/>
        </w:rPr>
        <w:t xml:space="preserve"> </w:t>
      </w:r>
      <w:r>
        <w:rPr>
          <w:rFonts w:ascii="Arial" w:cs="Arial" w:eastAsia="Arial" w:hAnsi="Arial"/>
          <w:sz w:val="17"/>
          <w:szCs w:val="17"/>
          <w:color w:val="auto"/>
        </w:rPr>
        <w:t>Excluded Technology, including the Sequence of, or any method of using or making, any CoV Antibody, is the responsibility of Adagio, and that Adimab shall have no responsibility for the foregoing nor liability if any such Third Party Patents exist.</w:t>
      </w:r>
    </w:p>
    <w:p>
      <w:pPr>
        <w:spacing w:after="0" w:line="158"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b w:val="1"/>
          <w:bCs w:val="1"/>
          <w:color w:val="auto"/>
        </w:rPr>
        <w:t>5.4 Cooperation of the Parties</w:t>
      </w:r>
      <w:r>
        <w:rPr>
          <w:rFonts w:ascii="Arial" w:cs="Arial" w:eastAsia="Arial" w:hAnsi="Arial"/>
          <w:sz w:val="18"/>
          <w:szCs w:val="18"/>
          <w:color w:val="auto"/>
        </w:rPr>
        <w:t>. At the reasonable request of the responsible (as provided for in this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agrees to cooperate fully in the preparation, filing, prosecution, enforcement and maintenance of any CoV Antibody Patents under this Agreement. 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Patents. Notwithstanding the foregoing, Adimab shall not be required pursuant hereto to disclose Adimab Platform Technology to Adagio or to participate in any action against another Adimab customer.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PUBLICITY</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6.1 General Confidentiality Obligations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1" w:lineRule="auto"/>
        <w:tabs>
          <w:tab w:leader="none" w:pos="1246"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 Information</w:t>
      </w:r>
      <w:r>
        <w:rPr>
          <w:rFonts w:ascii="Arial" w:cs="Arial" w:eastAsia="Arial" w:hAnsi="Arial"/>
          <w:sz w:val="18"/>
          <w:szCs w:val="18"/>
          <w:color w:val="auto"/>
        </w:rPr>
        <w:t>. Any and all confidential or proprietary information disclosed to one Party by the other Party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all Know-How or other information including proprietary information and materials (whether or not patentable) regarding or embodying such Party’s technology, products, business information or objectives, is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xml:space="preserve">” of the disclosing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 notwithstanding the foregoing:</w:t>
      </w:r>
    </w:p>
    <w:p>
      <w:pPr>
        <w:spacing w:after="0" w:line="183" w:lineRule="exact"/>
        <w:rPr>
          <w:rFonts w:ascii="Arial" w:cs="Arial" w:eastAsia="Arial" w:hAnsi="Arial"/>
          <w:sz w:val="18"/>
          <w:szCs w:val="18"/>
          <w:b w:val="1"/>
          <w:bCs w:val="1"/>
          <w:color w:val="auto"/>
        </w:rPr>
      </w:pPr>
    </w:p>
    <w:p>
      <w:pPr>
        <w:ind w:left="1640" w:hanging="212"/>
        <w:spacing w:after="0"/>
        <w:tabs>
          <w:tab w:leader="none" w:pos="1640"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information embodied in Adimab Materials is Adimab’s Confidential Information;</w:t>
      </w:r>
    </w:p>
    <w:p>
      <w:pPr>
        <w:spacing w:after="0" w:line="225" w:lineRule="exact"/>
        <w:rPr>
          <w:rFonts w:ascii="Arial" w:cs="Arial" w:eastAsia="Arial" w:hAnsi="Arial"/>
          <w:sz w:val="18"/>
          <w:szCs w:val="18"/>
          <w:b w:val="1"/>
          <w:bCs w:val="1"/>
          <w:color w:val="auto"/>
        </w:rPr>
      </w:pPr>
    </w:p>
    <w:p>
      <w:pPr>
        <w:ind w:left="1700" w:hanging="272"/>
        <w:spacing w:after="0"/>
        <w:tabs>
          <w:tab w:leader="none" w:pos="1700"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information embodied in the Adagio Materials is Adagio’s Confidential Information;</w:t>
      </w:r>
    </w:p>
    <w:p>
      <w:pPr>
        <w:spacing w:after="0" w:line="225" w:lineRule="exact"/>
        <w:rPr>
          <w:rFonts w:ascii="Arial" w:cs="Arial" w:eastAsia="Arial" w:hAnsi="Arial"/>
          <w:sz w:val="18"/>
          <w:szCs w:val="18"/>
          <w:b w:val="1"/>
          <w:bCs w:val="1"/>
          <w:color w:val="auto"/>
        </w:rPr>
      </w:pPr>
    </w:p>
    <w:p>
      <w:pPr>
        <w:ind w:right="120" w:firstLine="1428"/>
        <w:spacing w:after="0" w:line="277" w:lineRule="auto"/>
        <w:tabs>
          <w:tab w:leader="none" w:pos="1747"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all royalty reports delivered to Adimab by or on behalf of Adagio in accordance with Section 4.4 (</w:t>
      </w:r>
      <w:r>
        <w:rPr>
          <w:rFonts w:ascii="Arial" w:cs="Arial" w:eastAsia="Arial" w:hAnsi="Arial"/>
          <w:sz w:val="18"/>
          <w:szCs w:val="18"/>
          <w:i w:val="1"/>
          <w:iCs w:val="1"/>
          <w:color w:val="auto"/>
        </w:rPr>
        <w:t>Royalty Payment Reports</w:t>
      </w:r>
      <w:r>
        <w:rPr>
          <w:rFonts w:ascii="Arial" w:cs="Arial" w:eastAsia="Arial" w:hAnsi="Arial"/>
          <w:sz w:val="18"/>
          <w:szCs w:val="18"/>
          <w:color w:val="auto"/>
        </w:rPr>
        <w:t>) is Adagio’s Confidential Information;</w:t>
      </w:r>
    </w:p>
    <w:p>
      <w:pPr>
        <w:spacing w:after="0" w:line="170" w:lineRule="exact"/>
        <w:rPr>
          <w:rFonts w:ascii="Arial" w:cs="Arial" w:eastAsia="Arial" w:hAnsi="Arial"/>
          <w:sz w:val="18"/>
          <w:szCs w:val="18"/>
          <w:b w:val="1"/>
          <w:bCs w:val="1"/>
          <w:color w:val="auto"/>
        </w:rPr>
      </w:pPr>
    </w:p>
    <w:p>
      <w:pPr>
        <w:ind w:firstLine="1428"/>
        <w:spacing w:after="0" w:line="257" w:lineRule="auto"/>
        <w:tabs>
          <w:tab w:leader="none" w:pos="1737" w:val="left"/>
        </w:tabs>
        <w:numPr>
          <w:ilvl w:val="1"/>
          <w:numId w:val="314"/>
        </w:numPr>
        <w:rPr>
          <w:rFonts w:ascii="Arial" w:cs="Arial" w:eastAsia="Arial" w:hAnsi="Arial"/>
          <w:sz w:val="18"/>
          <w:szCs w:val="18"/>
          <w:b w:val="1"/>
          <w:bCs w:val="1"/>
          <w:color w:val="auto"/>
        </w:rPr>
      </w:pPr>
      <w:r>
        <w:rPr>
          <w:rFonts w:ascii="Arial" w:cs="Arial" w:eastAsia="Arial" w:hAnsi="Arial"/>
          <w:sz w:val="18"/>
          <w:szCs w:val="18"/>
          <w:color w:val="auto"/>
        </w:rPr>
        <w:t>from and after the Effective Date: (A) all information relating to the Adimab CoV Assets, including the Sequence information as to the CDRs of CoV Antibodies, shall be Confidential Information of Adagio, and Adagio shall be deemed the disclosing Party with respect to all such information; and (B) the Sequence information as to the non-CDR portions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framework) of CoV Antibodies may be disclosed by either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this clause (B) shall not be construed to require Adagio to disclose to Adimab any Sequence information with respect to any</w:t>
      </w:r>
      <w:r>
        <w:rPr>
          <w:rFonts w:ascii="Arial" w:cs="Arial" w:eastAsia="Arial" w:hAnsi="Arial"/>
          <w:sz w:val="18"/>
          <w:szCs w:val="18"/>
          <w:i w:val="1"/>
          <w:iCs w:val="1"/>
          <w:color w:val="auto"/>
        </w:rPr>
        <w:t xml:space="preserve"> </w:t>
      </w:r>
      <w:r>
        <w:rPr>
          <w:rFonts w:ascii="Arial" w:cs="Arial" w:eastAsia="Arial" w:hAnsi="Arial"/>
          <w:sz w:val="18"/>
          <w:szCs w:val="18"/>
          <w:color w:val="auto"/>
        </w:rPr>
        <w:t>Adagio Derived Antibody.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434" w:name="page435"/>
    <w:bookmarkEnd w:id="434"/>
    <w:p>
      <w:pPr>
        <w:ind w:right="40" w:firstLine="987"/>
        <w:spacing w:after="0" w:line="269" w:lineRule="auto"/>
        <w:tabs>
          <w:tab w:leader="none" w:pos="1256" w:val="left"/>
        </w:tabs>
        <w:numPr>
          <w:ilvl w:val="0"/>
          <w:numId w:val="315"/>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Use and Disclosure of Confidential Information</w:t>
      </w:r>
      <w:r>
        <w:rPr>
          <w:rFonts w:ascii="Arial" w:cs="Arial" w:eastAsia="Arial" w:hAnsi="Arial"/>
          <w:sz w:val="17"/>
          <w:szCs w:val="17"/>
          <w:color w:val="auto"/>
        </w:rPr>
        <w:t>. Each Party shall receive and maintain the other Party’s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in strict confidence. Neither Party shall disclose any Confidential Information of the other Party to any Third Party. Neither Party shall use the Confidential Information of the other Party for any purpose other than as required to perform its obligations or exercise its rights hereunder. Each Party may disclose the other Party’s Confidential Information to the receiving Party’s employees, contractors, agents, Affiliates and Licensees requiring access thereto for the purposes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prior to making any such disclosures, each such person shall be bound by written agreement to maintain Confidential Information in confidence and not to use such information for any purpose other than in accordance with the terms and conditions of this Agreement. Each Party agrees to take all steps necessary to ensure that the other Party’s Confidential Information shall be maintained in confidence including such steps as it takes to prevent the disclosure of its own proprietary and confidential information of like character. Each Party agrees that this Agreement shall be binding upon its employees, contractors, agents, Affiliates and Licensees involved in the activities contemplated hereby and that it shall be liable for any breach by its employees, contractors agents, Affiliates and Licensees. The foregoing obligations of confidentiality and non-use shall survive, and remain in effect for a period of [***] from, the termination or expiration of this Agreement in accordance with Article 9 (</w:t>
      </w:r>
      <w:r>
        <w:rPr>
          <w:rFonts w:ascii="Arial" w:cs="Arial" w:eastAsia="Arial" w:hAnsi="Arial"/>
          <w:sz w:val="17"/>
          <w:szCs w:val="17"/>
          <w:i w:val="1"/>
          <w:iCs w:val="1"/>
          <w:color w:val="auto"/>
        </w:rPr>
        <w:t>Term; Termination</w:t>
      </w:r>
      <w:r>
        <w:rPr>
          <w:rFonts w:ascii="Arial" w:cs="Arial" w:eastAsia="Arial" w:hAnsi="Arial"/>
          <w:sz w:val="17"/>
          <w:szCs w:val="17"/>
          <w:color w:val="auto"/>
        </w:rPr>
        <w:t>).</w:t>
      </w:r>
    </w:p>
    <w:p>
      <w:pPr>
        <w:spacing w:after="0" w:line="179" w:lineRule="exact"/>
        <w:rPr>
          <w:sz w:val="20"/>
          <w:szCs w:val="20"/>
          <w:color w:val="auto"/>
        </w:rPr>
      </w:pPr>
    </w:p>
    <w:p>
      <w:pPr>
        <w:ind w:right="40" w:firstLine="440"/>
        <w:spacing w:after="0" w:line="288" w:lineRule="auto"/>
        <w:rPr>
          <w:sz w:val="20"/>
          <w:szCs w:val="20"/>
          <w:color w:val="auto"/>
        </w:rPr>
      </w:pPr>
      <w:r>
        <w:rPr>
          <w:rFonts w:ascii="Arial" w:cs="Arial" w:eastAsia="Arial" w:hAnsi="Arial"/>
          <w:sz w:val="16"/>
          <w:szCs w:val="16"/>
          <w:b w:val="1"/>
          <w:bCs w:val="1"/>
          <w:color w:val="auto"/>
        </w:rPr>
        <w:t>6.2 Exclusions from Nondisclosure Obligation</w:t>
      </w:r>
      <w:r>
        <w:rPr>
          <w:rFonts w:ascii="Arial" w:cs="Arial" w:eastAsia="Arial" w:hAnsi="Arial"/>
          <w:sz w:val="16"/>
          <w:szCs w:val="16"/>
          <w:color w:val="auto"/>
        </w:rPr>
        <w:t>. Information shall not be considered Confidential Information of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and the nondisclosure and nonuse obligations in Section 6.1 (</w:t>
      </w:r>
      <w:r>
        <w:rPr>
          <w:rFonts w:ascii="Arial" w:cs="Arial" w:eastAsia="Arial" w:hAnsi="Arial"/>
          <w:sz w:val="16"/>
          <w:szCs w:val="16"/>
          <w:i w:val="1"/>
          <w:iCs w:val="1"/>
          <w:color w:val="auto"/>
        </w:rPr>
        <w:t>General Confidentiality Obligations</w:t>
      </w:r>
      <w:r>
        <w:rPr>
          <w:rFonts w:ascii="Arial" w:cs="Arial" w:eastAsia="Arial" w:hAnsi="Arial"/>
          <w:sz w:val="16"/>
          <w:szCs w:val="16"/>
          <w:color w:val="auto"/>
        </w:rPr>
        <w:t>) shall not apply to the extent that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can establish by competent written proof that such information: (a) was publicly known at the time of disclosure (or generation, as applicable); (b) after disclosure (or generation, as applicable), becomes publicly known by publication or otherwise, except by breach of this Agreement by the Receiving Party; (c) was in the Receiving Party’s possession at the time of disclosure hereunder; (d) is received by the Receiving Party from a Third Party who has the lawful right to disclose the Confidential Information and who shall not have obtained the Confidential Information either directly or indirectly from the Disclosing Party; or (e) is independently developed by the Receiving Party (</w:t>
      </w:r>
      <w:r>
        <w:rPr>
          <w:rFonts w:ascii="Arial" w:cs="Arial" w:eastAsia="Arial" w:hAnsi="Arial"/>
          <w:sz w:val="16"/>
          <w:szCs w:val="16"/>
          <w:i w:val="1"/>
          <w:iCs w:val="1"/>
          <w:color w:val="auto"/>
        </w:rPr>
        <w:t>i.e.</w:t>
      </w:r>
      <w:r>
        <w:rPr>
          <w:rFonts w:ascii="Arial" w:cs="Arial" w:eastAsia="Arial" w:hAnsi="Arial"/>
          <w:sz w:val="16"/>
          <w:szCs w:val="16"/>
          <w:color w:val="auto"/>
        </w:rPr>
        <w:t xml:space="preserve">, without reference to Confidential Information of the disclosing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Adimab shall not be permitted to avail itself of: (i) the exception set forth in the foregoing clause (c) with respect to Sequence information with respect to the CDRs of Adimab CoV Antibodies; or (ii) the exception set forth in the foregoing clause (e) with respect to Sequence information with respect to the CDRs of Adimab CoV Antibodies except to the extent that such Sequences are independently rediscovered by Adimab without use of any Confidential Information of Adagio or any Adagio Materials.</w:t>
      </w:r>
    </w:p>
    <w:p>
      <w:pPr>
        <w:spacing w:after="0" w:line="16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6.3 Authorized Disclosures</w:t>
      </w:r>
      <w:r>
        <w:rPr>
          <w:rFonts w:ascii="Arial" w:cs="Arial" w:eastAsia="Arial" w:hAnsi="Arial"/>
          <w:sz w:val="18"/>
          <w:szCs w:val="18"/>
          <w:color w:val="auto"/>
        </w:rPr>
        <w:t>. If either Party is required, pursuant to a governmental law, regulation or order, to disclose any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other Party, the receiving Party (a) shall give advance written notice to the disclosing Party, (b) shall make a reasonable effort to assist the other Party to obtain a protective order requiring that the Confidential Information so disclosed be used only for the purposes for which the law, regulation or order required and (c) shall disclose the Confidential Information solely to the extent required by the law, regulation or order. In addition, and notwithstanding the provisions of Section 6.1 (</w:t>
      </w:r>
      <w:r>
        <w:rPr>
          <w:rFonts w:ascii="Arial" w:cs="Arial" w:eastAsia="Arial" w:hAnsi="Arial"/>
          <w:sz w:val="18"/>
          <w:szCs w:val="18"/>
          <w:i w:val="1"/>
          <w:iCs w:val="1"/>
          <w:color w:val="auto"/>
        </w:rPr>
        <w:t>General Confidentiality Obligations</w:t>
      </w:r>
      <w:r>
        <w:rPr>
          <w:rFonts w:ascii="Arial" w:cs="Arial" w:eastAsia="Arial" w:hAnsi="Arial"/>
          <w:sz w:val="18"/>
          <w:szCs w:val="18"/>
          <w:color w:val="auto"/>
        </w:rPr>
        <w:t>), the Receiving Party may disclose Confidential Information of the Disclosing Party as expressly permitted by this Agreement, or if and to the extent such disclosure is reasonably necessary in the following instances: (i) filing or prosecuting Patents as permitted by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0" w:right="459" w:bottom="1440" w:gutter="0" w:footer="0" w:header="0"/>
        </w:sectPr>
      </w:pPr>
    </w:p>
    <w:bookmarkStart w:id="435" w:name="page436"/>
    <w:bookmarkEnd w:id="435"/>
    <w:p>
      <w:pPr>
        <w:ind w:left="4"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(ii) enforcing such party’s rights under this Agreement and in performing its obligations under this Agreement; (iii) prosecuting or defending litigation as permitted by this Agreement; and (iv) in the case of Adagio as the Receiving Party, disclosure in submissions to or filings with any Regulatory Authority (including, without limitation, in INDs and NDAs) with respect to any Product, and in correspondence with any Regulatory Authority regarding any Product or any of the foregoing submissions or filings;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no event may Adagio disclose Adimab Platform Technology without the prior written consent of Adimab, which consent may be withheld in Adimab’s sole discretion.</w:t>
      </w:r>
    </w:p>
    <w:p>
      <w:pPr>
        <w:spacing w:after="0" w:line="172" w:lineRule="exact"/>
        <w:rPr>
          <w:sz w:val="20"/>
          <w:szCs w:val="20"/>
          <w:color w:val="auto"/>
        </w:rPr>
      </w:pPr>
    </w:p>
    <w:p>
      <w:pPr>
        <w:ind w:left="4" w:right="100" w:firstLine="440"/>
        <w:spacing w:after="0" w:line="289" w:lineRule="auto"/>
        <w:rPr>
          <w:sz w:val="20"/>
          <w:szCs w:val="20"/>
          <w:color w:val="auto"/>
        </w:rPr>
      </w:pPr>
      <w:r>
        <w:rPr>
          <w:rFonts w:ascii="Arial" w:cs="Arial" w:eastAsia="Arial" w:hAnsi="Arial"/>
          <w:sz w:val="16"/>
          <w:szCs w:val="16"/>
          <w:b w:val="1"/>
          <w:bCs w:val="1"/>
          <w:color w:val="auto"/>
        </w:rPr>
        <w:t>6.4 Terms of Agreement</w:t>
      </w:r>
      <w:r>
        <w:rPr>
          <w:rFonts w:ascii="Arial" w:cs="Arial" w:eastAsia="Arial" w:hAnsi="Arial"/>
          <w:sz w:val="16"/>
          <w:szCs w:val="16"/>
          <w:color w:val="auto"/>
        </w:rPr>
        <w:t>. The terms of this Agreement are the Confidential Information of both Parties. However, each Party shall be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disclose the terms of this Agreement under written, legally binding obligations of confidence and non-use consistent with this Agreement to: legal, financial and investment banking advisors; and potential and actual investors and acquirers, and, in the case of Adagio, potential and actual Licensees, doing diligence and counsel for the foregoing for the purpose of evaluating or carrying out an actual or potential investment, acquisition, Licensee Agreement, debt transaction or collaboration. In addition, if legally required, a copy of this Agreement may be filed by either Party with the SEC (or relevant ex-U.S. counterpart). In that case, the filing Party will if requested by the other Party diligently seek confidential treatment for terms of this Agreement for which confidential treatment is reasonably available, and shall provide the non-filing Party reasonable advance notice of the terms proposed for redactions and a reasonable opportunity to request that the filing Party make additional redactions to the extent confidential treatment is reasonably available under the law. The filing Party shall seek and diligently pursue such confidential treatment requested by the non-filing Party.</w:t>
      </w:r>
    </w:p>
    <w:p>
      <w:pPr>
        <w:spacing w:after="0" w:line="166" w:lineRule="exact"/>
        <w:rPr>
          <w:sz w:val="20"/>
          <w:szCs w:val="20"/>
          <w:color w:val="auto"/>
        </w:rPr>
      </w:pPr>
    </w:p>
    <w:p>
      <w:pPr>
        <w:ind w:left="4" w:right="100" w:firstLine="440"/>
        <w:spacing w:after="0" w:line="285" w:lineRule="auto"/>
        <w:rPr>
          <w:sz w:val="20"/>
          <w:szCs w:val="20"/>
          <w:color w:val="auto"/>
        </w:rPr>
      </w:pPr>
      <w:r>
        <w:rPr>
          <w:rFonts w:ascii="Arial" w:cs="Arial" w:eastAsia="Arial" w:hAnsi="Arial"/>
          <w:sz w:val="16"/>
          <w:szCs w:val="16"/>
          <w:b w:val="1"/>
          <w:bCs w:val="1"/>
          <w:color w:val="auto"/>
        </w:rPr>
        <w:t>6.5 Return of Confidential Information</w:t>
      </w:r>
      <w:r>
        <w:rPr>
          <w:rFonts w:ascii="Arial" w:cs="Arial" w:eastAsia="Arial" w:hAnsi="Arial"/>
          <w:sz w:val="16"/>
          <w:szCs w:val="16"/>
          <w:color w:val="auto"/>
        </w:rPr>
        <w:t>. Promptly after the termination or expiration of this Agreement for any reason (but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excluding expiration of the Term in accordance with Section 9.1 (</w:t>
      </w:r>
      <w:r>
        <w:rPr>
          <w:rFonts w:ascii="Arial" w:cs="Arial" w:eastAsia="Arial" w:hAnsi="Arial"/>
          <w:sz w:val="16"/>
          <w:szCs w:val="16"/>
          <w:i w:val="1"/>
          <w:iCs w:val="1"/>
          <w:color w:val="auto"/>
        </w:rPr>
        <w:t>Term</w:t>
      </w:r>
      <w:r>
        <w:rPr>
          <w:rFonts w:ascii="Arial" w:cs="Arial" w:eastAsia="Arial" w:hAnsi="Arial"/>
          <w:sz w:val="16"/>
          <w:szCs w:val="16"/>
          <w:color w:val="auto"/>
        </w:rPr>
        <w:t xml:space="preserve">)), each Party shall return to the other Party all tangible manifestations of such other Party’s Confidential Information at that time in the possession of the receiving Party;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a Party may retain one (1) copy of the Confidential Information of the other Party in its files for the sole purpose of ascertaining and complying with its confidentiality obligations hereunder; (b) a Party shall not be required to destroy any computer files stored securely by such Party only on centralized storage servers (and not on personal computers or devices) that are created during automatic system back up, so long as such computer files are not readily accessible by such Party’s personnel (other than its information technology specialists who are responsible for maintaining such Party’s electronic backup services); and</w:t>
      </w:r>
    </w:p>
    <w:p>
      <w:pPr>
        <w:spacing w:after="0" w:line="1" w:lineRule="exact"/>
        <w:rPr>
          <w:sz w:val="20"/>
          <w:szCs w:val="20"/>
          <w:color w:val="auto"/>
        </w:rPr>
      </w:pPr>
    </w:p>
    <w:p>
      <w:pPr>
        <w:ind w:left="4" w:right="180" w:hanging="4"/>
        <w:spacing w:after="0" w:line="255" w:lineRule="auto"/>
        <w:tabs>
          <w:tab w:leader="none" w:pos="24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obligation of the receiving Party to return Confidential Information pursuant to this Section 6.5 (</w:t>
      </w:r>
      <w:r>
        <w:rPr>
          <w:rFonts w:ascii="Arial" w:cs="Arial" w:eastAsia="Arial" w:hAnsi="Arial"/>
          <w:sz w:val="18"/>
          <w:szCs w:val="18"/>
          <w:i w:val="1"/>
          <w:iCs w:val="1"/>
          <w:color w:val="auto"/>
        </w:rPr>
        <w:t>Return of Confidential Information</w:t>
      </w:r>
      <w:r>
        <w:rPr>
          <w:rFonts w:ascii="Arial" w:cs="Arial" w:eastAsia="Arial" w:hAnsi="Arial"/>
          <w:sz w:val="18"/>
          <w:szCs w:val="18"/>
          <w:color w:val="auto"/>
        </w:rPr>
        <w:t>) shall not apply to Confidential Information of the other Party or copies thereof which must be retained pursuant to mandatory applicable law. Any Confidential Information retained will continue to be subject to the terms of this Agreement.</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6.6 Publicity</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66" w:lineRule="auto"/>
        <w:tabs>
          <w:tab w:leader="none" w:pos="125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Press Releases</w:t>
      </w:r>
      <w:r>
        <w:rPr>
          <w:rFonts w:ascii="Arial" w:cs="Arial" w:eastAsia="Arial" w:hAnsi="Arial"/>
          <w:sz w:val="18"/>
          <w:szCs w:val="18"/>
          <w:color w:val="auto"/>
        </w:rPr>
        <w:t>. The Parties shall issue mutually agreed-upon press release(s) announcing the execution of this Agreement. It is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that each Party may desire or be required to issue subsequent press releases relating to this Agreement or activities hereunder, all of which shall be made in accordance with the terms of this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4"/>
          </w:cols>
          <w:pgMar w:left="436" w:top="274" w:right="499" w:bottom="1440" w:gutter="0" w:footer="0" w:header="0"/>
        </w:sectPr>
      </w:pPr>
    </w:p>
    <w:bookmarkStart w:id="436" w:name="page437"/>
    <w:bookmarkEnd w:id="436"/>
    <w:p>
      <w:pPr>
        <w:ind w:right="120" w:firstLine="1428"/>
        <w:spacing w:after="0" w:line="269" w:lineRule="auto"/>
        <w:tabs>
          <w:tab w:leader="none" w:pos="1647"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 of Significant Achievements</w:t>
      </w:r>
      <w:r>
        <w:rPr>
          <w:rFonts w:ascii="Arial" w:cs="Arial" w:eastAsia="Arial" w:hAnsi="Arial"/>
          <w:sz w:val="17"/>
          <w:szCs w:val="17"/>
          <w:color w:val="auto"/>
        </w:rPr>
        <w:t>. From and after the Effective Date, (A) Adimab may, without the prior review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approval of Adagio, issue public statements or press releases announcing the achievement of any Milestone Event for which a Milestone Payment is payable hereunder, unless such disclosure has not already been disseminated by Adagio (in which case, Adimab may not issue such public statement without Adagio’s prior review and approval);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statement or release shall disclose any Sequence information as to the CDR of the CoV Antibody contained in the Product that achieved such Milestone Event or otherwise specifically identify such CoV Antibody or Product, unless such disclosure has already been disseminated by Adagio (in which case, Adimab may disseminate such disclosure without Adagio’s prior review and approval); and (B) Adagio may, without the prior review or approval of Adimab, issue public statements or press releases regarding Products being developed or commercialized by or on behalf of Adagio, its Affiliates or Licensees, including, without limitation, announcements regarding initiation or completion of clinical trials, clinical trial results, regulatory filings and approvals, entry into License Agreements, and receipt of payments under License Agreements, and where not unreasonably cumbersome, Adagio shall include in such statement a recognition of Adimab as the source of the Adimab CoV Antibodies.</w:t>
      </w:r>
    </w:p>
    <w:p>
      <w:pPr>
        <w:spacing w:after="0" w:line="181" w:lineRule="exact"/>
        <w:rPr>
          <w:rFonts w:ascii="Arial" w:cs="Arial" w:eastAsia="Arial" w:hAnsi="Arial"/>
          <w:sz w:val="17"/>
          <w:szCs w:val="17"/>
          <w:b w:val="1"/>
          <w:bCs w:val="1"/>
          <w:color w:val="auto"/>
        </w:rPr>
      </w:pPr>
    </w:p>
    <w:p>
      <w:pPr>
        <w:ind w:right="20" w:firstLine="1428"/>
        <w:spacing w:after="0" w:line="269" w:lineRule="auto"/>
        <w:tabs>
          <w:tab w:leader="none" w:pos="1697" w:val="left"/>
        </w:tabs>
        <w:numPr>
          <w:ilvl w:val="0"/>
          <w:numId w:val="318"/>
        </w:numPr>
        <w:rPr>
          <w:rFonts w:ascii="Arial" w:cs="Arial" w:eastAsia="Arial" w:hAnsi="Arial"/>
          <w:sz w:val="17"/>
          <w:szCs w:val="17"/>
          <w:b w:val="1"/>
          <w:bCs w:val="1"/>
          <w:color w:val="auto"/>
        </w:rPr>
      </w:pPr>
      <w:r>
        <w:rPr>
          <w:rFonts w:ascii="Arial" w:cs="Arial" w:eastAsia="Arial" w:hAnsi="Arial"/>
          <w:sz w:val="17"/>
          <w:szCs w:val="17"/>
          <w:b w:val="1"/>
          <w:bCs w:val="1"/>
          <w:color w:val="auto"/>
        </w:rPr>
        <w:t>Other Disclosures</w:t>
      </w:r>
      <w:r>
        <w:rPr>
          <w:rFonts w:ascii="Arial" w:cs="Arial" w:eastAsia="Arial" w:hAnsi="Arial"/>
          <w:sz w:val="17"/>
          <w:szCs w:val="17"/>
          <w:color w:val="auto"/>
        </w:rPr>
        <w:t>. Except as expressly set forth in Section 6.6(a)(i) (</w:t>
      </w:r>
      <w:r>
        <w:rPr>
          <w:rFonts w:ascii="Arial" w:cs="Arial" w:eastAsia="Arial" w:hAnsi="Arial"/>
          <w:sz w:val="17"/>
          <w:szCs w:val="17"/>
          <w:i w:val="1"/>
          <w:iCs w:val="1"/>
          <w:color w:val="auto"/>
        </w:rPr>
        <w:t>Disclosure of Significant Achievements</w:t>
      </w:r>
      <w:r>
        <w:rPr>
          <w:rFonts w:ascii="Arial" w:cs="Arial" w:eastAsia="Arial" w:hAnsi="Arial"/>
          <w:sz w:val="17"/>
          <w:szCs w:val="17"/>
          <w:color w:val="auto"/>
        </w:rPr>
        <w:t>), the Parties agree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consult with each other reasonably and in good faith with respect to the text and timing of subsequent press releases prior to the issuance thereof; </w:t>
      </w:r>
      <w:r>
        <w:rPr>
          <w:rFonts w:ascii="Arial" w:cs="Arial" w:eastAsia="Arial" w:hAnsi="Arial"/>
          <w:sz w:val="17"/>
          <w:szCs w:val="17"/>
          <w:i w:val="1"/>
          <w:iCs w:val="1"/>
          <w:color w:val="auto"/>
        </w:rPr>
        <w:t>provided, however</w:t>
      </w:r>
      <w:r>
        <w:rPr>
          <w:rFonts w:ascii="Arial" w:cs="Arial" w:eastAsia="Arial" w:hAnsi="Arial"/>
          <w:sz w:val="17"/>
          <w:szCs w:val="17"/>
          <w:color w:val="auto"/>
        </w:rPr>
        <w:t>, that a Party may not withhold consent to such releases that the other Party may determine, based on advice of counsel, are</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necessary to comply with applicable laws, including disclosure requirements of the U.S. Securities and Exchange Commission, or with the requirements of any stock exchange on which securities issued by a Party or its Affiliates are traded. In the event of a required public announcement, to the extent practicable under the circumstances, the Party making such announcement shall provide the other Party with a copy of the proposed text of such announcement sufficiently in advance of the scheduled release to afford such other Party a reasonable opportunity to review and comment upon the proposed text. Each Party may make public statements regarding this Agreement in response to questions by the press, analysts, investors or those attending industry conferences or financial analyst calls, or issue press releases, so long as the contents of any such public statement or press release are contained in a prior public disclosure or public statement approved by the other Party pursuant to this Section 6.6(a)(ii) (</w:t>
      </w:r>
      <w:r>
        <w:rPr>
          <w:rFonts w:ascii="Arial" w:cs="Arial" w:eastAsia="Arial" w:hAnsi="Arial"/>
          <w:sz w:val="17"/>
          <w:szCs w:val="17"/>
          <w:i w:val="1"/>
          <w:iCs w:val="1"/>
          <w:color w:val="auto"/>
        </w:rPr>
        <w:t>Other Disclosures</w:t>
      </w:r>
      <w:r>
        <w:rPr>
          <w:rFonts w:ascii="Arial" w:cs="Arial" w:eastAsia="Arial" w:hAnsi="Arial"/>
          <w:sz w:val="17"/>
          <w:szCs w:val="17"/>
          <w:color w:val="auto"/>
        </w:rPr>
        <w:t>) or permitted by Section 6.6(a)(i) (</w:t>
      </w:r>
      <w:r>
        <w:rPr>
          <w:rFonts w:ascii="Arial" w:cs="Arial" w:eastAsia="Arial" w:hAnsi="Arial"/>
          <w:sz w:val="17"/>
          <w:szCs w:val="17"/>
          <w:i w:val="1"/>
          <w:iCs w:val="1"/>
          <w:color w:val="auto"/>
        </w:rPr>
        <w:t>Disclosure of Significant Achievements</w:t>
      </w:r>
      <w:r>
        <w:rPr>
          <w:rFonts w:ascii="Arial" w:cs="Arial" w:eastAsia="Arial" w:hAnsi="Arial"/>
          <w:sz w:val="17"/>
          <w:szCs w:val="17"/>
          <w:color w:val="auto"/>
        </w:rPr>
        <w:t>) or Section 6.3 (</w:t>
      </w:r>
      <w:r>
        <w:rPr>
          <w:rFonts w:ascii="Arial" w:cs="Arial" w:eastAsia="Arial" w:hAnsi="Arial"/>
          <w:sz w:val="17"/>
          <w:szCs w:val="17"/>
          <w:i w:val="1"/>
          <w:iCs w:val="1"/>
          <w:color w:val="auto"/>
        </w:rPr>
        <w:t>Authorized Disclosures</w:t>
      </w:r>
      <w:r>
        <w:rPr>
          <w:rFonts w:ascii="Arial" w:cs="Arial" w:eastAsia="Arial" w:hAnsi="Arial"/>
          <w:sz w:val="17"/>
          <w:szCs w:val="17"/>
          <w:color w:val="auto"/>
        </w:rPr>
        <w:t>) and does not reveal Confidential Information of the other Party.</w:t>
      </w:r>
    </w:p>
    <w:p>
      <w:pPr>
        <w:spacing w:after="0" w:line="179" w:lineRule="exact"/>
        <w:rPr>
          <w:sz w:val="20"/>
          <w:szCs w:val="20"/>
          <w:color w:val="auto"/>
        </w:rPr>
      </w:pPr>
    </w:p>
    <w:p>
      <w:pPr>
        <w:jc w:val="both"/>
        <w:ind w:firstLine="987"/>
        <w:spacing w:after="0" w:line="261" w:lineRule="auto"/>
        <w:tabs>
          <w:tab w:leader="none" w:pos="1256"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Bundled Press Releases</w:t>
      </w:r>
      <w:r>
        <w:rPr>
          <w:rFonts w:ascii="Arial" w:cs="Arial" w:eastAsia="Arial" w:hAnsi="Arial"/>
          <w:sz w:val="18"/>
          <w:szCs w:val="18"/>
          <w:color w:val="auto"/>
        </w:rPr>
        <w:t>. It is understood and agreed that a Party may sometimes issue press releases that group multiple achievements</w:t>
      </w:r>
      <w:r>
        <w:rPr>
          <w:rFonts w:ascii="Arial" w:cs="Arial" w:eastAsia="Arial" w:hAnsi="Arial"/>
          <w:sz w:val="18"/>
          <w:szCs w:val="18"/>
          <w:b w:val="1"/>
          <w:bCs w:val="1"/>
          <w:color w:val="auto"/>
        </w:rPr>
        <w:t xml:space="preserve"> </w:t>
      </w:r>
      <w:r>
        <w:rPr>
          <w:rFonts w:ascii="Arial" w:cs="Arial" w:eastAsia="Arial" w:hAnsi="Arial"/>
          <w:sz w:val="18"/>
          <w:szCs w:val="18"/>
          <w:color w:val="auto"/>
        </w:rPr>
        <w:t>of such Party. It is understood and agreed that a Party may choose to group text from a previously-approved press release with other accomplishments or events not relating to this Agreement and, in such event, the only portions of the press release to which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shall apply shall be those portions that relate to this Agreement or the other Party.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0" w:right="459" w:bottom="1440" w:gutter="0" w:footer="0" w:header="0"/>
        </w:sectPr>
      </w:pPr>
    </w:p>
    <w:bookmarkStart w:id="437" w:name="page438"/>
    <w:bookmarkEnd w:id="437"/>
    <w:p>
      <w:pPr>
        <w:ind w:left="4" w:right="22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6.7 Certain Data</w:t>
      </w:r>
      <w:r>
        <w:rPr>
          <w:rFonts w:ascii="Arial" w:cs="Arial" w:eastAsia="Arial" w:hAnsi="Arial"/>
          <w:sz w:val="16"/>
          <w:szCs w:val="16"/>
          <w:color w:val="auto"/>
        </w:rPr>
        <w:t>. The Parties recognize the need for Adimab to disclose the general capabilities of the Adimab Platform Technology.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therewith, and provided that Adimab does not disclose the identity of Adagio, any Adimab CoV Antibody, the target thereof (</w:t>
      </w:r>
      <w:r>
        <w:rPr>
          <w:rFonts w:ascii="Arial" w:cs="Arial" w:eastAsia="Arial" w:hAnsi="Arial"/>
          <w:sz w:val="16"/>
          <w:szCs w:val="16"/>
          <w:i w:val="1"/>
          <w:iCs w:val="1"/>
          <w:color w:val="auto"/>
        </w:rPr>
        <w:t>i.e.</w:t>
      </w:r>
      <w:r>
        <w:rPr>
          <w:rFonts w:ascii="Arial" w:cs="Arial" w:eastAsia="Arial" w:hAnsi="Arial"/>
          <w:sz w:val="16"/>
          <w:szCs w:val="16"/>
          <w:color w:val="auto"/>
        </w:rPr>
        <w:t>, CoV) or any Sequence information as to the CDRs of Adimab CoV Antibodies, Adimab shall have the right to disclose generally Adimab CoV Antibody attributes, including the following: (a) Adimab CoV Antibody binding affinities (kD), (b) expression range regarding Adimab CoV Antibodies,</w:t>
      </w:r>
    </w:p>
    <w:p>
      <w:pPr>
        <w:spacing w:after="0" w:line="2" w:lineRule="exact"/>
        <w:rPr>
          <w:sz w:val="20"/>
          <w:szCs w:val="20"/>
          <w:color w:val="auto"/>
        </w:rPr>
      </w:pPr>
    </w:p>
    <w:p>
      <w:pPr>
        <w:ind w:left="4" w:right="300" w:hanging="4"/>
        <w:spacing w:after="0" w:line="255" w:lineRule="auto"/>
        <w:tabs>
          <w:tab w:leader="none" w:pos="249" w:val="left"/>
        </w:tabs>
        <w:numPr>
          <w:ilvl w:val="0"/>
          <w:numId w:val="320"/>
        </w:numPr>
        <w:rPr>
          <w:rFonts w:ascii="Arial" w:cs="Arial" w:eastAsia="Arial" w:hAnsi="Arial"/>
          <w:sz w:val="18"/>
          <w:szCs w:val="18"/>
          <w:color w:val="auto"/>
        </w:rPr>
      </w:pPr>
      <w:r>
        <w:rPr>
          <w:rFonts w:ascii="Arial" w:cs="Arial" w:eastAsia="Arial" w:hAnsi="Arial"/>
          <w:sz w:val="18"/>
          <w:szCs w:val="18"/>
          <w:color w:val="auto"/>
        </w:rPr>
        <w:t>germline distribution of Adimab CoV Antibodies, (d) CoV Antibody format (</w:t>
      </w:r>
      <w:r>
        <w:rPr>
          <w:rFonts w:ascii="Arial" w:cs="Arial" w:eastAsia="Arial" w:hAnsi="Arial"/>
          <w:sz w:val="18"/>
          <w:szCs w:val="18"/>
          <w:i w:val="1"/>
          <w:iCs w:val="1"/>
          <w:color w:val="auto"/>
        </w:rPr>
        <w:t>i.e.</w:t>
      </w:r>
      <w:r>
        <w:rPr>
          <w:rFonts w:ascii="Arial" w:cs="Arial" w:eastAsia="Arial" w:hAnsi="Arial"/>
          <w:sz w:val="18"/>
          <w:szCs w:val="18"/>
          <w:color w:val="auto"/>
        </w:rPr>
        <w:t>, monoclonal, Morrison bispecific, etc.), and (e) stage of development of Adimab CoV Antibodies. For clarity, Adimab has already published articles in scientific journals, some of which articles include the sequences of certain Adimab CoV Antibodies.</w:t>
      </w:r>
    </w:p>
    <w:p>
      <w:pPr>
        <w:spacing w:after="0" w:line="200" w:lineRule="exact"/>
        <w:rPr>
          <w:sz w:val="20"/>
          <w:szCs w:val="20"/>
          <w:color w:val="auto"/>
        </w:rPr>
      </w:pPr>
    </w:p>
    <w:p>
      <w:pPr>
        <w:spacing w:after="0" w:line="20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7.1 Mutual Representations</w:t>
      </w:r>
      <w:r>
        <w:rPr>
          <w:rFonts w:ascii="Arial" w:cs="Arial" w:eastAsia="Arial" w:hAnsi="Arial"/>
          <w:sz w:val="18"/>
          <w:szCs w:val="18"/>
          <w:color w:val="auto"/>
        </w:rPr>
        <w:t>. Each of Adimab and Adagio hereby represents and warrants to the other of them that the representing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warranting Party is duly organized in its jurisdiction of incorporation; that the representing and warranting Party has the full power and authority to enter into this Agreement; that this Agreement is binding upon the representing and warranting Party; that this Agreement has been duly authorized by all requisite corporate action within the representing and warranting Party; and that the execution, delivery and performance by the representing and warranting Party of this Agreement and its compliance with the terms and conditions hereof does not and shall not conflict with or result in a breach of any of the terms and conditions of or constitute a default under (a) any agreement or other instrument binding or affecting it or its property, (b) the provisions of its bylaws or other governing documents or (c) any order, writ, injunction or decree of any governmental authority entered against it or by which any of its property is bound.</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7.2 Representations of Adimab</w:t>
      </w:r>
      <w:r>
        <w:rPr>
          <w:rFonts w:ascii="Arial" w:cs="Arial" w:eastAsia="Arial" w:hAnsi="Arial"/>
          <w:sz w:val="18"/>
          <w:szCs w:val="18"/>
          <w:color w:val="auto"/>
        </w:rPr>
        <w:t>. Adimab hereby represents and warrants to Adagio that, as of the Effective Date:</w:t>
      </w:r>
    </w:p>
    <w:p>
      <w:pPr>
        <w:spacing w:after="0" w:line="225" w:lineRule="exact"/>
        <w:rPr>
          <w:sz w:val="20"/>
          <w:szCs w:val="20"/>
          <w:color w:val="auto"/>
        </w:rPr>
      </w:pPr>
    </w:p>
    <w:p>
      <w:pPr>
        <w:ind w:left="1244" w:hanging="253"/>
        <w:spacing w:after="0"/>
        <w:tabs>
          <w:tab w:leader="none" w:pos="124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attached hereto contains a true and complete list of the CoV Antibody Patents existing on the Effective Date;</w:t>
      </w:r>
    </w:p>
    <w:p>
      <w:pPr>
        <w:spacing w:after="0" w:line="229" w:lineRule="exact"/>
        <w:rPr>
          <w:rFonts w:ascii="Arial" w:cs="Arial" w:eastAsia="Arial" w:hAnsi="Arial"/>
          <w:sz w:val="18"/>
          <w:szCs w:val="18"/>
          <w:b w:val="1"/>
          <w:bCs w:val="1"/>
          <w:color w:val="auto"/>
        </w:rPr>
      </w:pPr>
    </w:p>
    <w:p>
      <w:pPr>
        <w:ind w:left="1264" w:hanging="273"/>
        <w:spacing w:after="0"/>
        <w:tabs>
          <w:tab w:leader="none" w:pos="1264"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Adimab has delivered to Adagio true and complete copies of all CoV Antibody Patents existing on the Effective Date;</w:t>
      </w:r>
    </w:p>
    <w:p>
      <w:pPr>
        <w:spacing w:after="0" w:line="221" w:lineRule="exact"/>
        <w:rPr>
          <w:rFonts w:ascii="Arial" w:cs="Arial" w:eastAsia="Arial" w:hAnsi="Arial"/>
          <w:sz w:val="18"/>
          <w:szCs w:val="18"/>
          <w:b w:val="1"/>
          <w:bCs w:val="1"/>
          <w:color w:val="auto"/>
        </w:rPr>
      </w:pPr>
    </w:p>
    <w:p>
      <w:pPr>
        <w:ind w:left="1244" w:hanging="253"/>
        <w:spacing w:after="0"/>
        <w:tabs>
          <w:tab w:leader="none" w:pos="1244" w:val="left"/>
        </w:tabs>
        <w:numPr>
          <w:ilvl w:val="0"/>
          <w:numId w:val="321"/>
        </w:numPr>
        <w:rPr>
          <w:rFonts w:ascii="Arial" w:cs="Arial" w:eastAsia="Arial" w:hAnsi="Arial"/>
          <w:sz w:val="16"/>
          <w:szCs w:val="16"/>
          <w:b w:val="1"/>
          <w:bCs w:val="1"/>
          <w:color w:val="auto"/>
        </w:rPr>
      </w:pPr>
      <w:r>
        <w:rPr>
          <w:rFonts w:ascii="Arial" w:cs="Arial" w:eastAsia="Arial" w:hAnsi="Arial"/>
          <w:sz w:val="16"/>
          <w:szCs w:val="16"/>
          <w:color w:val="auto"/>
        </w:rPr>
        <w:t xml:space="preserve">Adimab is the sole and exclusive owner of all right, title and interest in and to the CoV Antibody Patents listed on </w:t>
      </w:r>
      <w:r>
        <w:rPr>
          <w:rFonts w:ascii="Arial" w:cs="Arial" w:eastAsia="Arial" w:hAnsi="Arial"/>
          <w:sz w:val="16"/>
          <w:szCs w:val="16"/>
          <w:b w:val="1"/>
          <w:bCs w:val="1"/>
          <w:color w:val="auto"/>
        </w:rPr>
        <w:t>Exhibit B</w:t>
      </w:r>
      <w:r>
        <w:rPr>
          <w:rFonts w:ascii="Arial" w:cs="Arial" w:eastAsia="Arial" w:hAnsi="Arial"/>
          <w:sz w:val="16"/>
          <w:szCs w:val="16"/>
          <w:color w:val="auto"/>
        </w:rPr>
        <w:t xml:space="preserve"> hereto;</w:t>
      </w:r>
    </w:p>
    <w:p>
      <w:pPr>
        <w:spacing w:after="0" w:line="252" w:lineRule="exact"/>
        <w:rPr>
          <w:rFonts w:ascii="Arial" w:cs="Arial" w:eastAsia="Arial" w:hAnsi="Arial"/>
          <w:sz w:val="16"/>
          <w:szCs w:val="16"/>
          <w:b w:val="1"/>
          <w:bCs w:val="1"/>
          <w:color w:val="auto"/>
        </w:rPr>
      </w:pPr>
    </w:p>
    <w:p>
      <w:pPr>
        <w:ind w:left="4" w:right="240" w:firstLine="987"/>
        <w:spacing w:after="0" w:line="277" w:lineRule="auto"/>
        <w:tabs>
          <w:tab w:leader="none" w:pos="1260" w:val="left"/>
        </w:tabs>
        <w:numPr>
          <w:ilvl w:val="0"/>
          <w:numId w:val="321"/>
        </w:numPr>
        <w:rPr>
          <w:rFonts w:ascii="Arial" w:cs="Arial" w:eastAsia="Arial" w:hAnsi="Arial"/>
          <w:sz w:val="18"/>
          <w:szCs w:val="18"/>
          <w:b w:val="1"/>
          <w:bCs w:val="1"/>
          <w:color w:val="auto"/>
        </w:rPr>
      </w:pPr>
      <w:r>
        <w:rPr>
          <w:rFonts w:ascii="Arial" w:cs="Arial" w:eastAsia="Arial" w:hAnsi="Arial"/>
          <w:sz w:val="18"/>
          <w:szCs w:val="18"/>
          <w:color w:val="auto"/>
        </w:rPr>
        <w:t>except as described in Section 2.5 (</w:t>
      </w:r>
      <w:r>
        <w:rPr>
          <w:rFonts w:ascii="Arial" w:cs="Arial" w:eastAsia="Arial" w:hAnsi="Arial"/>
          <w:sz w:val="18"/>
          <w:szCs w:val="18"/>
          <w:i w:val="1"/>
          <w:iCs w:val="1"/>
          <w:color w:val="auto"/>
        </w:rPr>
        <w:t>Adimab Retained Rights</w:t>
      </w:r>
      <w:r>
        <w:rPr>
          <w:rFonts w:ascii="Arial" w:cs="Arial" w:eastAsia="Arial" w:hAnsi="Arial"/>
          <w:sz w:val="18"/>
          <w:szCs w:val="18"/>
          <w:color w:val="auto"/>
        </w:rPr>
        <w:t>), neither Adimab nor any of its Affiliates has granted to any Third Party any option, license or other right with respect to any Adimab CoV Antibody;</w:t>
      </w:r>
    </w:p>
    <w:p>
      <w:pPr>
        <w:spacing w:after="0" w:line="170" w:lineRule="exact"/>
        <w:rPr>
          <w:rFonts w:ascii="Arial" w:cs="Arial" w:eastAsia="Arial" w:hAnsi="Arial"/>
          <w:sz w:val="18"/>
          <w:szCs w:val="18"/>
          <w:b w:val="1"/>
          <w:bCs w:val="1"/>
          <w:color w:val="auto"/>
        </w:rPr>
      </w:pPr>
    </w:p>
    <w:p>
      <w:pPr>
        <w:ind w:left="1244" w:hanging="253"/>
        <w:spacing w:after="0"/>
        <w:tabs>
          <w:tab w:leader="none" w:pos="1244" w:val="left"/>
        </w:tabs>
        <w:numPr>
          <w:ilvl w:val="0"/>
          <w:numId w:val="321"/>
        </w:numPr>
        <w:rPr>
          <w:rFonts w:ascii="Arial" w:cs="Arial" w:eastAsia="Arial" w:hAnsi="Arial"/>
          <w:sz w:val="17"/>
          <w:szCs w:val="17"/>
          <w:b w:val="1"/>
          <w:bCs w:val="1"/>
          <w:color w:val="auto"/>
        </w:rPr>
      </w:pPr>
      <w:r>
        <w:rPr>
          <w:rFonts w:ascii="Arial" w:cs="Arial" w:eastAsia="Arial" w:hAnsi="Arial"/>
          <w:sz w:val="17"/>
          <w:szCs w:val="17"/>
          <w:color w:val="auto"/>
        </w:rPr>
        <w:t>neither Adimab nor any of its Affiliates has granted to any Third Party any option, license or other right with respect to any CoV</w:t>
      </w:r>
    </w:p>
    <w:p>
      <w:pPr>
        <w:spacing w:after="0" w:line="34" w:lineRule="exact"/>
        <w:rPr>
          <w:rFonts w:ascii="Arial" w:cs="Arial" w:eastAsia="Arial" w:hAnsi="Arial"/>
          <w:sz w:val="17"/>
          <w:szCs w:val="17"/>
          <w:b w:val="1"/>
          <w:bCs w:val="1"/>
          <w:color w:val="auto"/>
        </w:rPr>
      </w:pPr>
    </w:p>
    <w:p>
      <w:pPr>
        <w:ind w:left="4"/>
        <w:spacing w:after="0"/>
        <w:rPr>
          <w:rFonts w:ascii="Arial" w:cs="Arial" w:eastAsia="Arial" w:hAnsi="Arial"/>
          <w:sz w:val="17"/>
          <w:szCs w:val="17"/>
          <w:b w:val="1"/>
          <w:bCs w:val="1"/>
          <w:color w:val="auto"/>
        </w:rPr>
      </w:pPr>
      <w:r>
        <w:rPr>
          <w:rFonts w:ascii="Arial" w:cs="Arial" w:eastAsia="Arial" w:hAnsi="Arial"/>
          <w:sz w:val="18"/>
          <w:szCs w:val="18"/>
          <w:color w:val="auto"/>
        </w:rPr>
        <w:t>Antibody Patent;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4"/>
          </w:cols>
          <w:pgMar w:left="436" w:top="270" w:right="459" w:bottom="1440" w:gutter="0" w:footer="0" w:header="0"/>
        </w:sectPr>
      </w:pPr>
    </w:p>
    <w:bookmarkStart w:id="438" w:name="page439"/>
    <w:bookmarkEnd w:id="438"/>
    <w:p>
      <w:pPr>
        <w:ind w:right="380" w:firstLine="987"/>
        <w:spacing w:after="0" w:line="277" w:lineRule="auto"/>
        <w:tabs>
          <w:tab w:leader="none" w:pos="1216"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agreements in effect as of the Effective Date between Adimab or any of its Affiliates and any Third Party under which rights with respect to any Adimab CoV Antibody or CoV Antibody Patent are being licensed to Adimab or its Affiliate;</w:t>
      </w:r>
    </w:p>
    <w:p>
      <w:pPr>
        <w:spacing w:after="0" w:line="170" w:lineRule="exact"/>
        <w:rPr>
          <w:rFonts w:ascii="Arial" w:cs="Arial" w:eastAsia="Arial" w:hAnsi="Arial"/>
          <w:sz w:val="18"/>
          <w:szCs w:val="18"/>
          <w:b w:val="1"/>
          <w:bCs w:val="1"/>
          <w:color w:val="auto"/>
        </w:rPr>
      </w:pPr>
    </w:p>
    <w:p>
      <w:pPr>
        <w:ind w:right="620" w:firstLine="987"/>
        <w:spacing w:after="0" w:line="277" w:lineRule="auto"/>
        <w:tabs>
          <w:tab w:leader="none" w:pos="1246"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there are no claims, judgments or settlements against or owed by Adimab (or its Affiliate) with respect to the Adimab Platform Technology, Adimab Platform Patents, CoV Antibody Patents or Adimab CoV Antibodies;</w:t>
      </w:r>
    </w:p>
    <w:p>
      <w:pPr>
        <w:spacing w:after="0" w:line="170"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there are no complaints filed in court or, to Adimab’s knowledge, otherwise threatened, which, if decided in a manner adverse to Adimab, would materially affect Adimab’s grant of the Assignment or License contemplated by this Agreement;</w:t>
      </w:r>
    </w:p>
    <w:p>
      <w:pPr>
        <w:spacing w:after="0" w:line="170" w:lineRule="exact"/>
        <w:rPr>
          <w:rFonts w:ascii="Arial" w:cs="Arial" w:eastAsia="Arial" w:hAnsi="Arial"/>
          <w:sz w:val="18"/>
          <w:szCs w:val="18"/>
          <w:b w:val="1"/>
          <w:bCs w:val="1"/>
          <w:color w:val="auto"/>
        </w:rPr>
      </w:pPr>
    </w:p>
    <w:p>
      <w:pPr>
        <w:ind w:right="60" w:firstLine="987"/>
        <w:spacing w:after="0" w:line="342" w:lineRule="auto"/>
        <w:tabs>
          <w:tab w:leader="none" w:pos="1206"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to Adimab’s knowledge, the practice of the Adimab Platform Technology in the discovery of the Adimab CoV Antibodies, as practiced by Adimab as of the Effective Date, does not infringe a valid, issued Patent owned by a Third Party of which Adimab has knowledge; and</w:t>
      </w:r>
    </w:p>
    <w:p>
      <w:pPr>
        <w:spacing w:after="0" w:line="123" w:lineRule="exact"/>
        <w:rPr>
          <w:rFonts w:ascii="Arial" w:cs="Arial" w:eastAsia="Arial" w:hAnsi="Arial"/>
          <w:sz w:val="16"/>
          <w:szCs w:val="16"/>
          <w:b w:val="1"/>
          <w:bCs w:val="1"/>
          <w:color w:val="auto"/>
        </w:rPr>
      </w:pPr>
    </w:p>
    <w:p>
      <w:pPr>
        <w:ind w:right="60" w:firstLine="987"/>
        <w:spacing w:after="0" w:line="342" w:lineRule="auto"/>
        <w:tabs>
          <w:tab w:leader="none" w:pos="1216"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neither Adimab nor any of its Affiliates has received written notice from any Third Party claiming that the manufacture, use, sale, offer for sale or import of any Adimab CoV Antibody infringes or would infringe the patent or other intellectual property rights of any Third Party; and</w:t>
      </w:r>
    </w:p>
    <w:p>
      <w:pPr>
        <w:spacing w:after="0" w:line="123" w:lineRule="exact"/>
        <w:rPr>
          <w:rFonts w:ascii="Arial" w:cs="Arial" w:eastAsia="Arial" w:hAnsi="Arial"/>
          <w:sz w:val="16"/>
          <w:szCs w:val="16"/>
          <w:b w:val="1"/>
          <w:bCs w:val="1"/>
          <w:color w:val="auto"/>
        </w:rPr>
      </w:pPr>
    </w:p>
    <w:p>
      <w:pPr>
        <w:ind w:firstLine="987"/>
        <w:spacing w:after="0" w:line="259" w:lineRule="auto"/>
        <w:tabs>
          <w:tab w:leader="none" w:pos="1256" w:val="left"/>
        </w:tabs>
        <w:numPr>
          <w:ilvl w:val="0"/>
          <w:numId w:val="322"/>
        </w:numPr>
        <w:rPr>
          <w:rFonts w:ascii="Arial" w:cs="Arial" w:eastAsia="Arial" w:hAnsi="Arial"/>
          <w:sz w:val="18"/>
          <w:szCs w:val="18"/>
          <w:b w:val="1"/>
          <w:bCs w:val="1"/>
          <w:color w:val="auto"/>
        </w:rPr>
      </w:pPr>
      <w:r>
        <w:rPr>
          <w:rFonts w:ascii="Arial" w:cs="Arial" w:eastAsia="Arial" w:hAnsi="Arial"/>
          <w:sz w:val="18"/>
          <w:szCs w:val="18"/>
          <w:color w:val="auto"/>
        </w:rPr>
        <w:t>as of the Effective Date, Adimab has good and marketable title to, or valid contract rights to, as applicable, all of the Adimab CoV Assets free and clear of any lien, encumbrance, charge, security interest, mortgage, liability, grant of license to Third Parties, or other restriction (including in connection with any indebtedness), and has the complete and unrestricted power and unqualified right to sell, assign, transfer and deliver to Adagio, as applicable, the Adimab CoV Assets.</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7.3 DISCLAIMER OF WARRANTIES</w:t>
      </w:r>
      <w:r>
        <w:rPr>
          <w:rFonts w:ascii="Arial" w:cs="Arial" w:eastAsia="Arial" w:hAnsi="Arial"/>
          <w:sz w:val="18"/>
          <w:szCs w:val="18"/>
          <w:color w:val="auto"/>
        </w:rPr>
        <w:t>. OTHER THAN THE EXPRESS WARRANTIES SET FORTH IN THIS ARTICLE 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EACH PARTY DISCLAIMS ALL WARRANTIES OF ANY KIND, EXPRESS OR IMPLIED,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INCLUDING, WITHOUT LIMITATION, ANY WARRANTY OF MERCHANTABILITY, FITNESS FOR A PARTICULAR PURPOSE, VALIDITY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PATENTS, NON-INFRINGEMENT OF THE INTELLECTUAL PROPERTY RIGHTS OF THIRD PARTIES, OR ARISING FROM A COURSE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DEALING, USAGE OR TRADE PRACTICES.</w:t>
      </w:r>
    </w:p>
    <w:p>
      <w:pPr>
        <w:spacing w:after="0" w:line="207"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7.4 Limitation of Liability</w:t>
      </w:r>
      <w:r>
        <w:rPr>
          <w:rFonts w:ascii="Arial" w:cs="Arial" w:eastAsia="Arial" w:hAnsi="Arial"/>
          <w:sz w:val="18"/>
          <w:szCs w:val="18"/>
          <w:color w:val="auto"/>
        </w:rPr>
        <w:t>. EXCEPT FOR LIABILITY FOR BREACH OF ARTICLE 6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NEITHER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SHALL BE ENTITLED TO RECOVER FROM THE OTHER PARTY ANY SPECIAL, INCIDENTAL, CONSEQUENTIAL OR PUNITIVE DAMAGES IN CONNECTION WITH THIS AGREEMENT OR ANY LICENSE GRANTED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THIS SECTION 7.4 (</w:t>
      </w:r>
      <w:r>
        <w:rPr>
          <w:rFonts w:ascii="Arial" w:cs="Arial" w:eastAsia="Arial" w:hAnsi="Arial"/>
          <w:sz w:val="18"/>
          <w:szCs w:val="18"/>
          <w:i w:val="1"/>
          <w:iCs w:val="1"/>
          <w:color w:val="auto"/>
        </w:rPr>
        <w:t>LIMITATION OF LIABILITY</w:t>
      </w:r>
      <w:r>
        <w:rPr>
          <w:rFonts w:ascii="Arial" w:cs="Arial" w:eastAsia="Arial" w:hAnsi="Arial"/>
          <w:sz w:val="18"/>
          <w:szCs w:val="18"/>
          <w:color w:val="auto"/>
        </w:rPr>
        <w:t>) SHALL NOT BE CONSTRUED TO LIMIT EITHER PARTY’S INDEMNIFICATION OBLIGATIONS UNDER ARTICLE 8 (</w:t>
      </w:r>
      <w:r>
        <w:rPr>
          <w:rFonts w:ascii="Arial" w:cs="Arial" w:eastAsia="Arial" w:hAnsi="Arial"/>
          <w:sz w:val="18"/>
          <w:szCs w:val="18"/>
          <w:i w:val="1"/>
          <w:iCs w:val="1"/>
          <w:color w:val="auto"/>
        </w:rPr>
        <w:t>INDEMNIFICATION</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39" w:name="page440"/>
    <w:bookmarkEnd w:id="43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140" w:firstLine="440"/>
        <w:spacing w:after="0" w:line="292" w:lineRule="auto"/>
        <w:rPr>
          <w:sz w:val="20"/>
          <w:szCs w:val="20"/>
          <w:color w:val="auto"/>
        </w:rPr>
      </w:pPr>
      <w:r>
        <w:rPr>
          <w:rFonts w:ascii="Arial" w:cs="Arial" w:eastAsia="Arial" w:hAnsi="Arial"/>
          <w:sz w:val="16"/>
          <w:szCs w:val="16"/>
          <w:b w:val="1"/>
          <w:bCs w:val="1"/>
          <w:color w:val="auto"/>
        </w:rPr>
        <w:t>8.1 Indemnification by Adimab</w:t>
      </w:r>
      <w:r>
        <w:rPr>
          <w:rFonts w:ascii="Arial" w:cs="Arial" w:eastAsia="Arial" w:hAnsi="Arial"/>
          <w:sz w:val="16"/>
          <w:szCs w:val="16"/>
          <w:color w:val="auto"/>
        </w:rPr>
        <w:t>. Adimab hereby agrees to indemnify, defend and hold harmless (collectively, “</w:t>
      </w:r>
      <w:r>
        <w:rPr>
          <w:rFonts w:ascii="Arial" w:cs="Arial" w:eastAsia="Arial" w:hAnsi="Arial"/>
          <w:sz w:val="16"/>
          <w:szCs w:val="16"/>
          <w:b w:val="1"/>
          <w:bCs w:val="1"/>
          <w:color w:val="auto"/>
        </w:rPr>
        <w:t>Indemnify</w:t>
      </w:r>
      <w:r>
        <w:rPr>
          <w:rFonts w:ascii="Arial" w:cs="Arial" w:eastAsia="Arial" w:hAnsi="Arial"/>
          <w:sz w:val="16"/>
          <w:szCs w:val="16"/>
          <w:color w:val="auto"/>
        </w:rPr>
        <w:t>”) Adagio,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its and their directors, officers, agents and employees (collectively, “</w:t>
      </w:r>
      <w:r>
        <w:rPr>
          <w:rFonts w:ascii="Arial" w:cs="Arial" w:eastAsia="Arial" w:hAnsi="Arial"/>
          <w:sz w:val="16"/>
          <w:szCs w:val="16"/>
          <w:b w:val="1"/>
          <w:bCs w:val="1"/>
          <w:color w:val="auto"/>
        </w:rPr>
        <w:t>Adagio Indemnitees</w:t>
      </w:r>
      <w:r>
        <w:rPr>
          <w:rFonts w:ascii="Arial" w:cs="Arial" w:eastAsia="Arial" w:hAnsi="Arial"/>
          <w:sz w:val="16"/>
          <w:szCs w:val="16"/>
          <w:color w:val="auto"/>
        </w:rPr>
        <w:t>”) from and against any and all liability, loss, damage or expense (including without limitation reasonable attorneys’ fees and expenses) (collectively, “</w:t>
      </w:r>
      <w:r>
        <w:rPr>
          <w:rFonts w:ascii="Arial" w:cs="Arial" w:eastAsia="Arial" w:hAnsi="Arial"/>
          <w:sz w:val="16"/>
          <w:szCs w:val="16"/>
          <w:b w:val="1"/>
          <w:bCs w:val="1"/>
          <w:color w:val="auto"/>
        </w:rPr>
        <w:t>Losses</w:t>
      </w:r>
      <w:r>
        <w:rPr>
          <w:rFonts w:ascii="Arial" w:cs="Arial" w:eastAsia="Arial" w:hAnsi="Arial"/>
          <w:sz w:val="16"/>
          <w:szCs w:val="16"/>
          <w:color w:val="auto"/>
        </w:rPr>
        <w:t>”) they may suffer as the result of any claim, demand, action or other proceeding by any Third Party (collectively, “</w:t>
      </w:r>
      <w:r>
        <w:rPr>
          <w:rFonts w:ascii="Arial" w:cs="Arial" w:eastAsia="Arial" w:hAnsi="Arial"/>
          <w:sz w:val="16"/>
          <w:szCs w:val="16"/>
          <w:b w:val="1"/>
          <w:bCs w:val="1"/>
          <w:color w:val="auto"/>
        </w:rPr>
        <w:t>Third-Party Claims</w:t>
      </w:r>
      <w:r>
        <w:rPr>
          <w:rFonts w:ascii="Arial" w:cs="Arial" w:eastAsia="Arial" w:hAnsi="Arial"/>
          <w:sz w:val="16"/>
          <w:szCs w:val="16"/>
          <w:color w:val="auto"/>
        </w:rPr>
        <w:t xml:space="preserve">”) arising out of or relating to (a) the breach by Adimab of any warranty, representation, covenant or agreement made by Adimab in this Agreement, or (b) the gross negligence or intentional misconduct of any Adimab Indemnitee; except, in each case, to the extent such Losses result from (i) the gross negligence or intentional misconduct of any Adagio Indemnitee, or (ii) the breach </w:t>
      </w:r>
      <w:r>
        <w:rPr>
          <w:rFonts w:ascii="Arial" w:cs="Arial" w:eastAsia="Arial" w:hAnsi="Arial"/>
          <w:sz w:val="16"/>
          <w:szCs w:val="16"/>
          <w:i w:val="1"/>
          <w:iCs w:val="1"/>
          <w:color w:val="auto"/>
        </w:rPr>
        <w:t>by Adagio</w:t>
      </w:r>
      <w:r>
        <w:rPr>
          <w:rFonts w:ascii="Arial" w:cs="Arial" w:eastAsia="Arial" w:hAnsi="Arial"/>
          <w:sz w:val="16"/>
          <w:szCs w:val="16"/>
          <w:color w:val="auto"/>
        </w:rPr>
        <w:t xml:space="preserve"> of any warranty, representation, covenant or agreement made by Adagio in this Agreement.</w:t>
      </w:r>
    </w:p>
    <w:p>
      <w:pPr>
        <w:spacing w:after="0" w:line="161"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color w:val="auto"/>
        </w:rPr>
        <w:t>8.2 Indemnification by Adagio</w:t>
      </w:r>
      <w:r>
        <w:rPr>
          <w:rFonts w:ascii="Arial" w:cs="Arial" w:eastAsia="Arial" w:hAnsi="Arial"/>
          <w:sz w:val="18"/>
          <w:szCs w:val="18"/>
          <w:color w:val="auto"/>
        </w:rPr>
        <w:t>. Adagio hereby agrees to Indemnify Adimab, its Affiliates and its and their directors, officers, agents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(collectively, “</w:t>
      </w:r>
      <w:r>
        <w:rPr>
          <w:rFonts w:ascii="Arial" w:cs="Arial" w:eastAsia="Arial" w:hAnsi="Arial"/>
          <w:sz w:val="18"/>
          <w:szCs w:val="18"/>
          <w:b w:val="1"/>
          <w:bCs w:val="1"/>
          <w:color w:val="auto"/>
        </w:rPr>
        <w:t>Adimab Indemnitees</w:t>
      </w:r>
      <w:r>
        <w:rPr>
          <w:rFonts w:ascii="Arial" w:cs="Arial" w:eastAsia="Arial" w:hAnsi="Arial"/>
          <w:sz w:val="18"/>
          <w:szCs w:val="18"/>
          <w:color w:val="auto"/>
        </w:rPr>
        <w:t xml:space="preserve">”) from and against any and all Losses they may suffer as the result of Third-Party Claims arising out of or relating to (a) the breach by Adagio of any warranty, representation, covenant or agreement made by Adagio in this Agreement, (b) the gross negligence or intentional misconduct of any Adagio Indemnitee, (c) the research, testing, development, manufacture, use, handling, storage, sale, offer for sale, import or other disposition by or on behalf of Adagio or any of its Affiliates or Licensees of any CoV Antibody or Product, or (d) the use by Adagio or its Affiliates or Licensees of any Excluded Technology; except, in each case, to the extent such Losses result from (i) the gross negligence or intentional misconduct of any Adimab Indemnitee, or (ii) the breach </w:t>
      </w:r>
      <w:r>
        <w:rPr>
          <w:rFonts w:ascii="Arial" w:cs="Arial" w:eastAsia="Arial" w:hAnsi="Arial"/>
          <w:sz w:val="18"/>
          <w:szCs w:val="18"/>
          <w:i w:val="1"/>
          <w:iCs w:val="1"/>
          <w:color w:val="auto"/>
        </w:rPr>
        <w:t>by Adimab</w:t>
      </w:r>
      <w:r>
        <w:rPr>
          <w:rFonts w:ascii="Arial" w:cs="Arial" w:eastAsia="Arial" w:hAnsi="Arial"/>
          <w:sz w:val="18"/>
          <w:szCs w:val="18"/>
          <w:color w:val="auto"/>
        </w:rPr>
        <w:t xml:space="preserve"> of any warranty, representation, covenant or agreement made by Adimab in this Agreement.</w:t>
      </w:r>
    </w:p>
    <w:p>
      <w:pPr>
        <w:spacing w:after="0" w:line="19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8.3 Indemnification Procedures</w:t>
      </w:r>
      <w:r>
        <w:rPr>
          <w:rFonts w:ascii="Arial" w:cs="Arial" w:eastAsia="Arial" w:hAnsi="Arial"/>
          <w:sz w:val="17"/>
          <w:szCs w:val="17"/>
          <w:color w:val="auto"/>
        </w:rPr>
        <w:t>. The obligation of a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under Section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or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(as applicable) to Indemnify the other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xml:space="preserve">”) and its associated indemnitees – </w:t>
      </w:r>
      <w:r>
        <w:rPr>
          <w:rFonts w:ascii="Arial" w:cs="Arial" w:eastAsia="Arial" w:hAnsi="Arial"/>
          <w:sz w:val="17"/>
          <w:szCs w:val="17"/>
          <w:i w:val="1"/>
          <w:iCs w:val="1"/>
          <w:color w:val="auto"/>
        </w:rPr>
        <w:t>i.e.</w:t>
      </w:r>
      <w:r>
        <w:rPr>
          <w:rFonts w:ascii="Arial" w:cs="Arial" w:eastAsia="Arial" w:hAnsi="Arial"/>
          <w:sz w:val="17"/>
          <w:szCs w:val="17"/>
          <w:color w:val="auto"/>
        </w:rPr>
        <w:t>, the Adimab Indemnitees or Adagio Indemnitees, as applicable (the “</w:t>
      </w:r>
      <w:r>
        <w:rPr>
          <w:rFonts w:ascii="Arial" w:cs="Arial" w:eastAsia="Arial" w:hAnsi="Arial"/>
          <w:sz w:val="17"/>
          <w:szCs w:val="17"/>
          <w:b w:val="1"/>
          <w:bCs w:val="1"/>
          <w:color w:val="auto"/>
        </w:rPr>
        <w:t>Indemnitees</w:t>
      </w:r>
      <w:r>
        <w:rPr>
          <w:rFonts w:ascii="Arial" w:cs="Arial" w:eastAsia="Arial" w:hAnsi="Arial"/>
          <w:sz w:val="17"/>
          <w:szCs w:val="17"/>
          <w:color w:val="auto"/>
        </w:rPr>
        <w:t>”) – is conditioned on: (a) the Indemnified Party providing the Indemnifying Party prompt written notice of any Third-Party Claim giving rise to an indemnification obligation hereunder, (b) the Indemnified Party and its Indemnitees permitting the Indemnifying Party to assume direction and control of the defense of the Third-Party Claim (including the right to settle the Third-Party Claim solely for monetary consideration) using counsel reasonably satisfactory to the Indemnified Party, (c) the Indemnified Party and its Indemnitees cooperating as requested (at the expense of the Indemnifying Party) in the defense of the Third-Party Claim, and (d) the Indemnified Party and its Indemnitees not compromising or settling such Third-Party Claim without the Indemnifying Party’s prior written consent. The Indemnifying Party shall not agree to any settlement of such Third-Party Claim or consent to any judgment in respect thereof that does not include a complete and unconditional release of the Indemnified Party and its Indemnitees from all liability with respect thereto, that imposes any liability or obligation on the Indemnified Party or its Indemnitees or that acknowledges fault by the Indemnified Party or any Indemnitee, without the prior written consent of the Indemnified Party or such Indemnitee, as applicable. If the Parties cannot agree as to the application of the foregoing Sections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and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each may conduct separate defenses of the Third-Party Claim, and each Party reserves the right to claim indemnity from the other in accordance with this Article 8 (</w:t>
      </w:r>
      <w:r>
        <w:rPr>
          <w:rFonts w:ascii="Arial" w:cs="Arial" w:eastAsia="Arial" w:hAnsi="Arial"/>
          <w:sz w:val="17"/>
          <w:szCs w:val="17"/>
          <w:i w:val="1"/>
          <w:iCs w:val="1"/>
          <w:color w:val="auto"/>
        </w:rPr>
        <w:t>Indemnification</w:t>
      </w:r>
      <w:r>
        <w:rPr>
          <w:rFonts w:ascii="Arial" w:cs="Arial" w:eastAsia="Arial" w:hAnsi="Arial"/>
          <w:sz w:val="17"/>
          <w:szCs w:val="17"/>
          <w:color w:val="auto"/>
        </w:rPr>
        <w:t>) upon the resolution of the underlying Third-Party Claim.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440" w:name="page441"/>
    <w:bookmarkEnd w:id="440"/>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TERM; TERMINATION</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440"/>
        <w:spacing w:after="0" w:line="314" w:lineRule="auto"/>
        <w:rPr>
          <w:sz w:val="20"/>
          <w:szCs w:val="20"/>
          <w:color w:val="auto"/>
        </w:rPr>
      </w:pPr>
      <w:r>
        <w:rPr>
          <w:rFonts w:ascii="Arial" w:cs="Arial" w:eastAsia="Arial" w:hAnsi="Arial"/>
          <w:sz w:val="16"/>
          <w:szCs w:val="16"/>
          <w:b w:val="1"/>
          <w:bCs w:val="1"/>
          <w:color w:val="auto"/>
        </w:rPr>
        <w:t>9.1 Term</w:t>
      </w:r>
      <w:r>
        <w:rPr>
          <w:rFonts w:ascii="Arial" w:cs="Arial" w:eastAsia="Arial" w:hAnsi="Arial"/>
          <w:sz w:val="16"/>
          <w:szCs w:val="16"/>
          <w:color w:val="auto"/>
        </w:rPr>
        <w:t>. The term (the “</w:t>
      </w:r>
      <w:r>
        <w:rPr>
          <w:rFonts w:ascii="Arial" w:cs="Arial" w:eastAsia="Arial" w:hAnsi="Arial"/>
          <w:sz w:val="16"/>
          <w:szCs w:val="16"/>
          <w:b w:val="1"/>
          <w:bCs w:val="1"/>
          <w:color w:val="auto"/>
        </w:rPr>
        <w:t>Term</w:t>
      </w:r>
      <w:r>
        <w:rPr>
          <w:rFonts w:ascii="Arial" w:cs="Arial" w:eastAsia="Arial" w:hAnsi="Arial"/>
          <w:sz w:val="16"/>
          <w:szCs w:val="16"/>
          <w:color w:val="auto"/>
        </w:rPr>
        <w:t>”) of this Agreement shall commence on the Effective Date and, unless this Agreement is earlier terminated as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 in this Article 9 (</w:t>
      </w:r>
      <w:r>
        <w:rPr>
          <w:rFonts w:ascii="Arial" w:cs="Arial" w:eastAsia="Arial" w:hAnsi="Arial"/>
          <w:sz w:val="16"/>
          <w:szCs w:val="16"/>
          <w:i w:val="1"/>
          <w:iCs w:val="1"/>
          <w:color w:val="auto"/>
        </w:rPr>
        <w:t>Term; Termination</w:t>
      </w:r>
      <w:r>
        <w:rPr>
          <w:rFonts w:ascii="Arial" w:cs="Arial" w:eastAsia="Arial" w:hAnsi="Arial"/>
          <w:sz w:val="16"/>
          <w:szCs w:val="16"/>
          <w:color w:val="auto"/>
        </w:rPr>
        <w:t>), shall expire upon on the expiration of the last-to-expire Royalty Term for any and all Products. Upon expiration of the Term pursuant to this Section 9.1 (</w:t>
      </w:r>
      <w:r>
        <w:rPr>
          <w:rFonts w:ascii="Arial" w:cs="Arial" w:eastAsia="Arial" w:hAnsi="Arial"/>
          <w:sz w:val="16"/>
          <w:szCs w:val="16"/>
          <w:i w:val="1"/>
          <w:iCs w:val="1"/>
          <w:color w:val="auto"/>
        </w:rPr>
        <w:t>Term</w:t>
      </w:r>
      <w:r>
        <w:rPr>
          <w:rFonts w:ascii="Arial" w:cs="Arial" w:eastAsia="Arial" w:hAnsi="Arial"/>
          <w:sz w:val="16"/>
          <w:szCs w:val="16"/>
          <w:color w:val="auto"/>
        </w:rPr>
        <w:t>), the License shall become royalty-free, fully-paid, irrevocable and perpetual.</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9.2 Termination for Material Breach</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0" w:lineRule="auto"/>
        <w:tabs>
          <w:tab w:leader="none" w:pos="1250" w:val="left"/>
        </w:tabs>
        <w:numPr>
          <w:ilvl w:val="1"/>
          <w:numId w:val="3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Material Breach Other Than Breach of Diligence Obligation. </w:t>
      </w:r>
      <w:r>
        <w:rPr>
          <w:rFonts w:ascii="Arial" w:cs="Arial" w:eastAsia="Arial" w:hAnsi="Arial"/>
          <w:sz w:val="17"/>
          <w:szCs w:val="17"/>
          <w:color w:val="auto"/>
        </w:rPr>
        <w:t>Subject to Section 9.2(c) (</w:t>
      </w:r>
      <w:r>
        <w:rPr>
          <w:rFonts w:ascii="Arial" w:cs="Arial" w:eastAsia="Arial" w:hAnsi="Arial"/>
          <w:sz w:val="17"/>
          <w:szCs w:val="17"/>
          <w:i w:val="1"/>
          <w:iCs w:val="1"/>
          <w:color w:val="auto"/>
        </w:rPr>
        <w:t>Dispute Regarding Breach</w:t>
      </w:r>
      <w:r>
        <w:rPr>
          <w:rFonts w:ascii="Arial" w:cs="Arial" w:eastAsia="Arial" w:hAnsi="Arial"/>
          <w:sz w:val="17"/>
          <w:szCs w:val="17"/>
          <w:color w:val="auto"/>
        </w:rPr>
        <w:t>), and except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case of a material breach covered by Section 9.2(b) (</w:t>
      </w:r>
      <w:r>
        <w:rPr>
          <w:rFonts w:ascii="Arial" w:cs="Arial" w:eastAsia="Arial" w:hAnsi="Arial"/>
          <w:sz w:val="17"/>
          <w:szCs w:val="17"/>
          <w:i w:val="1"/>
          <w:iCs w:val="1"/>
          <w:color w:val="auto"/>
        </w:rPr>
        <w:t>Material Breach of Diligence Obligations</w:t>
      </w:r>
      <w:r>
        <w:rPr>
          <w:rFonts w:ascii="Arial" w:cs="Arial" w:eastAsia="Arial" w:hAnsi="Arial"/>
          <w:sz w:val="17"/>
          <w:szCs w:val="17"/>
          <w:color w:val="auto"/>
        </w:rPr>
        <w:t>), each Party shall have the right, in the event of material breach of this Agreement by the other Party, to terminate this Agreement upon written notice to the other Party if such other Party is in material breach of this Agreement and has not cured such breach within [***] (or [***] with respect to any payment breach) after notice from the terminating Party requesting cure of the breach. Any such termination shall become effective at the end of such [***] period (or [***] period with respect to any payment breach) unless the breaching Party has cured such breach prior to the end of such period. Notwithstanding the foregoing or Section 9.5 (</w:t>
      </w:r>
      <w:r>
        <w:rPr>
          <w:rFonts w:ascii="Arial" w:cs="Arial" w:eastAsia="Arial" w:hAnsi="Arial"/>
          <w:sz w:val="17"/>
          <w:szCs w:val="17"/>
          <w:i w:val="1"/>
          <w:iCs w:val="1"/>
          <w:color w:val="auto"/>
        </w:rPr>
        <w:t>Effect</w:t>
      </w:r>
      <w:r>
        <w:rPr>
          <w:rFonts w:ascii="Arial" w:cs="Arial" w:eastAsia="Arial" w:hAnsi="Arial"/>
          <w:sz w:val="17"/>
          <w:szCs w:val="17"/>
          <w:color w:val="auto"/>
        </w:rPr>
        <w:t xml:space="preserve"> </w:t>
      </w:r>
      <w:r>
        <w:rPr>
          <w:rFonts w:ascii="Arial" w:cs="Arial" w:eastAsia="Arial" w:hAnsi="Arial"/>
          <w:sz w:val="17"/>
          <w:szCs w:val="17"/>
          <w:i w:val="1"/>
          <w:iCs w:val="1"/>
          <w:color w:val="auto"/>
        </w:rPr>
        <w:t>of Expiration or Termination</w:t>
      </w:r>
      <w:r>
        <w:rPr>
          <w:rFonts w:ascii="Arial" w:cs="Arial" w:eastAsia="Arial" w:hAnsi="Arial"/>
          <w:sz w:val="17"/>
          <w:szCs w:val="17"/>
          <w:color w:val="auto"/>
        </w:rPr>
        <w:t>) to the contrary, but without limiting Adimab’s rights under Section 9.2(b) (</w:t>
      </w:r>
      <w:r>
        <w:rPr>
          <w:rFonts w:ascii="Arial" w:cs="Arial" w:eastAsia="Arial" w:hAnsi="Arial"/>
          <w:sz w:val="17"/>
          <w:szCs w:val="17"/>
          <w:i w:val="1"/>
          <w:iCs w:val="1"/>
          <w:color w:val="auto"/>
        </w:rPr>
        <w:t>Material Breach of Diligence Obligations</w:t>
      </w:r>
      <w:r>
        <w:rPr>
          <w:rFonts w:ascii="Arial" w:cs="Arial" w:eastAsia="Arial" w:hAnsi="Arial"/>
          <w:sz w:val="17"/>
          <w:szCs w:val="17"/>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after initiation of the first clinical trial of a Product, Adimab may not terminate this Agreement pursuant to this Section 9.2(a) (</w:t>
      </w:r>
      <w:r>
        <w:rPr>
          <w:rFonts w:ascii="Arial" w:cs="Arial" w:eastAsia="Arial" w:hAnsi="Arial"/>
          <w:sz w:val="17"/>
          <w:szCs w:val="17"/>
          <w:i w:val="1"/>
          <w:iCs w:val="1"/>
          <w:color w:val="auto"/>
        </w:rPr>
        <w:t>Material Breach Other</w:t>
      </w:r>
      <w:r>
        <w:rPr>
          <w:rFonts w:ascii="Arial" w:cs="Arial" w:eastAsia="Arial" w:hAnsi="Arial"/>
          <w:sz w:val="17"/>
          <w:szCs w:val="17"/>
          <w:color w:val="auto"/>
        </w:rPr>
        <w:t xml:space="preserve"> </w:t>
      </w:r>
      <w:r>
        <w:rPr>
          <w:rFonts w:ascii="Arial" w:cs="Arial" w:eastAsia="Arial" w:hAnsi="Arial"/>
          <w:sz w:val="17"/>
          <w:szCs w:val="17"/>
          <w:i w:val="1"/>
          <w:iCs w:val="1"/>
          <w:color w:val="auto"/>
        </w:rPr>
        <w:t>Than Breach of Diligence Obligations</w:t>
      </w:r>
      <w:r>
        <w:rPr>
          <w:rFonts w:ascii="Arial" w:cs="Arial" w:eastAsia="Arial" w:hAnsi="Arial"/>
          <w:sz w:val="17"/>
          <w:szCs w:val="17"/>
          <w:color w:val="auto"/>
        </w:rPr>
        <w:t>), except in the case of uncured material payment breach by Adagio, but for clarity, Adimab may pursue 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all remedies that may be available to it at law or in equity as a result of such breach by Adagio.</w:t>
      </w:r>
    </w:p>
    <w:p>
      <w:pPr>
        <w:spacing w:after="0" w:line="176" w:lineRule="exact"/>
        <w:rPr>
          <w:rFonts w:ascii="Arial" w:cs="Arial" w:eastAsia="Arial" w:hAnsi="Arial"/>
          <w:sz w:val="17"/>
          <w:szCs w:val="17"/>
          <w:b w:val="1"/>
          <w:bCs w:val="1"/>
          <w:color w:val="auto"/>
        </w:rPr>
      </w:pPr>
    </w:p>
    <w:p>
      <w:pPr>
        <w:ind w:left="4" w:right="20" w:firstLine="987"/>
        <w:spacing w:after="0" w:line="287" w:lineRule="auto"/>
        <w:tabs>
          <w:tab w:leader="none" w:pos="1260" w:val="left"/>
        </w:tabs>
        <w:numPr>
          <w:ilvl w:val="1"/>
          <w:numId w:val="32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Material Breach of Diligence Obligation. </w:t>
      </w:r>
      <w:r>
        <w:rPr>
          <w:rFonts w:ascii="Arial" w:cs="Arial" w:eastAsia="Arial" w:hAnsi="Arial"/>
          <w:sz w:val="16"/>
          <w:szCs w:val="16"/>
          <w:color w:val="auto"/>
        </w:rPr>
        <w:t>If Adimab in good faith believes that Adagio has failed to comply with its obligations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Section 3.5 (</w:t>
      </w:r>
      <w:r>
        <w:rPr>
          <w:rFonts w:ascii="Arial" w:cs="Arial" w:eastAsia="Arial" w:hAnsi="Arial"/>
          <w:sz w:val="16"/>
          <w:szCs w:val="16"/>
          <w:i w:val="1"/>
          <w:iCs w:val="1"/>
          <w:color w:val="auto"/>
        </w:rPr>
        <w:t>Diligence</w:t>
      </w:r>
      <w:r>
        <w:rPr>
          <w:rFonts w:ascii="Arial" w:cs="Arial" w:eastAsia="Arial" w:hAnsi="Arial"/>
          <w:sz w:val="16"/>
          <w:szCs w:val="16"/>
          <w:color w:val="auto"/>
        </w:rPr>
        <w:t>), Adimab shall so notify Adagio and, within [***] thereafter, Adagio and Adimab will meet and discuss the matter in good faith and attempt to reach mutual agreement as to whether or not Adagio is in material breach of Section 3.5 (</w:t>
      </w:r>
      <w:r>
        <w:rPr>
          <w:rFonts w:ascii="Arial" w:cs="Arial" w:eastAsia="Arial" w:hAnsi="Arial"/>
          <w:sz w:val="16"/>
          <w:szCs w:val="16"/>
          <w:i w:val="1"/>
          <w:iCs w:val="1"/>
          <w:color w:val="auto"/>
        </w:rPr>
        <w:t>Diligence</w:t>
      </w:r>
      <w:r>
        <w:rPr>
          <w:rFonts w:ascii="Arial" w:cs="Arial" w:eastAsia="Arial" w:hAnsi="Arial"/>
          <w:sz w:val="16"/>
          <w:szCs w:val="16"/>
          <w:color w:val="auto"/>
        </w:rPr>
        <w:t>) and, if so, to agree upon a mutually acceptable plan for Adagio to regain compliance with Section 3.5 (</w:t>
      </w:r>
      <w:r>
        <w:rPr>
          <w:rFonts w:ascii="Arial" w:cs="Arial" w:eastAsia="Arial" w:hAnsi="Arial"/>
          <w:sz w:val="16"/>
          <w:szCs w:val="16"/>
          <w:i w:val="1"/>
          <w:iCs w:val="1"/>
          <w:color w:val="auto"/>
        </w:rPr>
        <w:t>Diligence</w:t>
      </w:r>
      <w:r>
        <w:rPr>
          <w:rFonts w:ascii="Arial" w:cs="Arial" w:eastAsia="Arial" w:hAnsi="Arial"/>
          <w:sz w:val="16"/>
          <w:szCs w:val="16"/>
          <w:color w:val="auto"/>
        </w:rPr>
        <w:t>) within a reasonable period. Following such meeting, if either</w:t>
      </w:r>
    </w:p>
    <w:p>
      <w:pPr>
        <w:spacing w:after="0" w:line="2" w:lineRule="exact"/>
        <w:rPr>
          <w:rFonts w:ascii="Arial" w:cs="Arial" w:eastAsia="Arial" w:hAnsi="Arial"/>
          <w:sz w:val="16"/>
          <w:szCs w:val="16"/>
          <w:b w:val="1"/>
          <w:bCs w:val="1"/>
          <w:color w:val="auto"/>
        </w:rPr>
      </w:pPr>
    </w:p>
    <w:p>
      <w:pPr>
        <w:jc w:val="both"/>
        <w:ind w:left="4" w:right="20" w:hanging="4"/>
        <w:spacing w:after="0" w:line="255" w:lineRule="auto"/>
        <w:tabs>
          <w:tab w:leader="none" w:pos="219"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Parties do not reach mutual agreement within such [***] period, or (ii) the Parties mutually agree on a plan for Adagio to regain compliance with Section 3.5 (</w:t>
      </w:r>
      <w:r>
        <w:rPr>
          <w:rFonts w:ascii="Arial" w:cs="Arial" w:eastAsia="Arial" w:hAnsi="Arial"/>
          <w:sz w:val="18"/>
          <w:szCs w:val="18"/>
          <w:i w:val="1"/>
          <w:iCs w:val="1"/>
          <w:color w:val="auto"/>
        </w:rPr>
        <w:t>Diligence</w:t>
      </w:r>
      <w:r>
        <w:rPr>
          <w:rFonts w:ascii="Arial" w:cs="Arial" w:eastAsia="Arial" w:hAnsi="Arial"/>
          <w:sz w:val="18"/>
          <w:szCs w:val="18"/>
          <w:color w:val="auto"/>
        </w:rPr>
        <w:t>) but Adagio fails to regain such compliance within the agreed period, then subject to Section 9.2(c) (</w:t>
      </w:r>
      <w:r>
        <w:rPr>
          <w:rFonts w:ascii="Arial" w:cs="Arial" w:eastAsia="Arial" w:hAnsi="Arial"/>
          <w:sz w:val="18"/>
          <w:szCs w:val="18"/>
          <w:i w:val="1"/>
          <w:iCs w:val="1"/>
          <w:color w:val="auto"/>
        </w:rPr>
        <w:t>Dispute Regarding Breach</w:t>
      </w:r>
      <w:r>
        <w:rPr>
          <w:rFonts w:ascii="Arial" w:cs="Arial" w:eastAsia="Arial" w:hAnsi="Arial"/>
          <w:sz w:val="18"/>
          <w:szCs w:val="18"/>
          <w:color w:val="auto"/>
        </w:rPr>
        <w:t>) below, Adimab will have the right, at its sole discretion, to terminate this Agreement.</w:t>
      </w:r>
    </w:p>
    <w:p>
      <w:pPr>
        <w:spacing w:after="0" w:line="12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4"/>
          </w:cols>
          <w:pgMar w:left="436" w:top="270" w:right="499" w:bottom="1440" w:gutter="0" w:footer="0" w:header="0"/>
        </w:sectPr>
      </w:pPr>
    </w:p>
    <w:bookmarkStart w:id="441" w:name="page442"/>
    <w:bookmarkEnd w:id="441"/>
    <w:p>
      <w:pPr>
        <w:ind w:right="20" w:firstLine="987"/>
        <w:spacing w:after="0" w:line="261" w:lineRule="auto"/>
        <w:tabs>
          <w:tab w:leader="none" w:pos="1236"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Dispute Regarding Breach. </w:t>
      </w:r>
      <w:r>
        <w:rPr>
          <w:rFonts w:ascii="Arial" w:cs="Arial" w:eastAsia="Arial" w:hAnsi="Arial"/>
          <w:sz w:val="18"/>
          <w:szCs w:val="18"/>
          <w:color w:val="auto"/>
        </w:rPr>
        <w:t>Any right to terminate this Agreement under this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stayed and the cure period tolled in the event that, during any cure period, the Party alleged to have been in material breach shall have initiated dispute resolution in accordance with Section 10.4 (</w:t>
      </w:r>
      <w:r>
        <w:rPr>
          <w:rFonts w:ascii="Arial" w:cs="Arial" w:eastAsia="Arial" w:hAnsi="Arial"/>
          <w:sz w:val="18"/>
          <w:szCs w:val="18"/>
          <w:i w:val="1"/>
          <w:iCs w:val="1"/>
          <w:color w:val="auto"/>
        </w:rPr>
        <w:t>Dispute</w:t>
      </w:r>
      <w:r>
        <w:rPr>
          <w:rFonts w:ascii="Arial" w:cs="Arial" w:eastAsia="Arial" w:hAnsi="Arial"/>
          <w:sz w:val="18"/>
          <w:szCs w:val="18"/>
          <w:color w:val="auto"/>
        </w:rPr>
        <w:t>) with respect to the alleged breach, which stay and tolling shall continue until such dispute has been resolved in accordance with Section 10.4 (</w:t>
      </w:r>
      <w:r>
        <w:rPr>
          <w:rFonts w:ascii="Arial" w:cs="Arial" w:eastAsia="Arial" w:hAnsi="Arial"/>
          <w:sz w:val="18"/>
          <w:szCs w:val="18"/>
          <w:i w:val="1"/>
          <w:iCs w:val="1"/>
          <w:color w:val="auto"/>
        </w:rPr>
        <w:t>Dispute</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9.3 Termination for Convenience</w:t>
      </w:r>
      <w:r>
        <w:rPr>
          <w:rFonts w:ascii="Arial" w:cs="Arial" w:eastAsia="Arial" w:hAnsi="Arial"/>
          <w:sz w:val="16"/>
          <w:szCs w:val="16"/>
          <w:color w:val="auto"/>
        </w:rPr>
        <w:t>. Adagio may terminate this Agreement for any reason or for no reason upon [***] written notice to Adimab.</w:t>
      </w:r>
    </w:p>
    <w:p>
      <w:pPr>
        <w:spacing w:after="0" w:line="248"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9.4 Commitments Regarding CoV Antibodies</w:t>
      </w:r>
      <w:r>
        <w:rPr>
          <w:rFonts w:ascii="Arial" w:cs="Arial" w:eastAsia="Arial" w:hAnsi="Arial"/>
          <w:sz w:val="17"/>
          <w:szCs w:val="17"/>
          <w:color w:val="auto"/>
        </w:rPr>
        <w:t>. The Parties agree that if Adagio or any of its Licensees develops or commercializes any CoV</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 or Product, then Adagio shall pay to Adimab the fees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xml:space="preserve">), Milestone Payments and Royalty Payments, as applicable, on all CoV Antibodies developed or commercialized by Adagio or any of its Licensees as (or as if) a Product under this Agreement. Adagio shall include in each Licensee Agreement an obligation on the part of the applicable Licensee, in the event that Adagio is unwilling or unable to pay to Adimab any Milestone Payments and Royalty Payments that become due hereunder with respect to CoV Antibodies developed or commercialized by such Licensee (because, for example, of the dissolution of Adagio for bankruptcy or other reasons), to make such payments directly to Adimab;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(a) if such Licensee achieves a Milestone Event for which a Milestone Payment is payable by Adagio hereunder and pays to</w:t>
      </w:r>
      <w:r>
        <w:rPr>
          <w:rFonts w:ascii="Arial" w:cs="Arial" w:eastAsia="Arial" w:hAnsi="Arial"/>
          <w:sz w:val="17"/>
          <w:szCs w:val="17"/>
          <w:i w:val="1"/>
          <w:iCs w:val="1"/>
          <w:color w:val="auto"/>
        </w:rPr>
        <w:t xml:space="preserve"> </w:t>
      </w:r>
      <w:r>
        <w:rPr>
          <w:rFonts w:ascii="Arial" w:cs="Arial" w:eastAsia="Arial" w:hAnsi="Arial"/>
          <w:sz w:val="17"/>
          <w:szCs w:val="17"/>
          <w:color w:val="auto"/>
        </w:rPr>
        <w:t>Adagio a milestone payment with respect to such Milestone Event, but Adagio fails to remit to Adimab the corresponding Milestone Payment, then such Licensee shall have no liability to Adimab for such Milestone Payment; and (b) if such Licensee pays royalties to Adagio on particular Net Sales of Products by such Licensee, but Adagio fails to remit to Adimab the corresponding Royalty Payment with respect to those Net Sales, then such Licensee shall have no liability to Adimab for such Royalty Payment.</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9.5 Effect of Expiration or Termination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1" w:lineRule="auto"/>
        <w:tabs>
          <w:tab w:leader="none" w:pos="124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Any Termination. </w:t>
      </w:r>
      <w:r>
        <w:rPr>
          <w:rFonts w:ascii="Arial" w:cs="Arial" w:eastAsia="Arial" w:hAnsi="Arial"/>
          <w:sz w:val="18"/>
          <w:szCs w:val="18"/>
          <w:color w:val="auto"/>
        </w:rPr>
        <w:t>Upon any termination of this Agreement prior to its expiration, all licenses and rights granted by either Party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pursuant to this Agreement (including the License) shall automatically terminate and revert to the granting Party, and all other rights and obligations of the Parties under this Agreement shall terminate; in each case, except as expressly provided below in this Section 9.5 (</w:t>
      </w:r>
      <w:r>
        <w:rPr>
          <w:rFonts w:ascii="Arial" w:cs="Arial" w:eastAsia="Arial" w:hAnsi="Arial"/>
          <w:sz w:val="18"/>
          <w:szCs w:val="18"/>
          <w:i w:val="1"/>
          <w:iCs w:val="1"/>
          <w:color w:val="auto"/>
        </w:rPr>
        <w:t>Effect of Expiration</w:t>
      </w:r>
      <w:r>
        <w:rPr>
          <w:rFonts w:ascii="Arial" w:cs="Arial" w:eastAsia="Arial" w:hAnsi="Arial"/>
          <w:sz w:val="18"/>
          <w:szCs w:val="18"/>
          <w:color w:val="auto"/>
        </w:rPr>
        <w:t xml:space="preserve"> </w:t>
      </w:r>
      <w:r>
        <w:rPr>
          <w:rFonts w:ascii="Arial" w:cs="Arial" w:eastAsia="Arial" w:hAnsi="Arial"/>
          <w:sz w:val="18"/>
          <w:szCs w:val="18"/>
          <w:i w:val="1"/>
          <w:iCs w:val="1"/>
          <w:color w:val="auto"/>
        </w:rPr>
        <w:t>or Termination</w:t>
      </w:r>
      <w:r>
        <w:rPr>
          <w:rFonts w:ascii="Arial" w:cs="Arial" w:eastAsia="Arial" w:hAnsi="Arial"/>
          <w:sz w:val="18"/>
          <w:szCs w:val="18"/>
          <w:color w:val="auto"/>
        </w:rPr>
        <w:t>) or elsewhere in this Article 9 (</w:t>
      </w:r>
      <w:r>
        <w:rPr>
          <w:rFonts w:ascii="Arial" w:cs="Arial" w:eastAsia="Arial" w:hAnsi="Arial"/>
          <w:sz w:val="18"/>
          <w:szCs w:val="18"/>
          <w:i w:val="1"/>
          <w:iCs w:val="1"/>
          <w:color w:val="auto"/>
        </w:rPr>
        <w:t>Term; Termination</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ind w:firstLine="987"/>
        <w:spacing w:after="0" w:line="266" w:lineRule="auto"/>
        <w:tabs>
          <w:tab w:leader="none" w:pos="1256"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by Adimab For Material Breach or by Adagio For Convenience. </w:t>
      </w:r>
      <w:r>
        <w:rPr>
          <w:rFonts w:ascii="Arial" w:cs="Arial" w:eastAsia="Arial" w:hAnsi="Arial"/>
          <w:sz w:val="18"/>
          <w:szCs w:val="18"/>
          <w:color w:val="auto"/>
        </w:rPr>
        <w:t>Solely in the event of termination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Adimab pursuant to Section 9.2 (</w:t>
      </w:r>
      <w:r>
        <w:rPr>
          <w:rFonts w:ascii="Arial" w:cs="Arial" w:eastAsia="Arial" w:hAnsi="Arial"/>
          <w:sz w:val="18"/>
          <w:szCs w:val="18"/>
          <w:i w:val="1"/>
          <w:iCs w:val="1"/>
          <w:color w:val="auto"/>
        </w:rPr>
        <w:t>Termination for Material Breach</w:t>
      </w:r>
      <w:r>
        <w:rPr>
          <w:rFonts w:ascii="Arial" w:cs="Arial" w:eastAsia="Arial" w:hAnsi="Arial"/>
          <w:sz w:val="18"/>
          <w:szCs w:val="18"/>
          <w:color w:val="auto"/>
        </w:rPr>
        <w:t>), or by Adagio pursuant to Section 9.3 (</w:t>
      </w:r>
      <w:r>
        <w:rPr>
          <w:rFonts w:ascii="Arial" w:cs="Arial" w:eastAsia="Arial" w:hAnsi="Arial"/>
          <w:sz w:val="18"/>
          <w:szCs w:val="18"/>
          <w:i w:val="1"/>
          <w:iCs w:val="1"/>
          <w:color w:val="auto"/>
        </w:rPr>
        <w:t>Termination for Convenience</w:t>
      </w:r>
      <w:r>
        <w:rPr>
          <w:rFonts w:ascii="Arial" w:cs="Arial" w:eastAsia="Arial" w:hAnsi="Arial"/>
          <w:sz w:val="18"/>
          <w:szCs w:val="18"/>
          <w:color w:val="auto"/>
        </w:rPr>
        <w:t>), the following provisions shall apply, subject, in all cases, to Section 9.5(c) (</w:t>
      </w:r>
      <w:r>
        <w:rPr>
          <w:rFonts w:ascii="Arial" w:cs="Arial" w:eastAsia="Arial" w:hAnsi="Arial"/>
          <w:sz w:val="18"/>
          <w:szCs w:val="18"/>
          <w:i w:val="1"/>
          <w:iCs w:val="1"/>
          <w:color w:val="auto"/>
        </w:rPr>
        <w:t>Survival of Licensee Agreements</w:t>
      </w:r>
      <w:r>
        <w:rPr>
          <w:rFonts w:ascii="Arial" w:cs="Arial" w:eastAsia="Arial" w:hAnsi="Arial"/>
          <w:sz w:val="18"/>
          <w:szCs w:val="18"/>
          <w:color w:val="auto"/>
        </w:rPr>
        <w:t>):</w:t>
      </w:r>
    </w:p>
    <w:p>
      <w:pPr>
        <w:spacing w:after="0" w:line="176" w:lineRule="exact"/>
        <w:rPr>
          <w:sz w:val="20"/>
          <w:szCs w:val="20"/>
          <w:color w:val="auto"/>
        </w:rPr>
      </w:pPr>
    </w:p>
    <w:p>
      <w:pPr>
        <w:jc w:val="both"/>
        <w:ind w:right="80" w:firstLine="1428"/>
        <w:spacing w:after="0" w:line="281" w:lineRule="auto"/>
        <w:tabs>
          <w:tab w:leader="none" w:pos="1647"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 But For Fully-Paid Products</w:t>
      </w:r>
      <w:r>
        <w:rPr>
          <w:rFonts w:ascii="Arial" w:cs="Arial" w:eastAsia="Arial" w:hAnsi="Arial"/>
          <w:sz w:val="17"/>
          <w:szCs w:val="17"/>
          <w:color w:val="auto"/>
        </w:rPr>
        <w:t>. The License shall terminate and be of no further force or effect;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if the License with respect to a particular Product in a particular country had become royalty-free, fully-paid, irrevocable and perpetual by virtue of the expiration of the Royalty Term for such Product in such country prior to such termination (such Product in such country, a “</w:t>
      </w:r>
      <w:r>
        <w:rPr>
          <w:rFonts w:ascii="Arial" w:cs="Arial" w:eastAsia="Arial" w:hAnsi="Arial"/>
          <w:sz w:val="17"/>
          <w:szCs w:val="17"/>
          <w:b w:val="1"/>
          <w:bCs w:val="1"/>
          <w:color w:val="auto"/>
        </w:rPr>
        <w:t>Fully-Paid Product</w:t>
      </w:r>
      <w:r>
        <w:rPr>
          <w:rFonts w:ascii="Arial" w:cs="Arial" w:eastAsia="Arial" w:hAnsi="Arial"/>
          <w:sz w:val="17"/>
          <w:szCs w:val="17"/>
          <w:color w:val="auto"/>
        </w:rPr>
        <w:t>”), then the License with respect to such Fully-Paid Product shall survive such termination;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0" w:right="479" w:bottom="1440" w:gutter="0" w:footer="0" w:header="0"/>
        </w:sectPr>
      </w:pPr>
    </w:p>
    <w:bookmarkStart w:id="442" w:name="page443"/>
    <w:bookmarkEnd w:id="442"/>
    <w:p>
      <w:pPr>
        <w:ind w:left="-80" w:right="20" w:firstLine="1428"/>
        <w:spacing w:after="0" w:line="282" w:lineRule="auto"/>
        <w:tabs>
          <w:tab w:leader="none" w:pos="1617"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of CoV Antibody Patents</w:t>
      </w:r>
      <w:r>
        <w:rPr>
          <w:rFonts w:ascii="Arial" w:cs="Arial" w:eastAsia="Arial" w:hAnsi="Arial"/>
          <w:sz w:val="18"/>
          <w:szCs w:val="18"/>
          <w:color w:val="auto"/>
        </w:rPr>
        <w:t>. Effective as of such termination, Adagio shall, and it hereby does, assign to Adimab all</w:t>
      </w:r>
      <w:r>
        <w:rPr>
          <w:rFonts w:ascii="Arial" w:cs="Arial" w:eastAsia="Arial" w:hAnsi="Arial"/>
          <w:sz w:val="18"/>
          <w:szCs w:val="18"/>
          <w:b w:val="1"/>
          <w:bCs w:val="1"/>
          <w:color w:val="auto"/>
        </w:rPr>
        <w:t xml:space="preserve"> </w:t>
      </w:r>
      <w:r>
        <w:rPr>
          <w:rFonts w:ascii="Arial" w:cs="Arial" w:eastAsia="Arial" w:hAnsi="Arial"/>
          <w:sz w:val="18"/>
          <w:szCs w:val="18"/>
          <w:color w:val="auto"/>
        </w:rPr>
        <w:t>right, title and interest in and to all CoV Antibody Patents;</w:t>
      </w:r>
    </w:p>
    <w:p>
      <w:pPr>
        <w:spacing w:after="0" w:line="161" w:lineRule="exact"/>
        <w:rPr>
          <w:rFonts w:ascii="Arial" w:cs="Arial" w:eastAsia="Arial" w:hAnsi="Arial"/>
          <w:sz w:val="18"/>
          <w:szCs w:val="18"/>
          <w:b w:val="1"/>
          <w:bCs w:val="1"/>
          <w:color w:val="auto"/>
        </w:rPr>
      </w:pPr>
    </w:p>
    <w:p>
      <w:pPr>
        <w:ind w:left="-80" w:right="140" w:firstLine="1428"/>
        <w:spacing w:after="0" w:line="261" w:lineRule="auto"/>
        <w:tabs>
          <w:tab w:leader="none" w:pos="1667"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Adimab Materials and CoV Antibodies</w:t>
      </w:r>
      <w:r>
        <w:rPr>
          <w:rFonts w:ascii="Arial" w:cs="Arial" w:eastAsia="Arial" w:hAnsi="Arial"/>
          <w:sz w:val="18"/>
          <w:szCs w:val="18"/>
          <w:color w:val="auto"/>
        </w:rPr>
        <w:t>. Within [***] after such termination, Adagio shall (1) either return to Adimab or</w:t>
      </w:r>
      <w:r>
        <w:rPr>
          <w:rFonts w:ascii="Arial" w:cs="Arial" w:eastAsia="Arial" w:hAnsi="Arial"/>
          <w:sz w:val="18"/>
          <w:szCs w:val="18"/>
          <w:b w:val="1"/>
          <w:bCs w:val="1"/>
          <w:color w:val="auto"/>
        </w:rPr>
        <w:t xml:space="preserve"> </w:t>
      </w:r>
      <w:r>
        <w:rPr>
          <w:rFonts w:ascii="Arial" w:cs="Arial" w:eastAsia="Arial" w:hAnsi="Arial"/>
          <w:sz w:val="18"/>
          <w:szCs w:val="18"/>
          <w:color w:val="auto"/>
        </w:rPr>
        <w:t>destroy (at Adimab’s direction and expense) all Adimab Materials and all Adimab CoV Antibodies remaining in the possession of Adagio (other than Fully-Paid Products), and (2) except as otherwise mutually agreed by the Parties in writing, destroy all quantities of Adagio Derived Antibodies in the possession of Adagio (other than Fully-Paid Products);</w:t>
      </w:r>
    </w:p>
    <w:p>
      <w:pPr>
        <w:spacing w:after="0" w:line="179" w:lineRule="exact"/>
        <w:rPr>
          <w:rFonts w:ascii="Arial" w:cs="Arial" w:eastAsia="Arial" w:hAnsi="Arial"/>
          <w:sz w:val="18"/>
          <w:szCs w:val="18"/>
          <w:b w:val="1"/>
          <w:bCs w:val="1"/>
          <w:color w:val="auto"/>
        </w:rPr>
      </w:pPr>
    </w:p>
    <w:p>
      <w:pPr>
        <w:ind w:left="-80" w:right="20" w:firstLine="1428"/>
        <w:spacing w:after="0" w:line="291" w:lineRule="auto"/>
        <w:tabs>
          <w:tab w:leader="none" w:pos="1657"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Non-Exclusive Unblocking License to Adimab</w:t>
      </w:r>
      <w:r>
        <w:rPr>
          <w:rFonts w:ascii="Arial" w:cs="Arial" w:eastAsia="Arial" w:hAnsi="Arial"/>
          <w:sz w:val="16"/>
          <w:szCs w:val="16"/>
          <w:color w:val="auto"/>
        </w:rPr>
        <w:t>. Effective as of such termination, Adagio shall, and it hereby does, grant to</w:t>
      </w:r>
      <w:r>
        <w:rPr>
          <w:rFonts w:ascii="Arial" w:cs="Arial" w:eastAsia="Arial" w:hAnsi="Arial"/>
          <w:sz w:val="16"/>
          <w:szCs w:val="16"/>
          <w:b w:val="1"/>
          <w:bCs w:val="1"/>
          <w:color w:val="auto"/>
        </w:rPr>
        <w:t xml:space="preserve"> </w:t>
      </w:r>
      <w:r>
        <w:rPr>
          <w:rFonts w:ascii="Arial" w:cs="Arial" w:eastAsia="Arial" w:hAnsi="Arial"/>
          <w:sz w:val="16"/>
          <w:szCs w:val="16"/>
          <w:color w:val="auto"/>
        </w:rPr>
        <w:t>Adimab, a non-exclusive, worldwide, royalty-free, fully-paid license, with the right to sublicense through multiple tiers, under Blocking Adagio Patents solely to make, have made, use, sell, have sold, offer for sale and import Adimab CoV Antibodies and products comprising or containing Adimab CoV Antibodies (but excluding Fully-Paid Products, if any) in the Field. For clarity, the sole purpose of the license that may be granted pursuant to this Section 9.5(b)(iv) (</w:t>
      </w:r>
      <w:r>
        <w:rPr>
          <w:rFonts w:ascii="Arial" w:cs="Arial" w:eastAsia="Arial" w:hAnsi="Arial"/>
          <w:sz w:val="16"/>
          <w:szCs w:val="16"/>
          <w:i w:val="1"/>
          <w:iCs w:val="1"/>
          <w:color w:val="auto"/>
        </w:rPr>
        <w:t>Non-Exclusive Unblocking License to Adimab</w:t>
      </w:r>
      <w:r>
        <w:rPr>
          <w:rFonts w:ascii="Arial" w:cs="Arial" w:eastAsia="Arial" w:hAnsi="Arial"/>
          <w:sz w:val="16"/>
          <w:szCs w:val="16"/>
          <w:color w:val="auto"/>
        </w:rPr>
        <w:t>) is to provide Adimab with freedom to operate under Blocking Adagio Patents solely with respect to the manufacture, use, sale, offer for sale and import of Adimab CoV Antibodies and products comprising or containing Adimab CoV Antibodies (excluding Fully-Paid Products) in the Field, and this Section 9.5(b)(iv) (</w:t>
      </w:r>
      <w:r>
        <w:rPr>
          <w:rFonts w:ascii="Arial" w:cs="Arial" w:eastAsia="Arial" w:hAnsi="Arial"/>
          <w:sz w:val="16"/>
          <w:szCs w:val="16"/>
          <w:i w:val="1"/>
          <w:iCs w:val="1"/>
          <w:color w:val="auto"/>
        </w:rPr>
        <w:t>Non-Exclusive Unblocking License to Adimab</w:t>
      </w:r>
      <w:r>
        <w:rPr>
          <w:rFonts w:ascii="Arial" w:cs="Arial" w:eastAsia="Arial" w:hAnsi="Arial"/>
          <w:sz w:val="16"/>
          <w:szCs w:val="16"/>
          <w:color w:val="auto"/>
        </w:rPr>
        <w:t>) does not, and shall not be construed to, obligate Adagio to disclose any Blocking Adagio Patent or the Adagio Invention(s) claimed therein to Adimab;</w:t>
      </w:r>
    </w:p>
    <w:p>
      <w:pPr>
        <w:spacing w:after="0" w:line="159" w:lineRule="exact"/>
        <w:rPr>
          <w:rFonts w:ascii="Arial" w:cs="Arial" w:eastAsia="Arial" w:hAnsi="Arial"/>
          <w:sz w:val="16"/>
          <w:szCs w:val="16"/>
          <w:b w:val="1"/>
          <w:bCs w:val="1"/>
          <w:color w:val="auto"/>
        </w:rPr>
      </w:pPr>
    </w:p>
    <w:p>
      <w:pPr>
        <w:ind w:left="-80" w:right="20" w:firstLine="1428"/>
        <w:spacing w:after="0" w:line="266" w:lineRule="auto"/>
        <w:tabs>
          <w:tab w:leader="none" w:pos="1607"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Right of Negotiation for Exclusive License and Product Transfer to Adimab</w:t>
      </w:r>
      <w:r>
        <w:rPr>
          <w:rFonts w:ascii="Arial" w:cs="Arial" w:eastAsia="Arial" w:hAnsi="Arial"/>
          <w:sz w:val="18"/>
          <w:szCs w:val="18"/>
          <w:color w:val="auto"/>
        </w:rPr>
        <w:t>. Effective as of such termination, Adagio shall,</w:t>
      </w:r>
      <w:r>
        <w:rPr>
          <w:rFonts w:ascii="Arial" w:cs="Arial" w:eastAsia="Arial" w:hAnsi="Arial"/>
          <w:sz w:val="18"/>
          <w:szCs w:val="18"/>
          <w:b w:val="1"/>
          <w:bCs w:val="1"/>
          <w:color w:val="auto"/>
        </w:rPr>
        <w:t xml:space="preserve"> </w:t>
      </w:r>
      <w:r>
        <w:rPr>
          <w:rFonts w:ascii="Arial" w:cs="Arial" w:eastAsia="Arial" w:hAnsi="Arial"/>
          <w:sz w:val="18"/>
          <w:szCs w:val="18"/>
          <w:color w:val="auto"/>
        </w:rPr>
        <w:t>and it hereby does, grant to Adimab, a right of first negotiation, exercisable within [***] after termination, to obtain, upon commercially reasonable terms and conditions to be negotiated in good faith by the Parties:</w:t>
      </w:r>
    </w:p>
    <w:p>
      <w:pPr>
        <w:spacing w:after="0" w:line="175" w:lineRule="exact"/>
        <w:rPr>
          <w:rFonts w:ascii="Arial" w:cs="Arial" w:eastAsia="Arial" w:hAnsi="Arial"/>
          <w:sz w:val="18"/>
          <w:szCs w:val="18"/>
          <w:b w:val="1"/>
          <w:bCs w:val="1"/>
          <w:color w:val="auto"/>
        </w:rPr>
      </w:pPr>
    </w:p>
    <w:p>
      <w:pPr>
        <w:ind w:left="-80" w:firstLine="1979"/>
        <w:spacing w:after="0" w:line="269" w:lineRule="auto"/>
        <w:tabs>
          <w:tab w:leader="none" w:pos="2157" w:val="left"/>
        </w:tabs>
        <w:numPr>
          <w:ilvl w:val="1"/>
          <w:numId w:val="328"/>
        </w:numPr>
        <w:rPr>
          <w:rFonts w:ascii="Arial" w:cs="Arial" w:eastAsia="Arial" w:hAnsi="Arial"/>
          <w:sz w:val="17"/>
          <w:szCs w:val="17"/>
          <w:b w:val="1"/>
          <w:bCs w:val="1"/>
          <w:color w:val="auto"/>
        </w:rPr>
      </w:pPr>
      <w:r>
        <w:rPr>
          <w:rFonts w:ascii="Arial" w:cs="Arial" w:eastAsia="Arial" w:hAnsi="Arial"/>
          <w:sz w:val="17"/>
          <w:szCs w:val="17"/>
          <w:b w:val="1"/>
          <w:bCs w:val="1"/>
          <w:color w:val="auto"/>
        </w:rPr>
        <w:t>Exclusive License</w:t>
      </w:r>
      <w:r>
        <w:rPr>
          <w:rFonts w:ascii="Arial" w:cs="Arial" w:eastAsia="Arial" w:hAnsi="Arial"/>
          <w:sz w:val="17"/>
          <w:szCs w:val="17"/>
          <w:color w:val="auto"/>
        </w:rPr>
        <w:t>. An exclusive, worldwide, royalty-bearing license, with the right to sublicense through multiple tiers,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Blocking Adagio Patents, Other Adagio Patents and Adagio Know-How, in each case, solely to develop, make, have made, use, sell, have sold, offer for sale and import CoV Antibodies and Products (excluding Fully-Paid Products) in the Field;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to the extent that Blocking Adagio Patents, Other Adagio Patents or Adagio Know-How includes Patents or Know-How licensed to Adagio by a Third Party that is subject to royalty or milestone payment obligations to such Third Party with respect to any CoV Antibody or Product, then Adagio shall so notify Adimab, together with a true, complete and correct description of such royalty and milestone payment obligations, and the inclusion of such Patents or Know-How in the Blocking Adagio Patents, Other Adagio Patents or Adagio Know-How (as applicable) shall be subject to Adimab’s agreeing in writing to pay, and promptly paying, all royalty and milestone payments that become due to such Third Party by reason of the development, manufacture, use, sale, offer for sale or import of CoV Antibodies and Products by or on behalf of Adimab or its Affiliates, licensees or sublicensees (in addition to the mutually agreed compensation payable to Adagio for the grant of rights described in this Section 9.5(b)(v) (</w:t>
      </w:r>
      <w:r>
        <w:rPr>
          <w:rFonts w:ascii="Arial" w:cs="Arial" w:eastAsia="Arial" w:hAnsi="Arial"/>
          <w:sz w:val="17"/>
          <w:szCs w:val="17"/>
          <w:i w:val="1"/>
          <w:iCs w:val="1"/>
          <w:color w:val="auto"/>
        </w:rPr>
        <w:t>Right of Negotiation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Exclusive License and Product Transfer to Adimab</w:t>
      </w:r>
      <w:r>
        <w:rPr>
          <w:rFonts w:ascii="Arial" w:cs="Arial" w:eastAsia="Arial" w:hAnsi="Arial"/>
          <w:sz w:val="17"/>
          <w:szCs w:val="17"/>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860"/>
          </w:cols>
          <w:pgMar w:left="520" w:top="270" w:right="519" w:bottom="1440" w:gutter="0" w:footer="0" w:header="0"/>
        </w:sectPr>
      </w:pPr>
    </w:p>
    <w:bookmarkStart w:id="443" w:name="page444"/>
    <w:bookmarkEnd w:id="443"/>
    <w:p>
      <w:pPr>
        <w:ind w:right="80" w:firstLine="1979"/>
        <w:spacing w:after="0" w:line="266" w:lineRule="auto"/>
        <w:tabs>
          <w:tab w:leader="none" w:pos="2237" w:val="left"/>
        </w:tabs>
        <w:numPr>
          <w:ilvl w:val="2"/>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Filings and Approvals</w:t>
      </w:r>
      <w:r>
        <w:rPr>
          <w:rFonts w:ascii="Arial" w:cs="Arial" w:eastAsia="Arial" w:hAnsi="Arial"/>
          <w:sz w:val="18"/>
          <w:szCs w:val="18"/>
          <w:color w:val="auto"/>
        </w:rPr>
        <w:t>. The transfer and assignment to Adimab of all Adagio Regulatory Filings,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INDs and NDAs, and all Adagio Approvals, including Marketing Approvals, in each case for CoV Antibodies and Products (other than Fully-Paid Products) in the Field controlled by Adagio or any of its Affiliates; and</w:t>
      </w:r>
    </w:p>
    <w:p>
      <w:pPr>
        <w:spacing w:after="0" w:line="175" w:lineRule="exact"/>
        <w:rPr>
          <w:rFonts w:ascii="Arial" w:cs="Arial" w:eastAsia="Arial" w:hAnsi="Arial"/>
          <w:sz w:val="18"/>
          <w:szCs w:val="18"/>
          <w:b w:val="1"/>
          <w:bCs w:val="1"/>
          <w:color w:val="auto"/>
        </w:rPr>
      </w:pPr>
    </w:p>
    <w:p>
      <w:pPr>
        <w:ind w:right="20" w:firstLine="1979"/>
        <w:spacing w:after="0" w:line="258" w:lineRule="auto"/>
        <w:tabs>
          <w:tab w:leader="none" w:pos="2237" w:val="left"/>
        </w:tabs>
        <w:numPr>
          <w:ilvl w:val="2"/>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Other Transfers</w:t>
      </w:r>
      <w:r>
        <w:rPr>
          <w:rFonts w:ascii="Arial" w:cs="Arial" w:eastAsia="Arial" w:hAnsi="Arial"/>
          <w:sz w:val="18"/>
          <w:szCs w:val="18"/>
          <w:color w:val="auto"/>
        </w:rPr>
        <w:t>. The transfer and assignment or sublicense of such other elements as may be necessary or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Adimab to continue the development and commercialization of CoV Antibodies and Products as conducted by Adagio prior to such termination, including, for example, transferring (to the extent requested by Adimab) formal relationships with manufacturing organizations, patient groups and payors that, in each case, are specific to CoV Antibodies and Products, as well as other Product-specific items such as pharmacovigilance databases, and data related to indication, use, risks, and benefits.</w:t>
      </w:r>
    </w:p>
    <w:p>
      <w:pPr>
        <w:spacing w:after="0" w:line="183" w:lineRule="exact"/>
        <w:rPr>
          <w:rFonts w:ascii="Arial" w:cs="Arial" w:eastAsia="Arial" w:hAnsi="Arial"/>
          <w:sz w:val="18"/>
          <w:szCs w:val="18"/>
          <w:b w:val="1"/>
          <w:bCs w:val="1"/>
          <w:color w:val="auto"/>
        </w:rPr>
      </w:pPr>
    </w:p>
    <w:p>
      <w:pPr>
        <w:ind w:right="220" w:firstLine="1428"/>
        <w:spacing w:after="0" w:line="347" w:lineRule="auto"/>
        <w:tabs>
          <w:tab w:leader="none" w:pos="1737" w:val="left"/>
        </w:tabs>
        <w:numPr>
          <w:ilvl w:val="1"/>
          <w:numId w:val="330"/>
        </w:numPr>
        <w:rPr>
          <w:rFonts w:ascii="Arial" w:cs="Arial" w:eastAsia="Arial" w:hAnsi="Arial"/>
          <w:sz w:val="16"/>
          <w:szCs w:val="16"/>
          <w:b w:val="1"/>
          <w:bCs w:val="1"/>
          <w:color w:val="auto"/>
        </w:rPr>
      </w:pPr>
      <w:r>
        <w:rPr>
          <w:rFonts w:ascii="Arial" w:cs="Arial" w:eastAsia="Arial" w:hAnsi="Arial"/>
          <w:sz w:val="16"/>
          <w:szCs w:val="16"/>
          <w:b w:val="1"/>
          <w:bCs w:val="1"/>
          <w:color w:val="auto"/>
        </w:rPr>
        <w:t>Prohibition on Further Use</w:t>
      </w:r>
      <w:r>
        <w:rPr>
          <w:rFonts w:ascii="Arial" w:cs="Arial" w:eastAsia="Arial" w:hAnsi="Arial"/>
          <w:sz w:val="16"/>
          <w:szCs w:val="16"/>
          <w:color w:val="auto"/>
        </w:rPr>
        <w:t>. Adagio and its Affiliates shall not, and shall not grant any license or other right to,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cause or permit, any Third Party to, develop, manufacture or commercialize any CoV Antibody or Product (other than Fully-Paid Products).</w:t>
      </w:r>
    </w:p>
    <w:p>
      <w:pPr>
        <w:spacing w:after="0" w:line="115" w:lineRule="exact"/>
        <w:rPr>
          <w:rFonts w:ascii="Arial" w:cs="Arial" w:eastAsia="Arial" w:hAnsi="Arial"/>
          <w:sz w:val="16"/>
          <w:szCs w:val="16"/>
          <w:b w:val="1"/>
          <w:bCs w:val="1"/>
          <w:color w:val="auto"/>
        </w:rPr>
      </w:pPr>
    </w:p>
    <w:p>
      <w:pPr>
        <w:ind w:right="100" w:firstLine="987"/>
        <w:spacing w:after="0" w:line="273" w:lineRule="auto"/>
        <w:tabs>
          <w:tab w:leader="none" w:pos="1236" w:val="left"/>
        </w:tabs>
        <w:numPr>
          <w:ilvl w:val="0"/>
          <w:numId w:val="3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Survival of License Agreements. </w:t>
      </w:r>
      <w:r>
        <w:rPr>
          <w:rFonts w:ascii="Arial" w:cs="Arial" w:eastAsia="Arial" w:hAnsi="Arial"/>
          <w:sz w:val="17"/>
          <w:szCs w:val="17"/>
          <w:color w:val="auto"/>
        </w:rPr>
        <w:t>In the event that (i) Adagio has entered into a Licensee Agreement consistent with the terms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the provisions of Section 3.2 (</w:t>
      </w:r>
      <w:r>
        <w:rPr>
          <w:rFonts w:ascii="Arial" w:cs="Arial" w:eastAsia="Arial" w:hAnsi="Arial"/>
          <w:sz w:val="17"/>
          <w:szCs w:val="17"/>
          <w:i w:val="1"/>
          <w:iCs w:val="1"/>
          <w:color w:val="auto"/>
        </w:rPr>
        <w:t>Licensees and Sublicensees</w:t>
      </w:r>
      <w:r>
        <w:rPr>
          <w:rFonts w:ascii="Arial" w:cs="Arial" w:eastAsia="Arial" w:hAnsi="Arial"/>
          <w:sz w:val="17"/>
          <w:szCs w:val="17"/>
          <w:color w:val="auto"/>
        </w:rPr>
        <w:t xml:space="preserve">)), (ii) this Agreement is terminated, and (iii) such Licensee Agreement is in effect at the time of such termination, then such Licensee Agreement will survive such termination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Licensee assumes all of Adagio’s obligations hereunder with respect to the CoV Antibodies and Products covered by such Licensee Agreement (including those obligations set forth in Section 3.5 (</w:t>
      </w:r>
      <w:r>
        <w:rPr>
          <w:rFonts w:ascii="Arial" w:cs="Arial" w:eastAsia="Arial" w:hAnsi="Arial"/>
          <w:sz w:val="17"/>
          <w:szCs w:val="17"/>
          <w:i w:val="1"/>
          <w:iCs w:val="1"/>
          <w:color w:val="auto"/>
        </w:rPr>
        <w:t>Diligence</w:t>
      </w:r>
      <w:r>
        <w:rPr>
          <w:rFonts w:ascii="Arial" w:cs="Arial" w:eastAsia="Arial" w:hAnsi="Arial"/>
          <w:sz w:val="17"/>
          <w:szCs w:val="17"/>
          <w:color w:val="auto"/>
        </w:rPr>
        <w:t>), Section 3.7 (</w:t>
      </w:r>
      <w:r>
        <w:rPr>
          <w:rFonts w:ascii="Arial" w:cs="Arial" w:eastAsia="Arial" w:hAnsi="Arial"/>
          <w:sz w:val="17"/>
          <w:szCs w:val="17"/>
          <w:i w:val="1"/>
          <w:iCs w:val="1"/>
          <w:color w:val="auto"/>
        </w:rPr>
        <w:t>Disclosure Regarding Adagio Efforts</w:t>
      </w:r>
      <w:r>
        <w:rPr>
          <w:rFonts w:ascii="Arial" w:cs="Arial" w:eastAsia="Arial" w:hAnsi="Arial"/>
          <w:sz w:val="17"/>
          <w:szCs w:val="17"/>
          <w:color w:val="auto"/>
        </w:rPr>
        <w:t>), and Section 9.4 (</w:t>
      </w:r>
      <w:r>
        <w:rPr>
          <w:rFonts w:ascii="Arial" w:cs="Arial" w:eastAsia="Arial" w:hAnsi="Arial"/>
          <w:sz w:val="17"/>
          <w:szCs w:val="17"/>
          <w:i w:val="1"/>
          <w:iCs w:val="1"/>
          <w:color w:val="auto"/>
        </w:rPr>
        <w:t>Commitments</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CoV Antibodies</w:t>
      </w:r>
      <w:r>
        <w:rPr>
          <w:rFonts w:ascii="Arial" w:cs="Arial" w:eastAsia="Arial" w:hAnsi="Arial"/>
          <w:sz w:val="17"/>
          <w:szCs w:val="17"/>
          <w:color w:val="auto"/>
        </w:rPr>
        <w:t>), and pays to Adimab all amounts that would have been due to Adimab from Adagio as a result of Licensee’s activities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those obligations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w:t>
      </w:r>
    </w:p>
    <w:p>
      <w:pPr>
        <w:spacing w:after="0" w:line="17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9.6 Accrued Obligations; Survival</w:t>
      </w:r>
      <w:r>
        <w:rPr>
          <w:rFonts w:ascii="Arial" w:cs="Arial" w:eastAsia="Arial" w:hAnsi="Arial"/>
          <w:sz w:val="17"/>
          <w:szCs w:val="17"/>
          <w:color w:val="auto"/>
        </w:rPr>
        <w:t>. Neither expiration nor any termination of this Agreement shall relieve either party of any obligation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accruing prior to such expiration or termination, nor shall expiration or any termination of this Agreement preclude either party from pursuing all rights and remedies it may have under this Agreement, at law or in equity, with respect to breach of this Agreement. In addition, the parties’ rights and obligations under 3.4 (</w:t>
      </w:r>
      <w:r>
        <w:rPr>
          <w:rFonts w:ascii="Arial" w:cs="Arial" w:eastAsia="Arial" w:hAnsi="Arial"/>
          <w:sz w:val="17"/>
          <w:szCs w:val="17"/>
          <w:i w:val="1"/>
          <w:iCs w:val="1"/>
          <w:color w:val="auto"/>
        </w:rPr>
        <w:t>Acknowledgment Regarding Adagio Derived Antibodies</w:t>
      </w:r>
      <w:r>
        <w:rPr>
          <w:rFonts w:ascii="Arial" w:cs="Arial" w:eastAsia="Arial" w:hAnsi="Arial"/>
          <w:sz w:val="17"/>
          <w:szCs w:val="17"/>
          <w:color w:val="auto"/>
        </w:rPr>
        <w:t>), 4.3 (</w:t>
      </w:r>
      <w:r>
        <w:rPr>
          <w:rFonts w:ascii="Arial" w:cs="Arial" w:eastAsia="Arial" w:hAnsi="Arial"/>
          <w:sz w:val="17"/>
          <w:szCs w:val="17"/>
          <w:i w:val="1"/>
          <w:iCs w:val="1"/>
          <w:color w:val="auto"/>
        </w:rPr>
        <w:t>Quarterly Payment Timings</w:t>
      </w:r>
      <w:r>
        <w:rPr>
          <w:rFonts w:ascii="Arial" w:cs="Arial" w:eastAsia="Arial" w:hAnsi="Arial"/>
          <w:sz w:val="17"/>
          <w:szCs w:val="17"/>
          <w:color w:val="auto"/>
        </w:rPr>
        <w:t>) through 4.10 (</w:t>
      </w:r>
      <w:r>
        <w:rPr>
          <w:rFonts w:ascii="Arial" w:cs="Arial" w:eastAsia="Arial" w:hAnsi="Arial"/>
          <w:sz w:val="17"/>
          <w:szCs w:val="17"/>
          <w:i w:val="1"/>
          <w:iCs w:val="1"/>
          <w:color w:val="auto"/>
        </w:rPr>
        <w:t>Late Payments</w:t>
      </w:r>
      <w:r>
        <w:rPr>
          <w:rFonts w:ascii="Arial" w:cs="Arial" w:eastAsia="Arial" w:hAnsi="Arial"/>
          <w:sz w:val="17"/>
          <w:szCs w:val="17"/>
          <w:color w:val="auto"/>
        </w:rPr>
        <w:t>) (with respect to payment obligations outstanding or having accrued as the effective date of termination or expiration), 5.1 (</w:t>
      </w:r>
      <w:r>
        <w:rPr>
          <w:rFonts w:ascii="Arial" w:cs="Arial" w:eastAsia="Arial" w:hAnsi="Arial"/>
          <w:sz w:val="17"/>
          <w:szCs w:val="17"/>
          <w:i w:val="1"/>
          <w:iCs w:val="1"/>
          <w:color w:val="auto"/>
        </w:rPr>
        <w:t>Ownership and Inventorship</w:t>
      </w:r>
      <w:r>
        <w:rPr>
          <w:rFonts w:ascii="Arial" w:cs="Arial" w:eastAsia="Arial" w:hAnsi="Arial"/>
          <w:sz w:val="17"/>
          <w:szCs w:val="17"/>
          <w:color w:val="auto"/>
        </w:rPr>
        <w:t>), 5.2 (</w:t>
      </w:r>
      <w:r>
        <w:rPr>
          <w:rFonts w:ascii="Arial" w:cs="Arial" w:eastAsia="Arial" w:hAnsi="Arial"/>
          <w:sz w:val="17"/>
          <w:szCs w:val="17"/>
          <w:i w:val="1"/>
          <w:iCs w:val="1"/>
          <w:color w:val="auto"/>
        </w:rPr>
        <w:t>Assignment</w:t>
      </w:r>
      <w:r>
        <w:rPr>
          <w:rFonts w:ascii="Arial" w:cs="Arial" w:eastAsia="Arial" w:hAnsi="Arial"/>
          <w:sz w:val="17"/>
          <w:szCs w:val="17"/>
          <w:color w:val="auto"/>
        </w:rPr>
        <w:t>), 6.1 (</w:t>
      </w:r>
      <w:r>
        <w:rPr>
          <w:rFonts w:ascii="Arial" w:cs="Arial" w:eastAsia="Arial" w:hAnsi="Arial"/>
          <w:sz w:val="17"/>
          <w:szCs w:val="17"/>
          <w:i w:val="1"/>
          <w:iCs w:val="1"/>
          <w:color w:val="auto"/>
        </w:rPr>
        <w:t>General Confidentiality Obligations</w:t>
      </w:r>
      <w:r>
        <w:rPr>
          <w:rFonts w:ascii="Arial" w:cs="Arial" w:eastAsia="Arial" w:hAnsi="Arial"/>
          <w:sz w:val="17"/>
          <w:szCs w:val="17"/>
          <w:color w:val="auto"/>
        </w:rPr>
        <w:t>), 6.2 (</w:t>
      </w:r>
      <w:r>
        <w:rPr>
          <w:rFonts w:ascii="Arial" w:cs="Arial" w:eastAsia="Arial" w:hAnsi="Arial"/>
          <w:sz w:val="17"/>
          <w:szCs w:val="17"/>
          <w:i w:val="1"/>
          <w:iCs w:val="1"/>
          <w:color w:val="auto"/>
        </w:rPr>
        <w:t>Exclusions from Nondisclosure Obligation</w:t>
      </w:r>
      <w:r>
        <w:rPr>
          <w:rFonts w:ascii="Arial" w:cs="Arial" w:eastAsia="Arial" w:hAnsi="Arial"/>
          <w:sz w:val="17"/>
          <w:szCs w:val="17"/>
          <w:color w:val="auto"/>
        </w:rPr>
        <w:t>), 6.3 (</w:t>
      </w:r>
      <w:r>
        <w:rPr>
          <w:rFonts w:ascii="Arial" w:cs="Arial" w:eastAsia="Arial" w:hAnsi="Arial"/>
          <w:sz w:val="17"/>
          <w:szCs w:val="17"/>
          <w:i w:val="1"/>
          <w:iCs w:val="1"/>
          <w:color w:val="auto"/>
        </w:rPr>
        <w:t>Authorized Disclosures</w:t>
      </w:r>
      <w:r>
        <w:rPr>
          <w:rFonts w:ascii="Arial" w:cs="Arial" w:eastAsia="Arial" w:hAnsi="Arial"/>
          <w:sz w:val="17"/>
          <w:szCs w:val="17"/>
          <w:color w:val="auto"/>
        </w:rPr>
        <w:t>), 6.4 (</w:t>
      </w:r>
      <w:r>
        <w:rPr>
          <w:rFonts w:ascii="Arial" w:cs="Arial" w:eastAsia="Arial" w:hAnsi="Arial"/>
          <w:sz w:val="17"/>
          <w:szCs w:val="17"/>
          <w:i w:val="1"/>
          <w:iCs w:val="1"/>
          <w:color w:val="auto"/>
        </w:rPr>
        <w:t>Terms</w:t>
      </w:r>
      <w:r>
        <w:rPr>
          <w:rFonts w:ascii="Arial" w:cs="Arial" w:eastAsia="Arial" w:hAnsi="Arial"/>
          <w:sz w:val="17"/>
          <w:szCs w:val="17"/>
          <w:color w:val="auto"/>
        </w:rPr>
        <w:t xml:space="preserve"> </w:t>
      </w:r>
      <w:r>
        <w:rPr>
          <w:rFonts w:ascii="Arial" w:cs="Arial" w:eastAsia="Arial" w:hAnsi="Arial"/>
          <w:sz w:val="17"/>
          <w:szCs w:val="17"/>
          <w:i w:val="1"/>
          <w:iCs w:val="1"/>
          <w:color w:val="auto"/>
        </w:rPr>
        <w:t>of Agreement</w:t>
      </w:r>
      <w:r>
        <w:rPr>
          <w:rFonts w:ascii="Arial" w:cs="Arial" w:eastAsia="Arial" w:hAnsi="Arial"/>
          <w:sz w:val="17"/>
          <w:szCs w:val="17"/>
          <w:color w:val="auto"/>
        </w:rPr>
        <w:t>), 6.5 (</w:t>
      </w:r>
      <w:r>
        <w:rPr>
          <w:rFonts w:ascii="Arial" w:cs="Arial" w:eastAsia="Arial" w:hAnsi="Arial"/>
          <w:sz w:val="17"/>
          <w:szCs w:val="17"/>
          <w:i w:val="1"/>
          <w:iCs w:val="1"/>
          <w:color w:val="auto"/>
        </w:rPr>
        <w:t>Return of Confidential Information</w:t>
      </w:r>
      <w:r>
        <w:rPr>
          <w:rFonts w:ascii="Arial" w:cs="Arial" w:eastAsia="Arial" w:hAnsi="Arial"/>
          <w:sz w:val="17"/>
          <w:szCs w:val="17"/>
          <w:color w:val="auto"/>
        </w:rPr>
        <w:t>), 6.7 (</w:t>
      </w:r>
      <w:r>
        <w:rPr>
          <w:rFonts w:ascii="Arial" w:cs="Arial" w:eastAsia="Arial" w:hAnsi="Arial"/>
          <w:sz w:val="17"/>
          <w:szCs w:val="17"/>
          <w:i w:val="1"/>
          <w:iCs w:val="1"/>
          <w:color w:val="auto"/>
        </w:rPr>
        <w:t>Certain Data</w:t>
      </w:r>
      <w:r>
        <w:rPr>
          <w:rFonts w:ascii="Arial" w:cs="Arial" w:eastAsia="Arial" w:hAnsi="Arial"/>
          <w:sz w:val="17"/>
          <w:szCs w:val="17"/>
          <w:color w:val="auto"/>
        </w:rPr>
        <w:t>), 7.3 (</w:t>
      </w:r>
      <w:r>
        <w:rPr>
          <w:rFonts w:ascii="Arial" w:cs="Arial" w:eastAsia="Arial" w:hAnsi="Arial"/>
          <w:sz w:val="17"/>
          <w:szCs w:val="17"/>
          <w:i w:val="1"/>
          <w:iCs w:val="1"/>
          <w:color w:val="auto"/>
        </w:rPr>
        <w:t>Disclaimer of Warranties</w:t>
      </w:r>
      <w:r>
        <w:rPr>
          <w:rFonts w:ascii="Arial" w:cs="Arial" w:eastAsia="Arial" w:hAnsi="Arial"/>
          <w:sz w:val="17"/>
          <w:szCs w:val="17"/>
          <w:color w:val="auto"/>
        </w:rPr>
        <w:t>), 7.4 (</w:t>
      </w:r>
      <w:r>
        <w:rPr>
          <w:rFonts w:ascii="Arial" w:cs="Arial" w:eastAsia="Arial" w:hAnsi="Arial"/>
          <w:sz w:val="17"/>
          <w:szCs w:val="17"/>
          <w:i w:val="1"/>
          <w:iCs w:val="1"/>
          <w:color w:val="auto"/>
        </w:rPr>
        <w:t>Limitation of Liability</w:t>
      </w:r>
      <w:r>
        <w:rPr>
          <w:rFonts w:ascii="Arial" w:cs="Arial" w:eastAsia="Arial" w:hAnsi="Arial"/>
          <w:sz w:val="17"/>
          <w:szCs w:val="17"/>
          <w:color w:val="auto"/>
        </w:rPr>
        <w:t>), 9.4</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Commitments Regarding CoV Antibodies</w:t>
      </w:r>
      <w:r>
        <w:rPr>
          <w:rFonts w:ascii="Arial" w:cs="Arial" w:eastAsia="Arial" w:hAnsi="Arial"/>
          <w:sz w:val="17"/>
          <w:szCs w:val="17"/>
          <w:color w:val="auto"/>
        </w:rPr>
        <w:t>), 9.5 (</w:t>
      </w:r>
      <w:r>
        <w:rPr>
          <w:rFonts w:ascii="Arial" w:cs="Arial" w:eastAsia="Arial" w:hAnsi="Arial"/>
          <w:sz w:val="17"/>
          <w:szCs w:val="17"/>
          <w:i w:val="1"/>
          <w:iCs w:val="1"/>
          <w:color w:val="auto"/>
        </w:rPr>
        <w:t>Effect of Expiration or Termination</w:t>
      </w:r>
      <w:r>
        <w:rPr>
          <w:rFonts w:ascii="Arial" w:cs="Arial" w:eastAsia="Arial" w:hAnsi="Arial"/>
          <w:sz w:val="17"/>
          <w:szCs w:val="17"/>
          <w:color w:val="auto"/>
        </w:rPr>
        <w:t>) and 9.6 (</w:t>
      </w:r>
      <w:r>
        <w:rPr>
          <w:rFonts w:ascii="Arial" w:cs="Arial" w:eastAsia="Arial" w:hAnsi="Arial"/>
          <w:sz w:val="17"/>
          <w:szCs w:val="17"/>
          <w:i w:val="1"/>
          <w:iCs w:val="1"/>
          <w:color w:val="auto"/>
        </w:rPr>
        <w:t>Accrued Obligations; Survival</w:t>
      </w:r>
      <w:r>
        <w:rPr>
          <w:rFonts w:ascii="Arial" w:cs="Arial" w:eastAsia="Arial" w:hAnsi="Arial"/>
          <w:sz w:val="17"/>
          <w:szCs w:val="17"/>
          <w:color w:val="auto"/>
        </w:rPr>
        <w:t>), and Articles 1 (</w:t>
      </w:r>
      <w:r>
        <w:rPr>
          <w:rFonts w:ascii="Arial" w:cs="Arial" w:eastAsia="Arial" w:hAnsi="Arial"/>
          <w:sz w:val="17"/>
          <w:szCs w:val="17"/>
          <w:i w:val="1"/>
          <w:iCs w:val="1"/>
          <w:color w:val="auto"/>
        </w:rPr>
        <w:t>Definitions</w:t>
      </w:r>
      <w:r>
        <w:rPr>
          <w:rFonts w:ascii="Arial" w:cs="Arial" w:eastAsia="Arial" w:hAnsi="Arial"/>
          <w:sz w:val="17"/>
          <w:szCs w:val="17"/>
          <w:color w:val="auto"/>
        </w:rPr>
        <w:t>), 8 (</w:t>
      </w:r>
      <w:r>
        <w:rPr>
          <w:rFonts w:ascii="Arial" w:cs="Arial" w:eastAsia="Arial" w:hAnsi="Arial"/>
          <w:sz w:val="17"/>
          <w:szCs w:val="17"/>
          <w:i w:val="1"/>
          <w:iCs w:val="1"/>
          <w:color w:val="auto"/>
        </w:rPr>
        <w:t>Indemnification</w:t>
      </w:r>
      <w:r>
        <w:rPr>
          <w:rFonts w:ascii="Arial" w:cs="Arial" w:eastAsia="Arial" w:hAnsi="Arial"/>
          <w:sz w:val="17"/>
          <w:szCs w:val="17"/>
          <w:color w:val="auto"/>
        </w:rPr>
        <w:t>) and 10 (</w:t>
      </w:r>
      <w:r>
        <w:rPr>
          <w:rFonts w:ascii="Arial" w:cs="Arial" w:eastAsia="Arial" w:hAnsi="Arial"/>
          <w:sz w:val="17"/>
          <w:szCs w:val="17"/>
          <w:i w:val="1"/>
          <w:iCs w:val="1"/>
          <w:color w:val="auto"/>
        </w:rPr>
        <w:t>Miscellaneous</w:t>
      </w:r>
      <w:r>
        <w:rPr>
          <w:rFonts w:ascii="Arial" w:cs="Arial" w:eastAsia="Arial" w:hAnsi="Arial"/>
          <w:sz w:val="17"/>
          <w:szCs w:val="17"/>
          <w:color w:val="auto"/>
        </w:rPr>
        <w:t>) shall survive any expiration or termination of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0" w:right="459" w:bottom="1440" w:gutter="0" w:footer="0" w:header="0"/>
        </w:sectPr>
      </w:pPr>
    </w:p>
    <w:bookmarkStart w:id="444" w:name="page445"/>
    <w:bookmarkEnd w:id="4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10.1 No Implied Licenses</w:t>
      </w:r>
      <w:r>
        <w:rPr>
          <w:rFonts w:ascii="Arial" w:cs="Arial" w:eastAsia="Arial" w:hAnsi="Arial"/>
          <w:sz w:val="18"/>
          <w:szCs w:val="18"/>
          <w:color w:val="auto"/>
        </w:rPr>
        <w:t>. No right or license under any Patent, Know-How or other intellectual property of either Party is granted or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been granted under this Agreement by implication. All such rights or licenses are or shall be granted only as expressly provided in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10.2 Bankruptcy Code</w:t>
      </w:r>
      <w:r>
        <w:rPr>
          <w:rFonts w:ascii="Arial" w:cs="Arial" w:eastAsia="Arial" w:hAnsi="Arial"/>
          <w:sz w:val="17"/>
          <w:szCs w:val="17"/>
          <w:color w:val="auto"/>
        </w:rPr>
        <w:t>. All rights and licenses granted under or pursuant to this Agreement are, and shall otherwise be deemed to be, for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purposes of Section 365(n) of Title 11 of the United States Code and other similar laws in any jurisdiction outside the US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color w:val="auto"/>
        </w:rPr>
        <w:t>Bankruptcy Laws</w:t>
      </w:r>
      <w:r>
        <w:rPr>
          <w:rFonts w:ascii="Arial" w:cs="Arial" w:eastAsia="Arial" w:hAnsi="Arial"/>
          <w:sz w:val="16"/>
          <w:szCs w:val="16"/>
          <w:i w:val="1"/>
          <w:iCs w:val="1"/>
          <w:color w:val="auto"/>
        </w:rPr>
        <w:t>”</w:t>
      </w:r>
      <w:r>
        <w:rPr>
          <w:rFonts w:ascii="Arial" w:cs="Arial" w:eastAsia="Arial" w:hAnsi="Arial"/>
          <w:sz w:val="16"/>
          <w:szCs w:val="16"/>
          <w:color w:val="auto"/>
        </w:rPr>
        <w:t>), licenses of rights to be “intellectual property” as defined under the Bankruptcy Laws. If a case is commenced during the Term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against a Party under Bankruptcy Laws then, unless and until this Agreement is rejected as provided in such Bankruptcy Laws, such Party (in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capacity, including debtor-in-possession) and its successors and assigns (including a trustee) shall perform all of the obligations provided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to be performed by such Party. If a case is commenced during the Term by or against a Party under the Bankruptcy Laws, this Agreement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rejected as provided in the Bankruptcy Laws and the other Party elects to retain its rights hereunder as provided in the Bankruptcy Laws, then the Party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subject to such case under the Bankruptcy Laws (in any capacity, including debtor-in-possession) and its successors and assigns (including a Title 11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trustee), shall provide to the other Party copies of all Information necessary for such other Party to prosecute, maintain and enjoy its rights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terms of this Agreement promptly upon such other Party’s written request therefor. All rights, powers and remedies of the non-bankrupt Party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provided herein are in addition to and not in substitution for any and all other rights, powers and remedies now or hereafter existing at law or in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(including the Bankruptcy Laws) in the event of the commencement of a case by or against a Party under the Bankruptcy Laws.</w:t>
      </w:r>
    </w:p>
    <w:p>
      <w:pPr>
        <w:spacing w:after="0" w:line="207" w:lineRule="exact"/>
        <w:rPr>
          <w:sz w:val="20"/>
          <w:szCs w:val="20"/>
          <w:color w:val="auto"/>
        </w:rPr>
      </w:pPr>
    </w:p>
    <w:p>
      <w:pPr>
        <w:jc w:val="both"/>
        <w:ind w:right="100" w:firstLine="440"/>
        <w:spacing w:after="0" w:line="314" w:lineRule="auto"/>
        <w:rPr>
          <w:sz w:val="20"/>
          <w:szCs w:val="20"/>
          <w:color w:val="auto"/>
        </w:rPr>
      </w:pPr>
      <w:r>
        <w:rPr>
          <w:rFonts w:ascii="Arial" w:cs="Arial" w:eastAsia="Arial" w:hAnsi="Arial"/>
          <w:sz w:val="16"/>
          <w:szCs w:val="16"/>
          <w:b w:val="1"/>
          <w:bCs w:val="1"/>
          <w:color w:val="auto"/>
        </w:rPr>
        <w:t>10.3 Independent Contractors</w:t>
      </w:r>
      <w:r>
        <w:rPr>
          <w:rFonts w:ascii="Arial" w:cs="Arial" w:eastAsia="Arial" w:hAnsi="Arial"/>
          <w:sz w:val="16"/>
          <w:szCs w:val="16"/>
          <w:color w:val="auto"/>
        </w:rPr>
        <w:t>. The Parties shall perform their obligations under this Agreement as independent contractors. Nothing contained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Agreement shall be construed to be inconsistent with such relationship or status. This Agreement and the Parties’ relationship in connection with it shall not constitute, create or in any way be interpreted as a joint venture, fiduciary relationship, partnership, or agency of any kind.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10.4 Dispute Resolution</w:t>
      </w:r>
      <w:r>
        <w:rPr>
          <w:rFonts w:ascii="Arial" w:cs="Arial" w:eastAsia="Arial" w:hAnsi="Arial"/>
          <w:sz w:val="18"/>
          <w:szCs w:val="18"/>
          <w:color w:val="auto"/>
        </w:rPr>
        <w:t>.</w:t>
      </w:r>
    </w:p>
    <w:p>
      <w:pPr>
        <w:spacing w:after="0" w:line="225" w:lineRule="exact"/>
        <w:rPr>
          <w:sz w:val="20"/>
          <w:szCs w:val="20"/>
          <w:color w:val="auto"/>
        </w:rPr>
      </w:pPr>
    </w:p>
    <w:p>
      <w:pPr>
        <w:jc w:val="both"/>
        <w:ind w:right="380" w:firstLine="987"/>
        <w:spacing w:after="0" w:line="314" w:lineRule="auto"/>
        <w:tabs>
          <w:tab w:leader="none" w:pos="1246" w:val="left"/>
        </w:tabs>
        <w:numPr>
          <w:ilvl w:val="0"/>
          <w:numId w:val="332"/>
        </w:numPr>
        <w:rPr>
          <w:rFonts w:ascii="Arial" w:cs="Arial" w:eastAsia="Arial" w:hAnsi="Arial"/>
          <w:sz w:val="16"/>
          <w:szCs w:val="16"/>
          <w:b w:val="1"/>
          <w:bCs w:val="1"/>
          <w:color w:val="auto"/>
        </w:rPr>
      </w:pPr>
      <w:r>
        <w:rPr>
          <w:rFonts w:ascii="Arial" w:cs="Arial" w:eastAsia="Arial" w:hAnsi="Arial"/>
          <w:sz w:val="16"/>
          <w:szCs w:val="16"/>
          <w:b w:val="1"/>
          <w:bCs w:val="1"/>
          <w:color w:val="auto"/>
        </w:rPr>
        <w:t>Initial Dispute Resolution</w:t>
      </w:r>
      <w:r>
        <w:rPr>
          <w:rFonts w:ascii="Arial" w:cs="Arial" w:eastAsia="Arial" w:hAnsi="Arial"/>
          <w:sz w:val="16"/>
          <w:szCs w:val="16"/>
          <w:color w:val="auto"/>
        </w:rPr>
        <w:t>. Subject to Section 10.4(c) (</w:t>
      </w:r>
      <w:r>
        <w:rPr>
          <w:rFonts w:ascii="Arial" w:cs="Arial" w:eastAsia="Arial" w:hAnsi="Arial"/>
          <w:sz w:val="16"/>
          <w:szCs w:val="16"/>
          <w:i w:val="1"/>
          <w:iCs w:val="1"/>
          <w:color w:val="auto"/>
        </w:rPr>
        <w:t>Court Actions</w:t>
      </w:r>
      <w:r>
        <w:rPr>
          <w:rFonts w:ascii="Arial" w:cs="Arial" w:eastAsia="Arial" w:hAnsi="Arial"/>
          <w:sz w:val="16"/>
          <w:szCs w:val="16"/>
          <w:color w:val="auto"/>
        </w:rPr>
        <w:t>), either Party may refer any dispute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t>
      </w:r>
      <w:r>
        <w:rPr>
          <w:rFonts w:ascii="Arial" w:cs="Arial" w:eastAsia="Arial" w:hAnsi="Arial"/>
          <w:sz w:val="16"/>
          <w:szCs w:val="16"/>
          <w:b w:val="1"/>
          <w:bCs w:val="1"/>
          <w:color w:val="auto"/>
        </w:rPr>
        <w:t>Dispute</w:t>
      </w:r>
      <w:r>
        <w:rPr>
          <w:rFonts w:ascii="Arial" w:cs="Arial" w:eastAsia="Arial" w:hAnsi="Arial"/>
          <w:sz w:val="16"/>
          <w:szCs w:val="16"/>
          <w:color w:val="auto"/>
        </w:rPr>
        <w:t>”) not resolved by discussion of the Alliance Managers to senior executives of the Parties (for Adimab, [***] and for Adagio, [***]) for good-faith discussions over a period of not less than [***]. Each Party will make its executives reasonably available for such discussions.</w:t>
      </w:r>
    </w:p>
    <w:p>
      <w:pPr>
        <w:spacing w:after="0" w:line="141" w:lineRule="exact"/>
        <w:rPr>
          <w:rFonts w:ascii="Arial" w:cs="Arial" w:eastAsia="Arial" w:hAnsi="Arial"/>
          <w:sz w:val="16"/>
          <w:szCs w:val="16"/>
          <w:b w:val="1"/>
          <w:bCs w:val="1"/>
          <w:color w:val="auto"/>
        </w:rPr>
      </w:pPr>
    </w:p>
    <w:p>
      <w:pPr>
        <w:ind w:left="1260" w:hanging="273"/>
        <w:spacing w:after="0"/>
        <w:tabs>
          <w:tab w:leader="none" w:pos="12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Disputes Not Resolved Between the Parties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45" w:name="page446"/>
    <w:bookmarkEnd w:id="445"/>
    <w:p>
      <w:pPr>
        <w:ind w:firstLine="1428"/>
        <w:spacing w:after="0" w:line="270" w:lineRule="auto"/>
        <w:tabs>
          <w:tab w:leader="none" w:pos="1647"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Arial" w:cs="Arial" w:eastAsia="Arial" w:hAnsi="Arial"/>
          <w:sz w:val="17"/>
          <w:szCs w:val="17"/>
          <w:color w:val="auto"/>
        </w:rPr>
        <w:t>. Subject to Section 10.4(c) (</w:t>
      </w:r>
      <w:r>
        <w:rPr>
          <w:rFonts w:ascii="Arial" w:cs="Arial" w:eastAsia="Arial" w:hAnsi="Arial"/>
          <w:sz w:val="17"/>
          <w:szCs w:val="17"/>
          <w:i w:val="1"/>
          <w:iCs w:val="1"/>
          <w:color w:val="auto"/>
        </w:rPr>
        <w:t>Court Actions</w:t>
      </w:r>
      <w:r>
        <w:rPr>
          <w:rFonts w:ascii="Arial" w:cs="Arial" w:eastAsia="Arial" w:hAnsi="Arial"/>
          <w:sz w:val="17"/>
          <w:szCs w:val="17"/>
          <w:color w:val="auto"/>
        </w:rPr>
        <w:t>) below, any Dispute that is not resolved under Section 10.4(a) (</w:t>
      </w:r>
      <w:r>
        <w:rPr>
          <w:rFonts w:ascii="Arial" w:cs="Arial" w:eastAsia="Arial" w:hAnsi="Arial"/>
          <w:sz w:val="17"/>
          <w:szCs w:val="17"/>
          <w:i w:val="1"/>
          <w:iCs w:val="1"/>
          <w:color w:val="auto"/>
        </w:rPr>
        <w:t>Initial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Dispute Resolution</w:t>
      </w:r>
      <w:r>
        <w:rPr>
          <w:rFonts w:ascii="Arial" w:cs="Arial" w:eastAsia="Arial" w:hAnsi="Arial"/>
          <w:sz w:val="17"/>
          <w:szCs w:val="17"/>
          <w:color w:val="auto"/>
        </w:rPr>
        <w:t>) within the period specified above shall be resolved by final and binding arbitration administered by JAMS (the “</w:t>
      </w:r>
      <w:r>
        <w:rPr>
          <w:rFonts w:ascii="Arial" w:cs="Arial" w:eastAsia="Arial" w:hAnsi="Arial"/>
          <w:sz w:val="17"/>
          <w:szCs w:val="17"/>
          <w:b w:val="1"/>
          <w:bCs w:val="1"/>
          <w:color w:val="auto"/>
        </w:rPr>
        <w:t>Administrator</w:t>
      </w:r>
      <w:r>
        <w:rPr>
          <w:rFonts w:ascii="Arial" w:cs="Arial" w:eastAsia="Arial" w:hAnsi="Arial"/>
          <w:sz w:val="17"/>
          <w:szCs w:val="17"/>
          <w:color w:val="auto"/>
        </w:rPr>
        <w:t>”) in</w:t>
      </w:r>
      <w:r>
        <w:rPr>
          <w:rFonts w:ascii="Arial" w:cs="Arial" w:eastAsia="Arial" w:hAnsi="Arial"/>
          <w:sz w:val="17"/>
          <w:szCs w:val="17"/>
          <w:i w:val="1"/>
          <w:iCs w:val="1"/>
          <w:color w:val="auto"/>
        </w:rPr>
        <w:t xml:space="preserve"> </w:t>
      </w:r>
      <w:r>
        <w:rPr>
          <w:rFonts w:ascii="Arial" w:cs="Arial" w:eastAsia="Arial" w:hAnsi="Arial"/>
          <w:sz w:val="17"/>
          <w:szCs w:val="17"/>
          <w:color w:val="auto"/>
        </w:rPr>
        <w:t>accordance with its then-effective Comprehensive Arbitration Rules and Procedures (the “</w:t>
      </w:r>
      <w:r>
        <w:rPr>
          <w:rFonts w:ascii="Arial" w:cs="Arial" w:eastAsia="Arial" w:hAnsi="Arial"/>
          <w:sz w:val="17"/>
          <w:szCs w:val="17"/>
          <w:b w:val="1"/>
          <w:bCs w:val="1"/>
          <w:color w:val="auto"/>
        </w:rPr>
        <w:t>Rules</w:t>
      </w:r>
      <w:r>
        <w:rPr>
          <w:rFonts w:ascii="Arial" w:cs="Arial" w:eastAsia="Arial" w:hAnsi="Arial"/>
          <w:sz w:val="17"/>
          <w:szCs w:val="17"/>
          <w:color w:val="auto"/>
        </w:rPr>
        <w:t>”), except to the extent any such Rule conflicts with the express provisions of this Section 10.4(b) (</w:t>
      </w:r>
      <w:r>
        <w:rPr>
          <w:rFonts w:ascii="Arial" w:cs="Arial" w:eastAsia="Arial" w:hAnsi="Arial"/>
          <w:sz w:val="17"/>
          <w:szCs w:val="17"/>
          <w:i w:val="1"/>
          <w:iCs w:val="1"/>
          <w:color w:val="auto"/>
        </w:rPr>
        <w:t>Arbitration</w:t>
      </w:r>
      <w:r>
        <w:rPr>
          <w:rFonts w:ascii="Arial" w:cs="Arial" w:eastAsia="Arial" w:hAnsi="Arial"/>
          <w:sz w:val="17"/>
          <w:szCs w:val="17"/>
          <w:color w:val="auto"/>
        </w:rPr>
        <w:t xml:space="preserve">). (Capitalized terms used but not otherwise defined in this Agreement shall have the meanings provided in the Rules.) The Arbitration shall be conducted by three (3) neutral arbitrators, each of whom shall be a lawyer with at least [***] of experience with a law firm or corporate law department and at least [***] representing (either as outside counsel or in-house counsel) companies in the pharmaceutical or biotechnology industry in connection with licensing transactions;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 such individual shall be a current or former employee or director, or a current stockholder, of either party or any of their respective Affiliates. Each party shall appoint one arbitrator, and the two so-appointed arbitrators shall jointly nominate the third arbitrator. The arbitration and all associated discovery proceedings and communications shall be conducted in English, and the arbitration shall be held in New York, New York.</w:t>
      </w:r>
    </w:p>
    <w:p>
      <w:pPr>
        <w:spacing w:after="0" w:line="176" w:lineRule="exact"/>
        <w:rPr>
          <w:rFonts w:ascii="Arial" w:cs="Arial" w:eastAsia="Arial" w:hAnsi="Arial"/>
          <w:sz w:val="17"/>
          <w:szCs w:val="17"/>
          <w:b w:val="1"/>
          <w:bCs w:val="1"/>
          <w:color w:val="auto"/>
        </w:rPr>
      </w:pPr>
    </w:p>
    <w:p>
      <w:pPr>
        <w:ind w:right="20" w:firstLine="1428"/>
        <w:spacing w:after="0" w:line="289" w:lineRule="auto"/>
        <w:tabs>
          <w:tab w:leader="none" w:pos="1697" w:val="left"/>
        </w:tabs>
        <w:numPr>
          <w:ilvl w:val="0"/>
          <w:numId w:val="3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Hearing; Decision. </w:t>
      </w:r>
      <w:r>
        <w:rPr>
          <w:rFonts w:ascii="Arial" w:cs="Arial" w:eastAsia="Arial" w:hAnsi="Arial"/>
          <w:sz w:val="16"/>
          <w:szCs w:val="16"/>
          <w:color w:val="auto"/>
        </w:rPr>
        <w:t>The Hearing shall commence within [***] after the discovery cutoff. The arbitrators shall require that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 submit concise written statements of position and shall permit the submission of rebuttal statements, subject to reasonable limitations on the length of such statements to be established by the arbitrators. The Hearing shall be no longer than [***] in duration. The arbitrators shall also permit the submission of expert reports. The arbitrators shall render the Award within [***] after the arbitrators declares the Hearing closed, and the Award shall include a written statement describing the essential findings and conclusions on which the Award is based, including the calculation of any damages awarded. The arbitrators will, in rendering their decision, apply the substantive law of the State of New York, excluding its conflicts of laws principles with the exception of sections 5-1401 and 5-1402 of New York General Obligations Law. The arbitrators’ authority to award special, incidental, consequential or punitive damages shall be subject to the limitation set forth in Section 7.4 (</w:t>
      </w:r>
      <w:r>
        <w:rPr>
          <w:rFonts w:ascii="Arial" w:cs="Arial" w:eastAsia="Arial" w:hAnsi="Arial"/>
          <w:sz w:val="16"/>
          <w:szCs w:val="16"/>
          <w:i w:val="1"/>
          <w:iCs w:val="1"/>
          <w:color w:val="auto"/>
        </w:rPr>
        <w:t>Limitations on Liability</w:t>
      </w:r>
      <w:r>
        <w:rPr>
          <w:rFonts w:ascii="Arial" w:cs="Arial" w:eastAsia="Arial" w:hAnsi="Arial"/>
          <w:sz w:val="16"/>
          <w:szCs w:val="16"/>
          <w:color w:val="auto"/>
        </w:rPr>
        <w:t>). The Award rendered by the arbitrators shall be final, binding and non-appealable, and judgment may be entered upon it in any court of competent jurisdiction.</w:t>
      </w:r>
    </w:p>
    <w:p>
      <w:pPr>
        <w:spacing w:after="0" w:line="166" w:lineRule="exact"/>
        <w:rPr>
          <w:rFonts w:ascii="Arial" w:cs="Arial" w:eastAsia="Arial" w:hAnsi="Arial"/>
          <w:sz w:val="16"/>
          <w:szCs w:val="16"/>
          <w:b w:val="1"/>
          <w:bCs w:val="1"/>
          <w:color w:val="auto"/>
        </w:rPr>
      </w:pPr>
    </w:p>
    <w:p>
      <w:pPr>
        <w:ind w:right="100" w:firstLine="1428"/>
        <w:spacing w:after="0" w:line="266" w:lineRule="auto"/>
        <w:tabs>
          <w:tab w:leader="none" w:pos="1747"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 Each Party shall bear its own costs and expenses and attorneys’ fees and an equal share of the arbitrators’ fees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fees or arbitration, unless in each case the arbitrators order otherwise, which they are hereby empowered, authorized and instructed to do if they determine that to be fair and appropriate.</w:t>
      </w:r>
    </w:p>
    <w:p>
      <w:pPr>
        <w:spacing w:after="0" w:line="175" w:lineRule="exact"/>
        <w:rPr>
          <w:rFonts w:ascii="Arial" w:cs="Arial" w:eastAsia="Arial" w:hAnsi="Arial"/>
          <w:sz w:val="18"/>
          <w:szCs w:val="18"/>
          <w:b w:val="1"/>
          <w:bCs w:val="1"/>
          <w:color w:val="auto"/>
        </w:rPr>
      </w:pPr>
    </w:p>
    <w:p>
      <w:pPr>
        <w:ind w:left="1740" w:hanging="312"/>
        <w:spacing w:after="0"/>
        <w:tabs>
          <w:tab w:leader="none" w:pos="1740" w:val="left"/>
        </w:tabs>
        <w:numPr>
          <w:ilvl w:val="0"/>
          <w:numId w:val="333"/>
        </w:numPr>
        <w:rPr>
          <w:rFonts w:ascii="Arial" w:cs="Arial" w:eastAsia="Arial" w:hAnsi="Arial"/>
          <w:sz w:val="17"/>
          <w:szCs w:val="17"/>
          <w:b w:val="1"/>
          <w:bCs w:val="1"/>
          <w:color w:val="auto"/>
        </w:rPr>
      </w:pPr>
      <w:r>
        <w:rPr>
          <w:rFonts w:ascii="Arial" w:cs="Arial" w:eastAsia="Arial" w:hAnsi="Arial"/>
          <w:sz w:val="17"/>
          <w:szCs w:val="17"/>
          <w:b w:val="1"/>
          <w:bCs w:val="1"/>
          <w:color w:val="auto"/>
        </w:rPr>
        <w:t>Confidentiality of Process and Awards</w:t>
      </w:r>
      <w:r>
        <w:rPr>
          <w:rFonts w:ascii="Arial" w:cs="Arial" w:eastAsia="Arial" w:hAnsi="Arial"/>
          <w:sz w:val="17"/>
          <w:szCs w:val="17"/>
          <w:color w:val="auto"/>
        </w:rPr>
        <w:t>. Except to the extent necessary to confirm an award or as may be permitted by</w:t>
      </w:r>
    </w:p>
    <w:p>
      <w:pPr>
        <w:spacing w:after="0" w:line="39"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Section 6.3 (</w:t>
      </w:r>
      <w:r>
        <w:rPr>
          <w:rFonts w:ascii="Arial" w:cs="Arial" w:eastAsia="Arial" w:hAnsi="Arial"/>
          <w:sz w:val="18"/>
          <w:szCs w:val="18"/>
          <w:i w:val="1"/>
          <w:iCs w:val="1"/>
          <w:color w:val="auto"/>
        </w:rPr>
        <w:t>Authorized Disclosures</w:t>
      </w:r>
      <w:r>
        <w:rPr>
          <w:rFonts w:ascii="Arial" w:cs="Arial" w:eastAsia="Arial" w:hAnsi="Arial"/>
          <w:sz w:val="18"/>
          <w:szCs w:val="18"/>
          <w:color w:val="auto"/>
        </w:rPr>
        <w:t>) or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neither Party shall disclose the existence, content or results of an arbitration under this Agreement without the prior written consent of the other Party.</w:t>
      </w:r>
    </w:p>
    <w:p>
      <w:pPr>
        <w:spacing w:after="0" w:line="181" w:lineRule="exact"/>
        <w:rPr>
          <w:sz w:val="20"/>
          <w:szCs w:val="20"/>
          <w:color w:val="auto"/>
        </w:rPr>
      </w:pPr>
    </w:p>
    <w:p>
      <w:pPr>
        <w:ind w:right="280" w:firstLine="1428"/>
        <w:spacing w:after="0" w:line="312" w:lineRule="auto"/>
        <w:tabs>
          <w:tab w:leader="none" w:pos="1687" w:val="left"/>
        </w:tabs>
        <w:numPr>
          <w:ilvl w:val="1"/>
          <w:numId w:val="334"/>
        </w:numPr>
        <w:rPr>
          <w:rFonts w:ascii="Arial" w:cs="Arial" w:eastAsia="Arial" w:hAnsi="Arial"/>
          <w:sz w:val="17"/>
          <w:szCs w:val="17"/>
          <w:b w:val="1"/>
          <w:bCs w:val="1"/>
          <w:color w:val="auto"/>
        </w:rPr>
      </w:pPr>
      <w:r>
        <w:rPr>
          <w:rFonts w:ascii="Arial" w:cs="Arial" w:eastAsia="Arial" w:hAnsi="Arial"/>
          <w:sz w:val="17"/>
          <w:szCs w:val="17"/>
          <w:b w:val="1"/>
          <w:bCs w:val="1"/>
          <w:color w:val="auto"/>
        </w:rPr>
        <w:t>Statute of Limitations</w:t>
      </w:r>
      <w:r>
        <w:rPr>
          <w:rFonts w:ascii="Arial" w:cs="Arial" w:eastAsia="Arial" w:hAnsi="Arial"/>
          <w:sz w:val="17"/>
          <w:szCs w:val="17"/>
          <w:color w:val="auto"/>
        </w:rPr>
        <w:t>. In no event shall an arbitration be initiated after the date when commencement of a legal or equitable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based on the subject matter of the Dispute would be barred by the applicable statute of limitations under New York law.</w:t>
      </w:r>
    </w:p>
    <w:p>
      <w:pPr>
        <w:spacing w:after="0" w:line="139" w:lineRule="exact"/>
        <w:rPr>
          <w:rFonts w:ascii="Arial" w:cs="Arial" w:eastAsia="Arial" w:hAnsi="Arial"/>
          <w:sz w:val="17"/>
          <w:szCs w:val="17"/>
          <w:b w:val="1"/>
          <w:bCs w:val="1"/>
          <w:color w:val="auto"/>
        </w:rPr>
      </w:pPr>
    </w:p>
    <w:p>
      <w:pPr>
        <w:ind w:firstLine="987"/>
        <w:spacing w:after="0" w:line="256" w:lineRule="auto"/>
        <w:tabs>
          <w:tab w:leader="none" w:pos="1236"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Court Actions. </w:t>
      </w:r>
      <w:r>
        <w:rPr>
          <w:rFonts w:ascii="Arial" w:cs="Arial" w:eastAsia="Arial" w:hAnsi="Arial"/>
          <w:sz w:val="18"/>
          <w:szCs w:val="18"/>
          <w:color w:val="auto"/>
        </w:rPr>
        <w:t>Nothing contained in this Agreement shall deny either Party the right to seek injunctive or other equitable relief from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court of competent jurisdiction in the context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Patents or other intellectual property rights, and no such claim shall be subject to arbitration pursuant to Section 10.4(b) (</w:t>
      </w:r>
      <w:r>
        <w:rPr>
          <w:rFonts w:ascii="Arial" w:cs="Arial" w:eastAsia="Arial" w:hAnsi="Arial"/>
          <w:sz w:val="18"/>
          <w:szCs w:val="18"/>
          <w:i w:val="1"/>
          <w:iCs w:val="1"/>
          <w:color w:val="auto"/>
        </w:rPr>
        <w:t>Disputes Not Resolved Between</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Parties</w:t>
      </w:r>
      <w:r>
        <w:rPr>
          <w:rFonts w:ascii="Arial" w:cs="Arial" w:eastAsia="Arial" w:hAnsi="Arial"/>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0" w:right="459" w:bottom="1440" w:gutter="0" w:footer="0" w:header="0"/>
        </w:sectPr>
      </w:pPr>
    </w:p>
    <w:bookmarkStart w:id="446" w:name="page447"/>
    <w:bookmarkEnd w:id="446"/>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10.5 Governing Law</w:t>
      </w:r>
      <w:r>
        <w:rPr>
          <w:rFonts w:ascii="Arial" w:cs="Arial" w:eastAsia="Arial" w:hAnsi="Arial"/>
          <w:sz w:val="18"/>
          <w:szCs w:val="18"/>
          <w:color w:val="auto"/>
        </w:rPr>
        <w:t>. This Agreement shall be governed by and interpreted in accordance with the laws of the State of New York, excluding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 with the exception of sections 5-1401 and 5-1402 of New York General Obligations Law.</w:t>
      </w:r>
    </w:p>
    <w:p>
      <w:pPr>
        <w:spacing w:after="0" w:line="162" w:lineRule="exact"/>
        <w:rPr>
          <w:sz w:val="20"/>
          <w:szCs w:val="20"/>
          <w:color w:val="auto"/>
        </w:rPr>
      </w:pPr>
    </w:p>
    <w:p>
      <w:pPr>
        <w:ind w:right="240" w:firstLine="440"/>
        <w:spacing w:after="0" w:line="303" w:lineRule="auto"/>
        <w:rPr>
          <w:sz w:val="20"/>
          <w:szCs w:val="20"/>
          <w:color w:val="auto"/>
        </w:rPr>
      </w:pPr>
      <w:r>
        <w:rPr>
          <w:rFonts w:ascii="Arial" w:cs="Arial" w:eastAsia="Arial" w:hAnsi="Arial"/>
          <w:sz w:val="16"/>
          <w:szCs w:val="16"/>
          <w:b w:val="1"/>
          <w:bCs w:val="1"/>
          <w:color w:val="auto"/>
        </w:rPr>
        <w:t>10.6 Entire Agreement</w:t>
      </w:r>
      <w:r>
        <w:rPr>
          <w:rFonts w:ascii="Arial" w:cs="Arial" w:eastAsia="Arial" w:hAnsi="Arial"/>
          <w:sz w:val="16"/>
          <w:szCs w:val="16"/>
          <w:color w:val="auto"/>
        </w:rPr>
        <w:t>. This Agreement (including its Exhibits) set forth all the covenants, promises, agreements, warranties, representations,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and understandings between the Parties with respect to the subject matter hereof and supersedes and terminates all prior agreements and understandings between the Parties with respect to such subject matter. No subsequent alteration, amendment, change or addition to this Agreement shall be binding upon the Parties unless reduced to writing and signed by the respective authorized officers of the Parties.</w:t>
      </w:r>
    </w:p>
    <w:p>
      <w:pPr>
        <w:spacing w:after="0" w:line="151"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10.7 Assignment</w:t>
      </w:r>
      <w:r>
        <w:rPr>
          <w:rFonts w:ascii="Arial" w:cs="Arial" w:eastAsia="Arial" w:hAnsi="Arial"/>
          <w:sz w:val="18"/>
          <w:szCs w:val="18"/>
          <w:color w:val="auto"/>
        </w:rPr>
        <w:t>. Except as expressly provided hereunder, neither this Agreement nor any rights or obligations hereunder may be assigned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otherwise transferred by either Party without the prior written consent of the other Party (which consent shall not be unreasonably withheld);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that:</w:t>
      </w:r>
    </w:p>
    <w:p>
      <w:pPr>
        <w:spacing w:after="0" w:line="180" w:lineRule="exact"/>
        <w:rPr>
          <w:sz w:val="20"/>
          <w:szCs w:val="20"/>
          <w:color w:val="auto"/>
        </w:rPr>
      </w:pPr>
    </w:p>
    <w:p>
      <w:pPr>
        <w:ind w:left="1240" w:hanging="253"/>
        <w:spacing w:after="0"/>
        <w:tabs>
          <w:tab w:leader="none" w:pos="1240" w:val="left"/>
        </w:tabs>
        <w:numPr>
          <w:ilvl w:val="0"/>
          <w:numId w:val="336"/>
        </w:numPr>
        <w:rPr>
          <w:rFonts w:ascii="Arial" w:cs="Arial" w:eastAsia="Arial" w:hAnsi="Arial"/>
          <w:sz w:val="18"/>
          <w:szCs w:val="18"/>
          <w:b w:val="1"/>
          <w:bCs w:val="1"/>
          <w:color w:val="auto"/>
        </w:rPr>
      </w:pPr>
      <w:r>
        <w:rPr>
          <w:rFonts w:ascii="Arial" w:cs="Arial" w:eastAsia="Arial" w:hAnsi="Arial"/>
          <w:sz w:val="18"/>
          <w:szCs w:val="18"/>
          <w:color w:val="auto"/>
        </w:rPr>
        <w:t>either party may assign this Agreement and its rights and obligations hereunder without the other party’s consent:</w:t>
      </w:r>
    </w:p>
    <w:p>
      <w:pPr>
        <w:spacing w:after="0" w:line="225" w:lineRule="exact"/>
        <w:rPr>
          <w:rFonts w:ascii="Arial" w:cs="Arial" w:eastAsia="Arial" w:hAnsi="Arial"/>
          <w:sz w:val="18"/>
          <w:szCs w:val="18"/>
          <w:b w:val="1"/>
          <w:bCs w:val="1"/>
          <w:color w:val="auto"/>
        </w:rPr>
      </w:pPr>
    </w:p>
    <w:p>
      <w:pPr>
        <w:ind w:right="80" w:firstLine="1428"/>
        <w:spacing w:after="0" w:line="255" w:lineRule="auto"/>
        <w:tabs>
          <w:tab w:leader="none" w:pos="1647"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in connection with the transfer or sale of all or substantially all of the business of such party to which this Agreement relates to a Third Party (“</w:t>
      </w:r>
      <w:r>
        <w:rPr>
          <w:rFonts w:ascii="Arial" w:cs="Arial" w:eastAsia="Arial" w:hAnsi="Arial"/>
          <w:sz w:val="18"/>
          <w:szCs w:val="18"/>
          <w:b w:val="1"/>
          <w:bCs w:val="1"/>
          <w:color w:val="auto"/>
        </w:rPr>
        <w:t>Third Party Acquirer</w:t>
      </w:r>
      <w:r>
        <w:rPr>
          <w:rFonts w:ascii="Arial" w:cs="Arial" w:eastAsia="Arial" w:hAnsi="Arial"/>
          <w:sz w:val="18"/>
          <w:szCs w:val="18"/>
          <w:color w:val="auto"/>
        </w:rPr>
        <w:t>”), whether by merger, sale of stock, sale of assets or otherwise (each, a “</w:t>
      </w:r>
      <w:r>
        <w:rPr>
          <w:rFonts w:ascii="Arial" w:cs="Arial" w:eastAsia="Arial" w:hAnsi="Arial"/>
          <w:sz w:val="18"/>
          <w:szCs w:val="18"/>
          <w:b w:val="1"/>
          <w:bCs w:val="1"/>
          <w:color w:val="auto"/>
        </w:rPr>
        <w:t>Sale Transaction</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of a Sale Transaction (whether this Agreement is actually assigned or is assumed by the Third Party Acquirer or the surviving corporation resulting from such Sale Transaction by operation of law (</w:t>
      </w:r>
      <w:r>
        <w:rPr>
          <w:rFonts w:ascii="Arial" w:cs="Arial" w:eastAsia="Arial" w:hAnsi="Arial"/>
          <w:sz w:val="18"/>
          <w:szCs w:val="18"/>
          <w:i w:val="1"/>
          <w:iCs w:val="1"/>
          <w:color w:val="auto"/>
        </w:rPr>
        <w:t>e.g.</w:t>
      </w:r>
      <w:r>
        <w:rPr>
          <w:rFonts w:ascii="Arial" w:cs="Arial" w:eastAsia="Arial" w:hAnsi="Arial"/>
          <w:sz w:val="18"/>
          <w:szCs w:val="18"/>
          <w:color w:val="auto"/>
        </w:rPr>
        <w:t>, in the context of a reverse triangular merger)), intellectual property rights of the Third Party Acquirer that existed prior to the Sale Transaction shall not be included in the technology licensed or assigned hereunder or otherwise subject to this Agreement; or</w:t>
      </w:r>
    </w:p>
    <w:p>
      <w:pPr>
        <w:spacing w:after="0" w:line="192" w:lineRule="exact"/>
        <w:rPr>
          <w:rFonts w:ascii="Arial" w:cs="Arial" w:eastAsia="Arial" w:hAnsi="Arial"/>
          <w:sz w:val="18"/>
          <w:szCs w:val="18"/>
          <w:b w:val="1"/>
          <w:bCs w:val="1"/>
          <w:color w:val="auto"/>
        </w:rPr>
      </w:pPr>
    </w:p>
    <w:p>
      <w:pPr>
        <w:ind w:right="140" w:firstLine="1428"/>
        <w:spacing w:after="0" w:line="277" w:lineRule="auto"/>
        <w:tabs>
          <w:tab w:leader="none" w:pos="1697"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 xml:space="preserve">to an Affiliate;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assigning party shall remain liable and responsible to the non-assigning party hereto for the performance and observance of all such duties and obligations by such Affiliate; and</w:t>
      </w:r>
    </w:p>
    <w:p>
      <w:pPr>
        <w:spacing w:after="0" w:line="170" w:lineRule="exact"/>
        <w:rPr>
          <w:rFonts w:ascii="Arial" w:cs="Arial" w:eastAsia="Arial" w:hAnsi="Arial"/>
          <w:sz w:val="18"/>
          <w:szCs w:val="18"/>
          <w:b w:val="1"/>
          <w:bCs w:val="1"/>
          <w:color w:val="auto"/>
        </w:rPr>
      </w:pPr>
    </w:p>
    <w:p>
      <w:pPr>
        <w:ind w:firstLine="987"/>
        <w:spacing w:after="0" w:line="286" w:lineRule="auto"/>
        <w:tabs>
          <w:tab w:leader="none" w:pos="1256" w:val="left"/>
        </w:tabs>
        <w:numPr>
          <w:ilvl w:val="0"/>
          <w:numId w:val="336"/>
        </w:numPr>
        <w:rPr>
          <w:rFonts w:ascii="Arial" w:cs="Arial" w:eastAsia="Arial" w:hAnsi="Arial"/>
          <w:sz w:val="17"/>
          <w:szCs w:val="17"/>
          <w:b w:val="1"/>
          <w:bCs w:val="1"/>
          <w:color w:val="auto"/>
        </w:rPr>
      </w:pPr>
      <w:r>
        <w:rPr>
          <w:rFonts w:ascii="Arial" w:cs="Arial" w:eastAsia="Arial" w:hAnsi="Arial"/>
          <w:sz w:val="17"/>
          <w:szCs w:val="17"/>
          <w:color w:val="auto"/>
        </w:rPr>
        <w:t>Adimab may assign or transfer its rights to receive payments under this Agreement (but none of its obligations or liabilities), without Adagio’s consent, to an Affiliate or to a Third Party in connection with the sale of, monetization of, transfer of, or obtaining financing on the basis of the payments due to Adimab under this Agreement or debt or project financing in connection with this Agreement.</w:t>
      </w:r>
    </w:p>
    <w:p>
      <w:pPr>
        <w:spacing w:after="0" w:line="165"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This Agreement shall be binding upon and shall inure to the benefit of the Parties and their respective successors and permitted assigns. Any assignment of this Agreement not made in accordance with this Agreement is prohibited hereunder and shall be null and void.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0" w:right="479" w:bottom="1440" w:gutter="0" w:footer="0" w:header="0"/>
        </w:sectPr>
      </w:pPr>
    </w:p>
    <w:bookmarkStart w:id="447" w:name="page448"/>
    <w:bookmarkEnd w:id="447"/>
    <w:p>
      <w:pPr>
        <w:ind w:right="16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10.8 Severability</w:t>
      </w:r>
      <w:r>
        <w:rPr>
          <w:rFonts w:ascii="Arial" w:cs="Arial" w:eastAsia="Arial" w:hAnsi="Arial"/>
          <w:sz w:val="17"/>
          <w:szCs w:val="17"/>
          <w:color w:val="auto"/>
        </w:rPr>
        <w:t>. If one or more of the provisions in this Agreement are deemed unenforceable by law, then such provision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stricken from this Agreement and the remaining provisions shall continue in full force and effect, and the Parties shall substitute for the unenforceable provision an enforceable provision that conforms as nearly as possible with the original intent of the Parties.</w:t>
      </w:r>
    </w:p>
    <w:p>
      <w:pPr>
        <w:spacing w:after="0" w:line="158"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10.9 Force Majeure</w:t>
      </w:r>
      <w:r>
        <w:rPr>
          <w:rFonts w:ascii="Arial" w:cs="Arial" w:eastAsia="Arial" w:hAnsi="Arial"/>
          <w:sz w:val="18"/>
          <w:szCs w:val="18"/>
          <w:color w:val="auto"/>
        </w:rPr>
        <w:t>. A Party shall be excused from liability for the failure or delay in performance of such Party’s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the extent that such performance is prevented by a Force Majeure. Such excuse from liability shall be effective only to the extent and duration of the Force Majeure event(s) causing the failure or delay in performance. The affected Party shall notify the other Party of such Force Majeure event(s) as soon as reasonably practicable and shall use reasonable efforts to resume performance of its obligations under this Agreement as soon as reasonably practicable.</w:t>
      </w:r>
    </w:p>
    <w:p>
      <w:pPr>
        <w:spacing w:after="0" w:line="183" w:lineRule="exact"/>
        <w:rPr>
          <w:sz w:val="20"/>
          <w:szCs w:val="20"/>
          <w:color w:val="auto"/>
        </w:rPr>
      </w:pPr>
    </w:p>
    <w:p>
      <w:pPr>
        <w:ind w:right="80" w:firstLine="440"/>
        <w:spacing w:after="0" w:line="314" w:lineRule="auto"/>
        <w:rPr>
          <w:sz w:val="20"/>
          <w:szCs w:val="20"/>
          <w:color w:val="auto"/>
        </w:rPr>
      </w:pPr>
      <w:r>
        <w:rPr>
          <w:rFonts w:ascii="Arial" w:cs="Arial" w:eastAsia="Arial" w:hAnsi="Arial"/>
          <w:sz w:val="16"/>
          <w:szCs w:val="16"/>
          <w:b w:val="1"/>
          <w:bCs w:val="1"/>
          <w:color w:val="auto"/>
        </w:rPr>
        <w:t>10.10 Notices</w:t>
      </w:r>
      <w:r>
        <w:rPr>
          <w:rFonts w:ascii="Arial" w:cs="Arial" w:eastAsia="Arial" w:hAnsi="Arial"/>
          <w:sz w:val="16"/>
          <w:szCs w:val="16"/>
          <w:color w:val="auto"/>
        </w:rPr>
        <w:t>. Any notice required or permitted to be given under this Agreement shall be in writing, shall specifically refer to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and shall be deemed to have been sufficiently given for all purposes if mailed by first class certified or registered mail, postage prepaid, delivered by express delivery service or personally delivered. Unless otherwise specified in writing, the mailing addresses of the Parties shall be as described below.</w:t>
      </w:r>
    </w:p>
    <w:p>
      <w:pPr>
        <w:spacing w:after="0" w:line="3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Adimab:</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Attention: [***]</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 the case of Adagio: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10.11 Construction</w:t>
      </w:r>
      <w:r>
        <w:rPr>
          <w:rFonts w:ascii="Arial" w:cs="Arial" w:eastAsia="Arial" w:hAnsi="Arial"/>
          <w:sz w:val="16"/>
          <w:szCs w:val="16"/>
          <w:color w:val="auto"/>
        </w:rPr>
        <w:t>. This Agreement has been prepared jointly and shall not be strictly construed against either Party. Ambiguities, if any,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not be construed against any Party, irrespective of which Party may be deemed to have authored the ambiguous provision.</w:t>
      </w:r>
    </w:p>
    <w:p>
      <w:pPr>
        <w:spacing w:after="0" w:line="116"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10.12 Headings</w:t>
      </w:r>
      <w:r>
        <w:rPr>
          <w:rFonts w:ascii="Arial" w:cs="Arial" w:eastAsia="Arial" w:hAnsi="Arial"/>
          <w:sz w:val="17"/>
          <w:szCs w:val="17"/>
          <w:color w:val="auto"/>
        </w:rPr>
        <w:t>. The headings for each Article and Section in this Agreement have been inserted for convenience of reference only and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intended to limit or expand on, nor to be used to interpret, the meaning of the language contained in the particular Article or Section.</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448" w:name="page449"/>
    <w:bookmarkEnd w:id="448"/>
    <w:p>
      <w:pPr>
        <w:jc w:val="both"/>
        <w:ind w:right="180" w:firstLine="44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10.13 No Waiver</w:t>
      </w:r>
      <w:r>
        <w:rPr>
          <w:rFonts w:ascii="Arial" w:cs="Arial" w:eastAsia="Arial" w:hAnsi="Arial"/>
          <w:sz w:val="17"/>
          <w:szCs w:val="17"/>
          <w:color w:val="auto"/>
        </w:rPr>
        <w:t>. Any delay in enforcing a Party’s rights under this Agreement or any waiver as to a particular default or other matter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5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b w:val="1"/>
          <w:bCs w:val="1"/>
          <w:color w:val="auto"/>
        </w:rPr>
        <w:t>10.14 Performance by Affiliates</w:t>
      </w:r>
      <w:r>
        <w:rPr>
          <w:rFonts w:ascii="Arial" w:cs="Arial" w:eastAsia="Arial" w:hAnsi="Arial"/>
          <w:sz w:val="17"/>
          <w:szCs w:val="17"/>
          <w:color w:val="auto"/>
        </w:rPr>
        <w:t>. A Party may perform some or all of its obligations under this Agreement through Affiliate(s) or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some or all of its rights under this Agreement through Affiliates. However, each Party shall remain responsible and be guarantor of the performance by its Affiliates and shall cause its Affiliates to comply with the provisions of this Agreement in connection with such performance as if such Party were performing such obligations itself, and references to a Party in this Agreement shall be deemed to also reference such Affiliate. In particular and without limitation, all Affiliates of a Party that receive Confidential Information of the other Party pursuant to this Agreement shall be governed and bound by all obligations set forth in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and shall (to avoid doubt) be subject to the intellectual property assignment and other intellectual property provisions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as if they were the original Party to this Agreement (and be deemed included in the actual Party to this Agreement for purposes of all intellectual property-related definitions).</w:t>
      </w:r>
    </w:p>
    <w:p>
      <w:pPr>
        <w:spacing w:after="0" w:line="172" w:lineRule="exact"/>
        <w:rPr>
          <w:sz w:val="20"/>
          <w:szCs w:val="20"/>
          <w:color w:val="auto"/>
        </w:rPr>
      </w:pPr>
    </w:p>
    <w:p>
      <w:pPr>
        <w:jc w:val="both"/>
        <w:ind w:right="20" w:firstLine="440"/>
        <w:spacing w:after="0" w:line="281" w:lineRule="auto"/>
        <w:rPr>
          <w:sz w:val="20"/>
          <w:szCs w:val="20"/>
          <w:color w:val="auto"/>
        </w:rPr>
      </w:pPr>
      <w:r>
        <w:rPr>
          <w:rFonts w:ascii="Arial" w:cs="Arial" w:eastAsia="Arial" w:hAnsi="Arial"/>
          <w:sz w:val="17"/>
          <w:szCs w:val="17"/>
          <w:b w:val="1"/>
          <w:bCs w:val="1"/>
          <w:color w:val="auto"/>
        </w:rPr>
        <w:t>10.15 Further Assurances</w:t>
      </w:r>
      <w:r>
        <w:rPr>
          <w:rFonts w:ascii="Arial" w:cs="Arial" w:eastAsia="Arial" w:hAnsi="Arial"/>
          <w:sz w:val="17"/>
          <w:szCs w:val="17"/>
          <w:color w:val="auto"/>
        </w:rPr>
        <w:t>. Each Party agrees to duly execute and deliver, or cause to be duly executed or delivered, such further instruments and</w:t>
      </w:r>
      <w:r>
        <w:rPr>
          <w:rFonts w:ascii="Arial" w:cs="Arial" w:eastAsia="Arial" w:hAnsi="Arial"/>
          <w:sz w:val="17"/>
          <w:szCs w:val="17"/>
          <w:b w:val="1"/>
          <w:bCs w:val="1"/>
          <w:color w:val="auto"/>
        </w:rPr>
        <w:t xml:space="preserve"> </w:t>
      </w:r>
      <w:r>
        <w:rPr>
          <w:rFonts w:ascii="Arial" w:cs="Arial" w:eastAsia="Arial" w:hAnsi="Arial"/>
          <w:sz w:val="17"/>
          <w:szCs w:val="17"/>
          <w:color w:val="auto"/>
        </w:rPr>
        <w:t>do and cause to be done such further acts, including the filing of additional assignments, agreements, documents and instruments, as the other Party may at any time and from time to time reasonably request in connection with this Agreement or to carry out more effectively the provisions and purposes of, or to better assure and confirm unto such other Party its rights and remedies under, this Agreement.</w:t>
      </w:r>
    </w:p>
    <w:p>
      <w:pPr>
        <w:spacing w:after="0" w:line="165"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b w:val="1"/>
          <w:bCs w:val="1"/>
          <w:color w:val="auto"/>
        </w:rPr>
        <w:t>10.16 Counterparts</w:t>
      </w:r>
      <w:r>
        <w:rPr>
          <w:rFonts w:ascii="Arial" w:cs="Arial" w:eastAsia="Arial" w:hAnsi="Arial"/>
          <w:sz w:val="16"/>
          <w:szCs w:val="16"/>
          <w:color w:val="auto"/>
        </w:rPr>
        <w:t>. This Agreement may be executed in one or more identical counterparts, each of which shall be deemed to be an original, and</w:t>
      </w:r>
      <w:r>
        <w:rPr>
          <w:rFonts w:ascii="Arial" w:cs="Arial" w:eastAsia="Arial" w:hAnsi="Arial"/>
          <w:sz w:val="16"/>
          <w:szCs w:val="16"/>
          <w:b w:val="1"/>
          <w:bCs w:val="1"/>
          <w:color w:val="auto"/>
        </w:rPr>
        <w:t xml:space="preserve"> </w:t>
      </w:r>
      <w:r>
        <w:rPr>
          <w:rFonts w:ascii="Arial" w:cs="Arial" w:eastAsia="Arial" w:hAnsi="Arial"/>
          <w:sz w:val="16"/>
          <w:szCs w:val="16"/>
          <w:color w:val="auto"/>
        </w:rPr>
        <w:t>which collectively shall be deemed to be one and the same instrument. In addition, signatures may be exchanged by facsimile or PDF.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 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0" w:right="459" w:bottom="1440" w:gutter="0" w:footer="0" w:header="0"/>
        </w:sectPr>
      </w:pPr>
    </w:p>
    <w:bookmarkStart w:id="449" w:name="page450"/>
    <w:bookmarkEnd w:id="449"/>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by duly authorized persons executed this Agreement to be effective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LLC:</w:t>
            </w:r>
          </w:p>
        </w:tc>
      </w:tr>
      <w:tr>
        <w:trPr>
          <w:trHeight w:val="500"/>
        </w:trPr>
        <w:tc>
          <w:tcPr>
            <w:tcW w:w="518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By: [***]</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By: [***]</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Title: [***]</w:t>
            </w:r>
          </w:p>
        </w:tc>
        <w:tc>
          <w:tcPr>
            <w:tcW w:w="5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Date: July 8, 2020</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Date: July 8, 2020</w:t>
            </w:r>
          </w:p>
        </w:tc>
      </w:tr>
      <w:tr>
        <w:trPr>
          <w:trHeight w:val="364"/>
        </w:trPr>
        <w:tc>
          <w:tcPr>
            <w:tcW w:w="5180" w:type="dxa"/>
            <w:vAlign w:val="bottom"/>
          </w:tcPr>
          <w:p>
            <w:pPr>
              <w:spacing w:after="0"/>
              <w:rPr>
                <w:sz w:val="24"/>
                <w:szCs w:val="24"/>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52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50" w:name="page451"/>
    <w:bookmarkEnd w:id="450"/>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w:t>
      </w:r>
      <w:r>
        <w:rPr>
          <w:rFonts w:ascii="Arial" w:cs="Arial" w:eastAsia="Arial" w:hAnsi="Arial"/>
          <w:sz w:val="18"/>
          <w:szCs w:val="18"/>
          <w:b w:val="1"/>
          <w:bCs w:val="1"/>
          <w:color w:val="auto"/>
        </w:rPr>
        <w:t>V A</w:t>
      </w:r>
      <w:r>
        <w:rPr>
          <w:rFonts w:ascii="Arial" w:cs="Arial" w:eastAsia="Arial" w:hAnsi="Arial"/>
          <w:sz w:val="14"/>
          <w:szCs w:val="14"/>
          <w:b w:val="1"/>
          <w:bCs w:val="1"/>
          <w:color w:val="auto"/>
        </w:rPr>
        <w:t>NTIBODIES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 C</w:t>
      </w:r>
      <w:r>
        <w:rPr>
          <w:rFonts w:ascii="Arial" w:cs="Arial" w:eastAsia="Arial" w:hAnsi="Arial"/>
          <w:sz w:val="14"/>
          <w:szCs w:val="14"/>
          <w:b w:val="1"/>
          <w:bCs w:val="1"/>
          <w:color w:val="auto"/>
        </w:rPr>
        <w:t>O</w:t>
      </w:r>
      <w:r>
        <w:rPr>
          <w:rFonts w:ascii="Arial" w:cs="Arial" w:eastAsia="Arial" w:hAnsi="Arial"/>
          <w:sz w:val="18"/>
          <w:szCs w:val="18"/>
          <w:b w:val="1"/>
          <w:bCs w:val="1"/>
          <w:color w:val="auto"/>
        </w:rPr>
        <w:t>V A</w:t>
      </w:r>
      <w:r>
        <w:rPr>
          <w:rFonts w:ascii="Arial" w:cs="Arial" w:eastAsia="Arial" w:hAnsi="Arial"/>
          <w:sz w:val="14"/>
          <w:szCs w:val="14"/>
          <w:b w:val="1"/>
          <w:bCs w:val="1"/>
          <w:color w:val="auto"/>
        </w:rPr>
        <w:t>NTIBODY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 I</w:t>
      </w:r>
      <w:r>
        <w:rPr>
          <w:rFonts w:ascii="Arial" w:cs="Arial" w:eastAsia="Arial" w:hAnsi="Arial"/>
          <w:sz w:val="14"/>
          <w:szCs w:val="14"/>
          <w:b w:val="1"/>
          <w:bCs w:val="1"/>
          <w:color w:val="auto"/>
        </w:rPr>
        <w:t>NITIAL</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ORK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0019"/>
          </w:cols>
          <w:pgMar w:left="440" w:top="270" w:right="1440" w:bottom="1440" w:gutter="0" w:footer="0" w:header="0"/>
        </w:sectPr>
      </w:pPr>
    </w:p>
    <w:bookmarkStart w:id="451" w:name="page452"/>
    <w:bookmarkEnd w:id="451"/>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A</w:t>
      </w:r>
    </w:p>
    <w:p>
      <w:pPr>
        <w:spacing w:after="0" w:line="117" w:lineRule="exact"/>
        <w:rPr>
          <w:sz w:val="20"/>
          <w:szCs w:val="20"/>
          <w:color w:val="auto"/>
        </w:rPr>
      </w:pPr>
    </w:p>
    <w:p>
      <w:pPr>
        <w:jc w:val="right"/>
        <w:ind w:right="3579"/>
        <w:spacing w:after="0"/>
        <w:rPr>
          <w:sz w:val="20"/>
          <w:szCs w:val="20"/>
          <w:color w:val="auto"/>
        </w:rPr>
      </w:pPr>
      <w:r>
        <w:rPr>
          <w:rFonts w:ascii="Arial" w:cs="Arial" w:eastAsia="Arial" w:hAnsi="Arial"/>
          <w:sz w:val="18"/>
          <w:szCs w:val="18"/>
          <w:b w:val="1"/>
          <w:bCs w:val="1"/>
          <w:color w:val="auto"/>
        </w:rPr>
        <w:t>Adimab CoV Antibodies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0019"/>
          </w:cols>
          <w:pgMar w:left="440" w:top="270" w:right="1440" w:bottom="1440" w:gutter="0" w:footer="0" w:header="0"/>
        </w:sectPr>
      </w:pPr>
    </w:p>
    <w:bookmarkStart w:id="452" w:name="page453"/>
    <w:bookmarkEnd w:id="452"/>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B</w:t>
      </w:r>
    </w:p>
    <w:p>
      <w:pPr>
        <w:spacing w:after="0" w:line="117"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CoV Antibody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453" w:name="page454"/>
    <w:bookmarkEnd w:id="45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w:t>
      </w:r>
      <w:r>
        <w:rPr>
          <w:rFonts w:ascii="Arial" w:cs="Arial" w:eastAsia="Arial" w:hAnsi="Arial"/>
          <w:sz w:val="18"/>
          <w:szCs w:val="18"/>
          <w:b w:val="1"/>
          <w:bCs w:val="1"/>
          <w:color w:val="auto"/>
        </w:rPr>
        <w:t xml:space="preserve"> 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Initial Work Plan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9019"/>
          </w:cols>
          <w:pgMar w:left="1440" w:top="270" w:right="1440" w:bottom="1440" w:gutter="0" w:footer="0" w:header="0"/>
        </w:sectPr>
      </w:pPr>
    </w:p>
    <w:bookmarkStart w:id="454" w:name="page455"/>
    <w:bookmarkEnd w:id="454"/>
    <w:p>
      <w:pPr>
        <w:ind w:left="10120"/>
        <w:spacing w:after="0"/>
        <w:rPr>
          <w:sz w:val="20"/>
          <w:szCs w:val="20"/>
          <w:color w:val="auto"/>
        </w:rPr>
      </w:pPr>
      <w:r>
        <w:rPr>
          <w:rFonts w:ascii="Arial" w:cs="Arial" w:eastAsia="Arial" w:hAnsi="Arial"/>
          <w:sz w:val="17"/>
          <w:szCs w:val="17"/>
          <w:color w:val="auto"/>
        </w:rPr>
        <w:t>Exhibit 10.6</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AGREEMENT</w:t>
      </w:r>
    </w:p>
    <w:p>
      <w:pPr>
        <w:spacing w:after="0" w:line="225" w:lineRule="exact"/>
        <w:rPr>
          <w:sz w:val="20"/>
          <w:szCs w:val="20"/>
          <w:color w:val="auto"/>
        </w:rPr>
      </w:pPr>
    </w:p>
    <w:p>
      <w:pPr>
        <w:ind w:right="40" w:firstLine="440"/>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C</w:t>
      </w:r>
      <w:r>
        <w:rPr>
          <w:rFonts w:ascii="Arial" w:cs="Arial" w:eastAsia="Arial" w:hAnsi="Arial"/>
          <w:sz w:val="13"/>
          <w:szCs w:val="13"/>
          <w:b w:val="1"/>
          <w:bCs w:val="1"/>
          <w:color w:val="auto"/>
        </w:rPr>
        <w:t>OLLABORATION</w:t>
      </w:r>
      <w:r>
        <w:rPr>
          <w:rFonts w:ascii="Arial" w:cs="Arial" w:eastAsia="Arial" w:hAnsi="Arial"/>
          <w:sz w:val="17"/>
          <w:szCs w:val="17"/>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Agreement</w:t>
      </w:r>
      <w:r>
        <w:rPr>
          <w:rFonts w:ascii="Arial" w:cs="Arial" w:eastAsia="Arial" w:hAnsi="Arial"/>
          <w:sz w:val="17"/>
          <w:szCs w:val="17"/>
          <w:color w:val="auto"/>
        </w:rPr>
        <w:t>”) is made effective as of May 21, 2021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Adimab,</w:t>
      </w:r>
      <w:r>
        <w:rPr>
          <w:rFonts w:ascii="Arial" w:cs="Arial" w:eastAsia="Arial" w:hAnsi="Arial"/>
          <w:sz w:val="17"/>
          <w:szCs w:val="17"/>
          <w:b w:val="1"/>
          <w:bCs w:val="1"/>
          <w:color w:val="auto"/>
        </w:rPr>
        <w:t xml:space="preserve"> </w:t>
      </w:r>
      <w:r>
        <w:rPr>
          <w:rFonts w:ascii="Arial" w:cs="Arial" w:eastAsia="Arial" w:hAnsi="Arial"/>
          <w:sz w:val="17"/>
          <w:szCs w:val="17"/>
          <w:color w:val="auto"/>
        </w:rPr>
        <w:t>LLC, a Delaware limited liability company having an address at 7 Lucent Drive, Lebanon, NH 03766 (“</w:t>
      </w:r>
      <w:r>
        <w:rPr>
          <w:rFonts w:ascii="Arial" w:cs="Arial" w:eastAsia="Arial" w:hAnsi="Arial"/>
          <w:sz w:val="17"/>
          <w:szCs w:val="17"/>
          <w:b w:val="1"/>
          <w:bCs w:val="1"/>
          <w:color w:val="auto"/>
        </w:rPr>
        <w:t>Adimab</w:t>
      </w:r>
      <w:r>
        <w:rPr>
          <w:rFonts w:ascii="Arial" w:cs="Arial" w:eastAsia="Arial" w:hAnsi="Arial"/>
          <w:sz w:val="17"/>
          <w:szCs w:val="17"/>
          <w:color w:val="auto"/>
        </w:rPr>
        <w:t>”), and Adagio Therapeutics, Inc., a Delaware corporation having an address at 303 Wyman Street, Suite 300, Waltham, Massachusetts 02451 (“</w:t>
      </w:r>
      <w:r>
        <w:rPr>
          <w:rFonts w:ascii="Arial" w:cs="Arial" w:eastAsia="Arial" w:hAnsi="Arial"/>
          <w:sz w:val="17"/>
          <w:szCs w:val="17"/>
          <w:b w:val="1"/>
          <w:bCs w:val="1"/>
          <w:color w:val="auto"/>
        </w:rPr>
        <w:t>Adagio</w:t>
      </w:r>
      <w:r>
        <w:rPr>
          <w:rFonts w:ascii="Arial" w:cs="Arial" w:eastAsia="Arial" w:hAnsi="Arial"/>
          <w:sz w:val="17"/>
          <w:szCs w:val="17"/>
          <w:color w:val="auto"/>
        </w:rPr>
        <w: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ACKGROUND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Adimab is a leader in yeast-based, fully human antibody discovery and optimization using its proprietary core technology platform;</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Adagio is a biotechnology company in the business of, among other things, developing and commercializing therapeutic products;</w:t>
      </w:r>
    </w:p>
    <w:p>
      <w:pPr>
        <w:spacing w:after="0" w:line="237" w:lineRule="exact"/>
        <w:rPr>
          <w:sz w:val="20"/>
          <w:szCs w:val="20"/>
          <w:color w:val="auto"/>
        </w:rPr>
      </w:pPr>
    </w:p>
    <w:p>
      <w:pPr>
        <w:ind w:right="360" w:firstLine="440"/>
        <w:spacing w:after="0" w:line="312" w:lineRule="auto"/>
        <w:rPr>
          <w:sz w:val="20"/>
          <w:szCs w:val="20"/>
          <w:color w:val="auto"/>
        </w:rPr>
      </w:pPr>
      <w:r>
        <w:rPr>
          <w:rFonts w:ascii="Arial" w:cs="Arial" w:eastAsia="Arial" w:hAnsi="Arial"/>
          <w:sz w:val="17"/>
          <w:szCs w:val="17"/>
          <w:b w:val="1"/>
          <w:bCs w:val="1"/>
          <w:color w:val="auto"/>
        </w:rPr>
        <w:t>W</w:t>
      </w:r>
      <w:r>
        <w:rPr>
          <w:rFonts w:ascii="Arial" w:cs="Arial" w:eastAsia="Arial" w:hAnsi="Arial"/>
          <w:sz w:val="13"/>
          <w:szCs w:val="13"/>
          <w:b w:val="1"/>
          <w:bCs w:val="1"/>
          <w:color w:val="auto"/>
        </w:rPr>
        <w:t>HEREAS</w:t>
      </w:r>
      <w:r>
        <w:rPr>
          <w:rFonts w:ascii="Arial" w:cs="Arial" w:eastAsia="Arial" w:hAnsi="Arial"/>
          <w:sz w:val="17"/>
          <w:szCs w:val="17"/>
          <w:color w:val="auto"/>
        </w:rPr>
        <w:t>, Adagio and Adimab collaborate on a certain research program to discover and optimize antibodies against COVID-19 and related</w:t>
      </w:r>
      <w:r>
        <w:rPr>
          <w:rFonts w:ascii="Arial" w:cs="Arial" w:eastAsia="Arial" w:hAnsi="Arial"/>
          <w:sz w:val="17"/>
          <w:szCs w:val="17"/>
          <w:b w:val="1"/>
          <w:bCs w:val="1"/>
          <w:color w:val="auto"/>
        </w:rPr>
        <w:t xml:space="preserve"> </w:t>
      </w:r>
      <w:r>
        <w:rPr>
          <w:rFonts w:ascii="Arial" w:cs="Arial" w:eastAsia="Arial" w:hAnsi="Arial"/>
          <w:sz w:val="17"/>
          <w:szCs w:val="17"/>
          <w:color w:val="auto"/>
        </w:rPr>
        <w:t>viruses pursuant to an Assignment and License Agreement dated July 9, 2020 between the Parties (the “</w:t>
      </w:r>
      <w:r>
        <w:rPr>
          <w:rFonts w:ascii="Arial" w:cs="Arial" w:eastAsia="Arial" w:hAnsi="Arial"/>
          <w:sz w:val="17"/>
          <w:szCs w:val="17"/>
          <w:b w:val="1"/>
          <w:bCs w:val="1"/>
          <w:color w:val="auto"/>
        </w:rPr>
        <w:t>Existing Agreement</w:t>
      </w:r>
      <w:r>
        <w:rPr>
          <w:rFonts w:ascii="Arial" w:cs="Arial" w:eastAsia="Arial" w:hAnsi="Arial"/>
          <w:sz w:val="17"/>
          <w:szCs w:val="17"/>
          <w:color w:val="auto"/>
        </w:rPr>
        <w:t>”);</w:t>
      </w:r>
    </w:p>
    <w:p>
      <w:pPr>
        <w:spacing w:after="0" w:line="140"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Adagio wishes to collaborate with Adimab on discovery or optimization of antibodies against Target(s) (as defined below) of</w:t>
      </w:r>
      <w:r>
        <w:rPr>
          <w:rFonts w:ascii="Arial" w:cs="Arial" w:eastAsia="Arial" w:hAnsi="Arial"/>
          <w:sz w:val="18"/>
          <w:szCs w:val="18"/>
          <w:b w:val="1"/>
          <w:bCs w:val="1"/>
          <w:color w:val="auto"/>
        </w:rPr>
        <w:t xml:space="preserve"> </w:t>
      </w:r>
      <w:r>
        <w:rPr>
          <w:rFonts w:ascii="Arial" w:cs="Arial" w:eastAsia="Arial" w:hAnsi="Arial"/>
          <w:sz w:val="18"/>
          <w:szCs w:val="18"/>
          <w:color w:val="auto"/>
        </w:rPr>
        <w:t>Adagio’s choosing;</w:t>
      </w:r>
    </w:p>
    <w:p>
      <w:pPr>
        <w:spacing w:after="0" w:line="162"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4"/>
          <w:szCs w:val="14"/>
          <w:b w:val="1"/>
          <w:bCs w:val="1"/>
          <w:color w:val="auto"/>
        </w:rPr>
        <w:t>HEREAS</w:t>
      </w:r>
      <w:r>
        <w:rPr>
          <w:rFonts w:ascii="Arial" w:cs="Arial" w:eastAsia="Arial" w:hAnsi="Arial"/>
          <w:sz w:val="18"/>
          <w:szCs w:val="18"/>
          <w:color w:val="auto"/>
        </w:rPr>
        <w:t>, Adagio will have the option to develop, manufacture and commercialize the resulting Program-Benefited Antibodies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in accordance with the terms hereof; and</w:t>
      </w:r>
    </w:p>
    <w:p>
      <w:pPr>
        <w:spacing w:after="0" w:line="162" w:lineRule="exact"/>
        <w:rPr>
          <w:sz w:val="20"/>
          <w:szCs w:val="20"/>
          <w:color w:val="auto"/>
        </w:rPr>
      </w:pPr>
    </w:p>
    <w:p>
      <w:pPr>
        <w:ind w:right="600" w:firstLine="440"/>
        <w:spacing w:after="0" w:line="312"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3"/>
          <w:szCs w:val="13"/>
          <w:b w:val="1"/>
          <w:bCs w:val="1"/>
          <w:color w:val="auto"/>
        </w:rPr>
        <w:t>OW</w:t>
      </w:r>
      <w:r>
        <w:rPr>
          <w:rFonts w:ascii="Arial" w:cs="Arial" w:eastAsia="Arial" w:hAnsi="Arial"/>
          <w:sz w:val="17"/>
          <w:szCs w:val="17"/>
          <w:b w:val="1"/>
          <w:bCs w:val="1"/>
          <w:color w:val="auto"/>
        </w:rPr>
        <w:t>, T</w:t>
      </w:r>
      <w:r>
        <w:rPr>
          <w:rFonts w:ascii="Arial" w:cs="Arial" w:eastAsia="Arial" w:hAnsi="Arial"/>
          <w:sz w:val="13"/>
          <w:szCs w:val="13"/>
          <w:b w:val="1"/>
          <w:bCs w:val="1"/>
          <w:color w:val="auto"/>
        </w:rPr>
        <w:t>HEREFORE</w:t>
      </w:r>
      <w:r>
        <w:rPr>
          <w:rFonts w:ascii="Arial" w:cs="Arial" w:eastAsia="Arial" w:hAnsi="Arial"/>
          <w:sz w:val="17"/>
          <w:szCs w:val="17"/>
          <w:color w:val="auto"/>
        </w:rPr>
        <w:t>, in consideration of the foregoing premises and the mutual covenants set forth herein, and for other good and valuable</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the receipt and sufficiency of which is hereby acknowledged, Adimab and Adagio hereby agree as follows: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initially capitalized terms have the following meanings (and derivative forms of them will be interpreted accordingly):</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AAA</w:t>
      </w:r>
      <w:r>
        <w:rPr>
          <w:rFonts w:ascii="Arial" w:cs="Arial" w:eastAsia="Arial" w:hAnsi="Arial"/>
          <w:sz w:val="18"/>
          <w:szCs w:val="18"/>
          <w:color w:val="auto"/>
        </w:rPr>
        <w:t>” has the meaning set forth in Section 10.2(b) (</w:t>
      </w:r>
      <w:r>
        <w:rPr>
          <w:rFonts w:ascii="Arial" w:cs="Arial" w:eastAsia="Arial" w:hAnsi="Arial"/>
          <w:sz w:val="18"/>
          <w:szCs w:val="18"/>
          <w:i w:val="1"/>
          <w:iCs w:val="1"/>
          <w:color w:val="auto"/>
        </w:rPr>
        <w:t>Disputes Not Resolved Between the Parties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Adagio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Adagio Indemnitees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ectPr>
          <w:pgSz w:w="11900" w:h="16838" w:orient="portrait"/>
          <w:cols w:equalWidth="0" w:num="1">
            <w:col w:w="11020"/>
          </w:cols>
          <w:pgMar w:left="440" w:top="125" w:right="439" w:bottom="1440" w:gutter="0" w:footer="0" w:header="0"/>
        </w:sectPr>
      </w:pPr>
    </w:p>
    <w:bookmarkStart w:id="455" w:name="page456"/>
    <w:bookmarkEnd w:id="455"/>
    <w:p>
      <w:pPr>
        <w:ind w:right="12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 </w:t>
      </w:r>
      <w:r>
        <w:rPr>
          <w:rFonts w:ascii="Arial" w:cs="Arial" w:eastAsia="Arial" w:hAnsi="Arial"/>
          <w:sz w:val="18"/>
          <w:szCs w:val="18"/>
          <w:color w:val="auto"/>
        </w:rPr>
        <w:t>“</w:t>
      </w:r>
      <w:r>
        <w:rPr>
          <w:rFonts w:ascii="Arial" w:cs="Arial" w:eastAsia="Arial" w:hAnsi="Arial"/>
          <w:sz w:val="18"/>
          <w:szCs w:val="18"/>
          <w:b w:val="1"/>
          <w:bCs w:val="1"/>
          <w:color w:val="auto"/>
        </w:rPr>
        <w:t>Adagio Materials</w:t>
      </w:r>
      <w:r>
        <w:rPr>
          <w:rFonts w:ascii="Arial" w:cs="Arial" w:eastAsia="Arial" w:hAnsi="Arial"/>
          <w:sz w:val="18"/>
          <w:szCs w:val="18"/>
          <w:color w:val="auto"/>
        </w:rPr>
        <w:t>” means (a) any tangible biological or chemical materials (including antigen samples and other Know-How in the form of</w:t>
      </w:r>
      <w:r>
        <w:rPr>
          <w:rFonts w:ascii="Arial" w:cs="Arial" w:eastAsia="Arial" w:hAnsi="Arial"/>
          <w:sz w:val="18"/>
          <w:szCs w:val="18"/>
          <w:b w:val="1"/>
          <w:bCs w:val="1"/>
          <w:color w:val="auto"/>
        </w:rPr>
        <w:t xml:space="preserve"> </w:t>
      </w:r>
      <w:r>
        <w:rPr>
          <w:rFonts w:ascii="Arial" w:cs="Arial" w:eastAsia="Arial" w:hAnsi="Arial"/>
          <w:sz w:val="18"/>
          <w:szCs w:val="18"/>
          <w:color w:val="auto"/>
        </w:rPr>
        <w:t>tangible biological or chemical materials) provided by Adagio to Adimab under a Research Program (other than commercially available material purchased by Adagio and delivered to Adimab), and (b) from and after the time of the Option exercise for a Research Program, the quantities of Optioned Antibody to such Target provided to Adagio by Adimab under this Agreement or any Collaboration Agreement [***]. For clarity, [***] shall be Adagio Materials for purposes of this Agreement.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Adimab</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Adimab Indemnitees</w:t>
      </w:r>
      <w:r>
        <w:rPr>
          <w:rFonts w:ascii="Arial" w:cs="Arial" w:eastAsia="Arial" w:hAnsi="Arial"/>
          <w:sz w:val="18"/>
          <w:szCs w:val="18"/>
          <w:color w:val="auto"/>
        </w:rPr>
        <w:t>” has the meaning set forth in Section 8.2 (</w:t>
      </w:r>
      <w:r>
        <w:rPr>
          <w:rFonts w:ascii="Arial" w:cs="Arial" w:eastAsia="Arial" w:hAnsi="Arial"/>
          <w:sz w:val="18"/>
          <w:szCs w:val="18"/>
          <w:i w:val="1"/>
          <w:iCs w:val="1"/>
          <w:color w:val="auto"/>
        </w:rPr>
        <w:t>Indemnification by Adagio</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w:t>
      </w:r>
      <w:r>
        <w:rPr>
          <w:rFonts w:ascii="Arial" w:cs="Arial" w:eastAsia="Arial" w:hAnsi="Arial"/>
          <w:sz w:val="18"/>
          <w:szCs w:val="18"/>
          <w:b w:val="1"/>
          <w:bCs w:val="1"/>
          <w:color w:val="auto"/>
        </w:rPr>
        <w:t>Adimab Materials</w:t>
      </w:r>
      <w:r>
        <w:rPr>
          <w:rFonts w:ascii="Arial" w:cs="Arial" w:eastAsia="Arial" w:hAnsi="Arial"/>
          <w:sz w:val="18"/>
          <w:szCs w:val="18"/>
          <w:color w:val="auto"/>
        </w:rPr>
        <w:t>” means any tangible biological or chemical materials (including [***]) used or created by Adimab under a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including quantities of Program Antibodies [***], but excluding Adagio Materials.</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Adimab Platform Patents</w:t>
      </w:r>
      <w:r>
        <w:rPr>
          <w:rFonts w:ascii="Arial" w:cs="Arial" w:eastAsia="Arial" w:hAnsi="Arial"/>
          <w:sz w:val="18"/>
          <w:szCs w:val="18"/>
          <w:color w:val="auto"/>
        </w:rPr>
        <w:t>” means all Patents Adimab Controls during the Term that Cover Adimab Platform Technology, including Adimab</w:t>
      </w:r>
      <w:r>
        <w:rPr>
          <w:rFonts w:ascii="Arial" w:cs="Arial" w:eastAsia="Arial" w:hAnsi="Arial"/>
          <w:sz w:val="18"/>
          <w:szCs w:val="18"/>
          <w:b w:val="1"/>
          <w:bCs w:val="1"/>
          <w:color w:val="auto"/>
        </w:rPr>
        <w:t xml:space="preserve"> </w:t>
      </w:r>
      <w:r>
        <w:rPr>
          <w:rFonts w:ascii="Arial" w:cs="Arial" w:eastAsia="Arial" w:hAnsi="Arial"/>
          <w:sz w:val="18"/>
          <w:szCs w:val="18"/>
          <w:color w:val="auto"/>
        </w:rPr>
        <w:t>Platform Technology Improvements. (For clarity, Adimab Platform Patents exclude Program Antibody Patents.)</w:t>
      </w:r>
    </w:p>
    <w:p>
      <w:pPr>
        <w:spacing w:after="0" w:line="162"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color w:val="auto"/>
        </w:rPr>
        <w:t>“</w:t>
      </w:r>
      <w:r>
        <w:rPr>
          <w:rFonts w:ascii="Arial" w:cs="Arial" w:eastAsia="Arial" w:hAnsi="Arial"/>
          <w:sz w:val="16"/>
          <w:szCs w:val="16"/>
          <w:b w:val="1"/>
          <w:bCs w:val="1"/>
          <w:color w:val="auto"/>
        </w:rPr>
        <w:t>Adimab Platform Technology</w:t>
      </w:r>
      <w:r>
        <w:rPr>
          <w:rFonts w:ascii="Arial" w:cs="Arial" w:eastAsia="Arial" w:hAnsi="Arial"/>
          <w:sz w:val="16"/>
          <w:szCs w:val="16"/>
          <w:color w:val="auto"/>
        </w:rPr>
        <w:t>” means (a) the discovery and optimization of antibodies via methods that include [***], (b) all methods,</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other Know-How used in the foregoing, including in silico, data-driven and machine learning analyses and (c) platforms embodying, components, component steps and other portions of any of the foregoing in (a) or (b); in each case, solely to the extent the foregoing either (i) are Covered by Patents Controlled by Adimab or (ii) constitute Confidential Information of Adimab. For clarity, Adimab Platform Technology excludes Program Antibodies but includes technology used in the discovery and optimization of any Program Antibody, in each case not based on the specific composition of such Program Antibody (or any product containing a Program Antibody), but based instead on the manner in which such Program Antibody was discovered or optimized under a Research Program. Adimab Platform Technology includes Adimab Platform Technology Improvements.</w:t>
      </w:r>
    </w:p>
    <w:p>
      <w:pPr>
        <w:spacing w:after="0" w:line="16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Adimab Platform Technology Improvement</w:t>
      </w:r>
      <w:r>
        <w:rPr>
          <w:rFonts w:ascii="Arial" w:cs="Arial" w:eastAsia="Arial" w:hAnsi="Arial"/>
          <w:sz w:val="18"/>
          <w:szCs w:val="18"/>
          <w:color w:val="auto"/>
        </w:rPr>
        <w:t>” means (a) all Know-How developed or discovered and (b) all Program Inventions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of (a) and (b), by or on behalf of either Party in the conduct of a Research Program that are necessary or reasonably useful in the practice of the Adimab Platform Technology, including any and all improvements, enhancements, modifications, substitutions, alternatives or alterations to Adimab Platform Technology, but excluding any Know-How or Program Inventions directed to any specific Target or antibodies against any specific Target. For clarity, Program Inventions made by or on behalf of either Party in the conduct of a Research Program which are directed to the discovery, optimization, research, manufacture, or use of antibodies in general (as opposed to any specific Target or antibodies against a specific Target) will be Adimab Platform Technology Improvements.</w:t>
      </w:r>
    </w:p>
    <w:p>
      <w:pPr>
        <w:sectPr>
          <w:pgSz w:w="11900" w:h="16838" w:orient="portrait"/>
          <w:cols w:equalWidth="0" w:num="1">
            <w:col w:w="11000"/>
          </w:cols>
          <w:pgMar w:left="440" w:top="270" w:right="459" w:bottom="1440" w:gutter="0" w:footer="0" w:header="0"/>
        </w:sectPr>
      </w:pPr>
    </w:p>
    <w:bookmarkStart w:id="456" w:name="page457"/>
    <w:bookmarkEnd w:id="456"/>
    <w:p>
      <w:pPr>
        <w:ind w:right="2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1.11 </w:t>
      </w:r>
      <w:r>
        <w:rPr>
          <w:rFonts w:ascii="Arial" w:cs="Arial" w:eastAsia="Arial" w:hAnsi="Arial"/>
          <w:sz w:val="18"/>
          <w:szCs w:val="18"/>
          <w:color w:val="auto"/>
        </w:rPr>
        <w:t>“</w:t>
      </w:r>
      <w:r>
        <w:rPr>
          <w:rFonts w:ascii="Arial" w:cs="Arial" w:eastAsia="Arial" w:hAnsi="Arial"/>
          <w:sz w:val="18"/>
          <w:szCs w:val="18"/>
          <w:b w:val="1"/>
          <w:bCs w:val="1"/>
          <w:color w:val="auto"/>
        </w:rPr>
        <w:t>Adimab Validated Antigen</w:t>
      </w:r>
      <w:r>
        <w:rPr>
          <w:rFonts w:ascii="Arial" w:cs="Arial" w:eastAsia="Arial" w:hAnsi="Arial"/>
          <w:sz w:val="18"/>
          <w:szCs w:val="18"/>
          <w:color w:val="auto"/>
        </w:rPr>
        <w:t>” means any antigen provided by Adagio [***] and for which data is generated by Adimab in the course of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and any modified or derivative version of such antigen. For clarity, any modified or derivative form of any Adimab Validated Antigen will itself be an Adimab Validated Antigen.</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 entity that, directly or indirectly, through one or more intermediaries, controls, is controlled by or is under common</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with a Party. For this purpose, “control” means the ownership of fifty percent (50%) or more of the voting securities entitled to elect the directors or management of the entity, or the actual power to elect or direct the management of the entity. For clarity, Adagio and Adimab are not Affiliates for purposes of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Antigen Product</w:t>
      </w:r>
      <w:r>
        <w:rPr>
          <w:rFonts w:ascii="Arial" w:cs="Arial" w:eastAsia="Arial" w:hAnsi="Arial"/>
          <w:sz w:val="18"/>
          <w:szCs w:val="18"/>
          <w:color w:val="auto"/>
        </w:rPr>
        <w:t>” means a Product that contains one or more Adimab Validated Antigens and does not contain any Program-Benefited</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Back-Up Candidate</w:t>
      </w:r>
      <w:r>
        <w:rPr>
          <w:rFonts w:ascii="Arial" w:cs="Arial" w:eastAsia="Arial" w:hAnsi="Arial"/>
          <w:sz w:val="18"/>
          <w:szCs w:val="18"/>
          <w:color w:val="auto"/>
        </w:rPr>
        <w:t>” means a Product designated as a Back-Up Candidate by Adagio in accordance with Section 4.4(c) (</w:t>
      </w:r>
      <w:r>
        <w:rPr>
          <w:rFonts w:ascii="Arial" w:cs="Arial" w:eastAsia="Arial" w:hAnsi="Arial"/>
          <w:sz w:val="18"/>
          <w:szCs w:val="18"/>
          <w:i w:val="1"/>
          <w:iCs w:val="1"/>
          <w:color w:val="auto"/>
        </w:rPr>
        <w:t>Back-Up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Candidates</w:t>
      </w:r>
      <w:r>
        <w:rPr>
          <w:rFonts w:ascii="Arial" w:cs="Arial" w:eastAsia="Arial" w:hAnsi="Arial"/>
          <w:sz w:val="18"/>
          <w:szCs w:val="18"/>
          <w:color w:val="auto"/>
        </w:rPr>
        <w:t>), which Product is directed to the same Target (or, with respect to a multispecific antibody, the same set of Targets) as the designated Lead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 Agreement</w:t>
      </w:r>
      <w:r>
        <w:rPr>
          <w:rFonts w:ascii="Arial" w:cs="Arial" w:eastAsia="Arial" w:hAnsi="Arial"/>
          <w:sz w:val="18"/>
          <w:szCs w:val="18"/>
          <w:color w:val="auto"/>
        </w:rPr>
        <w:t>” means any agreement pursuant to which Adimab licenses antibodies that bind to the Target [***] to Adagio.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CDR</w:t>
      </w:r>
      <w:r>
        <w:rPr>
          <w:rFonts w:ascii="Arial" w:cs="Arial" w:eastAsia="Arial" w:hAnsi="Arial"/>
          <w:sz w:val="18"/>
          <w:szCs w:val="18"/>
          <w:color w:val="auto"/>
        </w:rPr>
        <w:t>” means a complementarity determining region of an antibody.</w:t>
      </w:r>
    </w:p>
    <w:p>
      <w:pPr>
        <w:spacing w:after="0" w:line="225"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with respect to a Party, (a) a merger or consolidation of such Party with a Third Party that results in the voting</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such Party outstanding immediately prior thereto, or any securities into which such voting securities have been converted or exchanged, ceasing to represent more than fifty percent (50%) of the combined voting power of the surviving entity or the parent of the surviving entity immediately after such merger or consolidation, or (b) a transaction or series of related transactions in which a Third Party, alone or together with its Affiliates, becomes the beneficial owner of more than fifty percent (50%) of the combined voting power of the outstanding securities of such Party, or (c) the sale or other transfer to a Third Party of all or substantially all of such Party’s assets to which the subject matter of this Agreement relates.</w:t>
      </w:r>
    </w:p>
    <w:p>
      <w:pPr>
        <w:spacing w:after="0" w:line="160"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Collaboration Agreement</w:t>
      </w:r>
      <w:r>
        <w:rPr>
          <w:rFonts w:ascii="Arial" w:cs="Arial" w:eastAsia="Arial" w:hAnsi="Arial"/>
          <w:sz w:val="18"/>
          <w:szCs w:val="18"/>
          <w:color w:val="auto"/>
        </w:rPr>
        <w:t>” means, if any, a Heterodimerization Agreement, a [***] Agreement, or any other agreement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explicitly deemed by the Parties to be a Collaboration Agreement.</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b w:val="1"/>
          <w:bCs w:val="1"/>
          <w:color w:val="auto"/>
        </w:rPr>
        <w:t xml:space="preserve">1.20 </w:t>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product containing an Optioned Antibody as well as one or more other active therapeutic ingredients.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foregoing, antibody-drug conjugates, nanoparticle conjugates, CAR-T products, multispecifics, formulations of multiple antibodies into a single product (</w:t>
      </w:r>
      <w:r>
        <w:rPr>
          <w:rFonts w:ascii="Arial" w:cs="Arial" w:eastAsia="Arial" w:hAnsi="Arial"/>
          <w:sz w:val="17"/>
          <w:szCs w:val="17"/>
          <w:i w:val="1"/>
          <w:iCs w:val="1"/>
          <w:color w:val="auto"/>
        </w:rPr>
        <w:t>e.g.</w:t>
      </w:r>
      <w:r>
        <w:rPr>
          <w:rFonts w:ascii="Arial" w:cs="Arial" w:eastAsia="Arial" w:hAnsi="Arial"/>
          <w:sz w:val="17"/>
          <w:szCs w:val="17"/>
          <w:color w:val="auto"/>
        </w:rPr>
        <w:t>, antibody cocktails), and the like will be deemed not to be Combination Products; [***].</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457" w:name="page458"/>
    <w:bookmarkEnd w:id="457"/>
    <w:p>
      <w:pPr>
        <w:ind w:right="140" w:firstLine="440"/>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1.21 </w:t>
      </w:r>
      <w:r>
        <w:rPr>
          <w:rFonts w:ascii="Arial" w:cs="Arial" w:eastAsia="Arial" w:hAnsi="Arial"/>
          <w:sz w:val="16"/>
          <w:szCs w:val="16"/>
          <w:color w:val="auto"/>
        </w:rPr>
        <w:t>“</w:t>
      </w:r>
      <w:r>
        <w:rPr>
          <w:rFonts w:ascii="Arial" w:cs="Arial" w:eastAsia="Arial" w:hAnsi="Arial"/>
          <w:sz w:val="16"/>
          <w:szCs w:val="16"/>
          <w:b w:val="1"/>
          <w:bCs w:val="1"/>
          <w:color w:val="auto"/>
        </w:rPr>
        <w:t>Commercially Reasonable Efforts</w:t>
      </w:r>
      <w:r>
        <w:rPr>
          <w:rFonts w:ascii="Arial" w:cs="Arial" w:eastAsia="Arial" w:hAnsi="Arial"/>
          <w:sz w:val="16"/>
          <w:szCs w:val="16"/>
          <w:color w:val="auto"/>
        </w:rPr>
        <w:t>” means with respect to each Party’s obligation under this Agreement to conduct a particular activity, a</w:t>
      </w:r>
      <w:r>
        <w:rPr>
          <w:rFonts w:ascii="Arial" w:cs="Arial" w:eastAsia="Arial" w:hAnsi="Arial"/>
          <w:sz w:val="16"/>
          <w:szCs w:val="16"/>
          <w:b w:val="1"/>
          <w:bCs w:val="1"/>
          <w:color w:val="auto"/>
        </w:rPr>
        <w:t xml:space="preserve"> </w:t>
      </w:r>
      <w:r>
        <w:rPr>
          <w:rFonts w:ascii="Arial" w:cs="Arial" w:eastAsia="Arial" w:hAnsi="Arial"/>
          <w:sz w:val="16"/>
          <w:szCs w:val="16"/>
          <w:color w:val="auto"/>
        </w:rPr>
        <w:t>level of efforts and resources similar to those efforts and resources normally used by such Party for a similar product owned by it or to which it has rights, which product is at a similar stage in its development or product life and is of similar market potential, based on conditions then prevailing and taking into account safety, efficacy, product profile, the competitiveness of the marketplace, the proprietary position of the product, the regulatory structure involved, the market potential and profitability of the product, and other relevant scientific, technical and commercial factors.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has the meaning set forth in Section 6.1(a) (</w:t>
      </w:r>
      <w:r>
        <w:rPr>
          <w:rFonts w:ascii="Arial" w:cs="Arial" w:eastAsia="Arial" w:hAnsi="Arial"/>
          <w:sz w:val="18"/>
          <w:szCs w:val="18"/>
          <w:i w:val="1"/>
          <w:iCs w:val="1"/>
          <w:color w:val="auto"/>
        </w:rPr>
        <w:t>Ownership of Confidential Information</w:t>
      </w:r>
      <w:r>
        <w:rPr>
          <w:rFonts w:ascii="Arial" w:cs="Arial" w:eastAsia="Arial" w:hAnsi="Arial"/>
          <w:sz w:val="18"/>
          <w:szCs w:val="18"/>
          <w:color w:val="auto"/>
        </w:rPr>
        <w:t>).</w:t>
      </w:r>
    </w:p>
    <w:p>
      <w:pPr>
        <w:spacing w:after="0" w:line="225"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with respect to any Know-How or Patent, possession by a Party, whether by ownership or license (other than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of the ability to grant a license or sublicense as provided for in this Agreement without violating the terms of any written agreement with any Third Party.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a particular item and a particular Patent, that, in any of the countries of manufacture, use, or sale, (a)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composition of such item; (b) a method of making such item that is actually used in the manufacturing process at the relevant time; or (c) a method of using such item in a manner that is included in an IND or approved label for such item; in each case of (a) through (c), would, in the absence of a license or assignment, infringe a valid claim of such Patent.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Delivery Fee</w:t>
      </w:r>
      <w:r>
        <w:rPr>
          <w:rFonts w:ascii="Arial" w:cs="Arial" w:eastAsia="Arial" w:hAnsi="Arial"/>
          <w:sz w:val="18"/>
          <w:szCs w:val="18"/>
          <w:color w:val="auto"/>
        </w:rPr>
        <w:t>” means the Naïve Discovery Delivery Fee and the Optimization Completion Fee.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set forth in Section 10.2(a)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Evaluation Term</w:t>
      </w:r>
      <w:r>
        <w:rPr>
          <w:rFonts w:ascii="Arial" w:cs="Arial" w:eastAsia="Arial" w:hAnsi="Arial"/>
          <w:sz w:val="18"/>
          <w:szCs w:val="18"/>
          <w:color w:val="auto"/>
        </w:rPr>
        <w:t>” means, with respect to a Research Program, the time period beginning upon the Final Delivery with respect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and ending on the earliest of (a) exercise of the Option, (b) the commencement of IND-enabling toxicology studies with respect to a Product containing Program-Benefited Antibodies from such Research Program, (c) the disclosure by Adagio of the sequence of any Program-Benefited Antibody (including via Patent prosecution), (d) the entering into of a Licensee Agreement with respect to Program-Benefited Antibodies from such Research Program, or (e) [***] after Final Delivery; [***].</w:t>
      </w:r>
    </w:p>
    <w:p>
      <w:pPr>
        <w:spacing w:after="0" w:line="183"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Excluded Adimab Technology</w:t>
      </w:r>
      <w:r>
        <w:rPr>
          <w:rFonts w:ascii="Arial" w:cs="Arial" w:eastAsia="Arial" w:hAnsi="Arial"/>
          <w:sz w:val="18"/>
          <w:szCs w:val="18"/>
          <w:color w:val="auto"/>
        </w:rPr>
        <w:t>” means technology (and the Patents that Cover and the Know-How that embodies such technology), owned</w:t>
      </w:r>
      <w:r>
        <w:rPr>
          <w:rFonts w:ascii="Arial" w:cs="Arial" w:eastAsia="Arial" w:hAnsi="Arial"/>
          <w:sz w:val="18"/>
          <w:szCs w:val="18"/>
          <w:b w:val="1"/>
          <w:bCs w:val="1"/>
          <w:color w:val="auto"/>
        </w:rPr>
        <w:t xml:space="preserve"> </w:t>
      </w:r>
      <w:r>
        <w:rPr>
          <w:rFonts w:ascii="Arial" w:cs="Arial" w:eastAsia="Arial" w:hAnsi="Arial"/>
          <w:sz w:val="18"/>
          <w:szCs w:val="18"/>
          <w:color w:val="auto"/>
        </w:rPr>
        <w:t>or Controlled by Adimab related to:</w:t>
      </w:r>
    </w:p>
    <w:p>
      <w:pPr>
        <w:spacing w:after="0" w:line="58" w:lineRule="exact"/>
        <w:rPr>
          <w:sz w:val="20"/>
          <w:szCs w:val="20"/>
          <w:color w:val="auto"/>
        </w:rPr>
      </w:pPr>
    </w:p>
    <w:p>
      <w:pPr>
        <w:ind w:right="60" w:firstLine="987"/>
        <w:spacing w:after="0" w:line="277" w:lineRule="auto"/>
        <w:tabs>
          <w:tab w:leader="none" w:pos="1246"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methods of use or treatment using any particular antibodies (or other particular constructs) or products containing particular antibodies (or other particular constructs);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37"/>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7"/>
        </w:numPr>
        <w:rPr>
          <w:rFonts w:ascii="Arial" w:cs="Arial" w:eastAsia="Arial" w:hAnsi="Arial"/>
          <w:sz w:val="17"/>
          <w:szCs w:val="17"/>
          <w:b w:val="1"/>
          <w:bCs w:val="1"/>
          <w:color w:val="auto"/>
        </w:rPr>
      </w:pPr>
      <w:r>
        <w:rPr>
          <w:rFonts w:ascii="Arial" w:cs="Arial" w:eastAsia="Arial" w:hAnsi="Arial"/>
          <w:sz w:val="17"/>
          <w:szCs w:val="17"/>
          <w:color w:val="auto"/>
        </w:rPr>
        <w:t>manufacturing, purification, or production of antibodies or products other than in connection with the discovery and optimization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antibodies;</w:t>
      </w:r>
    </w:p>
    <w:p>
      <w:pPr>
        <w:sectPr>
          <w:pgSz w:w="11900" w:h="16838" w:orient="portrait"/>
          <w:cols w:equalWidth="0" w:num="1">
            <w:col w:w="11000"/>
          </w:cols>
          <w:pgMar w:left="440" w:top="270" w:right="459" w:bottom="1440" w:gutter="0" w:footer="0" w:header="0"/>
        </w:sectPr>
      </w:pPr>
    </w:p>
    <w:bookmarkStart w:id="458" w:name="page459"/>
    <w:bookmarkEnd w:id="458"/>
    <w:p>
      <w:pPr>
        <w:ind w:right="300" w:firstLine="987"/>
        <w:spacing w:after="0" w:line="277" w:lineRule="auto"/>
        <w:tabs>
          <w:tab w:leader="none" w:pos="1256"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antibody modification technology, including technology relating to pegylation, heterodimerization, half-life extension, linkers, tethers, conjugation, or other modifications;</w:t>
      </w:r>
    </w:p>
    <w:p>
      <w:pPr>
        <w:spacing w:after="0" w:line="170" w:lineRule="exact"/>
        <w:rPr>
          <w:rFonts w:ascii="Arial" w:cs="Arial" w:eastAsia="Arial" w:hAnsi="Arial"/>
          <w:sz w:val="18"/>
          <w:szCs w:val="18"/>
          <w:b w:val="1"/>
          <w:bCs w:val="1"/>
          <w:color w:val="auto"/>
        </w:rPr>
      </w:pPr>
    </w:p>
    <w:p>
      <w:pPr>
        <w:ind w:firstLine="987"/>
        <w:spacing w:after="0" w:line="263" w:lineRule="auto"/>
        <w:tabs>
          <w:tab w:leader="none" w:pos="1236"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any Target (including any antigen representation thereof), or any mechanism of action via interaction with a Target, or antibodies based on their interaction with a Target, or antibodies having been tested for their activity against a Target in a biological assay, or other methods of using antibodies;</w:t>
      </w:r>
    </w:p>
    <w:p>
      <w:pPr>
        <w:spacing w:after="0" w:line="183" w:lineRule="exact"/>
        <w:rPr>
          <w:rFonts w:ascii="Arial" w:cs="Arial" w:eastAsia="Arial" w:hAnsi="Arial"/>
          <w:sz w:val="18"/>
          <w:szCs w:val="18"/>
          <w:b w:val="1"/>
          <w:bCs w:val="1"/>
          <w:color w:val="auto"/>
        </w:rPr>
      </w:pPr>
    </w:p>
    <w:p>
      <w:pPr>
        <w:ind w:right="540" w:firstLine="987"/>
        <w:spacing w:after="0" w:line="277" w:lineRule="auto"/>
        <w:tabs>
          <w:tab w:leader="none" w:pos="1216"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if other than an IgG, the format, construct or components of any Product, including the format, construct, and components of an antibody-drug conjugate, a CAR-T, a multispecific, a nanoparticle conjugate, and the like; and</w:t>
      </w:r>
    </w:p>
    <w:p>
      <w:pPr>
        <w:spacing w:after="0" w:line="170"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8"/>
        </w:numPr>
        <w:rPr>
          <w:rFonts w:ascii="Arial" w:cs="Arial" w:eastAsia="Arial" w:hAnsi="Arial"/>
          <w:sz w:val="18"/>
          <w:szCs w:val="18"/>
          <w:b w:val="1"/>
          <w:bCs w:val="1"/>
          <w:color w:val="auto"/>
        </w:rPr>
      </w:pPr>
      <w:r>
        <w:rPr>
          <w:rFonts w:ascii="Arial" w:cs="Arial" w:eastAsia="Arial" w:hAnsi="Arial"/>
          <w:sz w:val="18"/>
          <w:szCs w:val="18"/>
          <w:color w:val="auto"/>
        </w:rPr>
        <w:t>technology related to anything other than the manner in which Adimab discovered or optimized a Program Antibody.</w:t>
      </w:r>
    </w:p>
    <w:p>
      <w:pPr>
        <w:spacing w:after="0" w:line="221"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Excluded Third Party Technology</w:t>
      </w:r>
      <w:r>
        <w:rPr>
          <w:rFonts w:ascii="Arial" w:cs="Arial" w:eastAsia="Arial" w:hAnsi="Arial"/>
          <w:sz w:val="18"/>
          <w:szCs w:val="18"/>
          <w:color w:val="auto"/>
        </w:rPr>
        <w:t>” means technology (and the Patents that Cover and the Know-How that embodies such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Program Invention, owned or Controlled by a Third Party related to:</w:t>
      </w:r>
    </w:p>
    <w:p>
      <w:pPr>
        <w:spacing w:after="0" w:line="58" w:lineRule="exact"/>
        <w:rPr>
          <w:sz w:val="20"/>
          <w:szCs w:val="20"/>
          <w:color w:val="auto"/>
        </w:rPr>
      </w:pPr>
    </w:p>
    <w:p>
      <w:pPr>
        <w:ind w:right="20" w:firstLine="987"/>
        <w:spacing w:after="0" w:line="277" w:lineRule="auto"/>
        <w:tabs>
          <w:tab w:leader="none" w:pos="1246"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methods of use or treatment using any particular antibodies (or other particular constructs) or products containing particular antibodies (or other particular constructs);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product formulation;</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9"/>
        </w:numPr>
        <w:rPr>
          <w:rFonts w:ascii="Arial" w:cs="Arial" w:eastAsia="Arial" w:hAnsi="Arial"/>
          <w:sz w:val="16"/>
          <w:szCs w:val="16"/>
          <w:b w:val="1"/>
          <w:bCs w:val="1"/>
          <w:color w:val="auto"/>
        </w:rPr>
      </w:pPr>
      <w:r>
        <w:rPr>
          <w:rFonts w:ascii="Arial" w:cs="Arial" w:eastAsia="Arial" w:hAnsi="Arial"/>
          <w:sz w:val="16"/>
          <w:szCs w:val="16"/>
          <w:color w:val="auto"/>
        </w:rPr>
        <w:t>manufacturing, purification, or production of antibodies or products other than in connection with the discovery and optimization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antibodies;</w:t>
      </w:r>
    </w:p>
    <w:p>
      <w:pPr>
        <w:spacing w:after="0" w:line="210" w:lineRule="exact"/>
        <w:rPr>
          <w:rFonts w:ascii="Arial" w:cs="Arial" w:eastAsia="Arial" w:hAnsi="Arial"/>
          <w:sz w:val="16"/>
          <w:szCs w:val="16"/>
          <w:b w:val="1"/>
          <w:bCs w:val="1"/>
          <w:color w:val="auto"/>
        </w:rPr>
      </w:pPr>
    </w:p>
    <w:p>
      <w:pPr>
        <w:ind w:right="300" w:firstLine="987"/>
        <w:spacing w:after="0" w:line="277" w:lineRule="auto"/>
        <w:tabs>
          <w:tab w:leader="none" w:pos="1256"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any antibody modification technology, including technology relating to pegylation, heterodimerization, half-life extension, linkers, tethers, conjugation, or other modifications;</w:t>
      </w:r>
    </w:p>
    <w:p>
      <w:pPr>
        <w:spacing w:after="0" w:line="170" w:lineRule="exact"/>
        <w:rPr>
          <w:rFonts w:ascii="Arial" w:cs="Arial" w:eastAsia="Arial" w:hAnsi="Arial"/>
          <w:sz w:val="18"/>
          <w:szCs w:val="18"/>
          <w:b w:val="1"/>
          <w:bCs w:val="1"/>
          <w:color w:val="auto"/>
        </w:rPr>
      </w:pPr>
    </w:p>
    <w:p>
      <w:pPr>
        <w:ind w:right="460" w:firstLine="987"/>
        <w:spacing w:after="0" w:line="277" w:lineRule="auto"/>
        <w:tabs>
          <w:tab w:leader="none" w:pos="1236"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technology used in activities performed by or on behalf of Adagio or its Licensees (but for clarity not used by Adimab under this Agreement), including assays, in vivo testing, and modifications to Program-Benefited Antibodies;</w:t>
      </w:r>
    </w:p>
    <w:p>
      <w:pPr>
        <w:spacing w:after="0" w:line="170" w:lineRule="exact"/>
        <w:rPr>
          <w:rFonts w:ascii="Arial" w:cs="Arial" w:eastAsia="Arial" w:hAnsi="Arial"/>
          <w:sz w:val="18"/>
          <w:szCs w:val="18"/>
          <w:b w:val="1"/>
          <w:bCs w:val="1"/>
          <w:color w:val="auto"/>
        </w:rPr>
      </w:pPr>
    </w:p>
    <w:p>
      <w:pPr>
        <w:ind w:right="20" w:firstLine="987"/>
        <w:spacing w:after="0" w:line="263" w:lineRule="auto"/>
        <w:tabs>
          <w:tab w:leader="none" w:pos="1216"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any Target (including any antigen representation thereof), or any mechanism of action via interaction with a Target, or antibodies based on their interaction with a Target, or antibodies having been tested for their activity against a Target in a biological assay, or other methods of using antibodies;</w:t>
      </w:r>
    </w:p>
    <w:p>
      <w:pPr>
        <w:spacing w:after="0" w:line="183"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the use of Adagio Materials;</w:t>
      </w:r>
    </w:p>
    <w:p>
      <w:pPr>
        <w:spacing w:after="0" w:line="225" w:lineRule="exact"/>
        <w:rPr>
          <w:rFonts w:ascii="Arial" w:cs="Arial" w:eastAsia="Arial" w:hAnsi="Arial"/>
          <w:sz w:val="18"/>
          <w:szCs w:val="18"/>
          <w:b w:val="1"/>
          <w:bCs w:val="1"/>
          <w:color w:val="auto"/>
        </w:rPr>
      </w:pPr>
    </w:p>
    <w:p>
      <w:pPr>
        <w:ind w:right="500" w:firstLine="987"/>
        <w:spacing w:after="0" w:line="277" w:lineRule="auto"/>
        <w:tabs>
          <w:tab w:leader="none" w:pos="1256" w:val="left"/>
        </w:tabs>
        <w:numPr>
          <w:ilvl w:val="0"/>
          <w:numId w:val="339"/>
        </w:numPr>
        <w:rPr>
          <w:rFonts w:ascii="Arial" w:cs="Arial" w:eastAsia="Arial" w:hAnsi="Arial"/>
          <w:sz w:val="18"/>
          <w:szCs w:val="18"/>
          <w:b w:val="1"/>
          <w:bCs w:val="1"/>
          <w:color w:val="auto"/>
        </w:rPr>
      </w:pPr>
      <w:r>
        <w:rPr>
          <w:rFonts w:ascii="Arial" w:cs="Arial" w:eastAsia="Arial" w:hAnsi="Arial"/>
          <w:sz w:val="18"/>
          <w:szCs w:val="18"/>
          <w:color w:val="auto"/>
        </w:rPr>
        <w:t>if other than an IgG, the format, construct or components of any Product, including the format, construct, and components of an antibody-drug conjugate, a CAR-T, a multispecific, a nanoparticle conjugate, and the like; and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459" w:name="page460"/>
    <w:bookmarkEnd w:id="459"/>
    <w:p>
      <w:pPr>
        <w:ind w:left="1200" w:hanging="213"/>
        <w:spacing w:after="0"/>
        <w:tabs>
          <w:tab w:leader="none" w:pos="1200" w:val="left"/>
        </w:tabs>
        <w:numPr>
          <w:ilvl w:val="0"/>
          <w:numId w:val="34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technology related to anything other than the manner in which Adimab discovered or optimized a Program Antibody.</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therapeutic or prophylactic uses in human disease.</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w:t>
      </w:r>
      <w:r>
        <w:rPr>
          <w:rFonts w:ascii="Arial" w:cs="Arial" w:eastAsia="Arial" w:hAnsi="Arial"/>
          <w:sz w:val="17"/>
          <w:szCs w:val="17"/>
          <w:b w:val="1"/>
          <w:bCs w:val="1"/>
          <w:color w:val="auto"/>
        </w:rPr>
        <w:t>Final Delivery</w:t>
      </w:r>
      <w:r>
        <w:rPr>
          <w:rFonts w:ascii="Arial" w:cs="Arial" w:eastAsia="Arial" w:hAnsi="Arial"/>
          <w:sz w:val="17"/>
          <w:szCs w:val="17"/>
          <w:color w:val="auto"/>
        </w:rPr>
        <w:t>” means, on a Research Program-by-Research Program basis, the delivery by Adimab to Adagio of sequences of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Antibodies from Adimab’s work under a Research Plan for such Research Program. For clarity, if there are multiple deliveries of sequences of Program Antibodies during the course of a Research Program (</w:t>
      </w:r>
      <w:r>
        <w:rPr>
          <w:rFonts w:ascii="Arial" w:cs="Arial" w:eastAsia="Arial" w:hAnsi="Arial"/>
          <w:sz w:val="17"/>
          <w:szCs w:val="17"/>
          <w:i w:val="1"/>
          <w:iCs w:val="1"/>
          <w:color w:val="auto"/>
        </w:rPr>
        <w:t>e.g.</w:t>
      </w:r>
      <w:r>
        <w:rPr>
          <w:rFonts w:ascii="Arial" w:cs="Arial" w:eastAsia="Arial" w:hAnsi="Arial"/>
          <w:sz w:val="17"/>
          <w:szCs w:val="17"/>
          <w:color w:val="auto"/>
        </w:rPr>
        <w:t xml:space="preserve">, one delivery with respect to the Program Antibodies generated through the initial discovery process and a subsequent delivery of sequences of Program Antibodies with respect to optimization of the initially delivered Program Antibodies into new, optimized Program Antibodies), then Final Delivery will mean only the last of such deliveries;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 passes from the most recent delivery of Program Antibodies from Adimab to Adagio under a Research Program and Adagio has not submitted a list of Program Antibodies for additional work (</w:t>
      </w:r>
      <w:r>
        <w:rPr>
          <w:rFonts w:ascii="Arial" w:cs="Arial" w:eastAsia="Arial" w:hAnsi="Arial"/>
          <w:sz w:val="17"/>
          <w:szCs w:val="17"/>
          <w:i w:val="1"/>
          <w:iCs w:val="1"/>
          <w:color w:val="auto"/>
        </w:rPr>
        <w:t>e.g.</w:t>
      </w:r>
      <w:r>
        <w:rPr>
          <w:rFonts w:ascii="Arial" w:cs="Arial" w:eastAsia="Arial" w:hAnsi="Arial"/>
          <w:sz w:val="17"/>
          <w:szCs w:val="17"/>
          <w:color w:val="auto"/>
        </w:rPr>
        <w:t xml:space="preserve">, optimization) with respect to such Research Program, then such delivery will be deemed to be the Final Delivery under such Research Program, even if the possibility exists that Adimab will perform additional work with respect to such Research Program;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Adimab actually subsequently performs additional work with respect to such Research Program, then the Final Delivery shall</w:t>
      </w:r>
      <w:r>
        <w:rPr>
          <w:rFonts w:ascii="Arial" w:cs="Arial" w:eastAsia="Arial" w:hAnsi="Arial"/>
          <w:sz w:val="17"/>
          <w:szCs w:val="17"/>
          <w:i w:val="1"/>
          <w:iCs w:val="1"/>
          <w:color w:val="auto"/>
        </w:rPr>
        <w:t xml:space="preserve"> </w:t>
      </w:r>
      <w:r>
        <w:rPr>
          <w:rFonts w:ascii="Arial" w:cs="Arial" w:eastAsia="Arial" w:hAnsi="Arial"/>
          <w:sz w:val="17"/>
          <w:szCs w:val="17"/>
          <w:color w:val="auto"/>
        </w:rPr>
        <w:t>not be extended for the purpose of determining the Evaluation Term but shall be extended for the purpose of determining the Research Program (and related definitions).</w:t>
      </w:r>
    </w:p>
    <w:p>
      <w:pPr>
        <w:spacing w:after="0" w:line="182"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Final Optioned Antibody Selection Date</w:t>
      </w:r>
      <w:r>
        <w:rPr>
          <w:rFonts w:ascii="Arial" w:cs="Arial" w:eastAsia="Arial" w:hAnsi="Arial"/>
          <w:sz w:val="18"/>
          <w:szCs w:val="18"/>
          <w:color w:val="auto"/>
        </w:rPr>
        <w:t>” means (a) if Adagio identifies [***] Program Antibodies as Optioned Antibodies in its Option</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the date of such Option exercise or (b) if Adagio does not identify [***] Program Antibodies as Optioned Antibodies in its Option exercise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the date that is the earlier of (i) Adagio identifying [***] Program Antibodies as Optioned Antibodies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and (ii) the [***] of the exercise of such Option for such Research Program.</w:t>
      </w:r>
    </w:p>
    <w:p>
      <w:pPr>
        <w:spacing w:after="0" w:line="18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in any country, the first sale, transfer or disposition for value or for end use or</w:t>
      </w:r>
      <w:r>
        <w:rPr>
          <w:rFonts w:ascii="Arial" w:cs="Arial" w:eastAsia="Arial" w:hAnsi="Arial"/>
          <w:sz w:val="18"/>
          <w:szCs w:val="18"/>
          <w:b w:val="1"/>
          <w:bCs w:val="1"/>
          <w:color w:val="auto"/>
        </w:rPr>
        <w:t xml:space="preserve"> </w:t>
      </w:r>
      <w:r>
        <w:rPr>
          <w:rFonts w:ascii="Arial" w:cs="Arial" w:eastAsia="Arial" w:hAnsi="Arial"/>
          <w:sz w:val="18"/>
          <w:szCs w:val="18"/>
          <w:color w:val="auto"/>
        </w:rPr>
        <w:t>consumption of such Product in such country after Marketing Approval (and, if applicable, pricing approval) for such Product has been received in such country.</w:t>
      </w:r>
    </w:p>
    <w:p>
      <w:pPr>
        <w:spacing w:after="0" w:line="176" w:lineRule="exact"/>
        <w:rPr>
          <w:sz w:val="20"/>
          <w:szCs w:val="20"/>
          <w:color w:val="auto"/>
        </w:rPr>
      </w:pPr>
    </w:p>
    <w:p>
      <w:pPr>
        <w:ind w:right="240" w:firstLine="440"/>
        <w:spacing w:after="0" w:line="281"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Force Majeure</w:t>
      </w:r>
      <w:r>
        <w:rPr>
          <w:rFonts w:ascii="Arial" w:cs="Arial" w:eastAsia="Arial" w:hAnsi="Arial"/>
          <w:sz w:val="17"/>
          <w:szCs w:val="17"/>
          <w:color w:val="auto"/>
        </w:rPr>
        <w:t>” means conditions beyond a Party’s reasonable control or ability to plan for, including acts of God, war, pandemic,</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terrorism, civil commotion, labor strike or lock-out; epidemic; failure or default of public utilities or common carriers; and destruction of facilities or materials by fire, earthquake, storm or like catastrophe.; </w:t>
      </w:r>
      <w:r>
        <w:rPr>
          <w:rFonts w:ascii="Arial" w:cs="Arial" w:eastAsia="Arial" w:hAnsi="Arial"/>
          <w:sz w:val="17"/>
          <w:szCs w:val="17"/>
          <w:i w:val="1"/>
          <w:iCs w:val="1"/>
          <w:color w:val="auto"/>
        </w:rPr>
        <w:t>provided, however</w:t>
      </w:r>
      <w:r>
        <w:rPr>
          <w:rFonts w:ascii="Arial" w:cs="Arial" w:eastAsia="Arial" w:hAnsi="Arial"/>
          <w:sz w:val="17"/>
          <w:szCs w:val="17"/>
          <w:color w:val="auto"/>
        </w:rPr>
        <w:t>, the payment of invoices due and owing under this Agreement will not be excused by reason of a Force Majeure affecting the payor unless such Force Majeure event affects banking or the transfer of funds.</w:t>
      </w:r>
    </w:p>
    <w:p>
      <w:pPr>
        <w:spacing w:after="0" w:line="165" w:lineRule="exact"/>
        <w:rPr>
          <w:sz w:val="20"/>
          <w:szCs w:val="20"/>
          <w:color w:val="auto"/>
        </w:rPr>
      </w:pPr>
    </w:p>
    <w:p>
      <w:pPr>
        <w:ind w:right="120" w:firstLine="440"/>
        <w:spacing w:after="0" w:line="281"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FTE</w:t>
      </w:r>
      <w:r>
        <w:rPr>
          <w:rFonts w:ascii="Arial" w:cs="Arial" w:eastAsia="Arial" w:hAnsi="Arial"/>
          <w:sz w:val="17"/>
          <w:szCs w:val="17"/>
          <w:color w:val="auto"/>
        </w:rPr>
        <w:t>” means the equivalent of a full-time employee’s working days over a [***] period (taking account of normal vacations, sick days and</w:t>
      </w:r>
      <w:r>
        <w:rPr>
          <w:rFonts w:ascii="Arial" w:cs="Arial" w:eastAsia="Arial" w:hAnsi="Arial"/>
          <w:sz w:val="17"/>
          <w:szCs w:val="17"/>
          <w:b w:val="1"/>
          <w:bCs w:val="1"/>
          <w:color w:val="auto"/>
        </w:rPr>
        <w:t xml:space="preserve"> </w:t>
      </w:r>
      <w:r>
        <w:rPr>
          <w:rFonts w:ascii="Arial" w:cs="Arial" w:eastAsia="Arial" w:hAnsi="Arial"/>
          <w:sz w:val="17"/>
          <w:szCs w:val="17"/>
          <w:color w:val="auto"/>
        </w:rPr>
        <w:t>holidays not being considered working days), which equates to a total of [***] period of work performed by a fully qualified Adimab employee or consultant in a Research Program. To provide an FTE over a given period that is less than a year means to provide the proportionate share (corresponding to the proportion that such period bears to a full year) during such period of a full year’s FTE.</w:t>
      </w:r>
    </w:p>
    <w:p>
      <w:pPr>
        <w:sectPr>
          <w:pgSz w:w="11900" w:h="16838" w:orient="portrait"/>
          <w:cols w:equalWidth="0" w:num="1">
            <w:col w:w="10980"/>
          </w:cols>
          <w:pgMar w:left="440" w:top="274" w:right="479" w:bottom="1440" w:gutter="0" w:footer="0" w:header="0"/>
        </w:sectPr>
      </w:pPr>
    </w:p>
    <w:bookmarkStart w:id="460" w:name="page461"/>
    <w:bookmarkEnd w:id="460"/>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1.37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 per FTE.</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Heterodimerization Agreement</w:t>
      </w:r>
      <w:r>
        <w:rPr>
          <w:rFonts w:ascii="Arial" w:cs="Arial" w:eastAsia="Arial" w:hAnsi="Arial"/>
          <w:sz w:val="18"/>
          <w:szCs w:val="18"/>
          <w:color w:val="auto"/>
        </w:rPr>
        <w:t>” means any agreement pursuant to which Adimab licenses its proprietary heterodimerization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to Adagio.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Indemnify</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 xml:space="preserve">1.40 </w:t>
      </w:r>
      <w:r>
        <w:rPr>
          <w:rFonts w:ascii="Arial" w:cs="Arial" w:eastAsia="Arial" w:hAnsi="Arial"/>
          <w:sz w:val="16"/>
          <w:szCs w:val="16"/>
          <w:color w:val="auto"/>
        </w:rPr>
        <w:t>“</w:t>
      </w:r>
      <w:r>
        <w:rPr>
          <w:rFonts w:ascii="Arial" w:cs="Arial" w:eastAsia="Arial" w:hAnsi="Arial"/>
          <w:sz w:val="16"/>
          <w:szCs w:val="16"/>
          <w:b w:val="1"/>
          <w:bCs w:val="1"/>
          <w:color w:val="auto"/>
        </w:rPr>
        <w:t>Know-How</w:t>
      </w:r>
      <w:r>
        <w:rPr>
          <w:rFonts w:ascii="Arial" w:cs="Arial" w:eastAsia="Arial" w:hAnsi="Arial"/>
          <w:sz w:val="16"/>
          <w:szCs w:val="16"/>
          <w:color w:val="auto"/>
        </w:rPr>
        <w:t>” means all technical information and know-how in any tangible or intangible form, including (a) inventions, discoveries, trade</w:t>
      </w:r>
      <w:r>
        <w:rPr>
          <w:rFonts w:ascii="Arial" w:cs="Arial" w:eastAsia="Arial" w:hAnsi="Arial"/>
          <w:sz w:val="16"/>
          <w:szCs w:val="16"/>
          <w:b w:val="1"/>
          <w:bCs w:val="1"/>
          <w:color w:val="auto"/>
        </w:rPr>
        <w:t xml:space="preserve"> </w:t>
      </w:r>
      <w:r>
        <w:rPr>
          <w:rFonts w:ascii="Arial" w:cs="Arial" w:eastAsia="Arial" w:hAnsi="Arial"/>
          <w:sz w:val="16"/>
          <w:szCs w:val="16"/>
          <w:color w:val="auto"/>
        </w:rPr>
        <w:t>secrets, data, specifications, instructions, processes, formulae, materials (including cell lines, vectors, plasmids, nucleic acids and the like), methods, protocols, expertise and any other technology, including the applicability of any of the foregoing to formulations, compositions or products or to their manufacture, development, registration, use or marketing or to methods of assaying or testing them or processes for their manufacture, formulations containing them or compositions incorporating or comprising them, and (b) all data, instructions, processes, formulae, strategies, and expertise, whether biological, chemical, pharmacological, biochemical, toxicological, pharmaceutical, physical, analytical, or otherwise and whether related to safety, quality control, manufacturing or other disciplines. Notwithstanding the foregoing, Know-How excludes Patent claims.</w:t>
      </w:r>
    </w:p>
    <w:p>
      <w:pPr>
        <w:spacing w:after="0" w:line="16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Lead Product</w:t>
      </w:r>
      <w:r>
        <w:rPr>
          <w:rFonts w:ascii="Arial" w:cs="Arial" w:eastAsia="Arial" w:hAnsi="Arial"/>
          <w:sz w:val="18"/>
          <w:szCs w:val="18"/>
          <w:color w:val="auto"/>
        </w:rPr>
        <w:t>” means the Product designated as a Lead Product by Adagio in the context of identifying a Back-Up Candidate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4.4(c) (</w:t>
      </w:r>
      <w:r>
        <w:rPr>
          <w:rFonts w:ascii="Arial" w:cs="Arial" w:eastAsia="Arial" w:hAnsi="Arial"/>
          <w:sz w:val="18"/>
          <w:szCs w:val="18"/>
          <w:i w:val="1"/>
          <w:iCs w:val="1"/>
          <w:color w:val="auto"/>
        </w:rPr>
        <w:t>Back-Up Candidates</w:t>
      </w:r>
      <w:r>
        <w:rPr>
          <w:rFonts w:ascii="Arial" w:cs="Arial" w:eastAsia="Arial" w:hAnsi="Arial"/>
          <w:sz w:val="18"/>
          <w:szCs w:val="18"/>
          <w:color w:val="auto"/>
        </w:rPr>
        <w:t>).</w:t>
      </w:r>
    </w:p>
    <w:p>
      <w:pPr>
        <w:spacing w:after="0" w:line="162" w:lineRule="exact"/>
        <w:rPr>
          <w:sz w:val="20"/>
          <w:szCs w:val="20"/>
          <w:color w:val="auto"/>
        </w:rPr>
      </w:pPr>
    </w:p>
    <w:p>
      <w:pPr>
        <w:ind w:right="280" w:firstLine="440"/>
        <w:spacing w:after="0" w:line="303" w:lineRule="auto"/>
        <w:rPr>
          <w:sz w:val="20"/>
          <w:szCs w:val="20"/>
          <w:color w:val="auto"/>
        </w:rPr>
      </w:pPr>
      <w:r>
        <w:rPr>
          <w:rFonts w:ascii="Arial" w:cs="Arial" w:eastAsia="Arial" w:hAnsi="Arial"/>
          <w:sz w:val="16"/>
          <w:szCs w:val="16"/>
          <w:b w:val="1"/>
          <w:bCs w:val="1"/>
          <w:color w:val="auto"/>
        </w:rPr>
        <w:t xml:space="preserve">1.42 </w:t>
      </w:r>
      <w:r>
        <w:rPr>
          <w:rFonts w:ascii="Arial" w:cs="Arial" w:eastAsia="Arial" w:hAnsi="Arial"/>
          <w:sz w:val="16"/>
          <w:szCs w:val="16"/>
          <w:color w:val="auto"/>
        </w:rPr>
        <w:t>“</w:t>
      </w:r>
      <w:r>
        <w:rPr>
          <w:rFonts w:ascii="Arial" w:cs="Arial" w:eastAsia="Arial" w:hAnsi="Arial"/>
          <w:sz w:val="16"/>
          <w:szCs w:val="16"/>
          <w:b w:val="1"/>
          <w:bCs w:val="1"/>
          <w:color w:val="auto"/>
        </w:rPr>
        <w:t>Licensee</w:t>
      </w:r>
      <w:r>
        <w:rPr>
          <w:rFonts w:ascii="Arial" w:cs="Arial" w:eastAsia="Arial" w:hAnsi="Arial"/>
          <w:sz w:val="16"/>
          <w:szCs w:val="16"/>
          <w:color w:val="auto"/>
        </w:rPr>
        <w:t>” means a Third Party to whom Adagio has granted, directly or indirectly through multiple tiers, rights to research,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manufacture, or commercialize Program-Benefited Antibodies;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Licensees will exclude fee-for-service contract research organizations or contract manufacturing organizations acting in such capacity for the benefit of Adagio. For clarity, licensees of the rights assigned to Adagio by Adimab and sublicensees of the license granted by Adimab to Adagio pursuant to Section 3.2 (</w:t>
      </w:r>
      <w:r>
        <w:rPr>
          <w:rFonts w:ascii="Arial" w:cs="Arial" w:eastAsia="Arial" w:hAnsi="Arial"/>
          <w:sz w:val="16"/>
          <w:szCs w:val="16"/>
          <w:i w:val="1"/>
          <w:iCs w:val="1"/>
          <w:color w:val="auto"/>
        </w:rPr>
        <w:t>Commercial Rights</w:t>
      </w:r>
      <w:r>
        <w:rPr>
          <w:rFonts w:ascii="Arial" w:cs="Arial" w:eastAsia="Arial" w:hAnsi="Arial"/>
          <w:sz w:val="16"/>
          <w:szCs w:val="16"/>
          <w:color w:val="auto"/>
        </w:rPr>
        <w:t>) will be Licensees.</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1.43 </w:t>
      </w:r>
      <w:r>
        <w:rPr>
          <w:rFonts w:ascii="Arial" w:cs="Arial" w:eastAsia="Arial" w:hAnsi="Arial"/>
          <w:sz w:val="18"/>
          <w:szCs w:val="18"/>
          <w:color w:val="auto"/>
        </w:rPr>
        <w:t>“</w:t>
      </w:r>
      <w:r>
        <w:rPr>
          <w:rFonts w:ascii="Arial" w:cs="Arial" w:eastAsia="Arial" w:hAnsi="Arial"/>
          <w:sz w:val="18"/>
          <w:szCs w:val="18"/>
          <w:b w:val="1"/>
          <w:bCs w:val="1"/>
          <w:color w:val="auto"/>
        </w:rPr>
        <w:t>Licensee Agreement</w:t>
      </w:r>
      <w:r>
        <w:rPr>
          <w:rFonts w:ascii="Arial" w:cs="Arial" w:eastAsia="Arial" w:hAnsi="Arial"/>
          <w:sz w:val="18"/>
          <w:szCs w:val="18"/>
          <w:color w:val="auto"/>
        </w:rPr>
        <w:t>” has the meaning set forth in Section 3.2(b)(iii) (</w:t>
      </w:r>
      <w:r>
        <w:rPr>
          <w:rFonts w:ascii="Arial" w:cs="Arial" w:eastAsia="Arial" w:hAnsi="Arial"/>
          <w:sz w:val="18"/>
          <w:szCs w:val="18"/>
          <w:i w:val="1"/>
          <w:iCs w:val="1"/>
          <w:color w:val="auto"/>
        </w:rPr>
        <w:t>Licensees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w:t>
      </w:r>
    </w:p>
    <w:p>
      <w:pPr>
        <w:spacing w:after="0" w:line="225" w:lineRule="exact"/>
        <w:rPr>
          <w:sz w:val="20"/>
          <w:szCs w:val="20"/>
          <w:color w:val="auto"/>
        </w:rPr>
      </w:pPr>
    </w:p>
    <w:p>
      <w:pPr>
        <w:ind w:right="40" w:firstLine="440"/>
        <w:spacing w:after="0" w:line="303" w:lineRule="auto"/>
        <w:rPr>
          <w:sz w:val="20"/>
          <w:szCs w:val="20"/>
          <w:color w:val="auto"/>
        </w:rPr>
      </w:pPr>
      <w:r>
        <w:rPr>
          <w:rFonts w:ascii="Arial" w:cs="Arial" w:eastAsia="Arial" w:hAnsi="Arial"/>
          <w:sz w:val="16"/>
          <w:szCs w:val="16"/>
          <w:b w:val="1"/>
          <w:bCs w:val="1"/>
          <w:color w:val="auto"/>
        </w:rPr>
        <w:t xml:space="preserve">1.46 </w:t>
      </w:r>
      <w:r>
        <w:rPr>
          <w:rFonts w:ascii="Arial" w:cs="Arial" w:eastAsia="Arial" w:hAnsi="Arial"/>
          <w:sz w:val="16"/>
          <w:szCs w:val="16"/>
          <w:color w:val="auto"/>
        </w:rPr>
        <w:t>“</w:t>
      </w:r>
      <w:r>
        <w:rPr>
          <w:rFonts w:ascii="Arial" w:cs="Arial" w:eastAsia="Arial" w:hAnsi="Arial"/>
          <w:sz w:val="16"/>
          <w:szCs w:val="16"/>
          <w:b w:val="1"/>
          <w:bCs w:val="1"/>
          <w:color w:val="auto"/>
        </w:rPr>
        <w:t>Marketing Approval</w:t>
      </w:r>
      <w:r>
        <w:rPr>
          <w:rFonts w:ascii="Arial" w:cs="Arial" w:eastAsia="Arial" w:hAnsi="Arial"/>
          <w:sz w:val="16"/>
          <w:szCs w:val="16"/>
          <w:color w:val="auto"/>
        </w:rPr>
        <w:t>” means, within any given country, approval by the relevant regulatory agency to market a Product legally as a drug or</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 such as approval by the United States Food &amp; Drug Administration of a Biologic License Application (as defined in the U.S. Federal Food, Drug and Cosmetics Act and the regulations promulgated thereunder (21 C.F.R. §§ 600-680) in the United States), or approval by a comparable agency of a comparable filing in any other jurisdiction. Pricing approval need not be obtained in order for Marketing Approval to be achieved.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461" w:name="page462"/>
    <w:bookmarkEnd w:id="461"/>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1.47 </w:t>
      </w: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has the meaning set forth in Section 4.4(a)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Milestone Payment</w:t>
      </w:r>
      <w:r>
        <w:rPr>
          <w:rFonts w:ascii="Arial" w:cs="Arial" w:eastAsia="Arial" w:hAnsi="Arial"/>
          <w:sz w:val="18"/>
          <w:szCs w:val="18"/>
          <w:color w:val="auto"/>
        </w:rPr>
        <w:t>” has the meaning set forth in Section 4.4(a) (</w:t>
      </w:r>
      <w:r>
        <w:rPr>
          <w:rFonts w:ascii="Arial" w:cs="Arial" w:eastAsia="Arial" w:hAnsi="Arial"/>
          <w:sz w:val="18"/>
          <w:szCs w:val="18"/>
          <w:i w:val="1"/>
          <w:iCs w:val="1"/>
          <w:color w:val="auto"/>
        </w:rPr>
        <w:t>Milestone Events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has the meaning set forth in Section 4.2(b)(i) (</w:t>
      </w:r>
      <w:r>
        <w:rPr>
          <w:rFonts w:ascii="Arial" w:cs="Arial" w:eastAsia="Arial" w:hAnsi="Arial"/>
          <w:sz w:val="18"/>
          <w:szCs w:val="18"/>
          <w:i w:val="1"/>
          <w:iCs w:val="1"/>
          <w:color w:val="auto"/>
        </w:rPr>
        <w:t>Naïve Discovery Delivery Fee</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Naïve Library</w:t>
      </w:r>
      <w:r>
        <w:rPr>
          <w:rFonts w:ascii="Arial" w:cs="Arial" w:eastAsia="Arial" w:hAnsi="Arial"/>
          <w:sz w:val="18"/>
          <w:szCs w:val="18"/>
          <w:color w:val="auto"/>
        </w:rPr>
        <w:t>” means an antibody library containing both heavy and light chains, and used in initial screening to discover antibodies of</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against a given Target. For clarity, a common light chain library used in initial screening to discover antibodies of interest would be a Naïve Library.</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amounts invoiced with respect to a Product by Adagio or its Licensees for sales of such Product to a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(other than Licensees), less the following to the extent directly incurred with respect to such Product, or allocated specifically to such Product in accordance with generally accepted accounting principles consistently applied across the books and records of Adagio and its Licensees, as applicable:</w:t>
      </w:r>
    </w:p>
    <w:p>
      <w:pPr>
        <w:spacing w:after="0" w:line="76" w:lineRule="exact"/>
        <w:rPr>
          <w:sz w:val="20"/>
          <w:szCs w:val="20"/>
          <w:color w:val="auto"/>
        </w:rPr>
      </w:pPr>
    </w:p>
    <w:p>
      <w:pPr>
        <w:ind w:left="1240" w:hanging="253"/>
        <w:spacing w:after="0"/>
        <w:tabs>
          <w:tab w:leader="none" w:pos="124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trade, cash, and quantity discounts actually allowed with respect to such sales which effectively reduce the selling price;</w:t>
      </w:r>
    </w:p>
    <w:p>
      <w:pPr>
        <w:spacing w:after="0" w:line="225"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returns, rebates, chargebacks and other allowances actually allowed with respect to such sales;</w:t>
      </w:r>
    </w:p>
    <w:p>
      <w:pPr>
        <w:spacing w:after="0" w:line="225" w:lineRule="exact"/>
        <w:rPr>
          <w:rFonts w:ascii="Arial" w:cs="Arial" w:eastAsia="Arial" w:hAnsi="Arial"/>
          <w:sz w:val="18"/>
          <w:szCs w:val="18"/>
          <w:b w:val="1"/>
          <w:bCs w:val="1"/>
          <w:color w:val="auto"/>
        </w:rPr>
      </w:pPr>
    </w:p>
    <w:p>
      <w:pPr>
        <w:ind w:left="1240" w:hanging="253"/>
        <w:spacing w:after="0"/>
        <w:tabs>
          <w:tab w:leader="none" w:pos="124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retroactive price reductions that are actually allowed or granted;</w:t>
      </w:r>
    </w:p>
    <w:p>
      <w:pPr>
        <w:spacing w:after="0" w:line="225" w:lineRule="exact"/>
        <w:rPr>
          <w:rFonts w:ascii="Arial" w:cs="Arial" w:eastAsia="Arial" w:hAnsi="Arial"/>
          <w:sz w:val="18"/>
          <w:szCs w:val="18"/>
          <w:b w:val="1"/>
          <w:bCs w:val="1"/>
          <w:color w:val="auto"/>
        </w:rPr>
      </w:pPr>
    </w:p>
    <w:p>
      <w:pPr>
        <w:ind w:right="380" w:firstLine="987"/>
        <w:spacing w:after="0" w:line="277" w:lineRule="auto"/>
        <w:tabs>
          <w:tab w:leader="none" w:pos="1256"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deductions to the gross invoice price of Product, including for recalls or damaged or expired goods, billing errors and reserves for returns, in each case with respect to Product;</w:t>
      </w:r>
    </w:p>
    <w:p>
      <w:pPr>
        <w:spacing w:after="0" w:line="170" w:lineRule="exact"/>
        <w:rPr>
          <w:rFonts w:ascii="Arial" w:cs="Arial" w:eastAsia="Arial" w:hAnsi="Arial"/>
          <w:sz w:val="18"/>
          <w:szCs w:val="18"/>
          <w:b w:val="1"/>
          <w:bCs w:val="1"/>
          <w:color w:val="auto"/>
        </w:rPr>
      </w:pPr>
    </w:p>
    <w:p>
      <w:pPr>
        <w:ind w:right="520" w:firstLine="987"/>
        <w:spacing w:after="0" w:line="277" w:lineRule="auto"/>
        <w:tabs>
          <w:tab w:leader="none" w:pos="1236"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reasonable fees paid to wholesalers, distributors, selling agents (excluding sales representatives of Adagio or a Licensee), group purchasing organizations, Third Party payors, and managed care entities, in each case with respect to Product;</w:t>
      </w:r>
    </w:p>
    <w:p>
      <w:pPr>
        <w:spacing w:after="0" w:line="170" w:lineRule="exact"/>
        <w:rPr>
          <w:rFonts w:ascii="Arial" w:cs="Arial" w:eastAsia="Arial" w:hAnsi="Arial"/>
          <w:sz w:val="18"/>
          <w:szCs w:val="18"/>
          <w:b w:val="1"/>
          <w:bCs w:val="1"/>
          <w:color w:val="auto"/>
        </w:rPr>
      </w:pPr>
    </w:p>
    <w:p>
      <w:pPr>
        <w:ind w:right="240" w:firstLine="987"/>
        <w:spacing w:after="0" w:line="342" w:lineRule="auto"/>
        <w:tabs>
          <w:tab w:leader="none" w:pos="1216" w:val="left"/>
        </w:tabs>
        <w:numPr>
          <w:ilvl w:val="0"/>
          <w:numId w:val="341"/>
        </w:numPr>
        <w:rPr>
          <w:rFonts w:ascii="Arial" w:cs="Arial" w:eastAsia="Arial" w:hAnsi="Arial"/>
          <w:sz w:val="16"/>
          <w:szCs w:val="16"/>
          <w:b w:val="1"/>
          <w:bCs w:val="1"/>
          <w:color w:val="auto"/>
        </w:rPr>
      </w:pPr>
      <w:r>
        <w:rPr>
          <w:rFonts w:ascii="Arial" w:cs="Arial" w:eastAsia="Arial" w:hAnsi="Arial"/>
          <w:sz w:val="16"/>
          <w:szCs w:val="16"/>
          <w:color w:val="auto"/>
        </w:rPr>
        <w:t>sales (such as VAT or its equivalent) and excise taxes, other consumption taxes, and customs duties (excluding any taxes paid on the income from such sales) to the extent the selling person is not otherwise entitled to a credit or a refund for such taxes or duties; and</w:t>
      </w:r>
    </w:p>
    <w:p>
      <w:pPr>
        <w:spacing w:after="0" w:line="123" w:lineRule="exact"/>
        <w:rPr>
          <w:rFonts w:ascii="Arial" w:cs="Arial" w:eastAsia="Arial" w:hAnsi="Arial"/>
          <w:sz w:val="16"/>
          <w:szCs w:val="16"/>
          <w:b w:val="1"/>
          <w:bCs w:val="1"/>
          <w:color w:val="auto"/>
        </w:rPr>
      </w:pPr>
    </w:p>
    <w:p>
      <w:pPr>
        <w:ind w:right="120" w:firstLine="987"/>
        <w:spacing w:after="0" w:line="277" w:lineRule="auto"/>
        <w:tabs>
          <w:tab w:leader="none" w:pos="1246"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outbound freight, shipment, insurance and other distribution costs to the extent included in the invoiced price and separately itemized on the invoice, in each case with respect to Product;</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0"/>
          <w:numId w:val="341"/>
        </w:numPr>
        <w:rPr>
          <w:rFonts w:ascii="Arial" w:cs="Arial" w:eastAsia="Arial" w:hAnsi="Arial"/>
          <w:sz w:val="18"/>
          <w:szCs w:val="18"/>
          <w:b w:val="1"/>
          <w:bCs w:val="1"/>
          <w:color w:val="auto"/>
        </w:rPr>
      </w:pPr>
      <w:r>
        <w:rPr>
          <w:rFonts w:ascii="Arial" w:cs="Arial" w:eastAsia="Arial" w:hAnsi="Arial"/>
          <w:sz w:val="18"/>
          <w:szCs w:val="18"/>
          <w:color w:val="auto"/>
        </w:rPr>
        <w:t>bad debt, not to exceed [***] of the amount invoiced with respect to such sales.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For clarity, sale of a Product by Adagio to its Licensees for resale to a Third Party are not deemed a sale for purposes of this definition of Net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ectPr>
          <w:pgSz w:w="11900" w:h="16838" w:orient="portrait"/>
          <w:cols w:equalWidth="0" w:num="1">
            <w:col w:w="10960"/>
          </w:cols>
          <w:pgMar w:left="440" w:top="270" w:right="499" w:bottom="1440" w:gutter="0" w:footer="0" w:header="0"/>
        </w:sectPr>
      </w:pPr>
    </w:p>
    <w:bookmarkStart w:id="462" w:name="page463"/>
    <w:bookmarkEnd w:id="462"/>
    <w:p>
      <w:pPr>
        <w:jc w:val="both"/>
        <w:ind w:right="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Transfers or dispositions of Products as free promotional samples in commercially reasonable amounts, consistent with prevailing pharmaceutical industry standards, or in any patient assistance, test marketing program, named-patient program or compassionate use program (so long as, in each case, such Products are provided without charge or at or below the selling party’s cost), donated to non-profit institutions or government agencies, or used in research, development or regulatory activities, including clinical trials, are disregarded in determining Net Sales.</w:t>
      </w:r>
    </w:p>
    <w:p>
      <w:pPr>
        <w:spacing w:after="0" w:line="171"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If any Optioned Antibody is sold as part of a Combination Product, the Net Sales for such Optioned Antibody will be determined by multiplying the applicable Net Sales of the Optioned Antibody (as determined without the application of this paragraph) by the fraction, A/(A+B), where A is the average per unit sale price of the Optioned Antibody component of the Combination Product when sold separately as a stand-alone product in finished form in the country in which the Combination Product is sold and B is the average per unit sale of the other active ingredients contained in the Combination Product when sold separately as stand-alone products in finished form in the country in which the Combination Product is sold, in each case during the applicable royalty reporting period or, if sales of such stand-alone products did not occur in such country in the applicable period, then in the most recent royalty reporting period in which such sales of such stand-alone products occurred in such country. If such average sale prices cannot be determined, Net Sales will be mutually agreed upon by the Parties based on the relative value contributed by each component, such agreement not to be unreasonably withheld.</w:t>
      </w:r>
    </w:p>
    <w:p>
      <w:pPr>
        <w:spacing w:after="0" w:line="192" w:lineRule="exact"/>
        <w:rPr>
          <w:sz w:val="20"/>
          <w:szCs w:val="20"/>
          <w:color w:val="auto"/>
        </w:rPr>
      </w:pPr>
    </w:p>
    <w:p>
      <w:pPr>
        <w:jc w:val="both"/>
        <w:ind w:right="260" w:firstLine="440"/>
        <w:spacing w:after="0" w:line="347" w:lineRule="auto"/>
        <w:rPr>
          <w:sz w:val="20"/>
          <w:szCs w:val="20"/>
          <w:color w:val="auto"/>
        </w:rPr>
      </w:pPr>
      <w:r>
        <w:rPr>
          <w:rFonts w:ascii="Arial" w:cs="Arial" w:eastAsia="Arial" w:hAnsi="Arial"/>
          <w:sz w:val="16"/>
          <w:szCs w:val="16"/>
          <w:b w:val="1"/>
          <w:bCs w:val="1"/>
          <w:color w:val="auto"/>
        </w:rPr>
        <w:t xml:space="preserve">1.52 </w:t>
      </w:r>
      <w:r>
        <w:rPr>
          <w:rFonts w:ascii="Arial" w:cs="Arial" w:eastAsia="Arial" w:hAnsi="Arial"/>
          <w:sz w:val="16"/>
          <w:szCs w:val="16"/>
          <w:color w:val="auto"/>
        </w:rPr>
        <w:t>“</w:t>
      </w:r>
      <w:r>
        <w:rPr>
          <w:rFonts w:ascii="Arial" w:cs="Arial" w:eastAsia="Arial" w:hAnsi="Arial"/>
          <w:sz w:val="16"/>
          <w:szCs w:val="16"/>
          <w:b w:val="1"/>
          <w:bCs w:val="1"/>
          <w:color w:val="auto"/>
        </w:rPr>
        <w:t>Non-Optioned Antibodies</w:t>
      </w:r>
      <w:r>
        <w:rPr>
          <w:rFonts w:ascii="Arial" w:cs="Arial" w:eastAsia="Arial" w:hAnsi="Arial"/>
          <w:sz w:val="16"/>
          <w:szCs w:val="16"/>
          <w:color w:val="auto"/>
        </w:rPr>
        <w:t>” means (a) any Program Antibody with respect to which the Evaluation Term has expired and which was not</w:t>
      </w:r>
      <w:r>
        <w:rPr>
          <w:rFonts w:ascii="Arial" w:cs="Arial" w:eastAsia="Arial" w:hAnsi="Arial"/>
          <w:sz w:val="16"/>
          <w:szCs w:val="16"/>
          <w:b w:val="1"/>
          <w:bCs w:val="1"/>
          <w:color w:val="auto"/>
        </w:rPr>
        <w:t xml:space="preserve"> </w:t>
      </w:r>
      <w:r>
        <w:rPr>
          <w:rFonts w:ascii="Arial" w:cs="Arial" w:eastAsia="Arial" w:hAnsi="Arial"/>
          <w:sz w:val="16"/>
          <w:szCs w:val="16"/>
          <w:color w:val="auto"/>
        </w:rPr>
        <w:t>selected by Adagio pursuant to Section 3.2(a)(i) (</w:t>
      </w:r>
      <w:r>
        <w:rPr>
          <w:rFonts w:ascii="Arial" w:cs="Arial" w:eastAsia="Arial" w:hAnsi="Arial"/>
          <w:sz w:val="16"/>
          <w:szCs w:val="16"/>
          <w:i w:val="1"/>
          <w:iCs w:val="1"/>
          <w:color w:val="auto"/>
        </w:rPr>
        <w:t>Option Exercise</w:t>
      </w:r>
      <w:r>
        <w:rPr>
          <w:rFonts w:ascii="Arial" w:cs="Arial" w:eastAsia="Arial" w:hAnsi="Arial"/>
          <w:sz w:val="16"/>
          <w:szCs w:val="16"/>
          <w:color w:val="auto"/>
        </w:rPr>
        <w:t>), and (b) any Program-Benefited Antibody with respect to such Program Antibody.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Optimization Completion Fee</w:t>
      </w:r>
      <w:r>
        <w:rPr>
          <w:rFonts w:ascii="Arial" w:cs="Arial" w:eastAsia="Arial" w:hAnsi="Arial"/>
          <w:sz w:val="18"/>
          <w:szCs w:val="18"/>
          <w:color w:val="auto"/>
        </w:rPr>
        <w:t>” has the meaning set forth in Section 4.2(b)(ii) (</w:t>
      </w:r>
      <w:r>
        <w:rPr>
          <w:rFonts w:ascii="Arial" w:cs="Arial" w:eastAsia="Arial" w:hAnsi="Arial"/>
          <w:sz w:val="18"/>
          <w:szCs w:val="18"/>
          <w:i w:val="1"/>
          <w:iCs w:val="1"/>
          <w:color w:val="auto"/>
        </w:rPr>
        <w:t>Optimization Completion Fee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has the meaning set forth in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Option Fee</w:t>
      </w:r>
      <w:r>
        <w:rPr>
          <w:rFonts w:ascii="Arial" w:cs="Arial" w:eastAsia="Arial" w:hAnsi="Arial"/>
          <w:sz w:val="18"/>
          <w:szCs w:val="18"/>
          <w:color w:val="auto"/>
        </w:rPr>
        <w:t>” has the meaning set forth in Section 4.3 (</w:t>
      </w:r>
      <w:r>
        <w:rPr>
          <w:rFonts w:ascii="Arial" w:cs="Arial" w:eastAsia="Arial" w:hAnsi="Arial"/>
          <w:sz w:val="18"/>
          <w:szCs w:val="18"/>
          <w:i w:val="1"/>
          <w:iCs w:val="1"/>
          <w:color w:val="auto"/>
        </w:rPr>
        <w:t>Option Fee</w:t>
      </w:r>
      <w:r>
        <w:rPr>
          <w:rFonts w:ascii="Arial" w:cs="Arial" w:eastAsia="Arial" w:hAnsi="Arial"/>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1.56 </w:t>
      </w:r>
      <w:r>
        <w:rPr>
          <w:rFonts w:ascii="Arial" w:cs="Arial" w:eastAsia="Arial" w:hAnsi="Arial"/>
          <w:sz w:val="18"/>
          <w:szCs w:val="18"/>
          <w:color w:val="auto"/>
        </w:rPr>
        <w:t>“</w:t>
      </w:r>
      <w:r>
        <w:rPr>
          <w:rFonts w:ascii="Arial" w:cs="Arial" w:eastAsia="Arial" w:hAnsi="Arial"/>
          <w:sz w:val="18"/>
          <w:szCs w:val="18"/>
          <w:b w:val="1"/>
          <w:bCs w:val="1"/>
          <w:color w:val="auto"/>
        </w:rPr>
        <w:t>Optioned Antibody</w:t>
      </w:r>
      <w:r>
        <w:rPr>
          <w:rFonts w:ascii="Arial" w:cs="Arial" w:eastAsia="Arial" w:hAnsi="Arial"/>
          <w:sz w:val="18"/>
          <w:szCs w:val="18"/>
          <w:color w:val="auto"/>
        </w:rPr>
        <w:t>” means (a) any Program Antibody selected by Adagio pursuant to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and (b) any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Program-Benefited Antibody with respect to such Program Antibody.</w:t>
      </w:r>
    </w:p>
    <w:p>
      <w:pPr>
        <w:spacing w:after="0" w:line="162"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1.57 </w:t>
      </w:r>
      <w:r>
        <w:rPr>
          <w:rFonts w:ascii="Arial" w:cs="Arial" w:eastAsia="Arial" w:hAnsi="Arial"/>
          <w:sz w:val="17"/>
          <w:szCs w:val="17"/>
          <w:color w:val="auto"/>
        </w:rPr>
        <w:t>“</w:t>
      </w:r>
      <w:r>
        <w:rPr>
          <w:rFonts w:ascii="Arial" w:cs="Arial" w:eastAsia="Arial" w:hAnsi="Arial"/>
          <w:sz w:val="17"/>
          <w:szCs w:val="17"/>
          <w:b w:val="1"/>
          <w:bCs w:val="1"/>
          <w:color w:val="auto"/>
        </w:rPr>
        <w:t>Optioned Program Antibody Patents</w:t>
      </w:r>
      <w:r>
        <w:rPr>
          <w:rFonts w:ascii="Arial" w:cs="Arial" w:eastAsia="Arial" w:hAnsi="Arial"/>
          <w:sz w:val="17"/>
          <w:szCs w:val="17"/>
          <w:color w:val="auto"/>
        </w:rPr>
        <w:t>” means those Program Antibody Patents that claim the composition of matter of, or the method of</w:t>
      </w:r>
      <w:r>
        <w:rPr>
          <w:rFonts w:ascii="Arial" w:cs="Arial" w:eastAsia="Arial" w:hAnsi="Arial"/>
          <w:sz w:val="17"/>
          <w:szCs w:val="17"/>
          <w:b w:val="1"/>
          <w:bCs w:val="1"/>
          <w:color w:val="auto"/>
        </w:rPr>
        <w:t xml:space="preserve"> </w:t>
      </w:r>
      <w:r>
        <w:rPr>
          <w:rFonts w:ascii="Arial" w:cs="Arial" w:eastAsia="Arial" w:hAnsi="Arial"/>
          <w:sz w:val="17"/>
          <w:szCs w:val="17"/>
          <w:color w:val="auto"/>
        </w:rPr>
        <w:t>making or using, Optioned Antibodies (including genus claims) and do not disclose the sequences of Non-Optioned Antibodies.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Adimab or Adagio.</w:t>
      </w:r>
    </w:p>
    <w:p>
      <w:pPr>
        <w:spacing w:after="0" w:line="225" w:lineRule="exact"/>
        <w:rPr>
          <w:sz w:val="20"/>
          <w:szCs w:val="20"/>
          <w:color w:val="auto"/>
        </w:rPr>
      </w:pPr>
    </w:p>
    <w:p>
      <w:pPr>
        <w:ind w:right="100" w:firstLine="440"/>
        <w:spacing w:after="0" w:line="281" w:lineRule="auto"/>
        <w:rPr>
          <w:sz w:val="20"/>
          <w:szCs w:val="20"/>
          <w:color w:val="auto"/>
        </w:rPr>
      </w:pPr>
      <w:r>
        <w:rPr>
          <w:rFonts w:ascii="Arial" w:cs="Arial" w:eastAsia="Arial" w:hAnsi="Arial"/>
          <w:sz w:val="17"/>
          <w:szCs w:val="17"/>
          <w:b w:val="1"/>
          <w:bCs w:val="1"/>
          <w:color w:val="auto"/>
        </w:rPr>
        <w:t xml:space="preserve">1.59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any patent application or patent anywhere in the world, including all of the following categories of patents and patent</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applications, and their foreign equivalents: provisional, utility, divisional, continuation, continuation-in-part, and substitution applications; and re-issue, re-examination, renewal and extended patents; and any rights associated with extended patent terms, including Patent Term Adjustment (PTA), Patent Term Extension (PTE), Supplementary Protection Certificates (SPC); and other similar rights.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63" w:name="page464"/>
    <w:bookmarkEnd w:id="46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1.60 </w:t>
      </w:r>
      <w:r>
        <w:rPr>
          <w:rFonts w:ascii="Arial" w:cs="Arial" w:eastAsia="Arial" w:hAnsi="Arial"/>
          <w:sz w:val="17"/>
          <w:szCs w:val="17"/>
          <w:color w:val="auto"/>
        </w:rPr>
        <w:t>“</w:t>
      </w:r>
      <w:r>
        <w:rPr>
          <w:rFonts w:ascii="Arial" w:cs="Arial" w:eastAsia="Arial" w:hAnsi="Arial"/>
          <w:sz w:val="17"/>
          <w:szCs w:val="17"/>
          <w:b w:val="1"/>
          <w:bCs w:val="1"/>
          <w:color w:val="auto"/>
        </w:rPr>
        <w:t>Phase I Trial</w:t>
      </w:r>
      <w:r>
        <w:rPr>
          <w:rFonts w:ascii="Arial" w:cs="Arial" w:eastAsia="Arial" w:hAnsi="Arial"/>
          <w:sz w:val="17"/>
          <w:szCs w:val="17"/>
          <w:color w:val="auto"/>
        </w:rPr>
        <w:t>” means a human clinical trial (whether a Phase Ia or a Phase Ib trial) in any country of the type described in 21 C.F.R.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§312.21(a), or an equivalent clinical study required by a regulatory authority outside of the United States.</w:t>
      </w:r>
    </w:p>
    <w:p>
      <w:pPr>
        <w:spacing w:after="0" w:line="207"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color w:val="auto"/>
        </w:rPr>
        <w:t>“</w:t>
      </w:r>
      <w:r>
        <w:rPr>
          <w:rFonts w:ascii="Arial" w:cs="Arial" w:eastAsia="Arial" w:hAnsi="Arial"/>
          <w:sz w:val="18"/>
          <w:szCs w:val="18"/>
          <w:b w:val="1"/>
          <w:bCs w:val="1"/>
          <w:color w:val="auto"/>
        </w:rPr>
        <w:t>Phase II Trial</w:t>
      </w:r>
      <w:r>
        <w:rPr>
          <w:rFonts w:ascii="Arial" w:cs="Arial" w:eastAsia="Arial" w:hAnsi="Arial"/>
          <w:sz w:val="18"/>
          <w:szCs w:val="18"/>
          <w:color w:val="auto"/>
        </w:rPr>
        <w:t>” means a human clinical trial conducted in any country of the type described in 21 C.F.R. §312.21(b), or an equivalent</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study required by a regulatory authority outside of the United States.</w:t>
      </w:r>
    </w:p>
    <w:p>
      <w:pPr>
        <w:spacing w:after="0" w:line="162"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Phase III Trial</w:t>
      </w:r>
      <w:r>
        <w:rPr>
          <w:rFonts w:ascii="Arial" w:cs="Arial" w:eastAsia="Arial" w:hAnsi="Arial"/>
          <w:sz w:val="18"/>
          <w:szCs w:val="18"/>
          <w:color w:val="auto"/>
        </w:rPr>
        <w:t>” means a human clinical trial in any country of the type described in 21 C.F.R. § 312.21(c), or an equivalent clinical study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by a regulatory authority outside the United States. For purposes of this Agreement, a human clinical trial that combines elements of two different phases of clinical trial will be deemed to be the more advanced type of clinical trial (</w:t>
      </w:r>
      <w:r>
        <w:rPr>
          <w:rFonts w:ascii="Arial" w:cs="Arial" w:eastAsia="Arial" w:hAnsi="Arial"/>
          <w:sz w:val="18"/>
          <w:szCs w:val="18"/>
          <w:i w:val="1"/>
          <w:iCs w:val="1"/>
          <w:color w:val="auto"/>
        </w:rPr>
        <w:t>e.g.</w:t>
      </w:r>
      <w:r>
        <w:rPr>
          <w:rFonts w:ascii="Arial" w:cs="Arial" w:eastAsia="Arial" w:hAnsi="Arial"/>
          <w:sz w:val="18"/>
          <w:szCs w:val="18"/>
          <w:color w:val="auto"/>
        </w:rPr>
        <w:t>, a Phase II /III clinical trial will be deemed a Phase III Trial).</w:t>
      </w:r>
    </w:p>
    <w:p>
      <w:pPr>
        <w:spacing w:after="0" w:line="180"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actual or potential product that comprises or contains one or more Program-Benefited Antibodies and/or Adimab</w:t>
      </w:r>
      <w:r>
        <w:rPr>
          <w:rFonts w:ascii="Arial" w:cs="Arial" w:eastAsia="Arial" w:hAnsi="Arial"/>
          <w:sz w:val="18"/>
          <w:szCs w:val="18"/>
          <w:b w:val="1"/>
          <w:bCs w:val="1"/>
          <w:color w:val="auto"/>
        </w:rPr>
        <w:t xml:space="preserve"> </w:t>
      </w:r>
      <w:r>
        <w:rPr>
          <w:rFonts w:ascii="Arial" w:cs="Arial" w:eastAsia="Arial" w:hAnsi="Arial"/>
          <w:sz w:val="18"/>
          <w:szCs w:val="18"/>
          <w:color w:val="auto"/>
        </w:rPr>
        <w:t>Validated Antigens (whether or not such product is, is intended to be, or was under evaluation for safety, efficacy, or other factors, and whether or not such Product has been formulated for delivery). For clarity, a multispecific antibody product that comprises or contains [***] or more Program-Benefited Antibodies will be deemed to be a single Product.</w:t>
      </w:r>
    </w:p>
    <w:p>
      <w:pPr>
        <w:spacing w:after="0" w:line="180"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1.64 </w:t>
      </w:r>
      <w:r>
        <w:rPr>
          <w:rFonts w:ascii="Arial" w:cs="Arial" w:eastAsia="Arial" w:hAnsi="Arial"/>
          <w:sz w:val="18"/>
          <w:szCs w:val="18"/>
          <w:color w:val="auto"/>
        </w:rPr>
        <w:t>“</w:t>
      </w:r>
      <w:r>
        <w:rPr>
          <w:rFonts w:ascii="Arial" w:cs="Arial" w:eastAsia="Arial" w:hAnsi="Arial"/>
          <w:sz w:val="18"/>
          <w:szCs w:val="18"/>
          <w:b w:val="1"/>
          <w:bCs w:val="1"/>
          <w:color w:val="auto"/>
        </w:rPr>
        <w:t>Program Antibody</w:t>
      </w:r>
      <w:r>
        <w:rPr>
          <w:rFonts w:ascii="Arial" w:cs="Arial" w:eastAsia="Arial" w:hAnsi="Arial"/>
          <w:sz w:val="18"/>
          <w:szCs w:val="18"/>
          <w:color w:val="auto"/>
        </w:rPr>
        <w:t>” means each antibody that has the same sequence as an antibody (including a multispecific antibody)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Adimab to Adagio under a Research Program. It is understood and agreed that even if Adimab delivers sequences of Program Antibodies to Adagio instead of protein samples, antibodies encoded by or containing such sequences are Program Antibodies, in addition to samples of which are physically delivered to Adagio under this Agreement.</w:t>
      </w:r>
    </w:p>
    <w:p>
      <w:pPr>
        <w:spacing w:after="0" w:line="180" w:lineRule="exact"/>
        <w:rPr>
          <w:sz w:val="20"/>
          <w:szCs w:val="20"/>
          <w:color w:val="auto"/>
        </w:rPr>
      </w:pPr>
    </w:p>
    <w:p>
      <w:pPr>
        <w:ind w:right="160" w:firstLine="440"/>
        <w:spacing w:after="0" w:line="312"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color w:val="auto"/>
        </w:rPr>
        <w:t>“</w:t>
      </w:r>
      <w:r>
        <w:rPr>
          <w:rFonts w:ascii="Arial" w:cs="Arial" w:eastAsia="Arial" w:hAnsi="Arial"/>
          <w:sz w:val="17"/>
          <w:szCs w:val="17"/>
          <w:b w:val="1"/>
          <w:bCs w:val="1"/>
          <w:color w:val="auto"/>
        </w:rPr>
        <w:t>Program Antibody Patents</w:t>
      </w:r>
      <w:r>
        <w:rPr>
          <w:rFonts w:ascii="Arial" w:cs="Arial" w:eastAsia="Arial" w:hAnsi="Arial"/>
          <w:sz w:val="17"/>
          <w:szCs w:val="17"/>
          <w:color w:val="auto"/>
        </w:rPr>
        <w:t>” means, for a Target, Patents that (a) claim the composition of matter of, or the method of making or using, a</w:t>
      </w:r>
      <w:r>
        <w:rPr>
          <w:rFonts w:ascii="Arial" w:cs="Arial" w:eastAsia="Arial" w:hAnsi="Arial"/>
          <w:sz w:val="17"/>
          <w:szCs w:val="17"/>
          <w:b w:val="1"/>
          <w:bCs w:val="1"/>
          <w:color w:val="auto"/>
        </w:rPr>
        <w:t xml:space="preserve"> </w:t>
      </w:r>
      <w:r>
        <w:rPr>
          <w:rFonts w:ascii="Arial" w:cs="Arial" w:eastAsia="Arial" w:hAnsi="Arial"/>
          <w:sz w:val="17"/>
          <w:szCs w:val="17"/>
          <w:color w:val="auto"/>
        </w:rPr>
        <w:t>Program-Benefited Antibody or any Product other than an Antigen Product and (b) do not Cover Adimab Platform Technology.</w:t>
      </w:r>
    </w:p>
    <w:p>
      <w:pPr>
        <w:spacing w:after="0" w:line="140"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 xml:space="preserve">1.66 </w:t>
      </w:r>
      <w:r>
        <w:rPr>
          <w:rFonts w:ascii="Arial" w:cs="Arial" w:eastAsia="Arial" w:hAnsi="Arial"/>
          <w:sz w:val="18"/>
          <w:szCs w:val="18"/>
          <w:color w:val="auto"/>
        </w:rPr>
        <w:t>“</w:t>
      </w:r>
      <w:r>
        <w:rPr>
          <w:rFonts w:ascii="Arial" w:cs="Arial" w:eastAsia="Arial" w:hAnsi="Arial"/>
          <w:sz w:val="18"/>
          <w:szCs w:val="18"/>
          <w:b w:val="1"/>
          <w:bCs w:val="1"/>
          <w:color w:val="auto"/>
        </w:rPr>
        <w:t>Program Antigen Patents</w:t>
      </w:r>
      <w:r>
        <w:rPr>
          <w:rFonts w:ascii="Arial" w:cs="Arial" w:eastAsia="Arial" w:hAnsi="Arial"/>
          <w:sz w:val="18"/>
          <w:szCs w:val="18"/>
          <w:color w:val="auto"/>
        </w:rPr>
        <w:t>” means, for a Target, Patents that (a) claim the composition of matter of, or the method of making or using, an</w:t>
      </w:r>
      <w:r>
        <w:rPr>
          <w:rFonts w:ascii="Arial" w:cs="Arial" w:eastAsia="Arial" w:hAnsi="Arial"/>
          <w:sz w:val="18"/>
          <w:szCs w:val="18"/>
          <w:b w:val="1"/>
          <w:bCs w:val="1"/>
          <w:color w:val="auto"/>
        </w:rPr>
        <w:t xml:space="preserve"> </w:t>
      </w:r>
      <w:r>
        <w:rPr>
          <w:rFonts w:ascii="Arial" w:cs="Arial" w:eastAsia="Arial" w:hAnsi="Arial"/>
          <w:sz w:val="18"/>
          <w:szCs w:val="18"/>
          <w:color w:val="auto"/>
        </w:rPr>
        <w:t>Adimab Validated Antigen or any Antigen Product and (b) do not Cover Adimab Platform Technology.</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 xml:space="preserve">1.67 </w:t>
      </w:r>
      <w:r>
        <w:rPr>
          <w:rFonts w:ascii="Arial" w:cs="Arial" w:eastAsia="Arial" w:hAnsi="Arial"/>
          <w:sz w:val="17"/>
          <w:szCs w:val="17"/>
          <w:color w:val="auto"/>
        </w:rPr>
        <w:t>“</w:t>
      </w:r>
      <w:r>
        <w:rPr>
          <w:rFonts w:ascii="Arial" w:cs="Arial" w:eastAsia="Arial" w:hAnsi="Arial"/>
          <w:sz w:val="17"/>
          <w:szCs w:val="17"/>
          <w:b w:val="1"/>
          <w:bCs w:val="1"/>
          <w:color w:val="auto"/>
        </w:rPr>
        <w:t>Program-Benefited Antibody</w:t>
      </w:r>
      <w:r>
        <w:rPr>
          <w:rFonts w:ascii="Arial" w:cs="Arial" w:eastAsia="Arial" w:hAnsi="Arial"/>
          <w:sz w:val="17"/>
          <w:szCs w:val="17"/>
          <w:color w:val="auto"/>
        </w:rPr>
        <w:t>” means, with respect to any particular Program Antibody, such Program Antibody itself and any modified or</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form of any such Program Antibody [***] created by or on behalf of Adagio or its Affiliates or Licensees using such Program Antibody, including any fragment or pegylated version (whether or not including sequence changes) of such Program Antibody and including chemically modified versions (including any associated substitutions) of such Program Antibody, and including [***]. For clarity, any modified or derivative form of any Program-Benefited Antibody will itself be a Program-Benefited Antibody with respect to the same Program Antibody.</w:t>
      </w:r>
    </w:p>
    <w:p>
      <w:pPr>
        <w:sectPr>
          <w:pgSz w:w="11900" w:h="16838" w:orient="portrait"/>
          <w:cols w:equalWidth="0" w:num="1">
            <w:col w:w="10980"/>
          </w:cols>
          <w:pgMar w:left="440" w:top="270" w:right="479" w:bottom="1440" w:gutter="0" w:footer="0" w:header="0"/>
        </w:sectPr>
      </w:pPr>
    </w:p>
    <w:bookmarkStart w:id="464" w:name="page465"/>
    <w:bookmarkEnd w:id="464"/>
    <w:p>
      <w:pPr>
        <w:ind w:right="3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1.68 </w:t>
      </w:r>
      <w:r>
        <w:rPr>
          <w:rFonts w:ascii="Arial" w:cs="Arial" w:eastAsia="Arial" w:hAnsi="Arial"/>
          <w:sz w:val="18"/>
          <w:szCs w:val="18"/>
          <w:color w:val="auto"/>
        </w:rPr>
        <w:t>“</w:t>
      </w:r>
      <w:r>
        <w:rPr>
          <w:rFonts w:ascii="Arial" w:cs="Arial" w:eastAsia="Arial" w:hAnsi="Arial"/>
          <w:sz w:val="18"/>
          <w:szCs w:val="18"/>
          <w:b w:val="1"/>
          <w:bCs w:val="1"/>
          <w:color w:val="auto"/>
        </w:rPr>
        <w:t>Program Inventions</w:t>
      </w:r>
      <w:r>
        <w:rPr>
          <w:rFonts w:ascii="Arial" w:cs="Arial" w:eastAsia="Arial" w:hAnsi="Arial"/>
          <w:sz w:val="18"/>
          <w:szCs w:val="18"/>
          <w:color w:val="auto"/>
        </w:rPr>
        <w:t>” means, for a Target, any invention that is conceived or first reduced to practice in the conduct of the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conducted under this Agreement (including in exercise of a license under this Agreement) or as a result of the use of Confidential Information exchanged hereunder. For clarity, Program Inventions include all Know-How made, developed, invented or discovered by employees, contractors or agents of either Party or of both Parties pursuant to this Agreement.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Program Patent</w:t>
      </w:r>
      <w:r>
        <w:rPr>
          <w:rFonts w:ascii="Arial" w:cs="Arial" w:eastAsia="Arial" w:hAnsi="Arial"/>
          <w:sz w:val="18"/>
          <w:szCs w:val="18"/>
          <w:color w:val="auto"/>
        </w:rPr>
        <w:t>” means any Patent Covering a Program Invention.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color w:val="auto"/>
        </w:rPr>
        <w:t>Quarterly Fee</w:t>
      </w:r>
      <w:r>
        <w:rPr>
          <w:rFonts w:ascii="Arial" w:cs="Arial" w:eastAsia="Arial" w:hAnsi="Arial"/>
          <w:sz w:val="18"/>
          <w:szCs w:val="18"/>
          <w:color w:val="auto"/>
        </w:rPr>
        <w:t>” has the meaning set forth in Section 4.1(b)(i) (</w:t>
      </w:r>
      <w:r>
        <w:rPr>
          <w:rFonts w:ascii="Arial" w:cs="Arial" w:eastAsia="Arial" w:hAnsi="Arial"/>
          <w:sz w:val="18"/>
          <w:szCs w:val="18"/>
          <w:i w:val="1"/>
          <w:iCs w:val="1"/>
          <w:color w:val="auto"/>
        </w:rPr>
        <w:t>Payment of Quarterly Fee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1.71 </w:t>
      </w:r>
      <w:r>
        <w:rPr>
          <w:rFonts w:ascii="Arial" w:cs="Arial" w:eastAsia="Arial" w:hAnsi="Arial"/>
          <w:sz w:val="18"/>
          <w:szCs w:val="18"/>
          <w:color w:val="auto"/>
        </w:rPr>
        <w:t>“</w:t>
      </w:r>
      <w:r>
        <w:rPr>
          <w:rFonts w:ascii="Arial" w:cs="Arial" w:eastAsia="Arial" w:hAnsi="Arial"/>
          <w:sz w:val="18"/>
          <w:szCs w:val="18"/>
          <w:b w:val="1"/>
          <w:bCs w:val="1"/>
          <w:color w:val="auto"/>
        </w:rPr>
        <w:t>Research Committee</w:t>
      </w:r>
      <w:r>
        <w:rPr>
          <w:rFonts w:ascii="Arial" w:cs="Arial" w:eastAsia="Arial" w:hAnsi="Arial"/>
          <w:sz w:val="18"/>
          <w:szCs w:val="18"/>
          <w:color w:val="auto"/>
        </w:rPr>
        <w:t>” has the meaning set forth in Section 2.2(a) (</w:t>
      </w:r>
      <w:r>
        <w:rPr>
          <w:rFonts w:ascii="Arial" w:cs="Arial" w:eastAsia="Arial" w:hAnsi="Arial"/>
          <w:sz w:val="18"/>
          <w:szCs w:val="18"/>
          <w:i w:val="1"/>
          <w:iCs w:val="1"/>
          <w:color w:val="auto"/>
        </w:rPr>
        <w:t>Scientific Research Committee</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Research Plan</w:t>
      </w:r>
      <w:r>
        <w:rPr>
          <w:rFonts w:ascii="Arial" w:cs="Arial" w:eastAsia="Arial" w:hAnsi="Arial"/>
          <w:sz w:val="18"/>
          <w:szCs w:val="18"/>
          <w:color w:val="auto"/>
        </w:rPr>
        <w:t>” means, on a Target-by-Target basis, the research plan agreed upon by the Parties with respect to a Target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2.1(a) (</w:t>
      </w:r>
      <w:r>
        <w:rPr>
          <w:rFonts w:ascii="Arial" w:cs="Arial" w:eastAsia="Arial" w:hAnsi="Arial"/>
          <w:sz w:val="18"/>
          <w:szCs w:val="18"/>
          <w:i w:val="1"/>
          <w:iCs w:val="1"/>
          <w:color w:val="auto"/>
        </w:rPr>
        <w:t>Research Plans</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Research Program</w:t>
      </w:r>
      <w:r>
        <w:rPr>
          <w:rFonts w:ascii="Arial" w:cs="Arial" w:eastAsia="Arial" w:hAnsi="Arial"/>
          <w:sz w:val="18"/>
          <w:szCs w:val="18"/>
          <w:color w:val="auto"/>
        </w:rPr>
        <w:t>” means a program of research conducted under this Agreement in accordance with a Research Plan.</w:t>
      </w:r>
    </w:p>
    <w:p>
      <w:pPr>
        <w:spacing w:after="0" w:line="225"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means the period beginning on the date on which Adimab commences work on a Research Program and ending, on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Program-by-Research Program basis, upon Adimab’s Final Delivery under a Research Plan; [***].</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Royalty Payment</w:t>
      </w:r>
      <w:r>
        <w:rPr>
          <w:rFonts w:ascii="Arial" w:cs="Arial" w:eastAsia="Arial" w:hAnsi="Arial"/>
          <w:sz w:val="18"/>
          <w:szCs w:val="18"/>
          <w:color w:val="auto"/>
        </w:rPr>
        <w:t>” has the meaning set forth in Section 4.5 (</w:t>
      </w:r>
      <w:r>
        <w:rPr>
          <w:rFonts w:ascii="Arial" w:cs="Arial" w:eastAsia="Arial" w:hAnsi="Arial"/>
          <w:sz w:val="18"/>
          <w:szCs w:val="18"/>
          <w:i w:val="1"/>
          <w:iCs w:val="1"/>
          <w:color w:val="auto"/>
        </w:rPr>
        <w:t>Royalty Payments</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1.76 </w:t>
      </w:r>
      <w:r>
        <w:rPr>
          <w:rFonts w:ascii="Arial" w:cs="Arial" w:eastAsia="Arial" w:hAnsi="Arial"/>
          <w:sz w:val="16"/>
          <w:szCs w:val="16"/>
          <w:color w:val="auto"/>
        </w:rPr>
        <w:t>“</w:t>
      </w:r>
      <w:r>
        <w:rPr>
          <w:rFonts w:ascii="Arial" w:cs="Arial" w:eastAsia="Arial" w:hAnsi="Arial"/>
          <w:sz w:val="16"/>
          <w:szCs w:val="16"/>
          <w:b w:val="1"/>
          <w:bCs w:val="1"/>
          <w:color w:val="auto"/>
        </w:rPr>
        <w:t>Royalty Term</w:t>
      </w:r>
      <w:r>
        <w:rPr>
          <w:rFonts w:ascii="Arial" w:cs="Arial" w:eastAsia="Arial" w:hAnsi="Arial"/>
          <w:sz w:val="16"/>
          <w:szCs w:val="16"/>
          <w:color w:val="auto"/>
        </w:rPr>
        <w:t>” means, on a Product-by-Product and country-by-country basis, the term ending at the later of (a) twelve (12) years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Commercial Sale of such Product in such country, and (b) the expiration of the last Program Antibody Patent Covering such Product.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Scope</w:t>
      </w:r>
      <w:r>
        <w:rPr>
          <w:rFonts w:ascii="Arial" w:cs="Arial" w:eastAsia="Arial" w:hAnsi="Arial"/>
          <w:sz w:val="18"/>
          <w:szCs w:val="18"/>
          <w:color w:val="auto"/>
        </w:rPr>
        <w:t>” has the meaning set forth in Section 4.1(b)(ii) (</w:t>
      </w:r>
      <w:r>
        <w:rPr>
          <w:rFonts w:ascii="Arial" w:cs="Arial" w:eastAsia="Arial" w:hAnsi="Arial"/>
          <w:sz w:val="18"/>
          <w:szCs w:val="18"/>
          <w:i w:val="1"/>
          <w:iCs w:val="1"/>
          <w:color w:val="auto"/>
        </w:rPr>
        <w:t>Initial Scope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Senior Executive Discussions</w:t>
      </w:r>
      <w:r>
        <w:rPr>
          <w:rFonts w:ascii="Arial" w:cs="Arial" w:eastAsia="Arial" w:hAnsi="Arial"/>
          <w:sz w:val="18"/>
          <w:szCs w:val="18"/>
          <w:color w:val="auto"/>
        </w:rPr>
        <w:t>” has the meaning set forth in Section 10.2(a) (</w:t>
      </w:r>
      <w:r>
        <w:rPr>
          <w:rFonts w:ascii="Arial" w:cs="Arial" w:eastAsia="Arial" w:hAnsi="Arial"/>
          <w:sz w:val="18"/>
          <w:szCs w:val="18"/>
          <w:i w:val="1"/>
          <w:iCs w:val="1"/>
          <w:color w:val="auto"/>
        </w:rPr>
        <w:t>Initial Dispute Resolution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Subcontractors</w:t>
      </w:r>
      <w:r>
        <w:rPr>
          <w:rFonts w:ascii="Arial" w:cs="Arial" w:eastAsia="Arial" w:hAnsi="Arial"/>
          <w:sz w:val="18"/>
          <w:szCs w:val="18"/>
          <w:color w:val="auto"/>
        </w:rPr>
        <w:t>” has the meaning set forth in Section 2.1(b) (</w:t>
      </w:r>
      <w:r>
        <w:rPr>
          <w:rFonts w:ascii="Arial" w:cs="Arial" w:eastAsia="Arial" w:hAnsi="Arial"/>
          <w:sz w:val="18"/>
          <w:szCs w:val="18"/>
          <w:i w:val="1"/>
          <w:iCs w:val="1"/>
          <w:color w:val="auto"/>
        </w:rPr>
        <w:t>Conduct of Research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1.80 </w:t>
      </w:r>
      <w:r>
        <w:rPr>
          <w:rFonts w:ascii="Arial" w:cs="Arial" w:eastAsia="Arial" w:hAnsi="Arial"/>
          <w:sz w:val="18"/>
          <w:szCs w:val="18"/>
          <w:color w:val="auto"/>
        </w:rPr>
        <w:t>“</w:t>
      </w:r>
      <w:r>
        <w:rPr>
          <w:rFonts w:ascii="Arial" w:cs="Arial" w:eastAsia="Arial" w:hAnsi="Arial"/>
          <w:sz w:val="18"/>
          <w:szCs w:val="18"/>
          <w:b w:val="1"/>
          <w:bCs w:val="1"/>
          <w:color w:val="auto"/>
        </w:rPr>
        <w:t>Target</w:t>
      </w:r>
      <w:r>
        <w:rPr>
          <w:rFonts w:ascii="Arial" w:cs="Arial" w:eastAsia="Arial" w:hAnsi="Arial"/>
          <w:sz w:val="18"/>
          <w:szCs w:val="18"/>
          <w:color w:val="auto"/>
        </w:rPr>
        <w:t>” means a biological target selected by Adagio pursuant to Section 2.1 (</w:t>
      </w:r>
      <w:r>
        <w:rPr>
          <w:rFonts w:ascii="Arial" w:cs="Arial" w:eastAsia="Arial" w:hAnsi="Arial"/>
          <w:sz w:val="18"/>
          <w:szCs w:val="18"/>
          <w:i w:val="1"/>
          <w:iCs w:val="1"/>
          <w:color w:val="auto"/>
        </w:rPr>
        <w:t>Research Programs</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Target Nomination Period</w:t>
      </w:r>
      <w:r>
        <w:rPr>
          <w:rFonts w:ascii="Arial" w:cs="Arial" w:eastAsia="Arial" w:hAnsi="Arial"/>
          <w:sz w:val="18"/>
          <w:szCs w:val="18"/>
          <w:color w:val="auto"/>
        </w:rPr>
        <w:t>” means the term beginning on the Effective Date and ending [***] after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Target Questionnaire</w:t>
      </w:r>
      <w:r>
        <w:rPr>
          <w:rFonts w:ascii="Arial" w:cs="Arial" w:eastAsia="Arial" w:hAnsi="Arial"/>
          <w:sz w:val="18"/>
          <w:szCs w:val="18"/>
          <w:color w:val="auto"/>
        </w:rPr>
        <w:t>” means Adimab’s standard form of target questionnaire.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will have the meaning set forth in Section 9.1 (</w:t>
      </w:r>
      <w:r>
        <w:rPr>
          <w:rFonts w:ascii="Arial" w:cs="Arial" w:eastAsia="Arial" w:hAnsi="Arial"/>
          <w:sz w:val="18"/>
          <w:szCs w:val="18"/>
          <w:i w:val="1"/>
          <w:iCs w:val="1"/>
          <w:color w:val="auto"/>
        </w:rPr>
        <w:t>Term</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0" w:right="459" w:bottom="1440" w:gutter="0" w:footer="0" w:header="0"/>
        </w:sectPr>
      </w:pPr>
    </w:p>
    <w:bookmarkStart w:id="465" w:name="page466"/>
    <w:bookmarkEnd w:id="465"/>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1.84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 entity other than a Party.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1.85 </w:t>
      </w:r>
      <w:r>
        <w:rPr>
          <w:rFonts w:ascii="Arial" w:cs="Arial" w:eastAsia="Arial" w:hAnsi="Arial"/>
          <w:sz w:val="18"/>
          <w:szCs w:val="18"/>
          <w:color w:val="auto"/>
        </w:rPr>
        <w:t>“</w:t>
      </w:r>
      <w:r>
        <w:rPr>
          <w:rFonts w:ascii="Arial" w:cs="Arial" w:eastAsia="Arial" w:hAnsi="Arial"/>
          <w:sz w:val="18"/>
          <w:szCs w:val="18"/>
          <w:b w:val="1"/>
          <w:bCs w:val="1"/>
          <w:color w:val="auto"/>
        </w:rPr>
        <w:t>Third Party Claims</w:t>
      </w:r>
      <w:r>
        <w:rPr>
          <w:rFonts w:ascii="Arial" w:cs="Arial" w:eastAsia="Arial" w:hAnsi="Arial"/>
          <w:sz w:val="18"/>
          <w:szCs w:val="18"/>
          <w:color w:val="auto"/>
        </w:rPr>
        <w:t>” has the meaning set forth in Section 8.1 (</w:t>
      </w:r>
      <w:r>
        <w:rPr>
          <w:rFonts w:ascii="Arial" w:cs="Arial" w:eastAsia="Arial" w:hAnsi="Arial"/>
          <w:sz w:val="18"/>
          <w:szCs w:val="18"/>
          <w:i w:val="1"/>
          <w:iCs w:val="1"/>
          <w:color w:val="auto"/>
        </w:rPr>
        <w:t>Indemnification by Adimab</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94" w:lineRule="auto"/>
        <w:rPr>
          <w:sz w:val="20"/>
          <w:szCs w:val="20"/>
          <w:color w:val="auto"/>
        </w:rPr>
      </w:pPr>
      <w:r>
        <w:rPr>
          <w:rFonts w:ascii="Arial" w:cs="Arial" w:eastAsia="Arial" w:hAnsi="Arial"/>
          <w:sz w:val="16"/>
          <w:szCs w:val="16"/>
          <w:b w:val="1"/>
          <w:bCs w:val="1"/>
          <w:color w:val="auto"/>
        </w:rPr>
        <w:t xml:space="preserve">1.86 </w:t>
      </w:r>
      <w:r>
        <w:rPr>
          <w:rFonts w:ascii="Arial" w:cs="Arial" w:eastAsia="Arial" w:hAnsi="Arial"/>
          <w:sz w:val="16"/>
          <w:szCs w:val="16"/>
          <w:color w:val="auto"/>
        </w:rPr>
        <w:t>“</w:t>
      </w:r>
      <w:r>
        <w:rPr>
          <w:rFonts w:ascii="Arial" w:cs="Arial" w:eastAsia="Arial" w:hAnsi="Arial"/>
          <w:sz w:val="16"/>
          <w:szCs w:val="16"/>
          <w:b w:val="1"/>
          <w:bCs w:val="1"/>
          <w:color w:val="auto"/>
        </w:rPr>
        <w:t>Third Party Contractors</w:t>
      </w:r>
      <w:r>
        <w:rPr>
          <w:rFonts w:ascii="Arial" w:cs="Arial" w:eastAsia="Arial" w:hAnsi="Arial"/>
          <w:sz w:val="16"/>
          <w:szCs w:val="16"/>
          <w:color w:val="auto"/>
        </w:rPr>
        <w:t>” means (a) Third Parties that provide services on a fee-for-service basis, such as contract research organizations,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manufacturers, and the like, and (b) Third Party academic collaborators, in each case, so long as (x) any agreement between Adagio and such Third Party service provider or Third Party academic collaborator is terminable at will upon reasonable notice by Adagio and (y) such Third Party service provider or Third Party academic collaborator does not obtain any rights to research develop, manufacture, commercialize, or patent (or an option to obtain such rights) with respect to any Program-Benefited Antibodies, and (z) such Third Party service provider or Third Party academic collaborator is bound to the same confidentiality and non-use obligations as Adagio is bound to under this Agreement.</w:t>
      </w:r>
    </w:p>
    <w:p>
      <w:pPr>
        <w:spacing w:after="0" w:line="160"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 xml:space="preserve">1.87 </w:t>
      </w:r>
      <w:r>
        <w:rPr>
          <w:rFonts w:ascii="Arial" w:cs="Arial" w:eastAsia="Arial" w:hAnsi="Arial"/>
          <w:sz w:val="17"/>
          <w:szCs w:val="17"/>
          <w:color w:val="auto"/>
        </w:rPr>
        <w:t>“</w:t>
      </w:r>
      <w:r>
        <w:rPr>
          <w:rFonts w:ascii="Arial" w:cs="Arial" w:eastAsia="Arial" w:hAnsi="Arial"/>
          <w:sz w:val="17"/>
          <w:szCs w:val="17"/>
          <w:b w:val="1"/>
          <w:bCs w:val="1"/>
          <w:color w:val="auto"/>
        </w:rPr>
        <w:t>Third Party Patent Licenses</w:t>
      </w:r>
      <w:r>
        <w:rPr>
          <w:rFonts w:ascii="Arial" w:cs="Arial" w:eastAsia="Arial" w:hAnsi="Arial"/>
          <w:sz w:val="17"/>
          <w:szCs w:val="17"/>
          <w:color w:val="auto"/>
        </w:rPr>
        <w:t>” means Patent licenses obtained by Adagio after Adagio determines in good faith that one or more such</w:t>
      </w:r>
      <w:r>
        <w:rPr>
          <w:rFonts w:ascii="Arial" w:cs="Arial" w:eastAsia="Arial" w:hAnsi="Arial"/>
          <w:sz w:val="17"/>
          <w:szCs w:val="17"/>
          <w:b w:val="1"/>
          <w:bCs w:val="1"/>
          <w:color w:val="auto"/>
        </w:rPr>
        <w:t xml:space="preserve"> </w:t>
      </w:r>
      <w:r>
        <w:rPr>
          <w:rFonts w:ascii="Arial" w:cs="Arial" w:eastAsia="Arial" w:hAnsi="Arial"/>
          <w:sz w:val="17"/>
          <w:szCs w:val="17"/>
          <w:color w:val="auto"/>
        </w:rPr>
        <w:t>Patent licenses from Third Parties are reasonably required by Adagio because such Patents Cover the way in which Program Antibodies were discovered or optimized using Adimab Platform Technology under a Third Party Patent Covering the Adimab Platform Technology, in order to avoid Third Party claims of patent infringement relating to the discovery or optimization of an Optioned Antibody, which claims are reasonably believed by Adagio to be reasonably likely not to be dismissed or invalidated in any derivation or post-grant proceeding or at summary judgment, and are reasonably likely to succeed overall. For clarity, Third Party Patent Licenses explicitly exclude licenses to any Excluded Third Party Technology or Third Party Sequence IP, except as set forth in Section 2.1(c) (</w:t>
      </w:r>
      <w:r>
        <w:rPr>
          <w:rFonts w:ascii="Arial" w:cs="Arial" w:eastAsia="Arial" w:hAnsi="Arial"/>
          <w:sz w:val="17"/>
          <w:szCs w:val="17"/>
          <w:i w:val="1"/>
          <w:iCs w:val="1"/>
          <w:color w:val="auto"/>
        </w:rPr>
        <w:t>No Excluded Adimab Technology</w:t>
      </w:r>
      <w:r>
        <w:rPr>
          <w:rFonts w:ascii="Arial" w:cs="Arial" w:eastAsia="Arial" w:hAnsi="Arial"/>
          <w:sz w:val="17"/>
          <w:szCs w:val="17"/>
          <w:color w:val="auto"/>
        </w:rPr>
        <w:t>).</w:t>
      </w:r>
    </w:p>
    <w:p>
      <w:pPr>
        <w:spacing w:after="0" w:line="17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Third Party Sequence IP</w:t>
      </w:r>
      <w:r>
        <w:rPr>
          <w:rFonts w:ascii="Arial" w:cs="Arial" w:eastAsia="Arial" w:hAnsi="Arial"/>
          <w:sz w:val="18"/>
          <w:szCs w:val="18"/>
          <w:color w:val="auto"/>
        </w:rPr>
        <w:t>” means Third Party Patents that Cover, and Know-How related to, the sequence of an antibody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Program-Benefited Antibody), including the CDRs and any fragments thereof.</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1.89 </w:t>
      </w:r>
      <w:r>
        <w:rPr>
          <w:rFonts w:ascii="Arial" w:cs="Arial" w:eastAsia="Arial" w:hAnsi="Arial"/>
          <w:sz w:val="18"/>
          <w:szCs w:val="18"/>
          <w:color w:val="auto"/>
        </w:rPr>
        <w:t>“[***]” means [***].</w:t>
      </w:r>
    </w:p>
    <w:p>
      <w:pPr>
        <w:spacing w:after="0" w:line="225"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 xml:space="preserve"> Agreement</w:t>
      </w:r>
      <w:r>
        <w:rPr>
          <w:rFonts w:ascii="Arial" w:cs="Arial" w:eastAsia="Arial" w:hAnsi="Arial"/>
          <w:sz w:val="18"/>
          <w:szCs w:val="18"/>
          <w:color w:val="auto"/>
        </w:rPr>
        <w:t>” means any definitive agreement between Adagio and [***] pursuant to which, among other things, [***] may supply</w:t>
      </w:r>
      <w:r>
        <w:rPr>
          <w:rFonts w:ascii="Arial" w:cs="Arial" w:eastAsia="Arial" w:hAnsi="Arial"/>
          <w:sz w:val="18"/>
          <w:szCs w:val="18"/>
          <w:b w:val="1"/>
          <w:bCs w:val="1"/>
          <w:color w:val="auto"/>
        </w:rPr>
        <w:t xml:space="preserve"> </w:t>
      </w:r>
      <w:r>
        <w:rPr>
          <w:rFonts w:ascii="Arial" w:cs="Arial" w:eastAsia="Arial" w:hAnsi="Arial"/>
          <w:sz w:val="18"/>
          <w:szCs w:val="18"/>
          <w:color w:val="auto"/>
        </w:rPr>
        <w:t>Adagio (and Adimab, on Adagio’s behalf) with antigen for use in Research Programs hereunder.</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References in the body of this Agreement to “Sections” or “Articles” refer to the sections or articles of this Agreement. The terms “include,”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“including” and derivative forms of them will be deemed followed by the phrase “without limitation” regardless of whether such phrase appears there (and with no implication being drawn from its inconsistent inclusion or non-inclusion) and the term “or” has the inclusive meaning represented by the phrase “and/or” (regardless of whether it is actually written and drawing no implication from the actual use of the phrase “and/or” in some instances but not in others).</w:t>
      </w:r>
    </w:p>
    <w:p>
      <w:pPr>
        <w:spacing w:after="0" w:line="183" w:lineRule="exact"/>
        <w:rPr>
          <w:sz w:val="20"/>
          <w:szCs w:val="20"/>
          <w:color w:val="auto"/>
        </w:rPr>
      </w:pPr>
    </w:p>
    <w:p>
      <w:pPr>
        <w:ind w:right="340" w:firstLine="440"/>
        <w:spacing w:after="0" w:line="312" w:lineRule="auto"/>
        <w:rPr>
          <w:sz w:val="20"/>
          <w:szCs w:val="20"/>
          <w:color w:val="auto"/>
        </w:rPr>
      </w:pPr>
      <w:r>
        <w:rPr>
          <w:rFonts w:ascii="Arial" w:cs="Arial" w:eastAsia="Arial" w:hAnsi="Arial"/>
          <w:sz w:val="17"/>
          <w:szCs w:val="17"/>
          <w:b w:val="1"/>
          <w:bCs w:val="1"/>
          <w:color w:val="auto"/>
        </w:rPr>
        <w:t xml:space="preserve">1.92 </w:t>
      </w:r>
      <w:r>
        <w:rPr>
          <w:rFonts w:ascii="Arial" w:cs="Arial" w:eastAsia="Arial" w:hAnsi="Arial"/>
          <w:sz w:val="17"/>
          <w:szCs w:val="17"/>
          <w:color w:val="auto"/>
        </w:rPr>
        <w:t>To avoid doubt, the term “antibody” as used everywhere else in this Agreement includes full-length antibodies and other proteins such as</w:t>
      </w:r>
      <w:r>
        <w:rPr>
          <w:rFonts w:ascii="Arial" w:cs="Arial" w:eastAsia="Arial" w:hAnsi="Arial"/>
          <w:sz w:val="17"/>
          <w:szCs w:val="17"/>
          <w:b w:val="1"/>
          <w:bCs w:val="1"/>
          <w:color w:val="auto"/>
        </w:rPr>
        <w:t xml:space="preserve"> </w:t>
      </w:r>
      <w:r>
        <w:rPr>
          <w:rFonts w:ascii="Arial" w:cs="Arial" w:eastAsia="Arial" w:hAnsi="Arial"/>
          <w:sz w:val="17"/>
          <w:szCs w:val="17"/>
          <w:color w:val="auto"/>
        </w:rPr>
        <w:t>peptides, fragments thereof, and chemically modified versions thereof (including pegylated versions and multispecific antibodies</w:t>
      </w:r>
    </w:p>
    <w:p>
      <w:pPr>
        <w:sectPr>
          <w:pgSz w:w="11900" w:h="16838" w:orient="portrait"/>
          <w:cols w:equalWidth="0" w:num="1">
            <w:col w:w="11000"/>
          </w:cols>
          <w:pgMar w:left="440" w:top="270" w:right="459" w:bottom="1440" w:gutter="0" w:footer="0" w:header="0"/>
        </w:sectPr>
      </w:pPr>
    </w:p>
    <w:bookmarkStart w:id="466" w:name="page467"/>
    <w:bookmarkEnd w:id="46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e.g.</w:t>
      </w:r>
      <w:r>
        <w:rPr>
          <w:rFonts w:ascii="Arial" w:cs="Arial" w:eastAsia="Arial" w:hAnsi="Arial"/>
          <w:sz w:val="18"/>
          <w:szCs w:val="18"/>
          <w:color w:val="auto"/>
        </w:rPr>
        <w:t>, bispecifics and trispecifics) and regardless of whether containing amino acid substitutions), all of the foregoing whether naturally occurring (including those found in different species, including primate, murine and camelid species), artificially produced (including via in silico methods), raised in an artificial system, or created through modification of an antibody produced in any of the foregoing ways or otherwise, and whether represented by physical material or sequences. Throughout this Agreement, the term “sequence” means both the amino acid sequence and nucleic acid sequence and a sequence may be identified either explicitly (</w:t>
      </w:r>
      <w:r>
        <w:rPr>
          <w:rFonts w:ascii="Arial" w:cs="Arial" w:eastAsia="Arial" w:hAnsi="Arial"/>
          <w:sz w:val="18"/>
          <w:szCs w:val="18"/>
          <w:i w:val="1"/>
          <w:iCs w:val="1"/>
          <w:color w:val="auto"/>
        </w:rPr>
        <w:t>e.g.</w:t>
      </w:r>
      <w:r>
        <w:rPr>
          <w:rFonts w:ascii="Arial" w:cs="Arial" w:eastAsia="Arial" w:hAnsi="Arial"/>
          <w:sz w:val="18"/>
          <w:szCs w:val="18"/>
          <w:color w:val="auto"/>
        </w:rPr>
        <w:t>, by identifying the specific sequences) or implicitly (</w:t>
      </w:r>
      <w:r>
        <w:rPr>
          <w:rFonts w:ascii="Arial" w:cs="Arial" w:eastAsia="Arial" w:hAnsi="Arial"/>
          <w:sz w:val="18"/>
          <w:szCs w:val="18"/>
          <w:i w:val="1"/>
          <w:iCs w:val="1"/>
          <w:color w:val="auto"/>
        </w:rPr>
        <w:t>e.g.</w:t>
      </w:r>
      <w:r>
        <w:rPr>
          <w:rFonts w:ascii="Arial" w:cs="Arial" w:eastAsia="Arial" w:hAnsi="Arial"/>
          <w:sz w:val="18"/>
          <w:szCs w:val="18"/>
          <w:color w:val="auto"/>
        </w:rPr>
        <w:t>, by referencing specific substitutions to the sequence of an antibody).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PROGRAMS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2.1 Research Programs.</w:t>
      </w:r>
    </w:p>
    <w:p>
      <w:pPr>
        <w:spacing w:after="0" w:line="225" w:lineRule="exact"/>
        <w:rPr>
          <w:sz w:val="20"/>
          <w:szCs w:val="20"/>
          <w:color w:val="auto"/>
        </w:rPr>
      </w:pPr>
    </w:p>
    <w:p>
      <w:pPr>
        <w:ind w:firstLine="987"/>
        <w:spacing w:after="0" w:line="288" w:lineRule="auto"/>
        <w:tabs>
          <w:tab w:leader="none" w:pos="1246" w:val="left"/>
        </w:tabs>
        <w:numPr>
          <w:ilvl w:val="0"/>
          <w:numId w:val="342"/>
        </w:numPr>
        <w:rPr>
          <w:rFonts w:ascii="Arial" w:cs="Arial" w:eastAsia="Arial" w:hAnsi="Arial"/>
          <w:sz w:val="16"/>
          <w:szCs w:val="16"/>
          <w:b w:val="1"/>
          <w:bCs w:val="1"/>
          <w:color w:val="auto"/>
        </w:rPr>
      </w:pPr>
      <w:r>
        <w:rPr>
          <w:rFonts w:ascii="Arial" w:cs="Arial" w:eastAsia="Arial" w:hAnsi="Arial"/>
          <w:sz w:val="16"/>
          <w:szCs w:val="16"/>
          <w:b w:val="1"/>
          <w:bCs w:val="1"/>
          <w:color w:val="auto"/>
        </w:rPr>
        <w:t>Research Plans</w:t>
      </w:r>
      <w:r>
        <w:rPr>
          <w:rFonts w:ascii="Arial" w:cs="Arial" w:eastAsia="Arial" w:hAnsi="Arial"/>
          <w:sz w:val="16"/>
          <w:szCs w:val="16"/>
          <w:color w:val="auto"/>
        </w:rPr>
        <w:t>. The Parties agree to collaborate on Research Programs for up to [***] Targets, each in accordance with a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Plan;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Adimab is unable to generate antibodies directed against a Target chosen by Adagio, then Adagio may replace such Target (and such replacement would not count as an additional Target toward the maximum of [***] Targets). In order to commence a Research Program, Adagio may nominate a Target for such Research Program by completing a Target Questionnaire and delivering it to Adimab during the Target Nomination Period. Upon completion of a Target Questionnaire by Adagio, the Parties will agree to a Research Plan setting forth the expected timeline, budget, and relevant deliverables from initial discovery of Program Antibodies. Upon completion of initial discovery and initial assessment of the Program Antibodies delivered by Adimab to Adagio, the Parties will agree to an updated Research Plan setting forth the expected timeline, budget, and relevant deliverables from optimization of Program Antibodies. Such Research Plan will be based upon Adimab’s standard form of Research Plan attached hereto as </w:t>
      </w:r>
      <w:r>
        <w:rPr>
          <w:rFonts w:ascii="Arial" w:cs="Arial" w:eastAsia="Arial" w:hAnsi="Arial"/>
          <w:sz w:val="16"/>
          <w:szCs w:val="16"/>
          <w:u w:val="single" w:color="auto"/>
          <w:color w:val="auto"/>
        </w:rPr>
        <w:t>Exhibit 2.1</w:t>
      </w:r>
      <w:r>
        <w:rPr>
          <w:rFonts w:ascii="Arial" w:cs="Arial" w:eastAsia="Arial" w:hAnsi="Arial"/>
          <w:sz w:val="16"/>
          <w:szCs w:val="16"/>
          <w:color w:val="auto"/>
        </w:rPr>
        <w:t>, and will include Adimab’s responsibilities in such Research Program. Such Research Plan will be agreed upon in writing by the Parties, and such Research Program will be conducted in accordance therewith. Neither Party is required to perform a Research Program under this Agreement if the Parties do not mutually agree in writing on a Research Plan.</w:t>
      </w:r>
    </w:p>
    <w:p>
      <w:pPr>
        <w:spacing w:after="0" w:line="163" w:lineRule="exact"/>
        <w:rPr>
          <w:rFonts w:ascii="Arial" w:cs="Arial" w:eastAsia="Arial" w:hAnsi="Arial"/>
          <w:sz w:val="16"/>
          <w:szCs w:val="16"/>
          <w:b w:val="1"/>
          <w:bCs w:val="1"/>
          <w:color w:val="auto"/>
        </w:rPr>
      </w:pPr>
    </w:p>
    <w:p>
      <w:pPr>
        <w:ind w:firstLine="987"/>
        <w:spacing w:after="0" w:line="271" w:lineRule="auto"/>
        <w:tabs>
          <w:tab w:leader="none" w:pos="1256" w:val="left"/>
        </w:tabs>
        <w:numPr>
          <w:ilvl w:val="0"/>
          <w:numId w:val="342"/>
        </w:numPr>
        <w:rPr>
          <w:rFonts w:ascii="Arial" w:cs="Arial" w:eastAsia="Arial" w:hAnsi="Arial"/>
          <w:sz w:val="17"/>
          <w:szCs w:val="17"/>
          <w:b w:val="1"/>
          <w:bCs w:val="1"/>
          <w:color w:val="auto"/>
        </w:rPr>
      </w:pPr>
      <w:r>
        <w:rPr>
          <w:rFonts w:ascii="Arial" w:cs="Arial" w:eastAsia="Arial" w:hAnsi="Arial"/>
          <w:sz w:val="17"/>
          <w:szCs w:val="17"/>
          <w:b w:val="1"/>
          <w:bCs w:val="1"/>
          <w:color w:val="auto"/>
        </w:rPr>
        <w:t>Conduct of Research</w:t>
      </w:r>
      <w:r>
        <w:rPr>
          <w:rFonts w:ascii="Arial" w:cs="Arial" w:eastAsia="Arial" w:hAnsi="Arial"/>
          <w:sz w:val="17"/>
          <w:szCs w:val="17"/>
          <w:color w:val="auto"/>
        </w:rPr>
        <w:t>. Each Party will use its Commercially Reasonable Efforts to perform the activities assigned to such Party in a</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Plan and to achieve the timeline(s) set forth in such Research Plan. Adimab’s obligation to start performance of a Research Program hereunder will be subject to (i) the availability of reagents of sufficient quality and quantity, and (ii) the availability of Adimab researchers to perform such Research Program, and Adimab will provide Adagio with reasonable notice as to the availability of its researchers to start performance of its obligations under a Research Plan at the time of negotiation of such Research Plan. Adagio Materials (other than Adimab Validated Antigen) are expected to include Target antigen of suitable quality for performance of the Research Program and such Adagio Materials must pass Adimab’s quality control standards prior to commencing the Research Program. Adimab shall perform the Research Program in accordance with the Research Plan, and Adimab’s performance obligations under a Research Program will expire at the end of the Research Term for such Research Program. Adimab will have the right to use Third Parties (“</w:t>
      </w:r>
      <w:r>
        <w:rPr>
          <w:rFonts w:ascii="Arial" w:cs="Arial" w:eastAsia="Arial" w:hAnsi="Arial"/>
          <w:sz w:val="17"/>
          <w:szCs w:val="17"/>
          <w:b w:val="1"/>
          <w:bCs w:val="1"/>
          <w:color w:val="auto"/>
        </w:rPr>
        <w:t>Subcontractors</w:t>
      </w:r>
      <w:r>
        <w:rPr>
          <w:rFonts w:ascii="Arial" w:cs="Arial" w:eastAsia="Arial" w:hAnsi="Arial"/>
          <w:sz w:val="17"/>
          <w:szCs w:val="17"/>
          <w:color w:val="auto"/>
        </w:rPr>
        <w: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67" w:name="page468"/>
    <w:bookmarkEnd w:id="467"/>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performance of its obligations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Adimab provides written notice to Adagio identifying such Subcontractor and Adagio agrees to Adimab’s use of such Subcontractor; (b) any such subcontract is subject to the relevant terms and conditions of this Agreement; (c) Adimab will enter into written agreements with its Subcontractors that contain assignment of inventions provisions consistent with the requirements of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and confidentiality terms no less stringent than those set forth in Article 6 (</w:t>
      </w:r>
      <w:r>
        <w:rPr>
          <w:rFonts w:ascii="Arial" w:cs="Arial" w:eastAsia="Arial" w:hAnsi="Arial"/>
          <w:sz w:val="18"/>
          <w:szCs w:val="18"/>
          <w:i w:val="1"/>
          <w:iCs w:val="1"/>
          <w:color w:val="auto"/>
        </w:rPr>
        <w:t>Confidentiality; Publicity</w:t>
      </w:r>
      <w:r>
        <w:rPr>
          <w:rFonts w:ascii="Arial" w:cs="Arial" w:eastAsia="Arial" w:hAnsi="Arial"/>
          <w:sz w:val="18"/>
          <w:szCs w:val="18"/>
          <w:color w:val="auto"/>
        </w:rPr>
        <w:t>); and (d) no such subcontracting relieves Adimab of its obligations hereunder.</w:t>
      </w:r>
    </w:p>
    <w:p>
      <w:pPr>
        <w:spacing w:after="0" w:line="184" w:lineRule="exact"/>
        <w:rPr>
          <w:sz w:val="20"/>
          <w:szCs w:val="20"/>
          <w:color w:val="auto"/>
        </w:rPr>
      </w:pPr>
    </w:p>
    <w:p>
      <w:pPr>
        <w:ind w:right="60" w:firstLine="987"/>
        <w:spacing w:after="0" w:line="271" w:lineRule="auto"/>
        <w:tabs>
          <w:tab w:leader="none" w:pos="1236" w:val="left"/>
        </w:tabs>
        <w:numPr>
          <w:ilvl w:val="0"/>
          <w:numId w:val="343"/>
        </w:numPr>
        <w:rPr>
          <w:rFonts w:ascii="Arial" w:cs="Arial" w:eastAsia="Arial" w:hAnsi="Arial"/>
          <w:sz w:val="17"/>
          <w:szCs w:val="17"/>
          <w:b w:val="1"/>
          <w:bCs w:val="1"/>
          <w:color w:val="auto"/>
        </w:rPr>
      </w:pPr>
      <w:r>
        <w:rPr>
          <w:rFonts w:ascii="Arial" w:cs="Arial" w:eastAsia="Arial" w:hAnsi="Arial"/>
          <w:sz w:val="17"/>
          <w:szCs w:val="17"/>
          <w:b w:val="1"/>
          <w:bCs w:val="1"/>
          <w:color w:val="auto"/>
        </w:rPr>
        <w:t>No Excluded Adimab Technology</w:t>
      </w:r>
      <w:r>
        <w:rPr>
          <w:rFonts w:ascii="Arial" w:cs="Arial" w:eastAsia="Arial" w:hAnsi="Arial"/>
          <w:sz w:val="17"/>
          <w:szCs w:val="17"/>
          <w:color w:val="auto"/>
        </w:rPr>
        <w:t>. Adimab will promptly inform Adagio in writing after receipt of any Target Questionnaire from</w:t>
      </w:r>
      <w:r>
        <w:rPr>
          <w:rFonts w:ascii="Arial" w:cs="Arial" w:eastAsia="Arial" w:hAnsi="Arial"/>
          <w:sz w:val="17"/>
          <w:szCs w:val="17"/>
          <w:b w:val="1"/>
          <w:bCs w:val="1"/>
          <w:color w:val="auto"/>
        </w:rPr>
        <w:t xml:space="preserve"> </w:t>
      </w:r>
      <w:r>
        <w:rPr>
          <w:rFonts w:ascii="Arial" w:cs="Arial" w:eastAsia="Arial" w:hAnsi="Arial"/>
          <w:sz w:val="17"/>
          <w:szCs w:val="17"/>
          <w:color w:val="auto"/>
        </w:rPr>
        <w:t>Adagio if Adimab Controls any Patent or Know-How that would constitute Excluded Adimab Technology that would be necessary or reasonably useful in the conduct of a Research Program or the development, manufacture or commercialization of potential Program Antibodies resulting from such Research Program based on such Target Questionnaire. Adimab will not incorporate any such Excluded Adimab Technology into the Research Program for, or the composition of, any Program Antibody without Adagio’s prior written consent. If, notwithstanding the foregoing, Adimab incorporates any Excluded Adimab Technology into a Program Antibody in the absence of Adagio’s prior written consent, then such Excluded Adimab Technology will be deemed included in (i) the licenses granted to Adagio under Section 3.1(a) (</w:t>
      </w:r>
      <w:r>
        <w:rPr>
          <w:rFonts w:ascii="Arial" w:cs="Arial" w:eastAsia="Arial" w:hAnsi="Arial"/>
          <w:sz w:val="17"/>
          <w:szCs w:val="17"/>
          <w:i w:val="1"/>
          <w:iCs w:val="1"/>
          <w:color w:val="auto"/>
        </w:rPr>
        <w:t>Research License to Adagio</w:t>
      </w:r>
      <w:r>
        <w:rPr>
          <w:rFonts w:ascii="Arial" w:cs="Arial" w:eastAsia="Arial" w:hAnsi="Arial"/>
          <w:sz w:val="17"/>
          <w:szCs w:val="17"/>
          <w:color w:val="auto"/>
        </w:rPr>
        <w:t>), and (ii) subject to Adagio exercising its Option and selecting such Program Antibody as an Optioned Antibody, the licenses granted to Adagio under Section 3.2(b) (</w:t>
      </w:r>
      <w:r>
        <w:rPr>
          <w:rFonts w:ascii="Arial" w:cs="Arial" w:eastAsia="Arial" w:hAnsi="Arial"/>
          <w:sz w:val="17"/>
          <w:szCs w:val="17"/>
          <w:i w:val="1"/>
          <w:iCs w:val="1"/>
          <w:color w:val="auto"/>
        </w:rPr>
        <w:t>Development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 License and Assignment</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2.2 Project Management.</w:t>
      </w:r>
    </w:p>
    <w:p>
      <w:pPr>
        <w:spacing w:after="0" w:line="225" w:lineRule="exact"/>
        <w:rPr>
          <w:sz w:val="20"/>
          <w:szCs w:val="20"/>
          <w:color w:val="auto"/>
        </w:rPr>
      </w:pPr>
    </w:p>
    <w:p>
      <w:pPr>
        <w:ind w:right="20" w:firstLine="987"/>
        <w:spacing w:after="0" w:line="289" w:lineRule="auto"/>
        <w:tabs>
          <w:tab w:leader="none" w:pos="1246" w:val="left"/>
        </w:tabs>
        <w:numPr>
          <w:ilvl w:val="0"/>
          <w:numId w:val="344"/>
        </w:numPr>
        <w:rPr>
          <w:rFonts w:ascii="Arial" w:cs="Arial" w:eastAsia="Arial" w:hAnsi="Arial"/>
          <w:sz w:val="16"/>
          <w:szCs w:val="16"/>
          <w:b w:val="1"/>
          <w:bCs w:val="1"/>
          <w:color w:val="auto"/>
        </w:rPr>
      </w:pPr>
      <w:r>
        <w:rPr>
          <w:rFonts w:ascii="Arial" w:cs="Arial" w:eastAsia="Arial" w:hAnsi="Arial"/>
          <w:sz w:val="16"/>
          <w:szCs w:val="16"/>
          <w:b w:val="1"/>
          <w:bCs w:val="1"/>
          <w:color w:val="auto"/>
        </w:rPr>
        <w:t>Scientific Research Committee</w:t>
      </w:r>
      <w:r>
        <w:rPr>
          <w:rFonts w:ascii="Arial" w:cs="Arial" w:eastAsia="Arial" w:hAnsi="Arial"/>
          <w:sz w:val="16"/>
          <w:szCs w:val="16"/>
          <w:color w:val="auto"/>
        </w:rPr>
        <w:t>. Promptly after agreement on a Research Plan, the Parties will form a steering committee consisting</w:t>
      </w:r>
      <w:r>
        <w:rPr>
          <w:rFonts w:ascii="Arial" w:cs="Arial" w:eastAsia="Arial" w:hAnsi="Arial"/>
          <w:sz w:val="16"/>
          <w:szCs w:val="16"/>
          <w:b w:val="1"/>
          <w:bCs w:val="1"/>
          <w:color w:val="auto"/>
        </w:rPr>
        <w:t xml:space="preserve"> </w:t>
      </w:r>
      <w:r>
        <w:rPr>
          <w:rFonts w:ascii="Arial" w:cs="Arial" w:eastAsia="Arial" w:hAnsi="Arial"/>
          <w:sz w:val="16"/>
          <w:szCs w:val="16"/>
          <w:color w:val="auto"/>
        </w:rPr>
        <w:t>of [***] representatives of each Party (the “</w:t>
      </w:r>
      <w:r>
        <w:rPr>
          <w:rFonts w:ascii="Arial" w:cs="Arial" w:eastAsia="Arial" w:hAnsi="Arial"/>
          <w:sz w:val="16"/>
          <w:szCs w:val="16"/>
          <w:b w:val="1"/>
          <w:bCs w:val="1"/>
          <w:color w:val="auto"/>
        </w:rPr>
        <w:t>Research Committee</w:t>
      </w:r>
      <w:r>
        <w:rPr>
          <w:rFonts w:ascii="Arial" w:cs="Arial" w:eastAsia="Arial" w:hAnsi="Arial"/>
          <w:sz w:val="16"/>
          <w:szCs w:val="16"/>
          <w:color w:val="auto"/>
        </w:rPr>
        <w:t xml:space="preserve">”) to oversee such Research Plan. The Research Committee’s role is to facilitate communication regarding progress in relation to a Research Program and the collaboration generally. Either Party may change its Research Committee members upon written notice to the other Party. The Research Committee may meet in person or by teleconference or videoconference. Each Party will designate [***] of its Research Committee members as co-chair and each Party shall include at least [***] representative who is not also an employee or consultant of the other Party. Any decisions regarding the inclusion of Excluded Adimab Technology or Excluded Third Party Technology shall be approved by the Research Committee. The Research Committee will meet from time to time promptly after the date of a written request by either Party. Additional members representing either Party may attend any Research Committee meeting. The co-chairs will be responsible for circulating, finalizing and agreeing upon minutes of each meeting within [***] after the meeting date. Upon the [***] of the expiration of the final Research Term, the Research Committee will be disbanded; </w:t>
      </w:r>
      <w:r>
        <w:rPr>
          <w:rFonts w:ascii="Arial" w:cs="Arial" w:eastAsia="Arial" w:hAnsi="Arial"/>
          <w:sz w:val="16"/>
          <w:szCs w:val="16"/>
          <w:i w:val="1"/>
          <w:iCs w:val="1"/>
          <w:color w:val="auto"/>
        </w:rPr>
        <w:t>provided however</w:t>
      </w:r>
      <w:r>
        <w:rPr>
          <w:rFonts w:ascii="Arial" w:cs="Arial" w:eastAsia="Arial" w:hAnsi="Arial"/>
          <w:sz w:val="16"/>
          <w:szCs w:val="16"/>
          <w:color w:val="auto"/>
        </w:rPr>
        <w:t>, that following Final Delivery, the Research Committee will meet every [***].</w:t>
      </w:r>
    </w:p>
    <w:p>
      <w:pPr>
        <w:spacing w:after="0" w:line="160" w:lineRule="exact"/>
        <w:rPr>
          <w:rFonts w:ascii="Arial" w:cs="Arial" w:eastAsia="Arial" w:hAnsi="Arial"/>
          <w:sz w:val="16"/>
          <w:szCs w:val="16"/>
          <w:b w:val="1"/>
          <w:bCs w:val="1"/>
          <w:color w:val="auto"/>
        </w:rPr>
      </w:pPr>
    </w:p>
    <w:p>
      <w:pPr>
        <w:ind w:firstLine="987"/>
        <w:spacing w:after="0" w:line="266" w:lineRule="auto"/>
        <w:tabs>
          <w:tab w:leader="none" w:pos="1256"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color w:val="auto"/>
        </w:rPr>
        <w:t>Decision Making</w:t>
      </w:r>
      <w:r>
        <w:rPr>
          <w:rFonts w:ascii="Arial" w:cs="Arial" w:eastAsia="Arial" w:hAnsi="Arial"/>
          <w:sz w:val="18"/>
          <w:szCs w:val="18"/>
          <w:color w:val="auto"/>
        </w:rPr>
        <w:t>. The Research Committee will operate by consensus but solely within the limits specified in this Section 2.2 (</w:t>
      </w:r>
      <w:r>
        <w:rPr>
          <w:rFonts w:ascii="Arial" w:cs="Arial" w:eastAsia="Arial" w:hAnsi="Arial"/>
          <w:sz w:val="18"/>
          <w:szCs w:val="18"/>
          <w:i w:val="1"/>
          <w:iCs w:val="1"/>
          <w:color w:val="auto"/>
        </w:rPr>
        <w:t>Project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Management</w:t>
      </w:r>
      <w:r>
        <w:rPr>
          <w:rFonts w:ascii="Arial" w:cs="Arial" w:eastAsia="Arial" w:hAnsi="Arial"/>
          <w:sz w:val="18"/>
          <w:szCs w:val="18"/>
          <w:color w:val="auto"/>
        </w:rPr>
        <w:t>), it being understood that if the co-chairs cannot agree with regard to a specific matter within their decision-making authority, no decision</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Research Committee will be deemed taken by the Research</w:t>
      </w:r>
    </w:p>
    <w:p>
      <w:pPr>
        <w:sectPr>
          <w:pgSz w:w="11900" w:h="16838" w:orient="portrait"/>
          <w:cols w:equalWidth="0" w:num="1">
            <w:col w:w="11000"/>
          </w:cols>
          <w:pgMar w:left="440" w:top="274" w:right="459" w:bottom="1440" w:gutter="0" w:footer="0" w:header="0"/>
        </w:sectPr>
      </w:pPr>
    </w:p>
    <w:bookmarkStart w:id="468" w:name="page469"/>
    <w:bookmarkEnd w:id="468"/>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The Research Committee will have the limited authority to amend the Research Plans in a manner not substantially affecting resources required to perform a Party’s obligations hereunder. Except for the limited authority set forth in this Section 2.2 (</w:t>
      </w:r>
      <w:r>
        <w:rPr>
          <w:rFonts w:ascii="Arial" w:cs="Arial" w:eastAsia="Arial" w:hAnsi="Arial"/>
          <w:sz w:val="18"/>
          <w:szCs w:val="18"/>
          <w:i w:val="1"/>
          <w:iCs w:val="1"/>
          <w:color w:val="auto"/>
        </w:rPr>
        <w:t>Project Management</w:t>
      </w:r>
      <w:r>
        <w:rPr>
          <w:rFonts w:ascii="Arial" w:cs="Arial" w:eastAsia="Arial" w:hAnsi="Arial"/>
          <w:sz w:val="18"/>
          <w:szCs w:val="18"/>
          <w:color w:val="auto"/>
        </w:rPr>
        <w:t>), the Research Committee will not have any decision-making authority and in no event will the Research Committee have the power to amend or waive compliance with this Agreement.</w:t>
      </w:r>
    </w:p>
    <w:p>
      <w:pPr>
        <w:spacing w:after="0" w:line="183" w:lineRule="exact"/>
        <w:rPr>
          <w:sz w:val="20"/>
          <w:szCs w:val="20"/>
          <w:color w:val="auto"/>
        </w:rPr>
      </w:pPr>
    </w:p>
    <w:p>
      <w:pPr>
        <w:jc w:val="both"/>
        <w:ind w:firstLine="987"/>
        <w:spacing w:after="0" w:line="303" w:lineRule="auto"/>
        <w:tabs>
          <w:tab w:leader="none" w:pos="1236" w:val="left"/>
        </w:tabs>
        <w:numPr>
          <w:ilvl w:val="0"/>
          <w:numId w:val="345"/>
        </w:numPr>
        <w:rPr>
          <w:rFonts w:ascii="Arial" w:cs="Arial" w:eastAsia="Arial" w:hAnsi="Arial"/>
          <w:sz w:val="16"/>
          <w:szCs w:val="16"/>
          <w:b w:val="1"/>
          <w:bCs w:val="1"/>
          <w:color w:val="auto"/>
        </w:rPr>
      </w:pPr>
      <w:r>
        <w:rPr>
          <w:rFonts w:ascii="Arial" w:cs="Arial" w:eastAsia="Arial" w:hAnsi="Arial"/>
          <w:sz w:val="16"/>
          <w:szCs w:val="16"/>
          <w:b w:val="1"/>
          <w:bCs w:val="1"/>
          <w:color w:val="auto"/>
        </w:rPr>
        <w:t>Alliance Managers</w:t>
      </w:r>
      <w:r>
        <w:rPr>
          <w:rFonts w:ascii="Arial" w:cs="Arial" w:eastAsia="Arial" w:hAnsi="Arial"/>
          <w:sz w:val="16"/>
          <w:szCs w:val="16"/>
          <w:color w:val="auto"/>
        </w:rPr>
        <w:t>. Each Party will designate in writing within [***] after the Effective Date an “</w:t>
      </w:r>
      <w:r>
        <w:rPr>
          <w:rFonts w:ascii="Arial" w:cs="Arial" w:eastAsia="Arial" w:hAnsi="Arial"/>
          <w:sz w:val="16"/>
          <w:szCs w:val="16"/>
          <w:b w:val="1"/>
          <w:bCs w:val="1"/>
          <w:color w:val="auto"/>
        </w:rPr>
        <w:t>Alliance Manager</w:t>
      </w:r>
      <w:r>
        <w:rPr>
          <w:rFonts w:ascii="Arial" w:cs="Arial" w:eastAsia="Arial" w:hAnsi="Arial"/>
          <w:sz w:val="16"/>
          <w:szCs w:val="16"/>
          <w:color w:val="auto"/>
        </w:rPr>
        <w:t>” to be the</w:t>
      </w:r>
      <w:r>
        <w:rPr>
          <w:rFonts w:ascii="Arial" w:cs="Arial" w:eastAsia="Arial" w:hAnsi="Arial"/>
          <w:sz w:val="16"/>
          <w:szCs w:val="16"/>
          <w:b w:val="1"/>
          <w:bCs w:val="1"/>
          <w:color w:val="auto"/>
        </w:rPr>
        <w:t xml:space="preserve"> </w:t>
      </w:r>
      <w:r>
        <w:rPr>
          <w:rFonts w:ascii="Arial" w:cs="Arial" w:eastAsia="Arial" w:hAnsi="Arial"/>
          <w:sz w:val="16"/>
          <w:szCs w:val="16"/>
          <w:color w:val="auto"/>
        </w:rPr>
        <w:t>primary contact for such Party. The Alliance Manager will be responsible for managing communications between the Parties with respect to each Research Program, including responsibility for scheduling teleconferences and coordinating Research Committee meetings. Alliance Managers may also be members of the Research Committee. In no event will the Alliance Managers have the power to amend or waive compliance with this Agreement.</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 Reports; Records.</w:t>
      </w:r>
    </w:p>
    <w:p>
      <w:pPr>
        <w:spacing w:after="0" w:line="225" w:lineRule="exact"/>
        <w:rPr>
          <w:sz w:val="20"/>
          <w:szCs w:val="20"/>
          <w:color w:val="auto"/>
        </w:rPr>
      </w:pPr>
    </w:p>
    <w:p>
      <w:pPr>
        <w:ind w:right="200" w:firstLine="987"/>
        <w:spacing w:after="0" w:line="314" w:lineRule="auto"/>
        <w:tabs>
          <w:tab w:leader="none" w:pos="1246" w:val="left"/>
        </w:tabs>
        <w:numPr>
          <w:ilvl w:val="0"/>
          <w:numId w:val="346"/>
        </w:numPr>
        <w:rPr>
          <w:rFonts w:ascii="Arial" w:cs="Arial" w:eastAsia="Arial" w:hAnsi="Arial"/>
          <w:sz w:val="16"/>
          <w:szCs w:val="16"/>
          <w:b w:val="1"/>
          <w:bCs w:val="1"/>
          <w:color w:val="auto"/>
        </w:rPr>
      </w:pPr>
      <w:r>
        <w:rPr>
          <w:rFonts w:ascii="Arial" w:cs="Arial" w:eastAsia="Arial" w:hAnsi="Arial"/>
          <w:sz w:val="16"/>
          <w:szCs w:val="16"/>
          <w:b w:val="1"/>
          <w:bCs w:val="1"/>
          <w:color w:val="auto"/>
        </w:rPr>
        <w:t>Reports By Adimab</w:t>
      </w:r>
      <w:r>
        <w:rPr>
          <w:rFonts w:ascii="Arial" w:cs="Arial" w:eastAsia="Arial" w:hAnsi="Arial"/>
          <w:sz w:val="16"/>
          <w:szCs w:val="16"/>
          <w:color w:val="auto"/>
        </w:rPr>
        <w:t>. At the junctures specified in a Research Plan, Adimab will provide written reports to Adagio regarding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Plan. Adimab will maintain records, in reasonable scientific and technical detail and in a manner appropriate for patent purposes, which will be complete and accurate and will fully and properly reflect all work done and results achieved in the performance of a Research Program.</w:t>
      </w:r>
    </w:p>
    <w:p>
      <w:pPr>
        <w:spacing w:after="0" w:line="141" w:lineRule="exact"/>
        <w:rPr>
          <w:rFonts w:ascii="Arial" w:cs="Arial" w:eastAsia="Arial" w:hAnsi="Arial"/>
          <w:sz w:val="16"/>
          <w:szCs w:val="16"/>
          <w:b w:val="1"/>
          <w:bCs w:val="1"/>
          <w:color w:val="auto"/>
        </w:rPr>
      </w:pPr>
    </w:p>
    <w:p>
      <w:pPr>
        <w:ind w:right="20" w:firstLine="987"/>
        <w:spacing w:after="0" w:line="273" w:lineRule="auto"/>
        <w:tabs>
          <w:tab w:leader="none" w:pos="1256" w:val="left"/>
        </w:tabs>
        <w:numPr>
          <w:ilvl w:val="0"/>
          <w:numId w:val="346"/>
        </w:numPr>
        <w:rPr>
          <w:rFonts w:ascii="Arial" w:cs="Arial" w:eastAsia="Arial" w:hAnsi="Arial"/>
          <w:sz w:val="17"/>
          <w:szCs w:val="17"/>
          <w:b w:val="1"/>
          <w:bCs w:val="1"/>
          <w:color w:val="auto"/>
        </w:rPr>
      </w:pPr>
      <w:r>
        <w:rPr>
          <w:rFonts w:ascii="Arial" w:cs="Arial" w:eastAsia="Arial" w:hAnsi="Arial"/>
          <w:sz w:val="17"/>
          <w:szCs w:val="17"/>
          <w:b w:val="1"/>
          <w:bCs w:val="1"/>
          <w:color w:val="auto"/>
        </w:rPr>
        <w:t>Reports By Adagio</w:t>
      </w:r>
      <w:r>
        <w:rPr>
          <w:rFonts w:ascii="Arial" w:cs="Arial" w:eastAsia="Arial" w:hAnsi="Arial"/>
          <w:sz w:val="17"/>
          <w:szCs w:val="17"/>
          <w:color w:val="auto"/>
        </w:rPr>
        <w:t>. Adagio will provide [***] written reports to Adimab which provide any data Adagio is required to provide under</w:t>
      </w:r>
      <w:r>
        <w:rPr>
          <w:rFonts w:ascii="Arial" w:cs="Arial" w:eastAsia="Arial" w:hAnsi="Arial"/>
          <w:sz w:val="17"/>
          <w:szCs w:val="17"/>
          <w:b w:val="1"/>
          <w:bCs w:val="1"/>
          <w:color w:val="auto"/>
        </w:rPr>
        <w:t xml:space="preserve"> </w:t>
      </w:r>
      <w:r>
        <w:rPr>
          <w:rFonts w:ascii="Arial" w:cs="Arial" w:eastAsia="Arial" w:hAnsi="Arial"/>
          <w:sz w:val="17"/>
          <w:szCs w:val="17"/>
          <w:color w:val="auto"/>
        </w:rPr>
        <w:t>a Research Plan and which will disclose updated information regarding the existence and stage of development of all Program-Benefited Antibodies since the date of the last report, and any advancements in the stage of development expected in the next year (</w:t>
      </w:r>
      <w:r>
        <w:rPr>
          <w:rFonts w:ascii="Arial" w:cs="Arial" w:eastAsia="Arial" w:hAnsi="Arial"/>
          <w:sz w:val="17"/>
          <w:szCs w:val="17"/>
          <w:i w:val="1"/>
          <w:iCs w:val="1"/>
          <w:color w:val="auto"/>
        </w:rPr>
        <w:t>e.g.</w:t>
      </w:r>
      <w:r>
        <w:rPr>
          <w:rFonts w:ascii="Arial" w:cs="Arial" w:eastAsia="Arial" w:hAnsi="Arial"/>
          <w:sz w:val="17"/>
          <w:szCs w:val="17"/>
          <w:color w:val="auto"/>
        </w:rPr>
        <w:t xml:space="preserve">, from pre-clinical to Phase I Trial or from Phase III Trial to Marketing Approval)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Adagio’s obligation to provide such information for any particular Target shall expire upon the First Commercial Sale of the first Product directed to such Target. For clarity, the information reported by Adagio is Adagio’s Confidential Information and will be solely for the purpose of allowing Adimab to monitor the progress of development of Program-Benefited Antibodies and Products, and to monitor Adagio’s obligations under this Agreement.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Adimab Materials.</w:t>
      </w:r>
    </w:p>
    <w:p>
      <w:pPr>
        <w:spacing w:after="0" w:line="225" w:lineRule="exact"/>
        <w:rPr>
          <w:sz w:val="20"/>
          <w:szCs w:val="20"/>
          <w:color w:val="auto"/>
        </w:rPr>
      </w:pPr>
    </w:p>
    <w:p>
      <w:pPr>
        <w:ind w:right="40" w:firstLine="987"/>
        <w:spacing w:after="0" w:line="277" w:lineRule="auto"/>
        <w:tabs>
          <w:tab w:leader="none" w:pos="1246" w:val="left"/>
        </w:tabs>
        <w:numPr>
          <w:ilvl w:val="0"/>
          <w:numId w:val="347"/>
        </w:numPr>
        <w:rPr>
          <w:rFonts w:ascii="Arial" w:cs="Arial" w:eastAsia="Arial" w:hAnsi="Arial"/>
          <w:sz w:val="17"/>
          <w:szCs w:val="17"/>
          <w:b w:val="1"/>
          <w:bCs w:val="1"/>
          <w:color w:val="auto"/>
        </w:rPr>
      </w:pPr>
      <w:r>
        <w:rPr>
          <w:rFonts w:ascii="Arial" w:cs="Arial" w:eastAsia="Arial" w:hAnsi="Arial"/>
          <w:sz w:val="17"/>
          <w:szCs w:val="17"/>
          <w:b w:val="1"/>
          <w:bCs w:val="1"/>
          <w:color w:val="auto"/>
        </w:rPr>
        <w:t>Use of Adimab Materials</w:t>
      </w:r>
      <w:r>
        <w:rPr>
          <w:rFonts w:ascii="Arial" w:cs="Arial" w:eastAsia="Arial" w:hAnsi="Arial"/>
          <w:sz w:val="17"/>
          <w:szCs w:val="17"/>
          <w:color w:val="auto"/>
        </w:rPr>
        <w:t>. During the Research Term and the Evaluation Term, Adagio will only use Adimab Materials delivered to it</w:t>
      </w:r>
      <w:r>
        <w:rPr>
          <w:rFonts w:ascii="Arial" w:cs="Arial" w:eastAsia="Arial" w:hAnsi="Arial"/>
          <w:sz w:val="17"/>
          <w:szCs w:val="17"/>
          <w:b w:val="1"/>
          <w:bCs w:val="1"/>
          <w:color w:val="auto"/>
        </w:rPr>
        <w:t xml:space="preserve"> </w:t>
      </w:r>
      <w:r>
        <w:rPr>
          <w:rFonts w:ascii="Arial" w:cs="Arial" w:eastAsia="Arial" w:hAnsi="Arial"/>
          <w:sz w:val="17"/>
          <w:szCs w:val="17"/>
          <w:color w:val="auto"/>
        </w:rPr>
        <w:t>as is necessary to conduct a Research Program and to assess Program-Benefited Antibodies to determine whether to exercise the Option for such Research Program. After expiration of the Evaluation Term, if Adagio has exercised an Option, Adagio will use only Adimab Materials to generate, research, develop, manufacture, and commercialize Optioned Antibodies and Products. Adagio will not use Adimab Materials for any other purposes. Adagio will not use physical embodiments of Adimab Materials delivered by Adimab to Adagio in humans.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69" w:name="page470"/>
    <w:bookmarkEnd w:id="469"/>
    <w:p>
      <w:pPr>
        <w:ind w:left="4" w:right="180" w:firstLine="987"/>
        <w:spacing w:after="0" w:line="273" w:lineRule="auto"/>
        <w:tabs>
          <w:tab w:leader="none" w:pos="126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Use of Third Party Contractors</w:t>
      </w:r>
      <w:r>
        <w:rPr>
          <w:rFonts w:ascii="Arial" w:cs="Arial" w:eastAsia="Arial" w:hAnsi="Arial"/>
          <w:sz w:val="17"/>
          <w:szCs w:val="17"/>
          <w:color w:val="auto"/>
        </w:rPr>
        <w:t>. During the Research Term and the Evaluation Term, Adagio may use Third Party Contractors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assist in assessing Program-Benefited Antibodies to determine whether to exercise an Option with respect to such Research Program;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that such Evaluation Term expires and Adagio has not exercised the applicable Option, then Adagio will terminate any</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agreements with such Third Party Contractors to the extent that such agreements pertain to Program-Benefited Antibodies in a manner such that such Third Party Contractors do not obtain any rights to research, develop, manufacture, commercialize, or patent (or an option to obtain such rights) with respect to any applicable Non-Optioned Antibodies and each such Third Party Contractor is bound to the same confidentiality and non-use obligations as Adagio is bound to under this Agreement.</w:t>
      </w:r>
    </w:p>
    <w:p>
      <w:pPr>
        <w:spacing w:after="0" w:line="171" w:lineRule="exact"/>
        <w:rPr>
          <w:rFonts w:ascii="Arial" w:cs="Arial" w:eastAsia="Arial" w:hAnsi="Arial"/>
          <w:sz w:val="17"/>
          <w:szCs w:val="17"/>
          <w:b w:val="1"/>
          <w:bCs w:val="1"/>
          <w:color w:val="auto"/>
        </w:rPr>
      </w:pPr>
    </w:p>
    <w:p>
      <w:pPr>
        <w:ind w:left="4" w:right="80" w:firstLine="987"/>
        <w:spacing w:after="0" w:line="289" w:lineRule="auto"/>
        <w:tabs>
          <w:tab w:leader="none" w:pos="1240" w:val="left"/>
        </w:tabs>
        <w:numPr>
          <w:ilvl w:val="0"/>
          <w:numId w:val="348"/>
        </w:numPr>
        <w:rPr>
          <w:rFonts w:ascii="Arial" w:cs="Arial" w:eastAsia="Arial" w:hAnsi="Arial"/>
          <w:sz w:val="17"/>
          <w:szCs w:val="17"/>
          <w:b w:val="1"/>
          <w:bCs w:val="1"/>
          <w:color w:val="auto"/>
        </w:rPr>
      </w:pPr>
      <w:r>
        <w:rPr>
          <w:rFonts w:ascii="Arial" w:cs="Arial" w:eastAsia="Arial" w:hAnsi="Arial"/>
          <w:sz w:val="17"/>
          <w:szCs w:val="17"/>
          <w:b w:val="1"/>
          <w:bCs w:val="1"/>
          <w:color w:val="auto"/>
        </w:rPr>
        <w:t>No Transfer to Third Parties Other than Third Party Contractors</w:t>
      </w:r>
      <w:r>
        <w:rPr>
          <w:rFonts w:ascii="Arial" w:cs="Arial" w:eastAsia="Arial" w:hAnsi="Arial"/>
          <w:sz w:val="17"/>
          <w:szCs w:val="17"/>
          <w:color w:val="auto"/>
        </w:rPr>
        <w:t>. During the Research Term or the Evaluation Term, Adagio will</w:t>
      </w:r>
      <w:r>
        <w:rPr>
          <w:rFonts w:ascii="Arial" w:cs="Arial" w:eastAsia="Arial" w:hAnsi="Arial"/>
          <w:sz w:val="17"/>
          <w:szCs w:val="17"/>
          <w:b w:val="1"/>
          <w:bCs w:val="1"/>
          <w:color w:val="auto"/>
        </w:rPr>
        <w:t xml:space="preserve"> </w:t>
      </w:r>
      <w:r>
        <w:rPr>
          <w:rFonts w:ascii="Arial" w:cs="Arial" w:eastAsia="Arial" w:hAnsi="Arial"/>
          <w:sz w:val="17"/>
          <w:szCs w:val="17"/>
          <w:color w:val="auto"/>
        </w:rPr>
        <w:t>not provide Adimab Materials or Program-Benefited Antibodies to any Third Party except as permitted pursuant to Section 2.4(b) (</w:t>
      </w:r>
      <w:r>
        <w:rPr>
          <w:rFonts w:ascii="Arial" w:cs="Arial" w:eastAsia="Arial" w:hAnsi="Arial"/>
          <w:sz w:val="17"/>
          <w:szCs w:val="17"/>
          <w:i w:val="1"/>
          <w:iCs w:val="1"/>
          <w:color w:val="auto"/>
        </w:rPr>
        <w:t>Use of Third Party</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Contractors</w:t>
      </w:r>
      <w:r>
        <w:rPr>
          <w:rFonts w:ascii="Arial" w:cs="Arial" w:eastAsia="Arial" w:hAnsi="Arial"/>
          <w:sz w:val="17"/>
          <w:szCs w:val="17"/>
          <w:color w:val="auto"/>
        </w:rPr>
        <w:t>). After expiration of the Evaluation Term, Adagio will not provide any Non-Optioned Antibodies to any Third Party.</w:t>
      </w:r>
    </w:p>
    <w:p>
      <w:pPr>
        <w:spacing w:after="0" w:line="157" w:lineRule="exact"/>
        <w:rPr>
          <w:rFonts w:ascii="Arial" w:cs="Arial" w:eastAsia="Arial" w:hAnsi="Arial"/>
          <w:sz w:val="17"/>
          <w:szCs w:val="17"/>
          <w:b w:val="1"/>
          <w:bCs w:val="1"/>
          <w:color w:val="auto"/>
        </w:rPr>
      </w:pPr>
    </w:p>
    <w:p>
      <w:pPr>
        <w:ind w:left="4" w:right="140" w:firstLine="987"/>
        <w:spacing w:after="0" w:line="256" w:lineRule="auto"/>
        <w:tabs>
          <w:tab w:leader="none" w:pos="1260"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color w:val="auto"/>
        </w:rPr>
        <w:t>Title to Adimab Materials</w:t>
      </w:r>
      <w:r>
        <w:rPr>
          <w:rFonts w:ascii="Arial" w:cs="Arial" w:eastAsia="Arial" w:hAnsi="Arial"/>
          <w:sz w:val="18"/>
          <w:szCs w:val="18"/>
          <w:color w:val="auto"/>
        </w:rPr>
        <w:t>. Adimab retains title to the Adimab Materials during the Research Term and Evaluation Term,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 quantities of Program Antibodies that it provides under a Research Program. At the expiration of the Evaluation Term for a Research Program, both Adagio and Adimab will destroy any Program-Benefited Antibodies in its possession;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notwithstanding the foregoing, should Adagio exercise the Option for a given Research Program, all right, title and interest in and to the applicable Optioned Antibodies will belong to and vest in Adagio (subject to the terms and conditions of this Agreement with respect to Program-Benefited Antibodies, including Section 9.4 (</w:t>
      </w:r>
      <w:r>
        <w:rPr>
          <w:rFonts w:ascii="Arial" w:cs="Arial" w:eastAsia="Arial" w:hAnsi="Arial"/>
          <w:sz w:val="18"/>
          <w:szCs w:val="18"/>
          <w:i w:val="1"/>
          <w:iCs w:val="1"/>
          <w:color w:val="auto"/>
        </w:rPr>
        <w:t>Commitments Regarding Program-Benefited Antibodies</w:t>
      </w:r>
      <w:r>
        <w:rPr>
          <w:rFonts w:ascii="Arial" w:cs="Arial" w:eastAsia="Arial" w:hAnsi="Arial"/>
          <w:sz w:val="18"/>
          <w:szCs w:val="18"/>
          <w:color w:val="auto"/>
        </w:rPr>
        <w:t>)).</w:t>
      </w:r>
    </w:p>
    <w:p>
      <w:pPr>
        <w:spacing w:after="0" w:line="187" w:lineRule="exact"/>
        <w:rPr>
          <w:sz w:val="20"/>
          <w:szCs w:val="20"/>
          <w:color w:val="auto"/>
        </w:rPr>
      </w:pPr>
    </w:p>
    <w:p>
      <w:pPr>
        <w:ind w:left="4" w:right="340" w:firstLine="440"/>
        <w:spacing w:after="0" w:line="266" w:lineRule="auto"/>
        <w:rPr>
          <w:sz w:val="20"/>
          <w:szCs w:val="20"/>
          <w:color w:val="auto"/>
        </w:rPr>
      </w:pPr>
      <w:r>
        <w:rPr>
          <w:rFonts w:ascii="Arial" w:cs="Arial" w:eastAsia="Arial" w:hAnsi="Arial"/>
          <w:sz w:val="18"/>
          <w:szCs w:val="18"/>
          <w:b w:val="1"/>
          <w:bCs w:val="1"/>
          <w:color w:val="auto"/>
        </w:rPr>
        <w:t>2.5 Adagio Materials</w:t>
      </w:r>
      <w:r>
        <w:rPr>
          <w:rFonts w:ascii="Arial" w:cs="Arial" w:eastAsia="Arial" w:hAnsi="Arial"/>
          <w:sz w:val="18"/>
          <w:szCs w:val="18"/>
          <w:color w:val="auto"/>
        </w:rPr>
        <w:t>. Adimab will use the Adagio Materials solely to perform a Research Program hereunder. Adimab will not transfer the</w:t>
      </w:r>
      <w:r>
        <w:rPr>
          <w:rFonts w:ascii="Arial" w:cs="Arial" w:eastAsia="Arial" w:hAnsi="Arial"/>
          <w:sz w:val="18"/>
          <w:szCs w:val="18"/>
          <w:b w:val="1"/>
          <w:bCs w:val="1"/>
          <w:color w:val="auto"/>
        </w:rPr>
        <w:t xml:space="preserve"> </w:t>
      </w:r>
      <w:r>
        <w:rPr>
          <w:rFonts w:ascii="Arial" w:cs="Arial" w:eastAsia="Arial" w:hAnsi="Arial"/>
          <w:sz w:val="18"/>
          <w:szCs w:val="18"/>
          <w:color w:val="auto"/>
        </w:rPr>
        <w:t>Adagio Materials to any Third Party except in accordance with an agreed-upon Research Plan. Within [***] after the Research Term for such Target ends, Adimab will return to Adagio or destroy any remaining Adagio Materials (at Adagio’s direction).</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2.6 Certain Restrictions on the Use of Naïve Libraries and Antibodies.</w:t>
      </w:r>
    </w:p>
    <w:p>
      <w:pPr>
        <w:spacing w:after="0" w:line="225" w:lineRule="exact"/>
        <w:rPr>
          <w:sz w:val="20"/>
          <w:szCs w:val="20"/>
          <w:color w:val="auto"/>
        </w:rPr>
      </w:pPr>
    </w:p>
    <w:p>
      <w:pPr>
        <w:ind w:left="4" w:right="380" w:firstLine="987"/>
        <w:spacing w:after="0" w:line="289" w:lineRule="auto"/>
        <w:tabs>
          <w:tab w:leader="none" w:pos="1250" w:val="left"/>
        </w:tabs>
        <w:numPr>
          <w:ilvl w:val="1"/>
          <w:numId w:val="349"/>
        </w:numPr>
        <w:rPr>
          <w:rFonts w:ascii="Arial" w:cs="Arial" w:eastAsia="Arial" w:hAnsi="Arial"/>
          <w:sz w:val="16"/>
          <w:szCs w:val="16"/>
          <w:b w:val="1"/>
          <w:bCs w:val="1"/>
          <w:color w:val="auto"/>
        </w:rPr>
      </w:pPr>
      <w:r>
        <w:rPr>
          <w:rFonts w:ascii="Arial" w:cs="Arial" w:eastAsia="Arial" w:hAnsi="Arial"/>
          <w:sz w:val="16"/>
          <w:szCs w:val="16"/>
          <w:b w:val="1"/>
          <w:bCs w:val="1"/>
          <w:color w:val="auto"/>
        </w:rPr>
        <w:t>Funded Discovery</w:t>
      </w:r>
      <w:r>
        <w:rPr>
          <w:rFonts w:ascii="Arial" w:cs="Arial" w:eastAsia="Arial" w:hAnsi="Arial"/>
          <w:sz w:val="16"/>
          <w:szCs w:val="16"/>
          <w:color w:val="auto"/>
        </w:rPr>
        <w:t>. Whether for a Third Party or Adimab’s own account, Adimab will not: (i) use a Naïve Library to screen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 Target for Adagio under any Research Plan if Adimab has previously screened such Naïve Library for the same Target; (ii) in the future screen a Naïve Library with respect to a Target if Adimab had previously screened such Naïve Library for such Target for Adagio pursuant hereto;</w:t>
      </w:r>
    </w:p>
    <w:p>
      <w:pPr>
        <w:spacing w:after="0" w:line="1" w:lineRule="exact"/>
        <w:rPr>
          <w:rFonts w:ascii="Arial" w:cs="Arial" w:eastAsia="Arial" w:hAnsi="Arial"/>
          <w:sz w:val="16"/>
          <w:szCs w:val="16"/>
          <w:b w:val="1"/>
          <w:bCs w:val="1"/>
          <w:color w:val="auto"/>
        </w:rPr>
      </w:pPr>
    </w:p>
    <w:p>
      <w:pPr>
        <w:ind w:left="4" w:hanging="4"/>
        <w:spacing w:after="0" w:line="252" w:lineRule="auto"/>
        <w:tabs>
          <w:tab w:leader="none" w:pos="319"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transfer a Naïve Library used to screen for a Target hereunder to any Third Party; (iv) provide any Third Party with any Program Antibody delivered to Adagio pursuant hereto,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after Final Optioned Antibody Selection Date, Adimab may provide a Third Party with a Non-Optioned Antibody if such Non-Optioned Antibody is independently rediscovered without the use of Adagio Materials or Adagio Confidential Information and without violating the provisions of clause (ii); or (v) deliver to Adagio as a Program Antibody any antibody previously delivered to a Third Party; </w:t>
      </w:r>
      <w:r>
        <w:rPr>
          <w:rFonts w:ascii="Arial" w:cs="Arial" w:eastAsia="Arial" w:hAnsi="Arial"/>
          <w:sz w:val="18"/>
          <w:szCs w:val="18"/>
          <w:i w:val="1"/>
          <w:iCs w:val="1"/>
          <w:color w:val="auto"/>
        </w:rPr>
        <w:t>provided, however</w:t>
      </w:r>
      <w:r>
        <w:rPr>
          <w:rFonts w:ascii="Arial" w:cs="Arial" w:eastAsia="Arial" w:hAnsi="Arial"/>
          <w:sz w:val="18"/>
          <w:szCs w:val="18"/>
          <w:color w:val="auto"/>
        </w:rPr>
        <w:t>, that Adimab may provide Adagio with a Program Antibody if such Program Antibody is not licensed (or optioned) to a Third Party and such Program Antibody was independently rediscovered without the use of Third Party materials or Third Party confidential information and without violating the provisions of clause (i).</w:t>
      </w:r>
    </w:p>
    <w:p>
      <w:pPr>
        <w:sectPr>
          <w:pgSz w:w="11900" w:h="16838" w:orient="portrait"/>
          <w:cols w:equalWidth="0" w:num="1">
            <w:col w:w="11004"/>
          </w:cols>
          <w:pgMar w:left="436" w:top="270" w:right="459" w:bottom="1440" w:gutter="0" w:footer="0" w:header="0"/>
        </w:sectPr>
      </w:pPr>
    </w:p>
    <w:bookmarkStart w:id="470" w:name="page471"/>
    <w:bookmarkEnd w:id="470"/>
    <w:p>
      <w:pPr>
        <w:ind w:left="1260" w:hanging="273"/>
        <w:spacing w:after="0"/>
        <w:tabs>
          <w:tab w:leader="none" w:pos="1260" w:val="left"/>
        </w:tabs>
        <w:numPr>
          <w:ilvl w:val="0"/>
          <w:numId w:val="3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Adimab Libraries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80" w:firstLine="1428"/>
        <w:spacing w:after="0" w:line="277" w:lineRule="auto"/>
        <w:tabs>
          <w:tab w:leader="none" w:pos="1647" w:val="left"/>
        </w:tabs>
        <w:numPr>
          <w:ilvl w:val="1"/>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Antibodies within Libraries. </w:t>
      </w:r>
      <w:r>
        <w:rPr>
          <w:rFonts w:ascii="Arial" w:cs="Arial" w:eastAsia="Arial" w:hAnsi="Arial"/>
          <w:sz w:val="17"/>
          <w:szCs w:val="17"/>
          <w:color w:val="auto"/>
        </w:rPr>
        <w:t>Adimab will not be required to physically remove from its libraries, or to prevent from being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included in future libraries, any Program-Benefited Antibodies. The Parties acknowledge the possibility that Program-Benefited Antibodies may be present in antibody library(ies) transferred or licensed by Adimab to Third Parties (including the transfer of physical possession of samples of Program-Benefited Antibodies to a Third Party as part of the transfer of libraries in such transactions);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nothing in this Section 2.6(b)(i) (</w:t>
      </w:r>
      <w:r>
        <w:rPr>
          <w:rFonts w:ascii="Arial" w:cs="Arial" w:eastAsia="Arial" w:hAnsi="Arial"/>
          <w:sz w:val="17"/>
          <w:szCs w:val="17"/>
          <w:i w:val="1"/>
          <w:iCs w:val="1"/>
          <w:color w:val="auto"/>
        </w:rPr>
        <w:t>Antibodies within Libraries</w:t>
      </w:r>
      <w:r>
        <w:rPr>
          <w:rFonts w:ascii="Arial" w:cs="Arial" w:eastAsia="Arial" w:hAnsi="Arial"/>
          <w:sz w:val="17"/>
          <w:szCs w:val="17"/>
          <w:color w:val="auto"/>
        </w:rPr>
        <w:t>) will absolve Adimab of its obligation to comply with clause (iii) of Section 2.6(a) (</w:t>
      </w:r>
      <w:r>
        <w:rPr>
          <w:rFonts w:ascii="Arial" w:cs="Arial" w:eastAsia="Arial" w:hAnsi="Arial"/>
          <w:sz w:val="17"/>
          <w:szCs w:val="17"/>
          <w:i w:val="1"/>
          <w:iCs w:val="1"/>
          <w:color w:val="auto"/>
        </w:rPr>
        <w:t>Funded Discovery</w:t>
      </w:r>
      <w:r>
        <w:rPr>
          <w:rFonts w:ascii="Arial" w:cs="Arial" w:eastAsia="Arial" w:hAnsi="Arial"/>
          <w:sz w:val="17"/>
          <w:szCs w:val="17"/>
          <w:color w:val="auto"/>
        </w:rPr>
        <w:t>).</w:t>
      </w:r>
    </w:p>
    <w:p>
      <w:pPr>
        <w:spacing w:after="0" w:line="167" w:lineRule="exact"/>
        <w:rPr>
          <w:rFonts w:ascii="Arial" w:cs="Arial" w:eastAsia="Arial" w:hAnsi="Arial"/>
          <w:sz w:val="17"/>
          <w:szCs w:val="17"/>
          <w:b w:val="1"/>
          <w:bCs w:val="1"/>
          <w:color w:val="auto"/>
        </w:rPr>
      </w:pPr>
    </w:p>
    <w:p>
      <w:pPr>
        <w:ind w:right="140" w:firstLine="1428"/>
        <w:spacing w:after="0" w:line="273" w:lineRule="auto"/>
        <w:tabs>
          <w:tab w:leader="none" w:pos="1697" w:val="left"/>
        </w:tabs>
        <w:numPr>
          <w:ilvl w:val="1"/>
          <w:numId w:val="351"/>
        </w:numPr>
        <w:rPr>
          <w:rFonts w:ascii="Arial" w:cs="Arial" w:eastAsia="Arial" w:hAnsi="Arial"/>
          <w:sz w:val="17"/>
          <w:szCs w:val="17"/>
          <w:b w:val="1"/>
          <w:bCs w:val="1"/>
          <w:color w:val="auto"/>
        </w:rPr>
      </w:pPr>
      <w:r>
        <w:rPr>
          <w:rFonts w:ascii="Arial" w:cs="Arial" w:eastAsia="Arial" w:hAnsi="Arial"/>
          <w:sz w:val="17"/>
          <w:szCs w:val="17"/>
          <w:b w:val="1"/>
          <w:bCs w:val="1"/>
          <w:color w:val="auto"/>
        </w:rPr>
        <w:t>Use of Adimab Platform Technology by Platform Transferees</w:t>
      </w:r>
      <w:r>
        <w:rPr>
          <w:rFonts w:ascii="Arial" w:cs="Arial" w:eastAsia="Arial" w:hAnsi="Arial"/>
          <w:sz w:val="17"/>
          <w:szCs w:val="17"/>
          <w:color w:val="auto"/>
        </w:rPr>
        <w:t>. Nothing herein will prevent Adimab from licensing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transferring some or all of the Adimab Platform Technology to a Third Party (including technical support in connection therewith) nor will anything herein require Adimab to in any way limit the use of the Adimab Platform Technology by Adimab or a Third Party so long as Adimab complies with clauses (iii) and (iv) of Section 2.6(a) (</w:t>
      </w:r>
      <w:r>
        <w:rPr>
          <w:rFonts w:ascii="Arial" w:cs="Arial" w:eastAsia="Arial" w:hAnsi="Arial"/>
          <w:sz w:val="17"/>
          <w:szCs w:val="17"/>
          <w:i w:val="1"/>
          <w:iCs w:val="1"/>
          <w:color w:val="auto"/>
        </w:rPr>
        <w:t>Funded Discovery</w:t>
      </w:r>
      <w:r>
        <w:rPr>
          <w:rFonts w:ascii="Arial" w:cs="Arial" w:eastAsia="Arial" w:hAnsi="Arial"/>
          <w:sz w:val="17"/>
          <w:szCs w:val="17"/>
          <w:color w:val="auto"/>
        </w:rPr>
        <w:t>). For clarity, Third Party recipients of Adimab’s Platform Technology or Naïve Libraries are entitled to conduct any activity with respect to Program-Benefited Antibodies without contractual restriction from Adimab so long as Adimab does not direct or assist such Third Party to conduct such activities in the Scope, including by disclosing any Program Inventions that are specific to a Target or the unpublished sequence of any Program-Benefited Antibodies to such Third Party.</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2.7 [***] Agreement</w:t>
      </w:r>
      <w:r>
        <w:rPr>
          <w:rFonts w:ascii="Arial" w:cs="Arial" w:eastAsia="Arial" w:hAnsi="Arial"/>
          <w:sz w:val="17"/>
          <w:szCs w:val="17"/>
          <w:color w:val="auto"/>
        </w:rPr>
        <w:t>. The Parties acknowledge that Adagio is currently in the process of finalizing an agreement [***]. Notwithstanding anything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the contrary in this Agreement, after execution of a [***] Agreement by Adagio and [***], both Adagio and Adimab may send information and materials related to [***], including Adimab Validated Antigen, to, and receive such information and materials from, [***] without violation of the terms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as between Adimab and Adagio, any exchange of such information or materials with [***] shall not change the confidential nature of, or ownership of, any Confidential Information (</w:t>
      </w:r>
      <w:r>
        <w:rPr>
          <w:rFonts w:ascii="Arial" w:cs="Arial" w:eastAsia="Arial" w:hAnsi="Arial"/>
          <w:sz w:val="17"/>
          <w:szCs w:val="17"/>
          <w:i w:val="1"/>
          <w:iCs w:val="1"/>
          <w:color w:val="auto"/>
        </w:rPr>
        <w:t>i.e.</w:t>
      </w:r>
      <w:r>
        <w:rPr>
          <w:rFonts w:ascii="Arial" w:cs="Arial" w:eastAsia="Arial" w:hAnsi="Arial"/>
          <w:sz w:val="17"/>
          <w:szCs w:val="17"/>
          <w:color w:val="auto"/>
        </w:rPr>
        <w:t xml:space="preserve">, information disclosed by [***] to Adimab is deemed Adagio’s Confidential Information hereunder, and information disclosed by Adimab to [***] is deemed Adimab’s Confidential Information hereunder), Adimab Materials, or Adagio Materials;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xml:space="preserve">, that nothing in this Section 2.7 ([***] </w:t>
      </w:r>
      <w:r>
        <w:rPr>
          <w:rFonts w:ascii="Arial" w:cs="Arial" w:eastAsia="Arial" w:hAnsi="Arial"/>
          <w:sz w:val="17"/>
          <w:szCs w:val="17"/>
          <w:i w:val="1"/>
          <w:iCs w:val="1"/>
          <w:color w:val="auto"/>
        </w:rPr>
        <w:t>Agreement</w:t>
      </w:r>
      <w:r>
        <w:rPr>
          <w:rFonts w:ascii="Arial" w:cs="Arial" w:eastAsia="Arial" w:hAnsi="Arial"/>
          <w:sz w:val="17"/>
          <w:szCs w:val="17"/>
          <w:color w:val="auto"/>
        </w:rPr>
        <w:t>) grants to [***] rights from either Party (</w:t>
      </w:r>
      <w:r>
        <w:rPr>
          <w:rFonts w:ascii="Arial" w:cs="Arial" w:eastAsia="Arial" w:hAnsi="Arial"/>
          <w:sz w:val="17"/>
          <w:szCs w:val="17"/>
          <w:i w:val="1"/>
          <w:iCs w:val="1"/>
          <w:color w:val="auto"/>
        </w:rPr>
        <w:t>i.e.</w:t>
      </w:r>
      <w:r>
        <w:rPr>
          <w:rFonts w:ascii="Arial" w:cs="Arial" w:eastAsia="Arial" w:hAnsi="Arial"/>
          <w:sz w:val="17"/>
          <w:szCs w:val="17"/>
          <w:color w:val="auto"/>
        </w:rPr>
        <w:t>, any rights [***] has in such information and materials are governed by the [***] Agreement and not expanded or modified in any way by this Agreement). For clarity, Adagio is not required to execute any [***] Agreement or provide Adimab with any data, information, or materials generated thereunder.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471" w:name="page472"/>
    <w:bookmarkEnd w:id="4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LICENSES; OPTION; DEVELOPMENT &amp; COMMERCIALIZATION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3.1 Mutual Research Licenses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56" w:lineRule="auto"/>
        <w:tabs>
          <w:tab w:leader="none" w:pos="1246" w:val="left"/>
        </w:tabs>
        <w:numPr>
          <w:ilvl w:val="0"/>
          <w:numId w:val="352"/>
        </w:numPr>
        <w:rPr>
          <w:rFonts w:ascii="Arial" w:cs="Arial" w:eastAsia="Arial" w:hAnsi="Arial"/>
          <w:sz w:val="18"/>
          <w:szCs w:val="18"/>
          <w:b w:val="1"/>
          <w:bCs w:val="1"/>
          <w:color w:val="auto"/>
        </w:rPr>
      </w:pPr>
      <w:r>
        <w:rPr>
          <w:rFonts w:ascii="Arial" w:cs="Arial" w:eastAsia="Arial" w:hAnsi="Arial"/>
          <w:sz w:val="18"/>
          <w:szCs w:val="18"/>
          <w:b w:val="1"/>
          <w:bCs w:val="1"/>
          <w:color w:val="auto"/>
        </w:rPr>
        <w:t>Research License to Adagio</w:t>
      </w:r>
      <w:r>
        <w:rPr>
          <w:rFonts w:ascii="Arial" w:cs="Arial" w:eastAsia="Arial" w:hAnsi="Arial"/>
          <w:sz w:val="18"/>
          <w:szCs w:val="18"/>
          <w:color w:val="auto"/>
        </w:rPr>
        <w:t>. Subject to Section 3.3 (</w:t>
      </w:r>
      <w:r>
        <w:rPr>
          <w:rFonts w:ascii="Arial" w:cs="Arial" w:eastAsia="Arial" w:hAnsi="Arial"/>
          <w:sz w:val="18"/>
          <w:szCs w:val="18"/>
          <w:i w:val="1"/>
          <w:iCs w:val="1"/>
          <w:color w:val="auto"/>
        </w:rPr>
        <w:t>Comparison of Program-Benefited Antibodies to Other Antibodies</w:t>
      </w:r>
      <w:r>
        <w:rPr>
          <w:rFonts w:ascii="Arial" w:cs="Arial" w:eastAsia="Arial" w:hAnsi="Arial"/>
          <w:sz w:val="18"/>
          <w:szCs w:val="18"/>
          <w:color w:val="auto"/>
        </w:rPr>
        <w:t>),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Research Term and Evaluation Term for a Research Program, Adimab hereby grants Adagio a worldwide, non-exclusive, license under the Adimab Platform Patents, Adimab Platform Technology, and Program Antibody Patents to perform research in the Field for the purposes of performing Adagio’s responsibilities under this Agreement and a Research Plan hereunder and to evaluate Program Antibodies for purposes of determining whether to exercise an Option and to evaluate Adimab Validated Antigen; </w:t>
      </w:r>
      <w:r>
        <w:rPr>
          <w:rFonts w:ascii="Arial" w:cs="Arial" w:eastAsia="Arial" w:hAnsi="Arial"/>
          <w:sz w:val="18"/>
          <w:szCs w:val="18"/>
          <w:i w:val="1"/>
          <w:iCs w:val="1"/>
          <w:color w:val="auto"/>
        </w:rPr>
        <w:t>provided, however</w:t>
      </w:r>
      <w:r>
        <w:rPr>
          <w:rFonts w:ascii="Arial" w:cs="Arial" w:eastAsia="Arial" w:hAnsi="Arial"/>
          <w:sz w:val="18"/>
          <w:szCs w:val="18"/>
          <w:color w:val="auto"/>
        </w:rPr>
        <w:t>, that (i) such license is sublicensable solely to Third Party Contractors and (ii) such license excludes Excluded Adimab Technology.</w:t>
      </w:r>
    </w:p>
    <w:p>
      <w:pPr>
        <w:spacing w:after="0" w:line="187" w:lineRule="exact"/>
        <w:rPr>
          <w:rFonts w:ascii="Arial" w:cs="Arial" w:eastAsia="Arial" w:hAnsi="Arial"/>
          <w:sz w:val="18"/>
          <w:szCs w:val="18"/>
          <w:b w:val="1"/>
          <w:bCs w:val="1"/>
          <w:color w:val="auto"/>
        </w:rPr>
      </w:pPr>
    </w:p>
    <w:p>
      <w:pPr>
        <w:ind w:right="160" w:firstLine="987"/>
        <w:spacing w:after="0" w:line="289" w:lineRule="auto"/>
        <w:tabs>
          <w:tab w:leader="none" w:pos="1256" w:val="left"/>
        </w:tabs>
        <w:numPr>
          <w:ilvl w:val="0"/>
          <w:numId w:val="352"/>
        </w:numPr>
        <w:rPr>
          <w:rFonts w:ascii="Arial" w:cs="Arial" w:eastAsia="Arial" w:hAnsi="Arial"/>
          <w:sz w:val="17"/>
          <w:szCs w:val="17"/>
          <w:b w:val="1"/>
          <w:bCs w:val="1"/>
          <w:color w:val="auto"/>
        </w:rPr>
      </w:pPr>
      <w:r>
        <w:rPr>
          <w:rFonts w:ascii="Arial" w:cs="Arial" w:eastAsia="Arial" w:hAnsi="Arial"/>
          <w:sz w:val="17"/>
          <w:szCs w:val="17"/>
          <w:b w:val="1"/>
          <w:bCs w:val="1"/>
          <w:color w:val="auto"/>
        </w:rPr>
        <w:t>Research License to Adimab</w:t>
      </w:r>
      <w:r>
        <w:rPr>
          <w:rFonts w:ascii="Arial" w:cs="Arial" w:eastAsia="Arial" w:hAnsi="Arial"/>
          <w:sz w:val="17"/>
          <w:szCs w:val="17"/>
          <w:color w:val="auto"/>
        </w:rPr>
        <w:t>. During the Research Term and Evaluation Term for a Research Program, Adagio hereby grants to</w:t>
      </w:r>
      <w:r>
        <w:rPr>
          <w:rFonts w:ascii="Arial" w:cs="Arial" w:eastAsia="Arial" w:hAnsi="Arial"/>
          <w:sz w:val="17"/>
          <w:szCs w:val="17"/>
          <w:b w:val="1"/>
          <w:bCs w:val="1"/>
          <w:color w:val="auto"/>
        </w:rPr>
        <w:t xml:space="preserve"> </w:t>
      </w:r>
      <w:r>
        <w:rPr>
          <w:rFonts w:ascii="Arial" w:cs="Arial" w:eastAsia="Arial" w:hAnsi="Arial"/>
          <w:sz w:val="17"/>
          <w:szCs w:val="17"/>
          <w:color w:val="auto"/>
        </w:rPr>
        <w:t>Adimab a non-exclusive, non-sublicensable (except to permitted contractors of Adimab pursuant to Section 2.1(b) (</w:t>
      </w:r>
      <w:r>
        <w:rPr>
          <w:rFonts w:ascii="Arial" w:cs="Arial" w:eastAsia="Arial" w:hAnsi="Arial"/>
          <w:sz w:val="17"/>
          <w:szCs w:val="17"/>
          <w:i w:val="1"/>
          <w:iCs w:val="1"/>
          <w:color w:val="auto"/>
        </w:rPr>
        <w:t>Research Programs</w:t>
      </w:r>
      <w:r>
        <w:rPr>
          <w:rFonts w:ascii="Arial" w:cs="Arial" w:eastAsia="Arial" w:hAnsi="Arial"/>
          <w:sz w:val="17"/>
          <w:szCs w:val="17"/>
          <w:color w:val="auto"/>
        </w:rPr>
        <w:t>)) license under all Patents and Know-How Controlled by Adagio solely to perform Adimab’s responsibilities under a Research Plan.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3.2 Commercial Rights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353"/>
        </w:numPr>
        <w:rPr>
          <w:rFonts w:ascii="Arial" w:cs="Arial" w:eastAsia="Arial" w:hAnsi="Arial"/>
          <w:sz w:val="18"/>
          <w:szCs w:val="18"/>
          <w:b w:val="1"/>
          <w:bCs w:val="1"/>
          <w:color w:val="auto"/>
        </w:rPr>
      </w:pPr>
      <w:r>
        <w:rPr>
          <w:rFonts w:ascii="Arial" w:cs="Arial" w:eastAsia="Arial" w:hAnsi="Arial"/>
          <w:sz w:val="18"/>
          <w:szCs w:val="18"/>
          <w:b w:val="1"/>
          <w:bCs w:val="1"/>
          <w:color w:val="auto"/>
        </w:rPr>
        <w:t>Option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firstLine="1428"/>
        <w:spacing w:after="0" w:line="286" w:lineRule="auto"/>
        <w:tabs>
          <w:tab w:leader="none" w:pos="1647" w:val="left"/>
        </w:tabs>
        <w:numPr>
          <w:ilvl w:val="1"/>
          <w:numId w:val="353"/>
        </w:numPr>
        <w:rPr>
          <w:rFonts w:ascii="Arial" w:cs="Arial" w:eastAsia="Arial" w:hAnsi="Arial"/>
          <w:sz w:val="16"/>
          <w:szCs w:val="16"/>
          <w:b w:val="1"/>
          <w:bCs w:val="1"/>
          <w:color w:val="auto"/>
        </w:rPr>
      </w:pPr>
      <w:r>
        <w:rPr>
          <w:rFonts w:ascii="Arial" w:cs="Arial" w:eastAsia="Arial" w:hAnsi="Arial"/>
          <w:sz w:val="16"/>
          <w:szCs w:val="16"/>
          <w:b w:val="1"/>
          <w:bCs w:val="1"/>
          <w:color w:val="auto"/>
        </w:rPr>
        <w:t>Option Exercise</w:t>
      </w:r>
      <w:r>
        <w:rPr>
          <w:rFonts w:ascii="Arial" w:cs="Arial" w:eastAsia="Arial" w:hAnsi="Arial"/>
          <w:sz w:val="16"/>
          <w:szCs w:val="16"/>
          <w:color w:val="auto"/>
        </w:rPr>
        <w:t>. On a Research Program-by-Research Program basis, Adimab hereby grants Adagio the exclusive option (an</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to obtain the licenses and assignments described in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xml:space="preserve">) for Optioned Antibodies discovered during a Research Program, exercisable on or before the expiry of the relevant Evaluation Term by written notice to Adimab accompanied by payment of the Option Fee for such Research Program. On a Research Program-by-Research Program basis, Adagio will, in its written notice to exercise the Option, specify up to [***] Program Antibodies as Optioned Antibodies; </w:t>
      </w:r>
      <w:r>
        <w:rPr>
          <w:rFonts w:ascii="Arial" w:cs="Arial" w:eastAsia="Arial" w:hAnsi="Arial"/>
          <w:sz w:val="16"/>
          <w:szCs w:val="16"/>
          <w:i w:val="1"/>
          <w:iCs w:val="1"/>
          <w:color w:val="auto"/>
        </w:rPr>
        <w:t>provided, however</w:t>
      </w:r>
      <w:r>
        <w:rPr>
          <w:rFonts w:ascii="Arial" w:cs="Arial" w:eastAsia="Arial" w:hAnsi="Arial"/>
          <w:sz w:val="16"/>
          <w:szCs w:val="16"/>
          <w:color w:val="auto"/>
        </w:rPr>
        <w:t>, that Adagio may, at Adagio’s option, designate fewer than [***] Program Antibodies as Optioned Antibodies at the time of exercise of an Option and designate additional Program Antibodies as Optioned Antibodies at any time up to the [***] of the exercise of such Option for [***] so long as the total number of Program Antibodies designated as Optioned Antibodies for a Research Program does not exceed [***]. For clarity, Program-Benefited Antibodies generated by Adagio from Optioned Antibodies are also themselves Optioned Antibodies, but do not count against the limit of [***] Program Antibodies which can be designated as Optioned Antibodies. The Program Antibodies delivered by Adimab to Adagio under the Research Program(s) for which Adagio may exercise its Option will not incorporate any Know-How or intellectual property that would require Adagio to enter into a Collaboration Agreement for the exploitation of such Program Antibodies, but Adimab will be permitted to incorporate any such Know-How or intellectual property with prior written consent of Adagio and in such event any Program Antibody resulting from such incorporation will also be subject to a Collaboration Agreement, which may contain an additional Option Fee as may be negotiated and agreed by the Parties and any such Option Fee will be in consideration for the access to the additional technology under such Collaboration Agreement and will be in addition to any Option Fee due under this Agreement. For clarity, no Option exercise or Collaboration Agreement is required for Adagio to obtain commercial rights from Adimab for Adimab Validated Antigens.</w:t>
      </w:r>
    </w:p>
    <w:p>
      <w:pPr>
        <w:sectPr>
          <w:pgSz w:w="11900" w:h="16838" w:orient="portrait"/>
          <w:cols w:equalWidth="0" w:num="1">
            <w:col w:w="11020"/>
          </w:cols>
          <w:pgMar w:left="440" w:top="270" w:right="439" w:bottom="1440" w:gutter="0" w:footer="0" w:header="0"/>
        </w:sectPr>
      </w:pPr>
    </w:p>
    <w:bookmarkStart w:id="472" w:name="page473"/>
    <w:bookmarkEnd w:id="472"/>
    <w:p>
      <w:pPr>
        <w:ind w:left="1700" w:hanging="272"/>
        <w:spacing w:after="0"/>
        <w:tabs>
          <w:tab w:leader="none" w:pos="170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Optioned Antibodies</w:t>
      </w:r>
      <w:r>
        <w:rPr>
          <w:rFonts w:ascii="Arial" w:cs="Arial" w:eastAsia="Arial" w:hAnsi="Arial"/>
          <w:sz w:val="17"/>
          <w:szCs w:val="17"/>
          <w:color w:val="auto"/>
        </w:rPr>
        <w:t>. Notwithstanding the limitation to [***] Program Antibodies set forth in Section 3.2(a)(i)</w:t>
      </w:r>
    </w:p>
    <w:p>
      <w:pPr>
        <w:spacing w:after="0" w:line="3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Option Exercise</w:t>
      </w:r>
      <w:r>
        <w:rPr>
          <w:rFonts w:ascii="Arial" w:cs="Arial" w:eastAsia="Arial" w:hAnsi="Arial"/>
          <w:sz w:val="17"/>
          <w:szCs w:val="17"/>
          <w:color w:val="auto"/>
        </w:rPr>
        <w:t>), Adagio, in its sole discretion, may elect to specify more than [***] Program Antibodies as Optioned Antibodies prior to expiry of the Evaluation Term, and if Adagio so elects, the Option Fee with respect to such Research Program will be increased by [***] for each additional Program Antibody (together with the Program-Benefited Antibodies with respect thereto) selected as an Optioned Antibody by Adagio.</w:t>
      </w:r>
    </w:p>
    <w:p>
      <w:pPr>
        <w:spacing w:after="0" w:line="169" w:lineRule="exact"/>
        <w:rPr>
          <w:sz w:val="20"/>
          <w:szCs w:val="20"/>
          <w:color w:val="auto"/>
        </w:rPr>
      </w:pPr>
    </w:p>
    <w:p>
      <w:pPr>
        <w:ind w:right="120" w:firstLine="1428"/>
        <w:spacing w:after="0" w:line="273" w:lineRule="auto"/>
        <w:tabs>
          <w:tab w:leader="none" w:pos="1747" w:val="left"/>
        </w:tabs>
        <w:numPr>
          <w:ilvl w:val="1"/>
          <w:numId w:val="355"/>
        </w:numPr>
        <w:rPr>
          <w:rFonts w:ascii="Arial" w:cs="Arial" w:eastAsia="Arial" w:hAnsi="Arial"/>
          <w:sz w:val="17"/>
          <w:szCs w:val="17"/>
          <w:b w:val="1"/>
          <w:bCs w:val="1"/>
          <w:color w:val="auto"/>
        </w:rPr>
      </w:pPr>
      <w:r>
        <w:rPr>
          <w:rFonts w:ascii="Arial" w:cs="Arial" w:eastAsia="Arial" w:hAnsi="Arial"/>
          <w:sz w:val="17"/>
          <w:szCs w:val="17"/>
          <w:b w:val="1"/>
          <w:bCs w:val="1"/>
          <w:color w:val="auto"/>
        </w:rPr>
        <w:t>Disclosed Antibody Sequences</w:t>
      </w:r>
      <w:r>
        <w:rPr>
          <w:rFonts w:ascii="Arial" w:cs="Arial" w:eastAsia="Arial" w:hAnsi="Arial"/>
          <w:sz w:val="17"/>
          <w:szCs w:val="17"/>
          <w:color w:val="auto"/>
        </w:rPr>
        <w:t>. Neither Adagio nor Adimab shall disclose the sequences of Program Antibodies or Program-Benefited Antibodies prior to the expiration of the Evaluation Term thereto without the prior written consent of the other Party, and Adimab shall not disclose the sequences of any Optioned Antibodies without the prior written consent of Adagio. Notwithstanding the provisions of Section 5.4(b) (</w:t>
      </w:r>
      <w:r>
        <w:rPr>
          <w:rFonts w:ascii="Arial" w:cs="Arial" w:eastAsia="Arial" w:hAnsi="Arial"/>
          <w:sz w:val="17"/>
          <w:szCs w:val="17"/>
          <w:i w:val="1"/>
          <w:iCs w:val="1"/>
          <w:color w:val="auto"/>
        </w:rPr>
        <w:t>Program Antibody Patents</w:t>
      </w:r>
      <w:r>
        <w:rPr>
          <w:rFonts w:ascii="Arial" w:cs="Arial" w:eastAsia="Arial" w:hAnsi="Arial"/>
          <w:sz w:val="17"/>
          <w:szCs w:val="17"/>
          <w:color w:val="auto"/>
        </w:rPr>
        <w:t>), in the event that Adagio publicly discloses the sequences of one or more Program Antibodies discovered in a Research Program (</w:t>
      </w:r>
      <w:r>
        <w:rPr>
          <w:rFonts w:ascii="Arial" w:cs="Arial" w:eastAsia="Arial" w:hAnsi="Arial"/>
          <w:sz w:val="17"/>
          <w:szCs w:val="17"/>
          <w:i w:val="1"/>
          <w:iCs w:val="1"/>
          <w:color w:val="auto"/>
        </w:rPr>
        <w:t>e.g.</w:t>
      </w:r>
      <w:r>
        <w:rPr>
          <w:rFonts w:ascii="Arial" w:cs="Arial" w:eastAsia="Arial" w:hAnsi="Arial"/>
          <w:sz w:val="17"/>
          <w:szCs w:val="17"/>
          <w:color w:val="auto"/>
        </w:rPr>
        <w:t>, through the publication of a Program Patent) without the prior written consent of Adimab, then the Option will be deemed to have been exercised with respect to such Research Program, the Program Antibodies for which the sequences were disclosed will be Optioned Antibodies, and Adagio will promptly pay the applicable Option Fee.</w:t>
      </w:r>
    </w:p>
    <w:p>
      <w:pPr>
        <w:spacing w:after="0" w:line="171" w:lineRule="exact"/>
        <w:rPr>
          <w:rFonts w:ascii="Arial" w:cs="Arial" w:eastAsia="Arial" w:hAnsi="Arial"/>
          <w:sz w:val="17"/>
          <w:szCs w:val="17"/>
          <w:b w:val="1"/>
          <w:bCs w:val="1"/>
          <w:color w:val="auto"/>
        </w:rPr>
      </w:pPr>
    </w:p>
    <w:p>
      <w:pPr>
        <w:ind w:left="1260" w:hanging="273"/>
        <w:spacing w:after="0"/>
        <w:tabs>
          <w:tab w:leader="none" w:pos="1260" w:val="left"/>
        </w:tabs>
        <w:numPr>
          <w:ilvl w:val="0"/>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and Commercialization License and Assignment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1640" w:hanging="212"/>
        <w:spacing w:after="0"/>
        <w:tabs>
          <w:tab w:leader="none" w:pos="1640"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20" w:firstLine="1979"/>
        <w:spacing w:after="0" w:line="261" w:lineRule="auto"/>
        <w:tabs>
          <w:tab w:leader="none" w:pos="2237" w:val="left"/>
        </w:tabs>
        <w:numPr>
          <w:ilvl w:val="2"/>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Optioned Antibodies</w:t>
      </w:r>
      <w:r>
        <w:rPr>
          <w:rFonts w:ascii="Arial" w:cs="Arial" w:eastAsia="Arial" w:hAnsi="Arial"/>
          <w:sz w:val="18"/>
          <w:szCs w:val="18"/>
          <w:color w:val="auto"/>
        </w:rPr>
        <w:t>. Effective on Adagio’s exercise of the Option with respect to a Research Program, Adimab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to Adagio, subject to the terms and conditions of this Agreement, all of Adimab’s right, title and interest in and to all Optioned Antibodies [***] of such Research Program. Adimab will execute and deliver all documents and instruments reasonably requested by Adagio to evidence or record such assignment or to file for, perfect or enforce the assigned rights.</w:t>
      </w:r>
    </w:p>
    <w:p>
      <w:pPr>
        <w:spacing w:after="0" w:line="179" w:lineRule="exact"/>
        <w:rPr>
          <w:rFonts w:ascii="Arial" w:cs="Arial" w:eastAsia="Arial" w:hAnsi="Arial"/>
          <w:sz w:val="18"/>
          <w:szCs w:val="18"/>
          <w:b w:val="1"/>
          <w:bCs w:val="1"/>
          <w:color w:val="auto"/>
        </w:rPr>
      </w:pPr>
    </w:p>
    <w:p>
      <w:pPr>
        <w:ind w:right="400" w:firstLine="1979"/>
        <w:spacing w:after="0" w:line="261" w:lineRule="auto"/>
        <w:tabs>
          <w:tab w:leader="none" w:pos="2237" w:val="left"/>
        </w:tabs>
        <w:numPr>
          <w:ilvl w:val="2"/>
          <w:numId w:val="356"/>
        </w:numPr>
        <w:rPr>
          <w:rFonts w:ascii="Arial" w:cs="Arial" w:eastAsia="Arial" w:hAnsi="Arial"/>
          <w:sz w:val="18"/>
          <w:szCs w:val="18"/>
          <w:b w:val="1"/>
          <w:bCs w:val="1"/>
          <w:color w:val="auto"/>
        </w:rPr>
      </w:pPr>
      <w:r>
        <w:rPr>
          <w:rFonts w:ascii="Arial" w:cs="Arial" w:eastAsia="Arial" w:hAnsi="Arial"/>
          <w:sz w:val="18"/>
          <w:szCs w:val="18"/>
          <w:b w:val="1"/>
          <w:bCs w:val="1"/>
          <w:color w:val="auto"/>
        </w:rPr>
        <w:t>Adimab Validated Antigen</w:t>
      </w:r>
      <w:r>
        <w:rPr>
          <w:rFonts w:ascii="Arial" w:cs="Arial" w:eastAsia="Arial" w:hAnsi="Arial"/>
          <w:sz w:val="18"/>
          <w:szCs w:val="18"/>
          <w:color w:val="auto"/>
        </w:rPr>
        <w:t>. Effective upon completion of a Research Program, Adimab hereby assigns to Adagio,</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and conditions of this Agreement, all of Adimab’s right, title and interest in and to all Adimab Validated Antigen used in such Research Program. Adimab will execute and deliver all documents and instruments reasonably requested by Adagio to evidence or record such assignment or to file for, perfect or enforce the assigned rights.</w:t>
      </w:r>
    </w:p>
    <w:p>
      <w:pPr>
        <w:spacing w:after="0" w:line="180" w:lineRule="exact"/>
        <w:rPr>
          <w:sz w:val="20"/>
          <w:szCs w:val="20"/>
          <w:color w:val="auto"/>
        </w:rPr>
      </w:pPr>
    </w:p>
    <w:p>
      <w:pPr>
        <w:ind w:right="40" w:firstLine="1428"/>
        <w:spacing w:after="0" w:line="292" w:lineRule="auto"/>
        <w:tabs>
          <w:tab w:leader="none" w:pos="1697" w:val="left"/>
        </w:tabs>
        <w:numPr>
          <w:ilvl w:val="0"/>
          <w:numId w:val="357"/>
        </w:numPr>
        <w:rPr>
          <w:rFonts w:ascii="Arial" w:cs="Arial" w:eastAsia="Arial" w:hAnsi="Arial"/>
          <w:sz w:val="16"/>
          <w:szCs w:val="16"/>
          <w:b w:val="1"/>
          <w:bCs w:val="1"/>
          <w:color w:val="auto"/>
        </w:rPr>
      </w:pPr>
      <w:r>
        <w:rPr>
          <w:rFonts w:ascii="Arial" w:cs="Arial" w:eastAsia="Arial" w:hAnsi="Arial"/>
          <w:sz w:val="16"/>
          <w:szCs w:val="16"/>
          <w:b w:val="1"/>
          <w:bCs w:val="1"/>
          <w:color w:val="auto"/>
        </w:rPr>
        <w:t>License</w:t>
      </w:r>
      <w:r>
        <w:rPr>
          <w:rFonts w:ascii="Arial" w:cs="Arial" w:eastAsia="Arial" w:hAnsi="Arial"/>
          <w:sz w:val="16"/>
          <w:szCs w:val="16"/>
          <w:color w:val="auto"/>
        </w:rPr>
        <w:t>. Subject to Section 3.3 (</w:t>
      </w:r>
      <w:r>
        <w:rPr>
          <w:rFonts w:ascii="Arial" w:cs="Arial" w:eastAsia="Arial" w:hAnsi="Arial"/>
          <w:sz w:val="16"/>
          <w:szCs w:val="16"/>
          <w:i w:val="1"/>
          <w:iCs w:val="1"/>
          <w:color w:val="auto"/>
        </w:rPr>
        <w:t>Comparison of Program-Benefited Antibodies to Other Antibodies</w:t>
      </w:r>
      <w:r>
        <w:rPr>
          <w:rFonts w:ascii="Arial" w:cs="Arial" w:eastAsia="Arial" w:hAnsi="Arial"/>
          <w:sz w:val="16"/>
          <w:szCs w:val="16"/>
          <w:color w:val="auto"/>
        </w:rPr>
        <w:t>), effective on Adagio’s</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Option with respect to a Research Program, Adimab hereby grants to Adagio a worldwide, royalty-free, fully paid-up, non-exclusive, sublicensable (solely as provided in Section 3.2(b)(iii) (</w:t>
      </w:r>
      <w:r>
        <w:rPr>
          <w:rFonts w:ascii="Arial" w:cs="Arial" w:eastAsia="Arial" w:hAnsi="Arial"/>
          <w:sz w:val="16"/>
          <w:szCs w:val="16"/>
          <w:i w:val="1"/>
          <w:iCs w:val="1"/>
          <w:color w:val="auto"/>
        </w:rPr>
        <w:t>Licensees</w:t>
      </w:r>
      <w:r>
        <w:rPr>
          <w:rFonts w:ascii="Arial" w:cs="Arial" w:eastAsia="Arial" w:hAnsi="Arial"/>
          <w:sz w:val="16"/>
          <w:szCs w:val="16"/>
          <w:color w:val="auto"/>
        </w:rPr>
        <w:t xml:space="preserve">)) license under the Adimab Platform Patents and Adimab Platform Technology, in the Field, to research, develop, have developed, make, have made, use, sell, offer to sell, import and export Optioned Antibodies and Products during the Term;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license excludes Excluded Adimab Technology except as set forth in Section 2.1(c) (</w:t>
      </w:r>
      <w:r>
        <w:rPr>
          <w:rFonts w:ascii="Arial" w:cs="Arial" w:eastAsia="Arial" w:hAnsi="Arial"/>
          <w:sz w:val="16"/>
          <w:szCs w:val="16"/>
          <w:i w:val="1"/>
          <w:iCs w:val="1"/>
          <w:color w:val="auto"/>
        </w:rPr>
        <w:t>No Excluded Adimab</w:t>
      </w:r>
      <w:r>
        <w:rPr>
          <w:rFonts w:ascii="Arial" w:cs="Arial" w:eastAsia="Arial" w:hAnsi="Arial"/>
          <w:sz w:val="16"/>
          <w:szCs w:val="16"/>
          <w:color w:val="auto"/>
        </w:rPr>
        <w:t xml:space="preserve"> </w:t>
      </w:r>
      <w:r>
        <w:rPr>
          <w:rFonts w:ascii="Arial" w:cs="Arial" w:eastAsia="Arial" w:hAnsi="Arial"/>
          <w:sz w:val="16"/>
          <w:szCs w:val="16"/>
          <w:i w:val="1"/>
          <w:iCs w:val="1"/>
          <w:color w:val="auto"/>
        </w:rPr>
        <w:t>Technology</w:t>
      </w:r>
      <w:r>
        <w:rPr>
          <w:rFonts w:ascii="Arial" w:cs="Arial" w:eastAsia="Arial" w:hAnsi="Arial"/>
          <w:sz w:val="16"/>
          <w:szCs w:val="16"/>
          <w:color w:val="auto"/>
        </w:rPr>
        <w:t>). For clarity, Adagio may develop and commercialize Optioned Antibodies and Products as antibody-drug conjugates, nanoparticle</w:t>
      </w:r>
      <w:r>
        <w:rPr>
          <w:rFonts w:ascii="Arial" w:cs="Arial" w:eastAsia="Arial" w:hAnsi="Arial"/>
          <w:sz w:val="16"/>
          <w:szCs w:val="16"/>
          <w:i w:val="1"/>
          <w:iCs w:val="1"/>
          <w:color w:val="auto"/>
        </w:rPr>
        <w:t xml:space="preserve"> </w:t>
      </w:r>
      <w:r>
        <w:rPr>
          <w:rFonts w:ascii="Arial" w:cs="Arial" w:eastAsia="Arial" w:hAnsi="Arial"/>
          <w:sz w:val="16"/>
          <w:szCs w:val="16"/>
          <w:color w:val="auto"/>
        </w:rPr>
        <w:t>conjugates, CAR-T products, multispecifics, formulations of multiple antibodies into a single product (</w:t>
      </w:r>
      <w:r>
        <w:rPr>
          <w:rFonts w:ascii="Arial" w:cs="Arial" w:eastAsia="Arial" w:hAnsi="Arial"/>
          <w:sz w:val="16"/>
          <w:szCs w:val="16"/>
          <w:i w:val="1"/>
          <w:iCs w:val="1"/>
          <w:color w:val="auto"/>
        </w:rPr>
        <w:t>e.g.</w:t>
      </w:r>
      <w:r>
        <w:rPr>
          <w:rFonts w:ascii="Arial" w:cs="Arial" w:eastAsia="Arial" w:hAnsi="Arial"/>
          <w:sz w:val="16"/>
          <w:szCs w:val="16"/>
          <w:color w:val="auto"/>
        </w:rPr>
        <w:t>, antibody cocktails), and the like.</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0" w:right="499" w:bottom="1440" w:gutter="0" w:footer="0" w:header="0"/>
        </w:sectPr>
      </w:pPr>
    </w:p>
    <w:bookmarkStart w:id="473" w:name="page474"/>
    <w:bookmarkEnd w:id="473"/>
    <w:p>
      <w:pPr>
        <w:ind w:right="60" w:firstLine="1428"/>
        <w:spacing w:after="0" w:line="289" w:lineRule="auto"/>
        <w:tabs>
          <w:tab w:leader="none" w:pos="1747" w:val="left"/>
        </w:tabs>
        <w:numPr>
          <w:ilvl w:val="0"/>
          <w:numId w:val="35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Licensees</w:t>
      </w:r>
      <w:r>
        <w:rPr>
          <w:rFonts w:ascii="Arial" w:cs="Arial" w:eastAsia="Arial" w:hAnsi="Arial"/>
          <w:sz w:val="16"/>
          <w:szCs w:val="16"/>
          <w:color w:val="auto"/>
        </w:rPr>
        <w:t>. Adagio will not license or sublicense (or grant an option to a license or sublicense to) any Non-Optioned Antibody,</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license of any Optioned Antibody and any direct or indirect license or sublicense of the rights granted under Section 3.2(b) (</w:t>
      </w:r>
      <w:r>
        <w:rPr>
          <w:rFonts w:ascii="Arial" w:cs="Arial" w:eastAsia="Arial" w:hAnsi="Arial"/>
          <w:sz w:val="16"/>
          <w:szCs w:val="16"/>
          <w:i w:val="1"/>
          <w:iCs w:val="1"/>
          <w:color w:val="auto"/>
        </w:rPr>
        <w:t>Development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Commercialization License and Assignment</w:t>
      </w:r>
      <w:r>
        <w:rPr>
          <w:rFonts w:ascii="Arial" w:cs="Arial" w:eastAsia="Arial" w:hAnsi="Arial"/>
          <w:sz w:val="16"/>
          <w:szCs w:val="16"/>
          <w:color w:val="auto"/>
        </w:rPr>
        <w:t>) (and any option to acquire such a license or sublicense) will be made solely pursuant to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 “</w:t>
      </w:r>
      <w:r>
        <w:rPr>
          <w:rFonts w:ascii="Arial" w:cs="Arial" w:eastAsia="Arial" w:hAnsi="Arial"/>
          <w:sz w:val="16"/>
          <w:szCs w:val="16"/>
          <w:b w:val="1"/>
          <w:bCs w:val="1"/>
          <w:color w:val="auto"/>
        </w:rPr>
        <w:t>Licensee Agreement</w:t>
      </w:r>
      <w:r>
        <w:rPr>
          <w:rFonts w:ascii="Arial" w:cs="Arial" w:eastAsia="Arial" w:hAnsi="Arial"/>
          <w:sz w:val="16"/>
          <w:szCs w:val="16"/>
          <w:color w:val="auto"/>
        </w:rPr>
        <w:t>”) that is consistent with all relevant terms and conditions of this Agreement and to Licensees who explicitly agree in writing to comply with all applicable terms of this Agreement, including Section 9.4 (</w:t>
      </w:r>
      <w:r>
        <w:rPr>
          <w:rFonts w:ascii="Arial" w:cs="Arial" w:eastAsia="Arial" w:hAnsi="Arial"/>
          <w:sz w:val="16"/>
          <w:szCs w:val="16"/>
          <w:i w:val="1"/>
          <w:iCs w:val="1"/>
          <w:color w:val="auto"/>
        </w:rPr>
        <w:t>Commitments Regarding Program-Benefited Antibodies</w:t>
      </w:r>
      <w:r>
        <w:rPr>
          <w:rFonts w:ascii="Arial" w:cs="Arial" w:eastAsia="Arial" w:hAnsi="Arial"/>
          <w:sz w:val="16"/>
          <w:szCs w:val="16"/>
          <w:color w:val="auto"/>
        </w:rPr>
        <w:t>), and which require such Licensees to indemnify Adimab Indemnitees to the same extent that such Adimab Indemnitees are indemnified pursuant to Section 8.2 (</w:t>
      </w:r>
      <w:r>
        <w:rPr>
          <w:rFonts w:ascii="Arial" w:cs="Arial" w:eastAsia="Arial" w:hAnsi="Arial"/>
          <w:sz w:val="16"/>
          <w:szCs w:val="16"/>
          <w:i w:val="1"/>
          <w:iCs w:val="1"/>
          <w:color w:val="auto"/>
        </w:rPr>
        <w:t>Indemnification by Adagio</w:t>
      </w:r>
      <w:r>
        <w:rPr>
          <w:rFonts w:ascii="Arial" w:cs="Arial" w:eastAsia="Arial" w:hAnsi="Arial"/>
          <w:sz w:val="16"/>
          <w:szCs w:val="16"/>
          <w:color w:val="auto"/>
        </w:rPr>
        <w:t>). Adagio will remain responsible for all payments and other performance obligations due under this Agreement, notwithstanding any license or sublicense that it may grant. Within [***] of entering into a Licensee Agreement, Adagio will provide Adimab with a copy of such Licensee Agreement, which copy may be redacted to remove the economic terms of such Licensee Agreement.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3.3 Comparison of Program-Benefited Antibodies to Other Antibodies</w:t>
      </w:r>
      <w:r>
        <w:rPr>
          <w:rFonts w:ascii="Arial" w:cs="Arial" w:eastAsia="Arial" w:hAnsi="Arial"/>
          <w:sz w:val="18"/>
          <w:szCs w:val="18"/>
          <w:color w:val="auto"/>
        </w:rPr>
        <w:t>.</w:t>
      </w:r>
    </w:p>
    <w:p>
      <w:pPr>
        <w:spacing w:after="0" w:line="225" w:lineRule="exact"/>
        <w:rPr>
          <w:sz w:val="20"/>
          <w:szCs w:val="20"/>
          <w:color w:val="auto"/>
        </w:rPr>
      </w:pPr>
    </w:p>
    <w:p>
      <w:pPr>
        <w:ind w:right="400" w:firstLine="987"/>
        <w:spacing w:after="0" w:line="303" w:lineRule="auto"/>
        <w:tabs>
          <w:tab w:leader="none" w:pos="1246"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color w:val="auto"/>
        </w:rPr>
        <w:t>Comparisons to Existing Adagio Antibodies Are Permitted</w:t>
      </w:r>
      <w:r>
        <w:rPr>
          <w:rFonts w:ascii="Arial" w:cs="Arial" w:eastAsia="Arial" w:hAnsi="Arial"/>
          <w:sz w:val="16"/>
          <w:szCs w:val="16"/>
          <w:color w:val="auto"/>
        </w:rPr>
        <w:t>. Under the licenses and assignments granted to Adagio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3.1(a) (</w:t>
      </w:r>
      <w:r>
        <w:rPr>
          <w:rFonts w:ascii="Arial" w:cs="Arial" w:eastAsia="Arial" w:hAnsi="Arial"/>
          <w:sz w:val="16"/>
          <w:szCs w:val="16"/>
          <w:i w:val="1"/>
          <w:iCs w:val="1"/>
          <w:color w:val="auto"/>
        </w:rPr>
        <w:t>Research License to Adagio</w:t>
      </w:r>
      <w:r>
        <w:rPr>
          <w:rFonts w:ascii="Arial" w:cs="Arial" w:eastAsia="Arial" w:hAnsi="Arial"/>
          <w:sz w:val="16"/>
          <w:szCs w:val="16"/>
          <w:color w:val="auto"/>
        </w:rPr>
        <w:t>) and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comparison of Program-Benefited Antibodies to Adagio antibodies against a Target is permitted (</w:t>
      </w:r>
      <w:r>
        <w:rPr>
          <w:rFonts w:ascii="Arial" w:cs="Arial" w:eastAsia="Arial" w:hAnsi="Arial"/>
          <w:sz w:val="16"/>
          <w:szCs w:val="16"/>
          <w:i w:val="1"/>
          <w:iCs w:val="1"/>
          <w:color w:val="auto"/>
        </w:rPr>
        <w:t>e.g.</w:t>
      </w:r>
      <w:r>
        <w:rPr>
          <w:rFonts w:ascii="Arial" w:cs="Arial" w:eastAsia="Arial" w:hAnsi="Arial"/>
          <w:sz w:val="16"/>
          <w:szCs w:val="16"/>
          <w:color w:val="auto"/>
        </w:rPr>
        <w:t>, comparing affinities, specificities, function, etc.) and such Adagio antibodies will not be deemed to be Program-Benefited Antibodies by virtue of having conducted such comparisons.</w:t>
      </w:r>
    </w:p>
    <w:p>
      <w:pPr>
        <w:spacing w:after="0" w:line="150" w:lineRule="exact"/>
        <w:rPr>
          <w:rFonts w:ascii="Arial" w:cs="Arial" w:eastAsia="Arial" w:hAnsi="Arial"/>
          <w:sz w:val="16"/>
          <w:szCs w:val="16"/>
          <w:b w:val="1"/>
          <w:bCs w:val="1"/>
          <w:color w:val="auto"/>
        </w:rPr>
      </w:pPr>
    </w:p>
    <w:p>
      <w:pPr>
        <w:ind w:firstLine="987"/>
        <w:spacing w:after="0" w:line="298" w:lineRule="auto"/>
        <w:tabs>
          <w:tab w:leader="none" w:pos="1256" w:val="left"/>
        </w:tabs>
        <w:numPr>
          <w:ilvl w:val="0"/>
          <w:numId w:val="359"/>
        </w:numPr>
        <w:rPr>
          <w:rFonts w:ascii="Arial" w:cs="Arial" w:eastAsia="Arial" w:hAnsi="Arial"/>
          <w:sz w:val="16"/>
          <w:szCs w:val="16"/>
          <w:b w:val="1"/>
          <w:bCs w:val="1"/>
          <w:color w:val="auto"/>
        </w:rPr>
      </w:pPr>
      <w:r>
        <w:rPr>
          <w:rFonts w:ascii="Arial" w:cs="Arial" w:eastAsia="Arial" w:hAnsi="Arial"/>
          <w:sz w:val="16"/>
          <w:szCs w:val="16"/>
          <w:b w:val="1"/>
          <w:bCs w:val="1"/>
          <w:color w:val="auto"/>
        </w:rPr>
        <w:t>Use in Screening and Design of New Antibodies is Not Permitted</w:t>
      </w:r>
      <w:r>
        <w:rPr>
          <w:rFonts w:ascii="Arial" w:cs="Arial" w:eastAsia="Arial" w:hAnsi="Arial"/>
          <w:sz w:val="16"/>
          <w:szCs w:val="16"/>
          <w:color w:val="auto"/>
        </w:rPr>
        <w:t>. This Agreement and the licenses and assignments granted to</w:t>
      </w:r>
      <w:r>
        <w:rPr>
          <w:rFonts w:ascii="Arial" w:cs="Arial" w:eastAsia="Arial" w:hAnsi="Arial"/>
          <w:sz w:val="16"/>
          <w:szCs w:val="16"/>
          <w:b w:val="1"/>
          <w:bCs w:val="1"/>
          <w:color w:val="auto"/>
        </w:rPr>
        <w:t xml:space="preserve"> </w:t>
      </w:r>
      <w:r>
        <w:rPr>
          <w:rFonts w:ascii="Arial" w:cs="Arial" w:eastAsia="Arial" w:hAnsi="Arial"/>
          <w:sz w:val="16"/>
          <w:szCs w:val="16"/>
          <w:color w:val="auto"/>
        </w:rPr>
        <w:t>Adagio pursuant to Section 3.1(a) (</w:t>
      </w:r>
      <w:r>
        <w:rPr>
          <w:rFonts w:ascii="Arial" w:cs="Arial" w:eastAsia="Arial" w:hAnsi="Arial"/>
          <w:sz w:val="16"/>
          <w:szCs w:val="16"/>
          <w:i w:val="1"/>
          <w:iCs w:val="1"/>
          <w:color w:val="auto"/>
        </w:rPr>
        <w:t>Research License to Adagio</w:t>
      </w:r>
      <w:r>
        <w:rPr>
          <w:rFonts w:ascii="Arial" w:cs="Arial" w:eastAsia="Arial" w:hAnsi="Arial"/>
          <w:sz w:val="16"/>
          <w:szCs w:val="16"/>
          <w:color w:val="auto"/>
        </w:rPr>
        <w:t>) and Section 3.2(b) (</w:t>
      </w:r>
      <w:r>
        <w:rPr>
          <w:rFonts w:ascii="Arial" w:cs="Arial" w:eastAsia="Arial" w:hAnsi="Arial"/>
          <w:sz w:val="16"/>
          <w:szCs w:val="16"/>
          <w:i w:val="1"/>
          <w:iCs w:val="1"/>
          <w:color w:val="auto"/>
        </w:rPr>
        <w:t>Development and Commercialization License and Assignment</w:t>
      </w:r>
      <w:r>
        <w:rPr>
          <w:rFonts w:ascii="Arial" w:cs="Arial" w:eastAsia="Arial" w:hAnsi="Arial"/>
          <w:sz w:val="16"/>
          <w:szCs w:val="16"/>
          <w:color w:val="auto"/>
        </w:rPr>
        <w:t xml:space="preserve">), specifically exclude the right to (a) discover or optimize antibodies using the Adimab Platform Technology or (b) use Program-Benefited Antibodies or Adimab Materials to (i) generate or discover new antibodies, via screening or otherwise or (ii) design new antibodies, via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methods or otherwise, except, in the case of either (i) or (ii), for Program-Benefited Antibodies that will be milestone- and royalty-bearing to Adimab under this Agreement.</w:t>
      </w:r>
    </w:p>
    <w:p>
      <w:pPr>
        <w:spacing w:after="0" w:line="154"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3.4 Diligent Development and Commercialization</w:t>
      </w:r>
      <w:r>
        <w:rPr>
          <w:rFonts w:ascii="Arial" w:cs="Arial" w:eastAsia="Arial" w:hAnsi="Arial"/>
          <w:sz w:val="18"/>
          <w:szCs w:val="18"/>
          <w:color w:val="auto"/>
        </w:rPr>
        <w:t>. With respect to each Research Program for which Adagio exercises its Option, Adagio will</w:t>
      </w:r>
      <w:r>
        <w:rPr>
          <w:rFonts w:ascii="Arial" w:cs="Arial" w:eastAsia="Arial" w:hAnsi="Arial"/>
          <w:sz w:val="18"/>
          <w:szCs w:val="18"/>
          <w:b w:val="1"/>
          <w:bCs w:val="1"/>
          <w:color w:val="auto"/>
        </w:rPr>
        <w:t xml:space="preserve"> </w:t>
      </w:r>
      <w:r>
        <w:rPr>
          <w:rFonts w:ascii="Arial" w:cs="Arial" w:eastAsia="Arial" w:hAnsi="Arial"/>
          <w:sz w:val="18"/>
          <w:szCs w:val="18"/>
          <w:color w:val="auto"/>
        </w:rPr>
        <w:t>devote Commercially Reasonable Efforts to clinically develop, seek Marketing Approval for, and launch and commercialize at least one (1) Product that contains a Program-Benefited Antibody discovered in each Research Program.</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3.5 No Implied Licenses</w:t>
      </w:r>
      <w:r>
        <w:rPr>
          <w:rFonts w:ascii="Arial" w:cs="Arial" w:eastAsia="Arial" w:hAnsi="Arial"/>
          <w:sz w:val="18"/>
          <w:szCs w:val="18"/>
          <w:color w:val="auto"/>
        </w:rPr>
        <w:t>. Other than the licenses, options and assignments explicitly set forth in this Article 3 (</w:t>
      </w:r>
      <w:r>
        <w:rPr>
          <w:rFonts w:ascii="Arial" w:cs="Arial" w:eastAsia="Arial" w:hAnsi="Arial"/>
          <w:sz w:val="18"/>
          <w:szCs w:val="18"/>
          <w:i w:val="1"/>
          <w:iCs w:val="1"/>
          <w:color w:val="auto"/>
        </w:rPr>
        <w:t>Licenses; Option; Development &amp;</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Commercialization</w:t>
      </w:r>
      <w:r>
        <w:rPr>
          <w:rFonts w:ascii="Arial" w:cs="Arial" w:eastAsia="Arial" w:hAnsi="Arial"/>
          <w:sz w:val="18"/>
          <w:szCs w:val="18"/>
          <w:color w:val="auto"/>
        </w:rPr>
        <w:t>) or in Article 5 (</w:t>
      </w:r>
      <w:r>
        <w:rPr>
          <w:rFonts w:ascii="Arial" w:cs="Arial" w:eastAsia="Arial" w:hAnsi="Arial"/>
          <w:sz w:val="18"/>
          <w:szCs w:val="18"/>
          <w:i w:val="1"/>
          <w:iCs w:val="1"/>
          <w:color w:val="auto"/>
        </w:rPr>
        <w:t>Intellectual Property</w:t>
      </w:r>
      <w:r>
        <w:rPr>
          <w:rFonts w:ascii="Arial" w:cs="Arial" w:eastAsia="Arial" w:hAnsi="Arial"/>
          <w:sz w:val="18"/>
          <w:szCs w:val="18"/>
          <w:color w:val="auto"/>
        </w:rPr>
        <w:t>), neither Party grants any intellectual property licenses, options or assignments to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under this Agreement. This Agreement does not create any implied licenses.</w:t>
      </w:r>
    </w:p>
    <w:p>
      <w:pPr>
        <w:sectPr>
          <w:pgSz w:w="11900" w:h="16838" w:orient="portrait"/>
          <w:cols w:equalWidth="0" w:num="1">
            <w:col w:w="10980"/>
          </w:cols>
          <w:pgMar w:left="440" w:top="270" w:right="479" w:bottom="1440" w:gutter="0" w:footer="0" w:header="0"/>
        </w:sectPr>
      </w:pPr>
    </w:p>
    <w:bookmarkStart w:id="474" w:name="page475"/>
    <w:bookmarkEnd w:id="474"/>
    <w:p>
      <w:pPr>
        <w:ind w:left="4" w:right="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3.6 Covenant Not to Exceed License</w:t>
      </w:r>
      <w:r>
        <w:rPr>
          <w:rFonts w:ascii="Arial" w:cs="Arial" w:eastAsia="Arial" w:hAnsi="Arial"/>
          <w:sz w:val="18"/>
          <w:szCs w:val="18"/>
          <w:color w:val="auto"/>
        </w:rPr>
        <w:t>. Each Party hereby covenants that it will not practice any Patent or item of Know-How licensed or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to it under this Agreement outside the scope of the license to such Party set forth in this Agreement (or any subsequent agreement between the Parties providing for an additional license under such Patent or item of Know-How).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3.7 Bankruptcy Code</w:t>
      </w:r>
      <w:r>
        <w:rPr>
          <w:rFonts w:ascii="Arial" w:cs="Arial" w:eastAsia="Arial" w:hAnsi="Arial"/>
          <w:sz w:val="16"/>
          <w:szCs w:val="16"/>
          <w:color w:val="auto"/>
        </w:rPr>
        <w:t>. If this Agreement is rejected by a Party as a debtor under Section 365 of the United States Bankruptcy Code (or similar</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provision in the bankruptcy laws of another jurisdiction), then, notwithstanding anything else in this Agreement to the contrary, all licenses and rights to</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licenses granted under or pursuant to this Agreement (including those set forth in this Article 3 (</w:t>
      </w:r>
      <w:r>
        <w:rPr>
          <w:rFonts w:ascii="Arial" w:cs="Arial" w:eastAsia="Arial" w:hAnsi="Arial"/>
          <w:sz w:val="16"/>
          <w:szCs w:val="16"/>
          <w:i w:val="1"/>
          <w:iCs w:val="1"/>
          <w:color w:val="auto"/>
        </w:rPr>
        <w:t>Licenses; Option; Development &amp; Commercialization</w:t>
      </w:r>
      <w:r>
        <w:rPr>
          <w:rFonts w:ascii="Arial" w:cs="Arial" w:eastAsia="Arial" w:hAnsi="Arial"/>
          <w:sz w:val="16"/>
          <w:szCs w:val="16"/>
          <w:color w:val="auto"/>
        </w:rPr>
        <w: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those described in Article 9 (</w:t>
      </w:r>
      <w:r>
        <w:rPr>
          <w:rFonts w:ascii="Arial" w:cs="Arial" w:eastAsia="Arial" w:hAnsi="Arial"/>
          <w:sz w:val="17"/>
          <w:szCs w:val="17"/>
          <w:i w:val="1"/>
          <w:iCs w:val="1"/>
          <w:color w:val="auto"/>
        </w:rPr>
        <w:t>Term</w:t>
      </w:r>
      <w:r>
        <w:rPr>
          <w:rFonts w:ascii="Arial" w:cs="Arial" w:eastAsia="Arial" w:hAnsi="Arial"/>
          <w:sz w:val="17"/>
          <w:szCs w:val="17"/>
          <w:color w:val="auto"/>
        </w:rPr>
        <w:t>)) by the Party in bankruptcy to the other Party are, and will otherwise be deemed to be, for purposes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365(n) of the United States Bankruptcy Code (or similar provision in the bankruptcy laws of the jurisdiction), licenses of rights to “intellectual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property” as defined under Section 101(35A) of the United States Bankruptcy Code (or similar provision in the bankruptcy laws of the jurisdiction).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anything herein, nothing in this Section 3.7 (</w:t>
      </w:r>
      <w:r>
        <w:rPr>
          <w:rFonts w:ascii="Arial" w:cs="Arial" w:eastAsia="Arial" w:hAnsi="Arial"/>
          <w:sz w:val="16"/>
          <w:szCs w:val="16"/>
          <w:i w:val="1"/>
          <w:iCs w:val="1"/>
          <w:color w:val="auto"/>
        </w:rPr>
        <w:t>Bankruptcy Code</w:t>
      </w:r>
      <w:r>
        <w:rPr>
          <w:rFonts w:ascii="Arial" w:cs="Arial" w:eastAsia="Arial" w:hAnsi="Arial"/>
          <w:sz w:val="16"/>
          <w:szCs w:val="16"/>
          <w:color w:val="auto"/>
        </w:rPr>
        <w:t>) will be read to entitle Adagio to obtain disclosure of Adimab Platform</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Technology, whether or not as an “embodiment,” “duplicate,” “update,” or otherwise, at any time, and Adagio will not under any circumstances</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notwithstanding anything express or implied in this Agreement be entitled to disclosure of Adimab Platform Technology.</w:t>
      </w:r>
    </w:p>
    <w:p>
      <w:pPr>
        <w:spacing w:after="0" w:line="200" w:lineRule="exact"/>
        <w:rPr>
          <w:sz w:val="20"/>
          <w:szCs w:val="20"/>
          <w:color w:val="auto"/>
        </w:rPr>
      </w:pPr>
    </w:p>
    <w:p>
      <w:pPr>
        <w:spacing w:after="0" w:line="223"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FINANCIAL TERMS</w:t>
      </w:r>
    </w:p>
    <w:p>
      <w:pPr>
        <w:spacing w:after="0" w:line="2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4.1 Access and Quarterly Fees</w:t>
      </w:r>
      <w:r>
        <w:rPr>
          <w:rFonts w:ascii="Arial" w:cs="Arial" w:eastAsia="Arial" w:hAnsi="Arial"/>
          <w:sz w:val="18"/>
          <w:szCs w:val="18"/>
          <w:color w:val="auto"/>
        </w:rPr>
        <w:t>.</w:t>
      </w:r>
    </w:p>
    <w:p>
      <w:pPr>
        <w:spacing w:after="0" w:line="207" w:lineRule="exact"/>
        <w:rPr>
          <w:sz w:val="20"/>
          <w:szCs w:val="20"/>
          <w:color w:val="auto"/>
        </w:rPr>
      </w:pPr>
    </w:p>
    <w:p>
      <w:pPr>
        <w:ind w:left="1244" w:hanging="253"/>
        <w:spacing w:after="0"/>
        <w:tabs>
          <w:tab w:leader="none" w:pos="1244" w:val="left"/>
        </w:tabs>
        <w:numPr>
          <w:ilvl w:val="1"/>
          <w:numId w:val="360"/>
        </w:numPr>
        <w:rPr>
          <w:rFonts w:ascii="Arial" w:cs="Arial" w:eastAsia="Arial" w:hAnsi="Arial"/>
          <w:sz w:val="16"/>
          <w:szCs w:val="16"/>
          <w:b w:val="1"/>
          <w:bCs w:val="1"/>
          <w:color w:val="auto"/>
        </w:rPr>
      </w:pPr>
      <w:r>
        <w:rPr>
          <w:rFonts w:ascii="Arial" w:cs="Arial" w:eastAsia="Arial" w:hAnsi="Arial"/>
          <w:sz w:val="16"/>
          <w:szCs w:val="16"/>
          <w:b w:val="1"/>
          <w:bCs w:val="1"/>
          <w:color w:val="auto"/>
        </w:rPr>
        <w:t>Technology Access Fee</w:t>
      </w:r>
      <w:r>
        <w:rPr>
          <w:rFonts w:ascii="Arial" w:cs="Arial" w:eastAsia="Arial" w:hAnsi="Arial"/>
          <w:sz w:val="16"/>
          <w:szCs w:val="16"/>
          <w:color w:val="auto"/>
        </w:rPr>
        <w:t>. Adagio will pay to Adimab a one-time, non-creditable, non-refundable technology access fee of [***] within</w:t>
      </w:r>
    </w:p>
    <w:p>
      <w:pPr>
        <w:spacing w:after="0" w:line="50" w:lineRule="exact"/>
        <w:rPr>
          <w:rFonts w:ascii="Arial" w:cs="Arial" w:eastAsia="Arial" w:hAnsi="Arial"/>
          <w:sz w:val="16"/>
          <w:szCs w:val="16"/>
          <w:b w:val="1"/>
          <w:bCs w:val="1"/>
          <w:color w:val="auto"/>
        </w:rPr>
      </w:pPr>
    </w:p>
    <w:p>
      <w:pPr>
        <w:ind w:left="444" w:hanging="444"/>
        <w:spacing w:after="0"/>
        <w:tabs>
          <w:tab w:leader="none" w:pos="44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of the Effective Date.</w:t>
      </w:r>
    </w:p>
    <w:p>
      <w:pPr>
        <w:spacing w:after="0" w:line="206" w:lineRule="exact"/>
        <w:rPr>
          <w:rFonts w:ascii="Arial" w:cs="Arial" w:eastAsia="Arial" w:hAnsi="Arial"/>
          <w:sz w:val="18"/>
          <w:szCs w:val="18"/>
          <w:color w:val="auto"/>
        </w:rPr>
      </w:pPr>
    </w:p>
    <w:p>
      <w:pPr>
        <w:ind w:left="1264" w:hanging="273"/>
        <w:spacing w:after="0"/>
        <w:tabs>
          <w:tab w:leader="none" w:pos="1264" w:val="left"/>
        </w:tabs>
        <w:numPr>
          <w:ilvl w:val="1"/>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Fee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4" w:right="160" w:firstLine="1428"/>
        <w:spacing w:after="0" w:line="258" w:lineRule="auto"/>
        <w:tabs>
          <w:tab w:leader="none" w:pos="1651" w:val="left"/>
        </w:tabs>
        <w:numPr>
          <w:ilvl w:val="2"/>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Payment of Quarterly Fee</w:t>
      </w:r>
      <w:r>
        <w:rPr>
          <w:rFonts w:ascii="Arial" w:cs="Arial" w:eastAsia="Arial" w:hAnsi="Arial"/>
          <w:sz w:val="18"/>
          <w:szCs w:val="18"/>
          <w:color w:val="auto"/>
        </w:rPr>
        <w:t>. On the first day of each calendar quarter (i.e., January 1, April 1, July 1, and October 1)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Adagio shall owe Adimab a quarterly fee of [***] (the “</w:t>
      </w:r>
      <w:r>
        <w:rPr>
          <w:rFonts w:ascii="Arial" w:cs="Arial" w:eastAsia="Arial" w:hAnsi="Arial"/>
          <w:sz w:val="18"/>
          <w:szCs w:val="18"/>
          <w:b w:val="1"/>
          <w:bCs w:val="1"/>
          <w:color w:val="auto"/>
        </w:rPr>
        <w:t>Quarterly Fee</w:t>
      </w:r>
      <w:r>
        <w:rPr>
          <w:rFonts w:ascii="Arial" w:cs="Arial" w:eastAsia="Arial" w:hAnsi="Arial"/>
          <w:sz w:val="18"/>
          <w:szCs w:val="18"/>
          <w:color w:val="auto"/>
        </w:rPr>
        <w:t xml:space="preserve">”), which Quarterly Fee shall be due [***] after the first day of such calendar quarter; </w:t>
      </w:r>
      <w:r>
        <w:rPr>
          <w:rFonts w:ascii="Arial" w:cs="Arial" w:eastAsia="Arial" w:hAnsi="Arial"/>
          <w:sz w:val="18"/>
          <w:szCs w:val="18"/>
          <w:i w:val="1"/>
          <w:iCs w:val="1"/>
          <w:color w:val="auto"/>
        </w:rPr>
        <w:t>provided, however</w:t>
      </w:r>
      <w:r>
        <w:rPr>
          <w:rFonts w:ascii="Arial" w:cs="Arial" w:eastAsia="Arial" w:hAnsi="Arial"/>
          <w:sz w:val="18"/>
          <w:szCs w:val="18"/>
          <w:color w:val="auto"/>
        </w:rPr>
        <w:t>, that Adagio may, at any time and its sole option, terminate the obligation to pay the Quarterly Fee for a given calendar quarter and subsequent calendar quarters by sending notice to Adimab of such termination to Adimab prior to the start of such given calendar quarter.</w:t>
      </w:r>
    </w:p>
    <w:p>
      <w:pPr>
        <w:spacing w:after="0" w:line="183" w:lineRule="exact"/>
        <w:rPr>
          <w:rFonts w:ascii="Arial" w:cs="Arial" w:eastAsia="Arial" w:hAnsi="Arial"/>
          <w:sz w:val="18"/>
          <w:szCs w:val="18"/>
          <w:b w:val="1"/>
          <w:bCs w:val="1"/>
          <w:color w:val="auto"/>
        </w:rPr>
      </w:pPr>
    </w:p>
    <w:p>
      <w:pPr>
        <w:ind w:left="4" w:firstLine="1428"/>
        <w:spacing w:after="0" w:line="256" w:lineRule="auto"/>
        <w:tabs>
          <w:tab w:leader="none" w:pos="1701" w:val="left"/>
        </w:tabs>
        <w:numPr>
          <w:ilvl w:val="2"/>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Initial Scope</w:t>
      </w:r>
      <w:r>
        <w:rPr>
          <w:rFonts w:ascii="Arial" w:cs="Arial" w:eastAsia="Arial" w:hAnsi="Arial"/>
          <w:sz w:val="18"/>
          <w:szCs w:val="18"/>
          <w:color w:val="auto"/>
        </w:rPr>
        <w:t>. During the period beginning on the Effective Date and ending on the earliest of (a) Adagio’s notice to Adimab</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terminating the Quarterly Fee payment obligation as described in Section 4.1(b) (</w:t>
      </w:r>
      <w:r>
        <w:rPr>
          <w:rFonts w:ascii="Arial" w:cs="Arial" w:eastAsia="Arial" w:hAnsi="Arial"/>
          <w:sz w:val="18"/>
          <w:szCs w:val="18"/>
          <w:i w:val="1"/>
          <w:iCs w:val="1"/>
          <w:color w:val="auto"/>
        </w:rPr>
        <w:t>Quarterly Fee</w:t>
      </w:r>
      <w:r>
        <w:rPr>
          <w:rFonts w:ascii="Arial" w:cs="Arial" w:eastAsia="Arial" w:hAnsi="Arial"/>
          <w:sz w:val="18"/>
          <w:szCs w:val="18"/>
          <w:color w:val="auto"/>
        </w:rPr>
        <w:t>), (b) the earliest date after the [***], if there is or has been a Change of Control of Adagio, and (c) the date on which Adimab first owns less than [***] of the equity of Adagio on a fully-diluted basis, Adimab and its Affiliates will not, and will not assist or direct Third Parties to, discover or optimize antibodies that are intended to bind to coronaviruses or influenza viruses (the “</w:t>
      </w:r>
      <w:r>
        <w:rPr>
          <w:rFonts w:ascii="Arial" w:cs="Arial" w:eastAsia="Arial" w:hAnsi="Arial"/>
          <w:sz w:val="18"/>
          <w:szCs w:val="18"/>
          <w:b w:val="1"/>
          <w:bCs w:val="1"/>
          <w:color w:val="auto"/>
        </w:rPr>
        <w:t>Scope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limitation does not apply to (x) Third Parties to whom Adimab has licensed or in the future licenses the right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0" w:right="459" w:bottom="1440" w:gutter="0" w:footer="0" w:header="0"/>
        </w:sectPr>
      </w:pPr>
    </w:p>
    <w:bookmarkStart w:id="475" w:name="page476"/>
    <w:bookmarkEnd w:id="475"/>
    <w:p>
      <w:pPr>
        <w:ind w:right="1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use the Adimab Technology independently (e.g., platform transfer partners) without the assistance or direction by Adimab primarily directed to the Scope; or (y) Third Parties with whom Adimab has an existing contractual relationship to perform antibody discovery or optimization (e.g., funded discovery collaborations), as of the Effective Date, which does not restrict such Third Party’s ability to nominate Targets for antibody discovery and/or optimization within the Scope, in each case so long as Adimab does not use or disclose any Program Inventions that are specific to a Target or the unpublished sequence of any Program-Benefited Antibody to such Third Party.</w:t>
      </w:r>
    </w:p>
    <w:p>
      <w:pPr>
        <w:spacing w:after="0" w:line="172" w:lineRule="exact"/>
        <w:rPr>
          <w:sz w:val="20"/>
          <w:szCs w:val="20"/>
          <w:color w:val="auto"/>
        </w:rPr>
      </w:pPr>
    </w:p>
    <w:p>
      <w:pPr>
        <w:ind w:right="40" w:firstLine="1428"/>
        <w:spacing w:after="0" w:line="255" w:lineRule="auto"/>
        <w:tabs>
          <w:tab w:leader="none" w:pos="1747"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to Initial Scope</w:t>
      </w:r>
      <w:r>
        <w:rPr>
          <w:rFonts w:ascii="Arial" w:cs="Arial" w:eastAsia="Arial" w:hAnsi="Arial"/>
          <w:sz w:val="18"/>
          <w:szCs w:val="18"/>
          <w:color w:val="auto"/>
        </w:rPr>
        <w:t>. Adagio may at any time notify Adimab that Adagio would like to (a) decrease the Scope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eliminate restrictions on either (x) antibodies that are intended to bind to coronaviruses or (y) antibodies that are intended to bind to influenza viruses, in which case the Scope shall be decreased accordingly and the Quarterly Fee shall be reduced by [***] beginning on the first day of the calendar quarter following Adimab’s receipt of such notice, or (b) increase the Scope to include additional infectious diseases, in which case the Parties may negotiate an increase in the Scope by adding addition infectious disease Targets or viruses, and an increase to the Quarterly Fee to reflect such increase in the Scope;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increase in Scope or Quarterly Fee shall become effective unless and until both Parties agree, in their sole discretion, to such</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4.2 Research Stage Fees</w:t>
      </w:r>
      <w:r>
        <w:rPr>
          <w:rFonts w:ascii="Arial" w:cs="Arial" w:eastAsia="Arial" w:hAnsi="Arial"/>
          <w:sz w:val="18"/>
          <w:szCs w:val="18"/>
          <w:color w:val="auto"/>
        </w:rPr>
        <w:t>.</w:t>
      </w:r>
    </w:p>
    <w:p>
      <w:pPr>
        <w:spacing w:after="0" w:line="225" w:lineRule="exact"/>
        <w:rPr>
          <w:sz w:val="20"/>
          <w:szCs w:val="20"/>
          <w:color w:val="auto"/>
        </w:rPr>
      </w:pPr>
    </w:p>
    <w:p>
      <w:pPr>
        <w:ind w:right="100" w:firstLine="987"/>
        <w:spacing w:after="0" w:line="274" w:lineRule="auto"/>
        <w:tabs>
          <w:tab w:leader="none" w:pos="1246" w:val="left"/>
        </w:tabs>
        <w:numPr>
          <w:ilvl w:val="0"/>
          <w:numId w:val="363"/>
        </w:numPr>
        <w:rPr>
          <w:rFonts w:ascii="Arial" w:cs="Arial" w:eastAsia="Arial" w:hAnsi="Arial"/>
          <w:sz w:val="17"/>
          <w:szCs w:val="17"/>
          <w:b w:val="1"/>
          <w:bCs w:val="1"/>
          <w:color w:val="auto"/>
        </w:rPr>
      </w:pPr>
      <w:r>
        <w:rPr>
          <w:rFonts w:ascii="Arial" w:cs="Arial" w:eastAsia="Arial" w:hAnsi="Arial"/>
          <w:sz w:val="17"/>
          <w:szCs w:val="17"/>
          <w:b w:val="1"/>
          <w:bCs w:val="1"/>
          <w:color w:val="auto"/>
        </w:rPr>
        <w:t>Research Funding</w:t>
      </w:r>
      <w:r>
        <w:rPr>
          <w:rFonts w:ascii="Arial" w:cs="Arial" w:eastAsia="Arial" w:hAnsi="Arial"/>
          <w:sz w:val="17"/>
          <w:szCs w:val="17"/>
          <w:color w:val="auto"/>
        </w:rPr>
        <w:t>. On a calendar quarterly basis, Adimab will invoice Adagio for an amount equal to [***] of the actual FTEs</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expended by Adimab in the performance of its obligations under the Research Plan during such calendar quarter (at the FTE Rate) and Adagio will pay such amount within [***] of receipt of such invoice. If Adimab anticipates an overage of more than [***] of the FTEs estimated for a Research Program in a Research Plan, then Adimab will promptly notify Adagio of the same and pause work on such Research Program until receiving instruction from Adagio to either (i) permanently cease work on such Research Program, (ii) decrease the amount of work based on a mutually agreed revised Research Plan, or (iii) proceed as planned notwithstanding the overage.</w:t>
      </w:r>
    </w:p>
    <w:p>
      <w:pPr>
        <w:spacing w:after="0" w:line="173" w:lineRule="exact"/>
        <w:rPr>
          <w:rFonts w:ascii="Arial" w:cs="Arial" w:eastAsia="Arial" w:hAnsi="Arial"/>
          <w:sz w:val="17"/>
          <w:szCs w:val="17"/>
          <w:b w:val="1"/>
          <w:bCs w:val="1"/>
          <w:color w:val="auto"/>
        </w:rPr>
      </w:pPr>
    </w:p>
    <w:p>
      <w:pPr>
        <w:ind w:left="1260" w:hanging="273"/>
        <w:spacing w:after="0"/>
        <w:tabs>
          <w:tab w:leader="none" w:pos="1260" w:val="left"/>
        </w:tabs>
        <w:numPr>
          <w:ilvl w:val="0"/>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Delivery Fees</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right="120" w:firstLine="1428"/>
        <w:spacing w:after="0" w:line="256" w:lineRule="auto"/>
        <w:tabs>
          <w:tab w:leader="none" w:pos="1647" w:val="left"/>
        </w:tabs>
        <w:numPr>
          <w:ilvl w:val="1"/>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On a Research Program-by-Research Program basis, Adimab will invoice Adagio for [***]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Naïve Discovery Delivery Fee</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case of transmembrane protein projects, the Parties will negotiate the amount of such delivery milestone payment based on the project prior to starting the applicable Research Plan. Adimab will send Adagio an invoice for the Naïve Discovery Delivery Fee at the time of Adimab’s delivery to Adagio of sequences of an initial panel of Program Antibodies against the Target and Adagio will pay such amount within [***] of receipt of such invoice. The Naïve Discovery Delivery Fee will only be payable once per Research Program.</w:t>
      </w:r>
    </w:p>
    <w:p>
      <w:pPr>
        <w:spacing w:after="0" w:line="187" w:lineRule="exact"/>
        <w:rPr>
          <w:rFonts w:ascii="Arial" w:cs="Arial" w:eastAsia="Arial" w:hAnsi="Arial"/>
          <w:sz w:val="18"/>
          <w:szCs w:val="18"/>
          <w:b w:val="1"/>
          <w:bCs w:val="1"/>
          <w:color w:val="auto"/>
        </w:rPr>
      </w:pPr>
    </w:p>
    <w:p>
      <w:pPr>
        <w:jc w:val="both"/>
        <w:ind w:firstLine="1428"/>
        <w:spacing w:after="0" w:line="261" w:lineRule="auto"/>
        <w:tabs>
          <w:tab w:leader="none" w:pos="1697" w:val="left"/>
        </w:tabs>
        <w:numPr>
          <w:ilvl w:val="1"/>
          <w:numId w:val="363"/>
        </w:numPr>
        <w:rPr>
          <w:rFonts w:ascii="Arial" w:cs="Arial" w:eastAsia="Arial" w:hAnsi="Arial"/>
          <w:sz w:val="18"/>
          <w:szCs w:val="18"/>
          <w:b w:val="1"/>
          <w:bCs w:val="1"/>
          <w:color w:val="auto"/>
        </w:rPr>
      </w:pPr>
      <w:r>
        <w:rPr>
          <w:rFonts w:ascii="Arial" w:cs="Arial" w:eastAsia="Arial" w:hAnsi="Arial"/>
          <w:sz w:val="18"/>
          <w:szCs w:val="18"/>
          <w:b w:val="1"/>
          <w:bCs w:val="1"/>
          <w:color w:val="auto"/>
        </w:rPr>
        <w:t>Optimization Completion Fee</w:t>
      </w:r>
      <w:r>
        <w:rPr>
          <w:rFonts w:ascii="Arial" w:cs="Arial" w:eastAsia="Arial" w:hAnsi="Arial"/>
          <w:sz w:val="18"/>
          <w:szCs w:val="18"/>
          <w:color w:val="auto"/>
        </w:rPr>
        <w:t>. On a Research Program-by-Research Program basis, Adimab will invoice Adagio for [***]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Optimization Completion Fee</w:t>
      </w:r>
      <w:r>
        <w:rPr>
          <w:rFonts w:ascii="Arial" w:cs="Arial" w:eastAsia="Arial" w:hAnsi="Arial"/>
          <w:sz w:val="18"/>
          <w:szCs w:val="18"/>
          <w:color w:val="auto"/>
        </w:rPr>
        <w:t xml:space="preserve">”) (plus an amount equal to any applicable Naïve Discovery Delivery Fee which was not previously paid with respect to such Research Program);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case of transmembrane protein projects, the Parties will negotiate the amount of such Optimization</w:t>
      </w:r>
    </w:p>
    <w:p>
      <w:pPr>
        <w:sectPr>
          <w:pgSz w:w="11900" w:h="16838" w:orient="portrait"/>
          <w:cols w:equalWidth="0" w:num="1">
            <w:col w:w="11000"/>
          </w:cols>
          <w:pgMar w:left="440" w:top="274" w:right="459" w:bottom="1440" w:gutter="0" w:footer="0" w:header="0"/>
        </w:sectPr>
      </w:pPr>
    </w:p>
    <w:bookmarkStart w:id="476" w:name="page477"/>
    <w:bookmarkEnd w:id="476"/>
    <w:p>
      <w:pPr>
        <w:ind w:left="4"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Completion Fee based on the project prior to starting the applicable Research Plan. Adimab will send Adagio an invoice for the Optimization Completion Fee at the time of Adimab’s Final Delivery to Adagio of Program Antibodies against the Target, and Adagio will pay such amount within</w:t>
      </w:r>
    </w:p>
    <w:p>
      <w:pPr>
        <w:ind w:left="444" w:hanging="444"/>
        <w:spacing w:after="0"/>
        <w:tabs>
          <w:tab w:leader="none" w:pos="44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of receipt of such invoice. The Optimization Completion Fee will only be payable once per Research Program.</w:t>
      </w:r>
    </w:p>
    <w:p>
      <w:pPr>
        <w:spacing w:after="0" w:line="206" w:lineRule="exact"/>
        <w:rPr>
          <w:rFonts w:ascii="Arial" w:cs="Arial" w:eastAsia="Arial" w:hAnsi="Arial"/>
          <w:sz w:val="18"/>
          <w:szCs w:val="18"/>
          <w:color w:val="auto"/>
        </w:rPr>
      </w:pPr>
    </w:p>
    <w:p>
      <w:pPr>
        <w:ind w:left="4" w:right="80" w:firstLine="1428"/>
        <w:spacing w:after="0" w:line="285" w:lineRule="auto"/>
        <w:tabs>
          <w:tab w:leader="none" w:pos="1681" w:val="left"/>
        </w:tabs>
        <w:numPr>
          <w:ilvl w:val="1"/>
          <w:numId w:val="364"/>
        </w:numPr>
        <w:rPr>
          <w:rFonts w:ascii="Arial" w:cs="Arial" w:eastAsia="Arial" w:hAnsi="Arial"/>
          <w:sz w:val="16"/>
          <w:szCs w:val="16"/>
          <w:b w:val="1"/>
          <w:bCs w:val="1"/>
          <w:color w:val="auto"/>
        </w:rPr>
      </w:pPr>
      <w:r>
        <w:rPr>
          <w:rFonts w:ascii="Arial" w:cs="Arial" w:eastAsia="Arial" w:hAnsi="Arial"/>
          <w:sz w:val="16"/>
          <w:szCs w:val="16"/>
          <w:b w:val="1"/>
          <w:bCs w:val="1"/>
          <w:color w:val="auto"/>
        </w:rPr>
        <w:t>Additional Services</w:t>
      </w:r>
      <w:r>
        <w:rPr>
          <w:rFonts w:ascii="Arial" w:cs="Arial" w:eastAsia="Arial" w:hAnsi="Arial"/>
          <w:sz w:val="16"/>
          <w:szCs w:val="16"/>
          <w:color w:val="auto"/>
        </w:rPr>
        <w:t>. From time to time, Adagio and Adimab may agree that Adimab will perform additional services which fall</w:t>
      </w:r>
      <w:r>
        <w:rPr>
          <w:rFonts w:ascii="Arial" w:cs="Arial" w:eastAsia="Arial" w:hAnsi="Arial"/>
          <w:sz w:val="16"/>
          <w:szCs w:val="16"/>
          <w:b w:val="1"/>
          <w:bCs w:val="1"/>
          <w:color w:val="auto"/>
        </w:rPr>
        <w:t xml:space="preserve"> </w:t>
      </w:r>
      <w:r>
        <w:rPr>
          <w:rFonts w:ascii="Arial" w:cs="Arial" w:eastAsia="Arial" w:hAnsi="Arial"/>
          <w:sz w:val="16"/>
          <w:szCs w:val="16"/>
          <w:color w:val="auto"/>
        </w:rPr>
        <w:t>outside the scope of a Research Program and any Collaboration Agreement. Such work may include, for example, (i) preparation of antigen or other reagents for use in a Research Program in the event that Adagio does not have such materials itself, (ii) molecular biology work such as the generation of certain constructs (</w:t>
      </w:r>
      <w:r>
        <w:rPr>
          <w:rFonts w:ascii="Arial" w:cs="Arial" w:eastAsia="Arial" w:hAnsi="Arial"/>
          <w:sz w:val="16"/>
          <w:szCs w:val="16"/>
          <w:i w:val="1"/>
          <w:iCs w:val="1"/>
          <w:color w:val="auto"/>
        </w:rPr>
        <w:t>e.g</w:t>
      </w:r>
      <w:r>
        <w:rPr>
          <w:rFonts w:ascii="Arial" w:cs="Arial" w:eastAsia="Arial" w:hAnsi="Arial"/>
          <w:sz w:val="16"/>
          <w:szCs w:val="16"/>
          <w:color w:val="auto"/>
        </w:rPr>
        <w:t>., bispecifics) using Adagio Materials, or (iii) non-cGMP production of antibodies in mammalian cells for use in Adagio’s research and evaluation of Program Antibodies. In the event that Adagio and Adimab agree that Adimab will perform such additional work, then Adimab will bill Adagio an agreed-upon amount for such work, which agreed-upon amount may be comprised of one or more of the following:</w:t>
      </w:r>
    </w:p>
    <w:p>
      <w:pPr>
        <w:spacing w:after="0" w:line="3" w:lineRule="exact"/>
        <w:rPr>
          <w:rFonts w:ascii="Arial" w:cs="Arial" w:eastAsia="Arial" w:hAnsi="Arial"/>
          <w:sz w:val="16"/>
          <w:szCs w:val="16"/>
          <w:b w:val="1"/>
          <w:bCs w:val="1"/>
          <w:color w:val="auto"/>
        </w:rPr>
      </w:pPr>
    </w:p>
    <w:p>
      <w:pPr>
        <w:ind w:left="4" w:right="80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(x) reimbursement for FTEs expended by Adimab at the FTE Rate, (y) a fixed payment for provision of the services, and (z) a delivery fee for completion of such work. This Agreement will govern the performance of such additional services.</w:t>
      </w:r>
    </w:p>
    <w:p>
      <w:pPr>
        <w:spacing w:after="0" w:line="181" w:lineRule="exact"/>
        <w:rPr>
          <w:sz w:val="20"/>
          <w:szCs w:val="20"/>
          <w:color w:val="auto"/>
        </w:rPr>
      </w:pPr>
    </w:p>
    <w:p>
      <w:pPr>
        <w:ind w:left="4" w:right="20" w:firstLine="440"/>
        <w:spacing w:after="0" w:line="258" w:lineRule="auto"/>
        <w:rPr>
          <w:sz w:val="20"/>
          <w:szCs w:val="20"/>
          <w:color w:val="auto"/>
        </w:rPr>
      </w:pPr>
      <w:r>
        <w:rPr>
          <w:rFonts w:ascii="Arial" w:cs="Arial" w:eastAsia="Arial" w:hAnsi="Arial"/>
          <w:sz w:val="18"/>
          <w:szCs w:val="18"/>
          <w:b w:val="1"/>
          <w:bCs w:val="1"/>
          <w:color w:val="auto"/>
        </w:rPr>
        <w:t>4.3 Option Fee</w:t>
      </w:r>
      <w:r>
        <w:rPr>
          <w:rFonts w:ascii="Arial" w:cs="Arial" w:eastAsia="Arial" w:hAnsi="Arial"/>
          <w:sz w:val="18"/>
          <w:szCs w:val="18"/>
          <w:color w:val="auto"/>
        </w:rPr>
        <w:t>. In order to exercise the Option under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for a Research Program, in addition to sending the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under Section 3.2(a)(i) (</w:t>
      </w:r>
      <w:r>
        <w:rPr>
          <w:rFonts w:ascii="Arial" w:cs="Arial" w:eastAsia="Arial" w:hAnsi="Arial"/>
          <w:sz w:val="18"/>
          <w:szCs w:val="18"/>
          <w:i w:val="1"/>
          <w:iCs w:val="1"/>
          <w:color w:val="auto"/>
        </w:rPr>
        <w:t>Option Exercise</w:t>
      </w:r>
      <w:r>
        <w:rPr>
          <w:rFonts w:ascii="Arial" w:cs="Arial" w:eastAsia="Arial" w:hAnsi="Arial"/>
          <w:sz w:val="18"/>
          <w:szCs w:val="18"/>
          <w:color w:val="auto"/>
        </w:rPr>
        <w:t>), Adagio will pay to Adimab a non-creditable, non-refundable option exercise fee of [***] for such Research Program (an “</w:t>
      </w:r>
      <w:r>
        <w:rPr>
          <w:rFonts w:ascii="Arial" w:cs="Arial" w:eastAsia="Arial" w:hAnsi="Arial"/>
          <w:sz w:val="18"/>
          <w:szCs w:val="18"/>
          <w:b w:val="1"/>
          <w:bCs w:val="1"/>
          <w:color w:val="auto"/>
        </w:rPr>
        <w:t>Option Fee</w:t>
      </w:r>
      <w:r>
        <w:rPr>
          <w:rFonts w:ascii="Arial" w:cs="Arial" w:eastAsia="Arial" w:hAnsi="Arial"/>
          <w:sz w:val="18"/>
          <w:szCs w:val="18"/>
          <w:color w:val="auto"/>
        </w:rPr>
        <w:t>”), as adjusted in accordance with Section 3.2(a) (</w:t>
      </w:r>
      <w:r>
        <w:rPr>
          <w:rFonts w:ascii="Arial" w:cs="Arial" w:eastAsia="Arial" w:hAnsi="Arial"/>
          <w:sz w:val="18"/>
          <w:szCs w:val="18"/>
          <w:i w:val="1"/>
          <w:iCs w:val="1"/>
          <w:color w:val="auto"/>
        </w:rPr>
        <w:t>Option</w:t>
      </w:r>
      <w:r>
        <w:rPr>
          <w:rFonts w:ascii="Arial" w:cs="Arial" w:eastAsia="Arial" w:hAnsi="Arial"/>
          <w:sz w:val="18"/>
          <w:szCs w:val="18"/>
          <w:color w:val="auto"/>
        </w:rPr>
        <w:t>) in the event that Adagio elects to exercise the Option with respect to more than [***] Program Antibodies, plus an amount equal to any applicable Delivery Fee which was not previously paid with respect to such Research Program.</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4.4 Milestone Payments</w:t>
      </w:r>
      <w:r>
        <w:rPr>
          <w:rFonts w:ascii="Arial" w:cs="Arial" w:eastAsia="Arial" w:hAnsi="Arial"/>
          <w:sz w:val="18"/>
          <w:szCs w:val="18"/>
          <w:color w:val="auto"/>
        </w:rPr>
        <w:t>.</w:t>
      </w:r>
    </w:p>
    <w:p>
      <w:pPr>
        <w:spacing w:after="0" w:line="225" w:lineRule="exact"/>
        <w:rPr>
          <w:sz w:val="20"/>
          <w:szCs w:val="20"/>
          <w:color w:val="auto"/>
        </w:rPr>
      </w:pPr>
    </w:p>
    <w:p>
      <w:pPr>
        <w:ind w:left="1244" w:hanging="253"/>
        <w:spacing w:after="0"/>
        <w:tabs>
          <w:tab w:leader="none" w:pos="1244" w:val="left"/>
        </w:tabs>
        <w:numPr>
          <w:ilvl w:val="0"/>
          <w:numId w:val="365"/>
        </w:numPr>
        <w:rPr>
          <w:rFonts w:ascii="Arial" w:cs="Arial" w:eastAsia="Arial" w:hAnsi="Arial"/>
          <w:sz w:val="17"/>
          <w:szCs w:val="17"/>
          <w:b w:val="1"/>
          <w:bCs w:val="1"/>
          <w:color w:val="auto"/>
        </w:rPr>
      </w:pPr>
      <w:r>
        <w:rPr>
          <w:rFonts w:ascii="Arial" w:cs="Arial" w:eastAsia="Arial" w:hAnsi="Arial"/>
          <w:sz w:val="17"/>
          <w:szCs w:val="17"/>
          <w:b w:val="1"/>
          <w:bCs w:val="1"/>
          <w:color w:val="auto"/>
        </w:rPr>
        <w:t>Milestone Events</w:t>
      </w:r>
      <w:r>
        <w:rPr>
          <w:rFonts w:ascii="Arial" w:cs="Arial" w:eastAsia="Arial" w:hAnsi="Arial"/>
          <w:sz w:val="17"/>
          <w:szCs w:val="17"/>
          <w:color w:val="auto"/>
        </w:rPr>
        <w:t>. On a Product-by-Product basis, Adagio will report in writing to Adimab the achievement of each event (each, a</w:t>
      </w:r>
    </w:p>
    <w:p>
      <w:pPr>
        <w:spacing w:after="0" w:line="39" w:lineRule="exact"/>
        <w:rPr>
          <w:sz w:val="20"/>
          <w:szCs w:val="20"/>
          <w:color w:val="auto"/>
        </w:rPr>
      </w:pPr>
    </w:p>
    <w:p>
      <w:pPr>
        <w:ind w:left="4" w:right="10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 Event</w:t>
      </w:r>
      <w:r>
        <w:rPr>
          <w:rFonts w:ascii="Arial" w:cs="Arial" w:eastAsia="Arial" w:hAnsi="Arial"/>
          <w:sz w:val="18"/>
          <w:szCs w:val="18"/>
          <w:color w:val="auto"/>
        </w:rPr>
        <w:t>”) and pay the corresponding milestone payment (each, a “</w:t>
      </w:r>
      <w:r>
        <w:rPr>
          <w:rFonts w:ascii="Arial" w:cs="Arial" w:eastAsia="Arial" w:hAnsi="Arial"/>
          <w:sz w:val="18"/>
          <w:szCs w:val="18"/>
          <w:b w:val="1"/>
          <w:bCs w:val="1"/>
          <w:color w:val="auto"/>
        </w:rPr>
        <w:t>Milestone Payment</w:t>
      </w:r>
      <w:r>
        <w:rPr>
          <w:rFonts w:ascii="Arial" w:cs="Arial" w:eastAsia="Arial" w:hAnsi="Arial"/>
          <w:sz w:val="18"/>
          <w:szCs w:val="18"/>
          <w:color w:val="auto"/>
        </w:rPr>
        <w:t xml:space="preserve">”) to Adimab, each within [***] after the achievement of the corresponding Milestone Event;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there shall be no milestones due with respect to Antigen Products. For Products which are also subject to a Collaboration Agreement, such Collaboration Agreement may contain additional Milestone Payments as may be negotiated and agreed by the Parties and any such Milestone Payments will be in consideration for the access to the additional technology under such Collaboration Agreement and will be in addition to any Milestone Payments due under this Agreement. The Milestone Payments under this Agreement will be determined in accordance with the following table:</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4740" w:type="dxa"/>
            <w:vAlign w:val="bottom"/>
          </w:tcPr>
          <w:p>
            <w:pPr>
              <w:spacing w:after="0"/>
              <w:rPr>
                <w:sz w:val="16"/>
                <w:szCs w:val="16"/>
                <w:color w:val="auto"/>
              </w:rPr>
            </w:pPr>
          </w:p>
        </w:tc>
        <w:tc>
          <w:tcPr>
            <w:tcW w:w="5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Payments for all Products other than Antigen Products</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740" w:type="dxa"/>
            <w:vAlign w:val="bottom"/>
          </w:tcPr>
          <w:p>
            <w:pPr>
              <w:spacing w:after="0"/>
              <w:rPr>
                <w:sz w:val="16"/>
                <w:szCs w:val="16"/>
                <w:color w:val="auto"/>
              </w:rPr>
            </w:pPr>
          </w:p>
        </w:tc>
        <w:tc>
          <w:tcPr>
            <w:tcW w:w="5280" w:type="dxa"/>
            <w:vAlign w:val="bottom"/>
          </w:tcPr>
          <w:p>
            <w:pPr>
              <w:jc w:val="right"/>
              <w:ind w:right="4819"/>
              <w:spacing w:after="0" w:line="189"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365"/>
        </w:trPr>
        <w:tc>
          <w:tcPr>
            <w:tcW w:w="1000" w:type="dxa"/>
            <w:vAlign w:val="bottom"/>
          </w:tcPr>
          <w:p>
            <w:pPr>
              <w:spacing w:after="0"/>
              <w:rPr>
                <w:sz w:val="24"/>
                <w:szCs w:val="24"/>
                <w:color w:val="auto"/>
              </w:rPr>
            </w:pPr>
          </w:p>
        </w:tc>
        <w:tc>
          <w:tcPr>
            <w:tcW w:w="474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5280" w:type="dxa"/>
            <w:vAlign w:val="bottom"/>
          </w:tcPr>
          <w:p>
            <w:pPr>
              <w:spacing w:after="0"/>
              <w:rPr>
                <w:sz w:val="24"/>
                <w:szCs w:val="24"/>
                <w:color w:val="auto"/>
              </w:rPr>
            </w:pPr>
          </w:p>
        </w:tc>
      </w:tr>
    </w:tbl>
    <w:p>
      <w:pPr>
        <w:sectPr>
          <w:pgSz w:w="11900" w:h="16838" w:orient="portrait"/>
          <w:cols w:equalWidth="0" w:num="1">
            <w:col w:w="11024"/>
          </w:cols>
          <w:pgMar w:left="436" w:top="273" w:right="439" w:bottom="1440" w:gutter="0" w:footer="0" w:header="0"/>
        </w:sectPr>
      </w:pPr>
    </w:p>
    <w:bookmarkStart w:id="477" w:name="page478"/>
    <w:bookmarkEnd w:id="4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1"/>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Milestone Event</w:t>
            </w:r>
          </w:p>
        </w:tc>
        <w:tc>
          <w:tcPr>
            <w:tcW w:w="4740" w:type="dxa"/>
            <w:vAlign w:val="bottom"/>
          </w:tcPr>
          <w:p>
            <w:pPr>
              <w:spacing w:after="0"/>
              <w:rPr>
                <w:sz w:val="16"/>
                <w:szCs w:val="16"/>
                <w:color w:val="auto"/>
              </w:rPr>
            </w:pPr>
          </w:p>
        </w:tc>
        <w:tc>
          <w:tcPr>
            <w:tcW w:w="52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Milestone Payments for all Products other than Antigen Products</w:t>
            </w:r>
          </w:p>
        </w:tc>
      </w:tr>
      <w:tr>
        <w:trPr>
          <w:trHeight w:val="189"/>
        </w:trPr>
        <w:tc>
          <w:tcPr>
            <w:tcW w:w="100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4740" w:type="dxa"/>
            <w:vAlign w:val="bottom"/>
          </w:tcPr>
          <w:p>
            <w:pPr>
              <w:spacing w:after="0"/>
              <w:rPr>
                <w:sz w:val="16"/>
                <w:szCs w:val="16"/>
                <w:color w:val="auto"/>
              </w:rPr>
            </w:pPr>
          </w:p>
        </w:tc>
        <w:tc>
          <w:tcPr>
            <w:tcW w:w="5280" w:type="dxa"/>
            <w:vAlign w:val="bottom"/>
          </w:tcPr>
          <w:p>
            <w:pPr>
              <w:jc w:val="right"/>
              <w:ind w:right="4819"/>
              <w:spacing w:after="0" w:line="189" w:lineRule="exact"/>
              <w:rPr>
                <w:sz w:val="20"/>
                <w:szCs w:val="20"/>
                <w:color w:val="auto"/>
              </w:rPr>
            </w:pPr>
            <w:r>
              <w:rPr>
                <w:rFonts w:ascii="Arial" w:cs="Arial" w:eastAsia="Arial" w:hAnsi="Arial"/>
                <w:sz w:val="18"/>
                <w:szCs w:val="18"/>
                <w:color w:val="auto"/>
              </w:rPr>
              <w: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
            </w:r>
          </w:p>
        </w:tc>
        <w:tc>
          <w:tcPr>
            <w:tcW w:w="10020" w:type="dxa"/>
            <w:vAlign w:val="bottom"/>
            <w:gridSpan w:val="2"/>
          </w:tcPr>
          <w:p>
            <w:pPr>
              <w:jc w:val="right"/>
              <w:ind w:right="4819"/>
              <w:spacing w:after="0"/>
              <w:rPr>
                <w:sz w:val="20"/>
                <w:szCs w:val="20"/>
                <w:color w:val="auto"/>
              </w:rPr>
            </w:pPr>
            <w:r>
              <w:rPr>
                <w:rFonts w:ascii="Arial" w:cs="Arial" w:eastAsia="Arial" w:hAnsi="Arial"/>
                <w:sz w:val="18"/>
                <w:szCs w:val="18"/>
                <w:color w:val="auto"/>
              </w:rPr>
              <w:t>[***]</w:t>
            </w:r>
          </w:p>
        </w:tc>
      </w:tr>
    </w:tbl>
    <w:p>
      <w:pPr>
        <w:spacing w:after="0" w:line="198" w:lineRule="exact"/>
        <w:rPr>
          <w:sz w:val="20"/>
          <w:szCs w:val="20"/>
          <w:color w:val="auto"/>
        </w:rPr>
      </w:pPr>
    </w:p>
    <w:p>
      <w:pPr>
        <w:ind w:left="4" w:right="80" w:firstLine="987"/>
        <w:spacing w:after="0" w:line="274" w:lineRule="auto"/>
        <w:tabs>
          <w:tab w:leader="none" w:pos="1260" w:val="left"/>
        </w:tabs>
        <w:numPr>
          <w:ilvl w:val="1"/>
          <w:numId w:val="366"/>
        </w:numPr>
        <w:rPr>
          <w:rFonts w:ascii="Arial" w:cs="Arial" w:eastAsia="Arial" w:hAnsi="Arial"/>
          <w:sz w:val="17"/>
          <w:szCs w:val="17"/>
          <w:b w:val="1"/>
          <w:bCs w:val="1"/>
          <w:color w:val="auto"/>
        </w:rPr>
      </w:pPr>
      <w:r>
        <w:rPr>
          <w:rFonts w:ascii="Arial" w:cs="Arial" w:eastAsia="Arial" w:hAnsi="Arial"/>
          <w:sz w:val="17"/>
          <w:szCs w:val="17"/>
          <w:b w:val="1"/>
          <w:bCs w:val="1"/>
          <w:color w:val="auto"/>
        </w:rPr>
        <w:t>Catch-Up Payments</w:t>
      </w:r>
      <w:r>
        <w:rPr>
          <w:rFonts w:ascii="Arial" w:cs="Arial" w:eastAsia="Arial" w:hAnsi="Arial"/>
          <w:sz w:val="17"/>
          <w:szCs w:val="17"/>
          <w:color w:val="auto"/>
        </w:rPr>
        <w:t>. Milestone Payments are payable one time per Product, the first time each Milestone Event is achieved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If a later-stage clinical Milestone Event is achieved for any Product without one or more earlier-stage clinical Milestone Events having been achieved for that Product, then Adagio will pay the Milestone Payment(s) for such previous clinical Milestone Event(s) along with the payment for the most recently achieved clinical-stage Milestone Event. If a Milestone Event related to filing for Marketing Approval is achieved without one or more of the clinical Milestone Events being achieved, then Adagio will pay the Milestone Payment(s) for such previous clinical Milestone Event(s) along with the payment for the first Milestone Event related to filing for Marketing Approval.</w:t>
      </w:r>
    </w:p>
    <w:p>
      <w:pPr>
        <w:spacing w:after="0" w:line="173" w:lineRule="exact"/>
        <w:rPr>
          <w:rFonts w:ascii="Arial" w:cs="Arial" w:eastAsia="Arial" w:hAnsi="Arial"/>
          <w:sz w:val="17"/>
          <w:szCs w:val="17"/>
          <w:b w:val="1"/>
          <w:bCs w:val="1"/>
          <w:color w:val="auto"/>
        </w:rPr>
      </w:pPr>
    </w:p>
    <w:p>
      <w:pPr>
        <w:ind w:left="4" w:right="20" w:firstLine="987"/>
        <w:spacing w:after="0" w:line="285" w:lineRule="auto"/>
        <w:tabs>
          <w:tab w:leader="none" w:pos="1240" w:val="left"/>
        </w:tabs>
        <w:numPr>
          <w:ilvl w:val="1"/>
          <w:numId w:val="366"/>
        </w:numPr>
        <w:rPr>
          <w:rFonts w:ascii="Arial" w:cs="Arial" w:eastAsia="Arial" w:hAnsi="Arial"/>
          <w:sz w:val="16"/>
          <w:szCs w:val="16"/>
          <w:b w:val="1"/>
          <w:bCs w:val="1"/>
          <w:color w:val="auto"/>
        </w:rPr>
      </w:pPr>
      <w:r>
        <w:rPr>
          <w:rFonts w:ascii="Arial" w:cs="Arial" w:eastAsia="Arial" w:hAnsi="Arial"/>
          <w:sz w:val="16"/>
          <w:szCs w:val="16"/>
          <w:b w:val="1"/>
          <w:bCs w:val="1"/>
          <w:color w:val="auto"/>
        </w:rPr>
        <w:t>Back-Up Candidates</w:t>
      </w:r>
      <w:r>
        <w:rPr>
          <w:rFonts w:ascii="Arial" w:cs="Arial" w:eastAsia="Arial" w:hAnsi="Arial"/>
          <w:sz w:val="16"/>
          <w:szCs w:val="16"/>
          <w:color w:val="auto"/>
        </w:rPr>
        <w:t>. Adagio may designate a Product as a Back-Up Candidate to another Product designated by Adagio as a Lead</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which Lead Product is further in development than the Back-Up Candidate and is directed to the same Target (or, with respect to a multispecific Product, the same set of Targets) as the Back-Up Candidate. In the event that a Milestone Event that was already achieved with respect to a Lead Product is also achieved with respect to a Back-Up Candidate to such Lead Product prior to receipt of Marketing Approval for the Lead Product, then Adagio’s obligation to pay the corresponding Milestone Payment with respect to the achievement of the applicable Milestone Event with respect to such Back-Up Candidate will be deferred until receipt of Marketing Approval of the Lead Product. If Adagio continues to develop such Back-Up Candidate after receipt of Marketing Approval for the Lead Product, all deferred Milestone Payments for such Back-Up Candidate will become payable within</w:t>
      </w:r>
    </w:p>
    <w:p>
      <w:pPr>
        <w:ind w:left="4" w:right="80" w:hanging="4"/>
        <w:spacing w:after="0" w:line="268" w:lineRule="auto"/>
        <w:tabs>
          <w:tab w:leader="none" w:pos="439" w:val="left"/>
        </w:tabs>
        <w:numPr>
          <w:ilvl w:val="0"/>
          <w:numId w:val="366"/>
        </w:numPr>
        <w:rPr>
          <w:rFonts w:ascii="Arial" w:cs="Arial" w:eastAsia="Arial" w:hAnsi="Arial"/>
          <w:sz w:val="17"/>
          <w:szCs w:val="17"/>
          <w:color w:val="auto"/>
        </w:rPr>
      </w:pPr>
      <w:r>
        <w:rPr>
          <w:rFonts w:ascii="Arial" w:cs="Arial" w:eastAsia="Arial" w:hAnsi="Arial"/>
          <w:sz w:val="17"/>
          <w:szCs w:val="17"/>
          <w:color w:val="auto"/>
        </w:rPr>
        <w:t>after receipt of such Marketing Approval and all subsequent Milestone Payments for such Back-Up Candidate will be payable within [***] after achievement of the corresponding Milestone Event with respect to such Back-Up Candidate. If Adagio promptly discontinues all development activities with respect to a Back-Up Candidate upon Marketing Approval of the Lead Product and provides Adimab with written notice thereof within [***] after receipt of such Marketing Approval, Adagio will not be obligated to pay the deferred Milestone Payments for such Back-Up Candidate. If Adagio continues to develop such Back-Up Candidate after discontinuation of development of the Lead Product (but prior to Marketing Approval of such Lead Product), Adagio will not be obligated to pay any Milestone Payments already paid with respect to such Lead Product, but all Milestone Payments for Milestone Events achieved with respect to such Back-Up Candidate that were not paid to Adimab with respect to such Lead Product will be payable within [***] after achievement of the corresponding Milestone Event.</w:t>
      </w:r>
    </w:p>
    <w:p>
      <w:pPr>
        <w:sectPr>
          <w:pgSz w:w="11900" w:h="16838" w:orient="portrait"/>
          <w:cols w:equalWidth="0" w:num="1">
            <w:col w:w="11024"/>
          </w:cols>
          <w:pgMar w:left="436" w:top="265" w:right="439" w:bottom="1440" w:gutter="0" w:footer="0" w:header="0"/>
        </w:sectPr>
      </w:pPr>
    </w:p>
    <w:bookmarkStart w:id="478" w:name="page479"/>
    <w:bookmarkEnd w:id="478"/>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4.5 Royalties</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72" w:lineRule="auto"/>
        <w:tabs>
          <w:tab w:leader="none" w:pos="1246" w:val="left"/>
        </w:tabs>
        <w:numPr>
          <w:ilvl w:val="0"/>
          <w:numId w:val="367"/>
        </w:numPr>
        <w:rPr>
          <w:rFonts w:ascii="Arial" w:cs="Arial" w:eastAsia="Arial" w:hAnsi="Arial"/>
          <w:sz w:val="17"/>
          <w:szCs w:val="17"/>
          <w:b w:val="1"/>
          <w:bCs w:val="1"/>
          <w:color w:val="auto"/>
        </w:rPr>
      </w:pPr>
      <w:r>
        <w:rPr>
          <w:rFonts w:ascii="Arial" w:cs="Arial" w:eastAsia="Arial" w:hAnsi="Arial"/>
          <w:sz w:val="17"/>
          <w:szCs w:val="17"/>
          <w:b w:val="1"/>
          <w:bCs w:val="1"/>
          <w:color w:val="auto"/>
        </w:rPr>
        <w:t>Royalty Payments</w:t>
      </w:r>
      <w:r>
        <w:rPr>
          <w:rFonts w:ascii="Arial" w:cs="Arial" w:eastAsia="Arial" w:hAnsi="Arial"/>
          <w:sz w:val="17"/>
          <w:szCs w:val="17"/>
          <w:color w:val="auto"/>
        </w:rPr>
        <w:t>. As to each Product sold during the applicable Royalty Term, on a Product-by-Product basis, Adagio will pay</w:t>
      </w:r>
      <w:r>
        <w:rPr>
          <w:rFonts w:ascii="Arial" w:cs="Arial" w:eastAsia="Arial" w:hAnsi="Arial"/>
          <w:sz w:val="17"/>
          <w:szCs w:val="17"/>
          <w:b w:val="1"/>
          <w:bCs w:val="1"/>
          <w:color w:val="auto"/>
        </w:rPr>
        <w:t xml:space="preserve"> </w:t>
      </w:r>
      <w:r>
        <w:rPr>
          <w:rFonts w:ascii="Arial" w:cs="Arial" w:eastAsia="Arial" w:hAnsi="Arial"/>
          <w:sz w:val="17"/>
          <w:szCs w:val="17"/>
          <w:color w:val="auto"/>
        </w:rPr>
        <w:t>Adimab a royalty of [***] of annual worldwide Net Sales for such Product during the applicable Royalty Term for such Product in each country (“</w:t>
      </w:r>
      <w:r>
        <w:rPr>
          <w:rFonts w:ascii="Arial" w:cs="Arial" w:eastAsia="Arial" w:hAnsi="Arial"/>
          <w:sz w:val="17"/>
          <w:szCs w:val="17"/>
          <w:b w:val="1"/>
          <w:bCs w:val="1"/>
          <w:color w:val="auto"/>
        </w:rPr>
        <w:t>Royalty Payments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Adagio will pay Adimab a Royalty Payment of [***] of annual worldwide Net Sales for such Product during the applicable Royalty Term for such Product in each country if such Product is an Antigen Product. For Products which are also subject to a Collaboration Agreement, such Collaboration Agreement may contain additional Royalty Payments as may be negotiated and agreed by the Parties and any such Royalty Payments will be in consideration for the access to the additional technology under such Collaboration Agreement and will be in addition to any Royalty Payments due under this Agreement and will, for clarity, be subject to a separate royalty term under such Collaboration Agreement as may be agreed between the Parties.</w:t>
      </w:r>
    </w:p>
    <w:p>
      <w:pPr>
        <w:spacing w:after="0" w:line="171" w:lineRule="exact"/>
        <w:rPr>
          <w:rFonts w:ascii="Arial" w:cs="Arial" w:eastAsia="Arial" w:hAnsi="Arial"/>
          <w:sz w:val="17"/>
          <w:szCs w:val="17"/>
          <w:b w:val="1"/>
          <w:bCs w:val="1"/>
          <w:color w:val="auto"/>
        </w:rPr>
      </w:pPr>
    </w:p>
    <w:p>
      <w:pPr>
        <w:ind w:firstLine="987"/>
        <w:spacing w:after="0" w:line="286" w:lineRule="auto"/>
        <w:tabs>
          <w:tab w:leader="none" w:pos="1256"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 for Third Party IP</w:t>
      </w:r>
      <w:r>
        <w:rPr>
          <w:rFonts w:ascii="Arial" w:cs="Arial" w:eastAsia="Arial" w:hAnsi="Arial"/>
          <w:sz w:val="16"/>
          <w:szCs w:val="16"/>
          <w:color w:val="auto"/>
        </w:rPr>
        <w:t>. If Adagio enters into any Third Party Patent Licenses, then [***] of the net sales royalties actually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paid to the Third Party under the Third Party Patent License with respect to Net Sales of any given Product in any given calendar quarter in any given country may be offset against the Royalty Payment, if any, that would otherwise have been payable to Adimab with respect to such same Net Sales;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no event will the royalty owed to Adimab be reduced by more than [***] of the payment which would otherwise be due</w:t>
      </w:r>
      <w:r>
        <w:rPr>
          <w:rFonts w:ascii="Arial" w:cs="Arial" w:eastAsia="Arial" w:hAnsi="Arial"/>
          <w:sz w:val="16"/>
          <w:szCs w:val="16"/>
          <w:i w:val="1"/>
          <w:iCs w:val="1"/>
          <w:color w:val="auto"/>
        </w:rPr>
        <w:t xml:space="preserve"> </w:t>
      </w:r>
      <w:r>
        <w:rPr>
          <w:rFonts w:ascii="Arial" w:cs="Arial" w:eastAsia="Arial" w:hAnsi="Arial"/>
          <w:sz w:val="16"/>
          <w:szCs w:val="16"/>
          <w:color w:val="auto"/>
        </w:rPr>
        <w:t>hereunder. It is understood, agreed and acknowledged that Adimab’s allowing Adagio to claim the credit of this Section 4.5(b) (</w:t>
      </w:r>
      <w:r>
        <w:rPr>
          <w:rFonts w:ascii="Arial" w:cs="Arial" w:eastAsia="Arial" w:hAnsi="Arial"/>
          <w:sz w:val="16"/>
          <w:szCs w:val="16"/>
          <w:i w:val="1"/>
          <w:iCs w:val="1"/>
          <w:color w:val="auto"/>
        </w:rPr>
        <w:t>Adjustment for Third</w:t>
      </w:r>
      <w:r>
        <w:rPr>
          <w:rFonts w:ascii="Arial" w:cs="Arial" w:eastAsia="Arial" w:hAnsi="Arial"/>
          <w:sz w:val="16"/>
          <w:szCs w:val="16"/>
          <w:color w:val="auto"/>
        </w:rPr>
        <w:t xml:space="preserve"> </w:t>
      </w:r>
      <w:r>
        <w:rPr>
          <w:rFonts w:ascii="Arial" w:cs="Arial" w:eastAsia="Arial" w:hAnsi="Arial"/>
          <w:sz w:val="16"/>
          <w:szCs w:val="16"/>
          <w:i w:val="1"/>
          <w:iCs w:val="1"/>
          <w:color w:val="auto"/>
        </w:rPr>
        <w:t>Party IP</w:t>
      </w:r>
      <w:r>
        <w:rPr>
          <w:rFonts w:ascii="Arial" w:cs="Arial" w:eastAsia="Arial" w:hAnsi="Arial"/>
          <w:sz w:val="16"/>
          <w:szCs w:val="16"/>
          <w:color w:val="auto"/>
        </w:rPr>
        <w:t>) as to any particular Third Party Patent License: (i) does not mean Adimab believes that the licensed Patents are valid and were infringed or</w:t>
      </w:r>
      <w:r>
        <w:rPr>
          <w:rFonts w:ascii="Arial" w:cs="Arial" w:eastAsia="Arial" w:hAnsi="Arial"/>
          <w:sz w:val="16"/>
          <w:szCs w:val="16"/>
          <w:i w:val="1"/>
          <w:iCs w:val="1"/>
          <w:color w:val="auto"/>
        </w:rPr>
        <w:t xml:space="preserve"> </w:t>
      </w:r>
      <w:r>
        <w:rPr>
          <w:rFonts w:ascii="Arial" w:cs="Arial" w:eastAsia="Arial" w:hAnsi="Arial"/>
          <w:sz w:val="16"/>
          <w:szCs w:val="16"/>
          <w:color w:val="auto"/>
        </w:rPr>
        <w:t>Cover any aspect of the discovery or optimization work by Adimab; (ii) does not mean Adimab agrees with Adagio’s opinion as to the likelihood of success of a claim of such infringement or Coverage; (iii) does not mean that Adimab believes Adagio’s opinion as to any of the foregoing is reasonable; and (iv) is not and will not be under any circumstances construed as an admission of any kind. Adimab may have many reasons not to challenge any given assertion of the credit of this Section 4.5(b) (</w:t>
      </w:r>
      <w:r>
        <w:rPr>
          <w:rFonts w:ascii="Arial" w:cs="Arial" w:eastAsia="Arial" w:hAnsi="Arial"/>
          <w:sz w:val="16"/>
          <w:szCs w:val="16"/>
          <w:i w:val="1"/>
          <w:iCs w:val="1"/>
          <w:color w:val="auto"/>
        </w:rPr>
        <w:t>Adjustment for Third Party IP</w:t>
      </w:r>
      <w:r>
        <w:rPr>
          <w:rFonts w:ascii="Arial" w:cs="Arial" w:eastAsia="Arial" w:hAnsi="Arial"/>
          <w:sz w:val="16"/>
          <w:szCs w:val="16"/>
          <w:color w:val="auto"/>
        </w:rPr>
        <w:t>) by Adagio, including: (1) maintaining good relations with a counterparty; (2) an assessment that the costs of the credit are outweighed by the benefits of Adagio having a license in place that makes it feel comfortable to proceed with the Product (resulting in a greater likelihood of milestones and royalties being paid to Adimab); (3) resource limitations that make it impracticable to challenge Adagio’s assertion of such credit even though Adimab may disagree whether this is proper; and (4) other reasons other than thinking that the licensed Third Party Patents Cover or were infringed by any aspect of the discovery or optimization work.</w:t>
      </w:r>
    </w:p>
    <w:p>
      <w:pPr>
        <w:spacing w:after="0" w:line="170" w:lineRule="exact"/>
        <w:rPr>
          <w:rFonts w:ascii="Arial" w:cs="Arial" w:eastAsia="Arial" w:hAnsi="Arial"/>
          <w:sz w:val="16"/>
          <w:szCs w:val="16"/>
          <w:b w:val="1"/>
          <w:bCs w:val="1"/>
          <w:color w:val="auto"/>
        </w:rPr>
      </w:pPr>
    </w:p>
    <w:p>
      <w:pPr>
        <w:ind w:right="100" w:firstLine="987"/>
        <w:spacing w:after="0" w:line="298" w:lineRule="auto"/>
        <w:tabs>
          <w:tab w:leader="none" w:pos="1236" w:val="left"/>
        </w:tabs>
        <w:numPr>
          <w:ilvl w:val="0"/>
          <w:numId w:val="367"/>
        </w:numPr>
        <w:rPr>
          <w:rFonts w:ascii="Arial" w:cs="Arial" w:eastAsia="Arial" w:hAnsi="Arial"/>
          <w:sz w:val="16"/>
          <w:szCs w:val="16"/>
          <w:b w:val="1"/>
          <w:bCs w:val="1"/>
          <w:color w:val="auto"/>
        </w:rPr>
      </w:pPr>
      <w:r>
        <w:rPr>
          <w:rFonts w:ascii="Arial" w:cs="Arial" w:eastAsia="Arial" w:hAnsi="Arial"/>
          <w:sz w:val="16"/>
          <w:szCs w:val="16"/>
          <w:b w:val="1"/>
          <w:bCs w:val="1"/>
          <w:color w:val="auto"/>
        </w:rPr>
        <w:t>Know-How Royalty</w:t>
      </w:r>
      <w:r>
        <w:rPr>
          <w:rFonts w:ascii="Arial" w:cs="Arial" w:eastAsia="Arial" w:hAnsi="Arial"/>
          <w:sz w:val="16"/>
          <w:szCs w:val="16"/>
          <w:color w:val="auto"/>
        </w:rPr>
        <w:t>. For clarity, the Patent licenses granted to Adagio under this Agreement are non-royalty-bearing and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have negotiated Royalty Payments based on the value of the Know-How (primarily in the form of trade secrets) used in the generation of Optioned Antibodies that are assigned to Adagio hereunder. The Parties share the expectation that Adagio will obtain its own Patent protection for Products and agree that the use of Program Patents in calculating the length of the Royalty Term is the result of an arms-length negotiation on a reasonable length for royalty payments with respect to such Know-How rather than any suggestion that the royalty payments pertain to a license of Patents.</w:t>
      </w:r>
    </w:p>
    <w:p>
      <w:pPr>
        <w:spacing w:after="0" w:line="154"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4.6 Quarterly Payment Timings</w:t>
      </w:r>
      <w:r>
        <w:rPr>
          <w:rFonts w:ascii="Arial" w:cs="Arial" w:eastAsia="Arial" w:hAnsi="Arial"/>
          <w:sz w:val="18"/>
          <w:szCs w:val="18"/>
          <w:color w:val="auto"/>
        </w:rPr>
        <w:t>. All Royalty Payments due under Section 4.5 (</w:t>
      </w:r>
      <w:r>
        <w:rPr>
          <w:rFonts w:ascii="Arial" w:cs="Arial" w:eastAsia="Arial" w:hAnsi="Arial"/>
          <w:sz w:val="18"/>
          <w:szCs w:val="18"/>
          <w:i w:val="1"/>
          <w:iCs w:val="1"/>
          <w:color w:val="auto"/>
        </w:rPr>
        <w:t>Royalties</w:t>
      </w:r>
      <w:r>
        <w:rPr>
          <w:rFonts w:ascii="Arial" w:cs="Arial" w:eastAsia="Arial" w:hAnsi="Arial"/>
          <w:sz w:val="18"/>
          <w:szCs w:val="18"/>
          <w:color w:val="auto"/>
        </w:rPr>
        <w:t>) will be paid quarterly within [***] after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calendar quarter for which royalties are due.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69" w:right="459" w:bottom="1440" w:gutter="0" w:footer="0" w:header="0"/>
        </w:sectPr>
      </w:pPr>
    </w:p>
    <w:bookmarkStart w:id="479" w:name="page480"/>
    <w:bookmarkEnd w:id="479"/>
    <w:p>
      <w:pPr>
        <w:ind w:right="2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4.7 Royalty Payment Reports</w:t>
      </w:r>
      <w:r>
        <w:rPr>
          <w:rFonts w:ascii="Arial" w:cs="Arial" w:eastAsia="Arial" w:hAnsi="Arial"/>
          <w:sz w:val="18"/>
          <w:szCs w:val="18"/>
          <w:color w:val="auto"/>
        </w:rPr>
        <w:t>. With respect to each calendar quarter, within [***] after the end of the calendar quarter, Adagio will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Adimab a written report stating the number and description of all Products sold during the relevant calendar quarter; the gross sales associated with such sales; and the calculation of Net Sales on such sales, including the amount of any deduction provided for in the definition of Net Sales. The report will provide all such information on a country-by-country and Product-by-Product basis.</w:t>
      </w:r>
    </w:p>
    <w:p>
      <w:pPr>
        <w:spacing w:after="0" w:line="180"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4.8 Payment Method</w:t>
      </w:r>
      <w:r>
        <w:rPr>
          <w:rFonts w:ascii="Arial" w:cs="Arial" w:eastAsia="Arial" w:hAnsi="Arial"/>
          <w:sz w:val="18"/>
          <w:szCs w:val="18"/>
          <w:color w:val="auto"/>
        </w:rPr>
        <w:t>. All payments due under this Agreement to Adimab will be made by bank wire transfer in immediately available funds to</w:t>
      </w:r>
      <w:r>
        <w:rPr>
          <w:rFonts w:ascii="Arial" w:cs="Arial" w:eastAsia="Arial" w:hAnsi="Arial"/>
          <w:sz w:val="18"/>
          <w:szCs w:val="18"/>
          <w:b w:val="1"/>
          <w:bCs w:val="1"/>
          <w:color w:val="auto"/>
        </w:rPr>
        <w:t xml:space="preserve"> </w:t>
      </w:r>
      <w:r>
        <w:rPr>
          <w:rFonts w:ascii="Arial" w:cs="Arial" w:eastAsia="Arial" w:hAnsi="Arial"/>
          <w:sz w:val="18"/>
          <w:szCs w:val="18"/>
          <w:color w:val="auto"/>
        </w:rPr>
        <w:t>an account designated by Adimab. All payments hereunder will be made in the legal currency of the United States of America, and all references to “</w:t>
      </w:r>
      <w:r>
        <w:rPr>
          <w:rFonts w:ascii="Arial" w:cs="Arial" w:eastAsia="Arial" w:hAnsi="Arial"/>
          <w:sz w:val="18"/>
          <w:szCs w:val="18"/>
          <w:b w:val="1"/>
          <w:bCs w:val="1"/>
          <w:color w:val="auto"/>
        </w:rPr>
        <w:t>$</w:t>
      </w:r>
      <w:r>
        <w:rPr>
          <w:rFonts w:ascii="Arial" w:cs="Arial" w:eastAsia="Arial" w:hAnsi="Arial"/>
          <w:sz w:val="18"/>
          <w:szCs w:val="18"/>
          <w:color w:val="auto"/>
        </w:rPr>
        <w:t>” or “</w:t>
      </w:r>
      <w:r>
        <w:rPr>
          <w:rFonts w:ascii="Arial" w:cs="Arial" w:eastAsia="Arial" w:hAnsi="Arial"/>
          <w:sz w:val="18"/>
          <w:szCs w:val="18"/>
          <w:b w:val="1"/>
          <w:bCs w:val="1"/>
          <w:color w:val="auto"/>
        </w:rPr>
        <w:t>dollars</w:t>
      </w:r>
      <w:r>
        <w:rPr>
          <w:rFonts w:ascii="Arial" w:cs="Arial" w:eastAsia="Arial" w:hAnsi="Arial"/>
          <w:sz w:val="18"/>
          <w:szCs w:val="18"/>
          <w:color w:val="auto"/>
        </w:rPr>
        <w:t>” will refer to United States dollars (</w:t>
      </w:r>
      <w:r>
        <w:rPr>
          <w:rFonts w:ascii="Arial" w:cs="Arial" w:eastAsia="Arial" w:hAnsi="Arial"/>
          <w:sz w:val="18"/>
          <w:szCs w:val="18"/>
          <w:i w:val="1"/>
          <w:iCs w:val="1"/>
          <w:color w:val="auto"/>
        </w:rPr>
        <w:t>i.e.</w:t>
      </w:r>
      <w:r>
        <w:rPr>
          <w:rFonts w:ascii="Arial" w:cs="Arial" w:eastAsia="Arial" w:hAnsi="Arial"/>
          <w:sz w:val="18"/>
          <w:szCs w:val="18"/>
          <w:color w:val="auto"/>
        </w:rPr>
        <w:t>, the legal currency of the United States).</w:t>
      </w:r>
    </w:p>
    <w:p>
      <w:pPr>
        <w:spacing w:after="0" w:line="17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All payments under this Agreement are exclusive of all taxes (such as taxes imposed on the production, sale, delivery or use of a</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including, without limitation, sales, use, excise or value added taxes) other than income taxes owed by Adimab as a result of the payments made hereunder. The Parties agree to cooperate with one another and use reasonable efforts to minimize obligations for any taxes required by applicable law to be withheld or deducted from any royalties, milestone payments or other payments made by Adagio to Adimab under this Agreement, including by completing all procedural steps, and taking all reasonable measures, to ensure that any withholding tax is reduced or eliminated to the extent permitted under applicable law, including income tax treaty provisions and related procedures for claiming treaty relief. To the extent that Adagio is required to deduct and withhold taxes on any payment to Adimab, Adagio will deduct and withhold such taxes and pay the amounts of such taxes to the proper government authority in a timely manner and promptly submit to Adimab an official tax certificate or other evidence of such withholding sufficient to enable Adimab to claim such payment of taxes. Adagio will provide Adimab with reasonable assistance in order to allow Adimab to recover, as permitted by applicable law, withholding taxes, value added taxes or similar obligations resulting from payments made hereunder or to obtain the benefit of any present or future treaty against double taxation which may apply to such payments. Adimab will provide Adagio with any tax forms that may be reasonably necessary in order for Adagio not to withhold tax or to withhold tax at a reduced rate under an applicable bilateral tax income treaty. Adimab will use reasonable efforts to provide any such tax forms to Adagio at least [***] prior to the due date identified by Adagio for any payment for which Adimab desires that Adagio apply a reduced withholding rate. Adagio will make all payments hereunder from an entity domiciled in the United States and a bank account held by a bank in the United States. Adagio will not withhold from any payment any income or similar tax assessed by any jurisdiction other than the United States.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4.10 Records; Inspection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8" w:lineRule="auto"/>
        <w:tabs>
          <w:tab w:leader="none" w:pos="1246" w:val="left"/>
        </w:tabs>
        <w:numPr>
          <w:ilvl w:val="0"/>
          <w:numId w:val="368"/>
        </w:numPr>
        <w:rPr>
          <w:rFonts w:ascii="Arial" w:cs="Arial" w:eastAsia="Arial" w:hAnsi="Arial"/>
          <w:sz w:val="16"/>
          <w:szCs w:val="16"/>
          <w:b w:val="1"/>
          <w:bCs w:val="1"/>
          <w:color w:val="auto"/>
        </w:rPr>
      </w:pPr>
      <w:r>
        <w:rPr>
          <w:rFonts w:ascii="Arial" w:cs="Arial" w:eastAsia="Arial" w:hAnsi="Arial"/>
          <w:sz w:val="16"/>
          <w:szCs w:val="16"/>
          <w:b w:val="1"/>
          <w:bCs w:val="1"/>
          <w:color w:val="auto"/>
        </w:rPr>
        <w:t>Maintenance of Records</w:t>
      </w:r>
      <w:r>
        <w:rPr>
          <w:rFonts w:ascii="Arial" w:cs="Arial" w:eastAsia="Arial" w:hAnsi="Arial"/>
          <w:sz w:val="16"/>
          <w:szCs w:val="16"/>
          <w:color w:val="auto"/>
        </w:rPr>
        <w:t>. Adagio will keep complete and accurate records of its sales and other dispositions (including use in 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trials, or provision on a compassionate use basis or as marketing samples) of Optioned Antibodies and Products including all records that may be necessary for the purposes of calculating all payments due under this Agreement for a period of [***] from the calendar quarter in which any such payment was due. Adagio will make such records available for inspection by an independent certified public accountant from a nationally recognized (in the U.S.) accounting firm selected by Adimab at Adagio’s premises in the United States on reasonable notice during regular business hours.</w:t>
      </w:r>
    </w:p>
    <w:p>
      <w:pPr>
        <w:sectPr>
          <w:pgSz w:w="11900" w:h="16838" w:orient="portrait"/>
          <w:cols w:equalWidth="0" w:num="1">
            <w:col w:w="11000"/>
          </w:cols>
          <w:pgMar w:left="440" w:top="269" w:right="459" w:bottom="1440" w:gutter="0" w:footer="0" w:header="0"/>
        </w:sectPr>
      </w:pPr>
    </w:p>
    <w:bookmarkStart w:id="480" w:name="page481"/>
    <w:bookmarkEnd w:id="480"/>
    <w:p>
      <w:pPr>
        <w:ind w:right="280" w:firstLine="987"/>
        <w:spacing w:after="0" w:line="258" w:lineRule="auto"/>
        <w:tabs>
          <w:tab w:leader="none" w:pos="1256"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Rights</w:t>
      </w:r>
      <w:r>
        <w:rPr>
          <w:rFonts w:ascii="Arial" w:cs="Arial" w:eastAsia="Arial" w:hAnsi="Arial"/>
          <w:sz w:val="18"/>
          <w:szCs w:val="18"/>
          <w:color w:val="auto"/>
        </w:rPr>
        <w:t>. At Adimab’s expense no more than [***] per calendar year, Adimab has the right to retain an independent certified</w:t>
      </w:r>
      <w:r>
        <w:rPr>
          <w:rFonts w:ascii="Arial" w:cs="Arial" w:eastAsia="Arial" w:hAnsi="Arial"/>
          <w:sz w:val="18"/>
          <w:szCs w:val="18"/>
          <w:b w:val="1"/>
          <w:bCs w:val="1"/>
          <w:color w:val="auto"/>
        </w:rPr>
        <w:t xml:space="preserve"> </w:t>
      </w:r>
      <w:r>
        <w:rPr>
          <w:rFonts w:ascii="Arial" w:cs="Arial" w:eastAsia="Arial" w:hAnsi="Arial"/>
          <w:sz w:val="18"/>
          <w:szCs w:val="18"/>
          <w:color w:val="auto"/>
        </w:rPr>
        <w:t>public accountant from a nationally recognized (in the U.S.) accounting firm to perform on behalf of Adimab an audit, conducted in accordance with U.S. generally accepted accounting principles (GAAP), of such books and records of Adagio as are deemed necessary by the independent public accountant to report on Net Sales for the period or periods requested by Adimab and the correctness of any report or payments made under this Agreement.</w:t>
      </w:r>
    </w:p>
    <w:p>
      <w:pPr>
        <w:spacing w:after="0" w:line="183" w:lineRule="exact"/>
        <w:rPr>
          <w:rFonts w:ascii="Arial" w:cs="Arial" w:eastAsia="Arial" w:hAnsi="Arial"/>
          <w:sz w:val="18"/>
          <w:szCs w:val="18"/>
          <w:b w:val="1"/>
          <w:bCs w:val="1"/>
          <w:color w:val="auto"/>
        </w:rPr>
      </w:pPr>
    </w:p>
    <w:p>
      <w:pPr>
        <w:ind w:firstLine="987"/>
        <w:spacing w:after="0" w:line="266" w:lineRule="auto"/>
        <w:tabs>
          <w:tab w:leader="none" w:pos="1236" w:val="left"/>
        </w:tabs>
        <w:numPr>
          <w:ilvl w:val="0"/>
          <w:numId w:val="369"/>
        </w:numPr>
        <w:rPr>
          <w:rFonts w:ascii="Arial" w:cs="Arial" w:eastAsia="Arial" w:hAnsi="Arial"/>
          <w:sz w:val="18"/>
          <w:szCs w:val="18"/>
          <w:b w:val="1"/>
          <w:bCs w:val="1"/>
          <w:color w:val="auto"/>
        </w:rPr>
      </w:pPr>
      <w:r>
        <w:rPr>
          <w:rFonts w:ascii="Arial" w:cs="Arial" w:eastAsia="Arial" w:hAnsi="Arial"/>
          <w:sz w:val="18"/>
          <w:szCs w:val="18"/>
          <w:b w:val="1"/>
          <w:bCs w:val="1"/>
          <w:color w:val="auto"/>
        </w:rPr>
        <w:t>Underpayment</w:t>
      </w:r>
      <w:r>
        <w:rPr>
          <w:rFonts w:ascii="Arial" w:cs="Arial" w:eastAsia="Arial" w:hAnsi="Arial"/>
          <w:sz w:val="18"/>
          <w:szCs w:val="18"/>
          <w:color w:val="auto"/>
        </w:rPr>
        <w:t>. If the audit reveals an underpayment, Adagio will promptly pay to Adimab the amount of such underpayment plus</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in accordance with Section 4.14 (</w:t>
      </w:r>
      <w:r>
        <w:rPr>
          <w:rFonts w:ascii="Arial" w:cs="Arial" w:eastAsia="Arial" w:hAnsi="Arial"/>
          <w:sz w:val="18"/>
          <w:szCs w:val="18"/>
          <w:i w:val="1"/>
          <w:iCs w:val="1"/>
          <w:color w:val="auto"/>
        </w:rPr>
        <w:t>Late Payments</w:t>
      </w:r>
      <w:r>
        <w:rPr>
          <w:rFonts w:ascii="Arial" w:cs="Arial" w:eastAsia="Arial" w:hAnsi="Arial"/>
          <w:sz w:val="18"/>
          <w:szCs w:val="18"/>
          <w:color w:val="auto"/>
        </w:rPr>
        <w:t>). If the audit reveals that the monies owed by Adagio to Adimab have been understated by more than [***] for the period audited, Adagio will, in addition, pay the costs of such audit.</w:t>
      </w:r>
    </w:p>
    <w:p>
      <w:pPr>
        <w:spacing w:after="0" w:line="176" w:lineRule="exact"/>
        <w:rPr>
          <w:sz w:val="20"/>
          <w:szCs w:val="20"/>
          <w:color w:val="auto"/>
        </w:rPr>
      </w:pPr>
    </w:p>
    <w:p>
      <w:pPr>
        <w:ind w:firstLine="440"/>
        <w:spacing w:after="0" w:line="314" w:lineRule="auto"/>
        <w:rPr>
          <w:sz w:val="20"/>
          <w:szCs w:val="20"/>
          <w:color w:val="auto"/>
        </w:rPr>
      </w:pPr>
      <w:r>
        <w:rPr>
          <w:rFonts w:ascii="Arial" w:cs="Arial" w:eastAsia="Arial" w:hAnsi="Arial"/>
          <w:sz w:val="16"/>
          <w:szCs w:val="16"/>
          <w:b w:val="1"/>
          <w:bCs w:val="1"/>
          <w:color w:val="auto"/>
        </w:rPr>
        <w:t>4.11 Licensee Reports, Records and Audits</w:t>
      </w:r>
      <w:r>
        <w:rPr>
          <w:rFonts w:ascii="Arial" w:cs="Arial" w:eastAsia="Arial" w:hAnsi="Arial"/>
          <w:sz w:val="16"/>
          <w:szCs w:val="16"/>
          <w:color w:val="auto"/>
        </w:rPr>
        <w:t>. Any agreements with Licensees will include an obligation for the Licensee to (a) maintain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to document and verify the proper payments (including milestones and royalties) to be paid to Adimab; (b) provide quarterly reports to Adimab with sufficient information to allow such verification; and (c) allow Adimab (or Adagio if requested by Adimab) to verify the payments due.</w:t>
      </w:r>
    </w:p>
    <w:p>
      <w:pPr>
        <w:spacing w:after="0" w:line="142" w:lineRule="exact"/>
        <w:rPr>
          <w:sz w:val="20"/>
          <w:szCs w:val="20"/>
          <w:color w:val="auto"/>
        </w:rPr>
      </w:pPr>
    </w:p>
    <w:p>
      <w:pPr>
        <w:ind w:right="320" w:firstLine="440"/>
        <w:spacing w:after="0" w:line="281" w:lineRule="auto"/>
        <w:rPr>
          <w:sz w:val="20"/>
          <w:szCs w:val="20"/>
          <w:color w:val="auto"/>
        </w:rPr>
      </w:pPr>
      <w:r>
        <w:rPr>
          <w:rFonts w:ascii="Arial" w:cs="Arial" w:eastAsia="Arial" w:hAnsi="Arial"/>
          <w:sz w:val="17"/>
          <w:szCs w:val="17"/>
          <w:b w:val="1"/>
          <w:bCs w:val="1"/>
          <w:color w:val="auto"/>
        </w:rPr>
        <w:t>4.12 Foreign Exchange</w:t>
      </w:r>
      <w:r>
        <w:rPr>
          <w:rFonts w:ascii="Arial" w:cs="Arial" w:eastAsia="Arial" w:hAnsi="Arial"/>
          <w:sz w:val="17"/>
          <w:szCs w:val="17"/>
          <w:color w:val="auto"/>
        </w:rPr>
        <w:t>. If any currency conversion will be required in connection with the calculation of amounts payable hereunder, such</w:t>
      </w:r>
      <w:r>
        <w:rPr>
          <w:rFonts w:ascii="Arial" w:cs="Arial" w:eastAsia="Arial" w:hAnsi="Arial"/>
          <w:sz w:val="17"/>
          <w:szCs w:val="17"/>
          <w:b w:val="1"/>
          <w:bCs w:val="1"/>
          <w:color w:val="auto"/>
        </w:rPr>
        <w:t xml:space="preserve"> </w:t>
      </w:r>
      <w:r>
        <w:rPr>
          <w:rFonts w:ascii="Arial" w:cs="Arial" w:eastAsia="Arial" w:hAnsi="Arial"/>
          <w:sz w:val="17"/>
          <w:szCs w:val="17"/>
          <w:color w:val="auto"/>
        </w:rPr>
        <w:t>conversion will be made using the exchange rates reported on the [***] business day prior the payment due date for the purchase and sale of U.S. dollars, as reported by the [***]. With any payment in relation to which a currency conversion is performed to calculate the amount of payment due, Adagio will provide to Adimab a true, accurate and complete copy of the exchange rates used in such calculation.</w:t>
      </w:r>
    </w:p>
    <w:p>
      <w:pPr>
        <w:spacing w:after="0" w:line="165"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4.13 Non-refundable, non-creditable payments</w:t>
      </w:r>
      <w:r>
        <w:rPr>
          <w:rFonts w:ascii="Arial" w:cs="Arial" w:eastAsia="Arial" w:hAnsi="Arial"/>
          <w:sz w:val="18"/>
          <w:szCs w:val="18"/>
          <w:color w:val="auto"/>
        </w:rPr>
        <w:t>. Each payment that is required under this Agreement is non-refundable and non-creditable</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set forth in Section 4.5(b) (</w:t>
      </w:r>
      <w:r>
        <w:rPr>
          <w:rFonts w:ascii="Arial" w:cs="Arial" w:eastAsia="Arial" w:hAnsi="Arial"/>
          <w:sz w:val="18"/>
          <w:szCs w:val="18"/>
          <w:i w:val="1"/>
          <w:iCs w:val="1"/>
          <w:color w:val="auto"/>
        </w:rPr>
        <w:t>Adjustment for Third Party IP</w:t>
      </w:r>
      <w:r>
        <w:rPr>
          <w:rFonts w:ascii="Arial" w:cs="Arial" w:eastAsia="Arial" w:hAnsi="Arial"/>
          <w:sz w:val="18"/>
          <w:szCs w:val="18"/>
          <w:color w:val="auto"/>
        </w:rPr>
        <w:t>).</w:t>
      </w:r>
    </w:p>
    <w:p>
      <w:pPr>
        <w:spacing w:after="0" w:line="162" w:lineRule="exact"/>
        <w:rPr>
          <w:sz w:val="20"/>
          <w:szCs w:val="20"/>
          <w:color w:val="auto"/>
        </w:rPr>
      </w:pPr>
    </w:p>
    <w:p>
      <w:pPr>
        <w:ind w:right="260" w:firstLine="440"/>
        <w:spacing w:after="0" w:line="312" w:lineRule="auto"/>
        <w:rPr>
          <w:sz w:val="20"/>
          <w:szCs w:val="20"/>
          <w:color w:val="auto"/>
        </w:rPr>
      </w:pPr>
      <w:r>
        <w:rPr>
          <w:rFonts w:ascii="Arial" w:cs="Arial" w:eastAsia="Arial" w:hAnsi="Arial"/>
          <w:sz w:val="17"/>
          <w:szCs w:val="17"/>
          <w:b w:val="1"/>
          <w:bCs w:val="1"/>
          <w:color w:val="auto"/>
        </w:rPr>
        <w:t>4.14 Late Payments</w:t>
      </w:r>
      <w:r>
        <w:rPr>
          <w:rFonts w:ascii="Arial" w:cs="Arial" w:eastAsia="Arial" w:hAnsi="Arial"/>
          <w:sz w:val="17"/>
          <w:szCs w:val="17"/>
          <w:color w:val="auto"/>
        </w:rPr>
        <w:t>. Any amount owed by Adagio to Adimab under this Agreement that is not paid within the applicable time period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herein will accrue interest at the rate of [***] calculated on a [***] basis, or, if lower, the highest rate permitted under applicable law.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Ownership and Inventorship</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(a) Program Inventions and Program Patents</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69" w:right="459" w:bottom="1440" w:gutter="0" w:footer="0" w:header="0"/>
        </w:sectPr>
      </w:pPr>
    </w:p>
    <w:bookmarkStart w:id="481" w:name="page482"/>
    <w:bookmarkEnd w:id="481"/>
    <w:p>
      <w:pPr>
        <w:ind w:right="220" w:firstLine="1428"/>
        <w:spacing w:after="0" w:line="282" w:lineRule="auto"/>
        <w:tabs>
          <w:tab w:leader="none" w:pos="1647" w:val="left"/>
        </w:tabs>
        <w:numPr>
          <w:ilvl w:val="1"/>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Adimab Platform Technology Patents</w:t>
      </w:r>
      <w:r>
        <w:rPr>
          <w:rFonts w:ascii="Arial" w:cs="Arial" w:eastAsia="Arial" w:hAnsi="Arial"/>
          <w:sz w:val="18"/>
          <w:szCs w:val="18"/>
          <w:color w:val="auto"/>
        </w:rPr>
        <w:t>. Adimab will solely own, regardless of inventorship, all Adimab Platform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made under the Research Programs.</w:t>
      </w:r>
    </w:p>
    <w:p>
      <w:pPr>
        <w:spacing w:after="0" w:line="161" w:lineRule="exact"/>
        <w:rPr>
          <w:rFonts w:ascii="Arial" w:cs="Arial" w:eastAsia="Arial" w:hAnsi="Arial"/>
          <w:sz w:val="18"/>
          <w:szCs w:val="18"/>
          <w:b w:val="1"/>
          <w:bCs w:val="1"/>
          <w:color w:val="auto"/>
        </w:rPr>
      </w:pPr>
    </w:p>
    <w:p>
      <w:pPr>
        <w:ind w:right="120" w:firstLine="1428"/>
        <w:spacing w:after="0" w:line="266" w:lineRule="auto"/>
        <w:tabs>
          <w:tab w:leader="none" w:pos="1697" w:val="left"/>
        </w:tabs>
        <w:numPr>
          <w:ilvl w:val="1"/>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Antibody Patents Prior to Expiration of Evaluation Term</w:t>
      </w:r>
      <w:r>
        <w:rPr>
          <w:rFonts w:ascii="Arial" w:cs="Arial" w:eastAsia="Arial" w:hAnsi="Arial"/>
          <w:sz w:val="18"/>
          <w:szCs w:val="18"/>
          <w:color w:val="auto"/>
        </w:rPr>
        <w:t>. Prior to the expiration of the Evaluation Term, Adimab</w:t>
      </w:r>
      <w:r>
        <w:rPr>
          <w:rFonts w:ascii="Arial" w:cs="Arial" w:eastAsia="Arial" w:hAnsi="Arial"/>
          <w:sz w:val="18"/>
          <w:szCs w:val="18"/>
          <w:b w:val="1"/>
          <w:bCs w:val="1"/>
          <w:color w:val="auto"/>
        </w:rPr>
        <w:t xml:space="preserve"> </w:t>
      </w:r>
      <w:r>
        <w:rPr>
          <w:rFonts w:ascii="Arial" w:cs="Arial" w:eastAsia="Arial" w:hAnsi="Arial"/>
          <w:sz w:val="18"/>
          <w:szCs w:val="18"/>
          <w:color w:val="auto"/>
        </w:rPr>
        <w:t>will solely own all Program Antibody Patents, although Adagio will direct prosecution of such Program Antibody Patents in accordance with Section 5.4(b) (</w:t>
      </w:r>
      <w:r>
        <w:rPr>
          <w:rFonts w:ascii="Arial" w:cs="Arial" w:eastAsia="Arial" w:hAnsi="Arial"/>
          <w:sz w:val="18"/>
          <w:szCs w:val="18"/>
          <w:i w:val="1"/>
          <w:iCs w:val="1"/>
          <w:color w:val="auto"/>
        </w:rPr>
        <w:t>Program Antibody Patents</w:t>
      </w:r>
      <w:r>
        <w:rPr>
          <w:rFonts w:ascii="Arial" w:cs="Arial" w:eastAsia="Arial" w:hAnsi="Arial"/>
          <w:sz w:val="18"/>
          <w:szCs w:val="18"/>
          <w:color w:val="auto"/>
        </w:rPr>
        <w:t>).</w:t>
      </w:r>
    </w:p>
    <w:p>
      <w:pPr>
        <w:spacing w:after="0" w:line="175" w:lineRule="exact"/>
        <w:rPr>
          <w:rFonts w:ascii="Arial" w:cs="Arial" w:eastAsia="Arial" w:hAnsi="Arial"/>
          <w:sz w:val="18"/>
          <w:szCs w:val="18"/>
          <w:b w:val="1"/>
          <w:bCs w:val="1"/>
          <w:color w:val="auto"/>
        </w:rPr>
      </w:pPr>
    </w:p>
    <w:p>
      <w:pPr>
        <w:ind w:left="1740" w:hanging="312"/>
        <w:spacing w:after="0"/>
        <w:tabs>
          <w:tab w:leader="none" w:pos="1740" w:val="left"/>
        </w:tabs>
        <w:numPr>
          <w:ilvl w:val="1"/>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Antibody Patents After Expiration of Evaluation Term.</w:t>
      </w:r>
    </w:p>
    <w:p>
      <w:pPr>
        <w:spacing w:after="0" w:line="225" w:lineRule="exact"/>
        <w:rPr>
          <w:rFonts w:ascii="Arial" w:cs="Arial" w:eastAsia="Arial" w:hAnsi="Arial"/>
          <w:sz w:val="18"/>
          <w:szCs w:val="18"/>
          <w:b w:val="1"/>
          <w:bCs w:val="1"/>
          <w:color w:val="auto"/>
        </w:rPr>
      </w:pPr>
    </w:p>
    <w:p>
      <w:pPr>
        <w:ind w:right="180" w:firstLine="1979"/>
        <w:spacing w:after="0" w:line="266" w:lineRule="auto"/>
        <w:tabs>
          <w:tab w:leader="none" w:pos="2237" w:val="left"/>
        </w:tabs>
        <w:numPr>
          <w:ilvl w:val="2"/>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Optioned Program Antibody Patents</w:t>
      </w:r>
      <w:r>
        <w:rPr>
          <w:rFonts w:ascii="Arial" w:cs="Arial" w:eastAsia="Arial" w:hAnsi="Arial"/>
          <w:sz w:val="18"/>
          <w:szCs w:val="18"/>
          <w:color w:val="auto"/>
        </w:rPr>
        <w:t>. On a Research Program-by-Research Program basis, from and after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Option exercise, Adagio will own, regardless of inventorship, the Optioned Program Antibody Patents, subject to the terms and conditions of this Agreement.</w:t>
      </w:r>
    </w:p>
    <w:p>
      <w:pPr>
        <w:spacing w:after="0" w:line="175" w:lineRule="exact"/>
        <w:rPr>
          <w:rFonts w:ascii="Arial" w:cs="Arial" w:eastAsia="Arial" w:hAnsi="Arial"/>
          <w:sz w:val="18"/>
          <w:szCs w:val="18"/>
          <w:b w:val="1"/>
          <w:bCs w:val="1"/>
          <w:color w:val="auto"/>
        </w:rPr>
      </w:pPr>
    </w:p>
    <w:p>
      <w:pPr>
        <w:ind w:right="260" w:firstLine="1979"/>
        <w:spacing w:after="0" w:line="261" w:lineRule="auto"/>
        <w:tabs>
          <w:tab w:leader="none" w:pos="2237" w:val="left"/>
        </w:tabs>
        <w:numPr>
          <w:ilvl w:val="2"/>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Program Antibody Patents Disclosing Non-Optioned Antibodies. </w:t>
      </w:r>
      <w:r>
        <w:rPr>
          <w:rFonts w:ascii="Arial" w:cs="Arial" w:eastAsia="Arial" w:hAnsi="Arial"/>
          <w:sz w:val="18"/>
          <w:szCs w:val="18"/>
          <w:color w:val="auto"/>
        </w:rPr>
        <w:t>On a Research Program-by-Research Program</w:t>
      </w:r>
      <w:r>
        <w:rPr>
          <w:rFonts w:ascii="Arial" w:cs="Arial" w:eastAsia="Arial" w:hAnsi="Arial"/>
          <w:sz w:val="18"/>
          <w:szCs w:val="18"/>
          <w:b w:val="1"/>
          <w:bCs w:val="1"/>
          <w:color w:val="auto"/>
        </w:rPr>
        <w:t xml:space="preserve"> </w:t>
      </w:r>
      <w:r>
        <w:rPr>
          <w:rFonts w:ascii="Arial" w:cs="Arial" w:eastAsia="Arial" w:hAnsi="Arial"/>
          <w:sz w:val="18"/>
          <w:szCs w:val="18"/>
          <w:color w:val="auto"/>
        </w:rPr>
        <w:t>basis, from and after the date of expiration of the Evaluation Term, Adimab will continue to own, regardless of inventorship, all Patents that disclose Non-Optioned Antibodies. Adagio will promptly cause such Program Antibody Patents to be abandoned in accordance with Section 5.4(b) (</w:t>
      </w:r>
      <w:r>
        <w:rPr>
          <w:rFonts w:ascii="Arial" w:cs="Arial" w:eastAsia="Arial" w:hAnsi="Arial"/>
          <w:sz w:val="18"/>
          <w:szCs w:val="18"/>
          <w:i w:val="1"/>
          <w:iCs w:val="1"/>
          <w:color w:val="auto"/>
        </w:rPr>
        <w:t>Program</w:t>
      </w:r>
      <w:r>
        <w:rPr>
          <w:rFonts w:ascii="Arial" w:cs="Arial" w:eastAsia="Arial" w:hAnsi="Arial"/>
          <w:sz w:val="18"/>
          <w:szCs w:val="18"/>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w:t>
      </w:r>
    </w:p>
    <w:p>
      <w:pPr>
        <w:spacing w:after="0" w:line="179" w:lineRule="exact"/>
        <w:rPr>
          <w:rFonts w:ascii="Arial" w:cs="Arial" w:eastAsia="Arial" w:hAnsi="Arial"/>
          <w:sz w:val="18"/>
          <w:szCs w:val="18"/>
          <w:b w:val="1"/>
          <w:bCs w:val="1"/>
          <w:color w:val="auto"/>
        </w:rPr>
      </w:pPr>
    </w:p>
    <w:p>
      <w:pPr>
        <w:ind w:firstLine="1428"/>
        <w:spacing w:after="0" w:line="273" w:lineRule="auto"/>
        <w:tabs>
          <w:tab w:leader="none" w:pos="1737" w:val="left"/>
        </w:tabs>
        <w:numPr>
          <w:ilvl w:val="1"/>
          <w:numId w:val="370"/>
        </w:numPr>
        <w:rPr>
          <w:rFonts w:ascii="Arial" w:cs="Arial" w:eastAsia="Arial" w:hAnsi="Arial"/>
          <w:sz w:val="17"/>
          <w:szCs w:val="17"/>
          <w:b w:val="1"/>
          <w:bCs w:val="1"/>
          <w:color w:val="auto"/>
        </w:rPr>
      </w:pPr>
      <w:r>
        <w:rPr>
          <w:rFonts w:ascii="Arial" w:cs="Arial" w:eastAsia="Arial" w:hAnsi="Arial"/>
          <w:sz w:val="17"/>
          <w:szCs w:val="17"/>
          <w:b w:val="1"/>
          <w:bCs w:val="1"/>
          <w:color w:val="auto"/>
        </w:rPr>
        <w:t>Other Program Patents and Program Inventions</w:t>
      </w:r>
      <w:r>
        <w:rPr>
          <w:rFonts w:ascii="Arial" w:cs="Arial" w:eastAsia="Arial" w:hAnsi="Arial"/>
          <w:sz w:val="17"/>
          <w:szCs w:val="17"/>
          <w:color w:val="auto"/>
        </w:rPr>
        <w:t>. All Program Patents and Program Inventions other than those referred in</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subsections (i) through (iii) of this Section 5.1(a) (</w:t>
      </w:r>
      <w:r>
        <w:rPr>
          <w:rFonts w:ascii="Arial" w:cs="Arial" w:eastAsia="Arial" w:hAnsi="Arial"/>
          <w:sz w:val="17"/>
          <w:szCs w:val="17"/>
          <w:i w:val="1"/>
          <w:iCs w:val="1"/>
          <w:color w:val="auto"/>
        </w:rPr>
        <w:t>Program Inventions and Program Patents</w:t>
      </w:r>
      <w:r>
        <w:rPr>
          <w:rFonts w:ascii="Arial" w:cs="Arial" w:eastAsia="Arial" w:hAnsi="Arial"/>
          <w:sz w:val="17"/>
          <w:szCs w:val="17"/>
          <w:color w:val="auto"/>
        </w:rPr>
        <w:t>) will be owned based on inventorship. Subject to the licenses granted in Section 3.2(b) (</w:t>
      </w:r>
      <w:r>
        <w:rPr>
          <w:rFonts w:ascii="Arial" w:cs="Arial" w:eastAsia="Arial" w:hAnsi="Arial"/>
          <w:sz w:val="17"/>
          <w:szCs w:val="17"/>
          <w:i w:val="1"/>
          <w:iCs w:val="1"/>
          <w:color w:val="auto"/>
        </w:rPr>
        <w:t>Development and Commercialization License and Assignment</w:t>
      </w:r>
      <w:r>
        <w:rPr>
          <w:rFonts w:ascii="Arial" w:cs="Arial" w:eastAsia="Arial" w:hAnsi="Arial"/>
          <w:sz w:val="17"/>
          <w:szCs w:val="17"/>
          <w:color w:val="auto"/>
        </w:rPr>
        <w:t xml:space="preserve">), Program Inventions which are jointly owned by Adimab and Adagio may be freely practiced by both Parties. The Parties will cooperate in any decision to patent such Program Invention and the prosecution of any Program Patents Covering such Program Inventions, including equally sharing the cost of Patent prosecution;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one Party declines to participate in the costs of Patent prosecution in any jurisdiction, then such Party will assign all right, title, and interest in such Patent to the other Party in such jurisdiction.</w:t>
      </w:r>
    </w:p>
    <w:p>
      <w:pPr>
        <w:spacing w:after="0" w:line="171" w:lineRule="exact"/>
        <w:rPr>
          <w:rFonts w:ascii="Arial" w:cs="Arial" w:eastAsia="Arial" w:hAnsi="Arial"/>
          <w:sz w:val="17"/>
          <w:szCs w:val="17"/>
          <w:b w:val="1"/>
          <w:bCs w:val="1"/>
          <w:color w:val="auto"/>
        </w:rPr>
      </w:pPr>
    </w:p>
    <w:p>
      <w:pPr>
        <w:ind w:left="1260" w:hanging="273"/>
        <w:spacing w:after="0"/>
        <w:tabs>
          <w:tab w:leader="none" w:pos="1260" w:val="left"/>
        </w:tabs>
        <w:numPr>
          <w:ilvl w:val="0"/>
          <w:numId w:val="371"/>
        </w:numPr>
        <w:rPr>
          <w:rFonts w:ascii="Arial" w:cs="Arial" w:eastAsia="Arial" w:hAnsi="Arial"/>
          <w:sz w:val="17"/>
          <w:szCs w:val="17"/>
          <w:b w:val="1"/>
          <w:bCs w:val="1"/>
          <w:color w:val="auto"/>
        </w:rPr>
      </w:pPr>
      <w:r>
        <w:rPr>
          <w:rFonts w:ascii="Arial" w:cs="Arial" w:eastAsia="Arial" w:hAnsi="Arial"/>
          <w:sz w:val="17"/>
          <w:szCs w:val="17"/>
          <w:b w:val="1"/>
          <w:bCs w:val="1"/>
          <w:color w:val="auto"/>
        </w:rPr>
        <w:t>Pre-Existing Patents</w:t>
      </w:r>
      <w:r>
        <w:rPr>
          <w:rFonts w:ascii="Arial" w:cs="Arial" w:eastAsia="Arial" w:hAnsi="Arial"/>
          <w:sz w:val="17"/>
          <w:szCs w:val="17"/>
          <w:color w:val="auto"/>
        </w:rPr>
        <w:t>. To avoid doubt, nothing in this Agreement will alter the ownership of the Parties’ pre-existing Patents.</w:t>
      </w:r>
    </w:p>
    <w:p>
      <w:pPr>
        <w:spacing w:after="0" w:line="236" w:lineRule="exact"/>
        <w:rPr>
          <w:rFonts w:ascii="Arial" w:cs="Arial" w:eastAsia="Arial" w:hAnsi="Arial"/>
          <w:sz w:val="17"/>
          <w:szCs w:val="17"/>
          <w:b w:val="1"/>
          <w:bCs w:val="1"/>
          <w:color w:val="auto"/>
        </w:rPr>
      </w:pPr>
    </w:p>
    <w:p>
      <w:pPr>
        <w:ind w:right="140" w:firstLine="987"/>
        <w:spacing w:after="0" w:line="282" w:lineRule="auto"/>
        <w:tabs>
          <w:tab w:leader="none" w:pos="1236"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Inventorship</w:t>
      </w:r>
      <w:r>
        <w:rPr>
          <w:rFonts w:ascii="Arial" w:cs="Arial" w:eastAsia="Arial" w:hAnsi="Arial"/>
          <w:sz w:val="18"/>
          <w:szCs w:val="18"/>
          <w:color w:val="auto"/>
        </w:rPr>
        <w:t>. Inventorship for purposes of this Agreement, and all intellectual property-related definitions in this Agreement,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accordance with United States patent law.</w:t>
      </w:r>
    </w:p>
    <w:p>
      <w:pPr>
        <w:spacing w:after="0" w:line="162" w:lineRule="exact"/>
        <w:rPr>
          <w:sz w:val="20"/>
          <w:szCs w:val="20"/>
          <w:color w:val="auto"/>
        </w:rPr>
      </w:pPr>
    </w:p>
    <w:p>
      <w:pPr>
        <w:ind w:right="100" w:firstLine="440"/>
        <w:spacing w:after="0" w:line="258" w:lineRule="auto"/>
        <w:rPr>
          <w:sz w:val="20"/>
          <w:szCs w:val="20"/>
          <w:color w:val="auto"/>
        </w:rPr>
      </w:pPr>
      <w:r>
        <w:rPr>
          <w:rFonts w:ascii="Arial" w:cs="Arial" w:eastAsia="Arial" w:hAnsi="Arial"/>
          <w:sz w:val="18"/>
          <w:szCs w:val="18"/>
          <w:b w:val="1"/>
          <w:bCs w:val="1"/>
          <w:color w:val="auto"/>
        </w:rPr>
        <w:t>5.2 Assignment</w:t>
      </w:r>
      <w:r>
        <w:rPr>
          <w:rFonts w:ascii="Arial" w:cs="Arial" w:eastAsia="Arial" w:hAnsi="Arial"/>
          <w:sz w:val="18"/>
          <w:szCs w:val="18"/>
          <w:color w:val="auto"/>
        </w:rPr>
        <w:t>. Each Party hereby assigns to the other Party Program Inventions and associated Patents and Know-How as necessary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ownership as provided in Section 5.1 (</w:t>
      </w:r>
      <w:r>
        <w:rPr>
          <w:rFonts w:ascii="Arial" w:cs="Arial" w:eastAsia="Arial" w:hAnsi="Arial"/>
          <w:sz w:val="18"/>
          <w:szCs w:val="18"/>
          <w:i w:val="1"/>
          <w:iCs w:val="1"/>
          <w:color w:val="auto"/>
        </w:rPr>
        <w:t>Ownership and Inventorship</w:t>
      </w:r>
      <w:r>
        <w:rPr>
          <w:rFonts w:ascii="Arial" w:cs="Arial" w:eastAsia="Arial" w:hAnsi="Arial"/>
          <w:sz w:val="18"/>
          <w:szCs w:val="18"/>
          <w:color w:val="auto"/>
        </w:rPr>
        <w:t>). Each assigning Party will execute and deliver all documents and instruments reasonably requested by the other Party to evidence or record such assignment or to file for, perfect or enforce the assigned rights. Each assigning Party hereby appoints the other Party as attorney-in-fact solely to execute and deliver the foregoing documents and instruments if such other Party after making reasonable inquiry does not obtain them from the assigning Party.</w:t>
      </w:r>
    </w:p>
    <w:p>
      <w:pPr>
        <w:sectPr>
          <w:pgSz w:w="11900" w:h="16838" w:orient="portrait"/>
          <w:cols w:equalWidth="0" w:num="1">
            <w:col w:w="11000"/>
          </w:cols>
          <w:pgMar w:left="440" w:top="269" w:right="459" w:bottom="1440" w:gutter="0" w:footer="0" w:header="0"/>
        </w:sectPr>
      </w:pPr>
    </w:p>
    <w:bookmarkStart w:id="482" w:name="page483"/>
    <w:bookmarkEnd w:id="482"/>
    <w:p>
      <w:pPr>
        <w:jc w:val="both"/>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will perform its activities under this Agreement through personnel who have made a similar assignment and appointment to and of such Party. Each assigning Party will make its relevant personnel (and their assignments and signatures on such documents and instruments) reasonably available to the other Party for assistance in accordance with this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at no charge.</w:t>
      </w:r>
    </w:p>
    <w:p>
      <w:pPr>
        <w:spacing w:after="0" w:line="161"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5.3 Disclosure</w:t>
      </w:r>
      <w:r>
        <w:rPr>
          <w:rFonts w:ascii="Arial" w:cs="Arial" w:eastAsia="Arial" w:hAnsi="Arial"/>
          <w:sz w:val="16"/>
          <w:szCs w:val="16"/>
          <w:color w:val="auto"/>
        </w:rPr>
        <w:t>. During the Research Term and Evaluation Term, each Party will promptly disclose to the other Party the making, conception or</w:t>
      </w:r>
      <w:r>
        <w:rPr>
          <w:rFonts w:ascii="Arial" w:cs="Arial" w:eastAsia="Arial" w:hAnsi="Arial"/>
          <w:sz w:val="16"/>
          <w:szCs w:val="16"/>
          <w:b w:val="1"/>
          <w:bCs w:val="1"/>
          <w:color w:val="auto"/>
        </w:rPr>
        <w:t xml:space="preserve"> </w:t>
      </w:r>
      <w:r>
        <w:rPr>
          <w:rFonts w:ascii="Arial" w:cs="Arial" w:eastAsia="Arial" w:hAnsi="Arial"/>
          <w:sz w:val="16"/>
          <w:szCs w:val="16"/>
          <w:color w:val="auto"/>
        </w:rPr>
        <w:t>reduction to practice of any Program Inventions that would be Covered by Program Antibody Patents or in Adagio’s case that are Adimab Platform Technology Improvements (which, to avoid doubt, are assigned to Adimab under this Agreement). Such disclosure will occur as soon as possible, but in any case within [***] after the Party determines such Program Inventions have been invented. To avoid doubt, this Section 5.3 (</w:t>
      </w:r>
      <w:r>
        <w:rPr>
          <w:rFonts w:ascii="Arial" w:cs="Arial" w:eastAsia="Arial" w:hAnsi="Arial"/>
          <w:sz w:val="16"/>
          <w:szCs w:val="16"/>
          <w:i w:val="1"/>
          <w:iCs w:val="1"/>
          <w:color w:val="auto"/>
        </w:rPr>
        <w:t>Disclosure</w:t>
      </w:r>
      <w:r>
        <w:rPr>
          <w:rFonts w:ascii="Arial" w:cs="Arial" w:eastAsia="Arial" w:hAnsi="Arial"/>
          <w:sz w:val="16"/>
          <w:szCs w:val="16"/>
          <w:color w:val="auto"/>
        </w:rPr>
        <w:t>) will not be read to require Adimab to disclose Program Inventions constituting Adimab Platform Technology Improvements to Adagio.</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5.4 Program Patent Prosecution, Maintenance and Enforcement</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61" w:lineRule="auto"/>
        <w:tabs>
          <w:tab w:leader="none" w:pos="1246"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Adimab Platform Technology</w:t>
      </w:r>
      <w:r>
        <w:rPr>
          <w:rFonts w:ascii="Arial" w:cs="Arial" w:eastAsia="Arial" w:hAnsi="Arial"/>
          <w:sz w:val="18"/>
          <w:szCs w:val="18"/>
          <w:color w:val="auto"/>
        </w:rPr>
        <w:t>. Adimab will have the sole right (but not the obligation) to file, prosecute, maintain, defend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enforce all Program Patents that claim Adimab Platform Technology Improvements and all Adimab Platform Patents, all at its own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Adimab shall not include in any such Program Patents any claims to (i) Program Inventions other than those that claim the Adimab</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Technology or (ii) the Program Antibodies.</w:t>
      </w:r>
    </w:p>
    <w:p>
      <w:pPr>
        <w:spacing w:after="0" w:line="179" w:lineRule="exact"/>
        <w:rPr>
          <w:rFonts w:ascii="Arial" w:cs="Arial" w:eastAsia="Arial" w:hAnsi="Arial"/>
          <w:sz w:val="18"/>
          <w:szCs w:val="18"/>
          <w:b w:val="1"/>
          <w:bCs w:val="1"/>
          <w:color w:val="auto"/>
        </w:rPr>
      </w:pPr>
    </w:p>
    <w:p>
      <w:pPr>
        <w:jc w:val="both"/>
        <w:ind w:right="100" w:firstLine="987"/>
        <w:spacing w:after="0" w:line="289" w:lineRule="auto"/>
        <w:tabs>
          <w:tab w:leader="none" w:pos="1256" w:val="left"/>
        </w:tabs>
        <w:numPr>
          <w:ilvl w:val="0"/>
          <w:numId w:val="372"/>
        </w:numPr>
        <w:rPr>
          <w:rFonts w:ascii="Arial" w:cs="Arial" w:eastAsia="Arial" w:hAnsi="Arial"/>
          <w:sz w:val="17"/>
          <w:szCs w:val="17"/>
          <w:b w:val="1"/>
          <w:bCs w:val="1"/>
          <w:color w:val="auto"/>
        </w:rPr>
      </w:pPr>
      <w:r>
        <w:rPr>
          <w:rFonts w:ascii="Arial" w:cs="Arial" w:eastAsia="Arial" w:hAnsi="Arial"/>
          <w:sz w:val="17"/>
          <w:szCs w:val="17"/>
          <w:b w:val="1"/>
          <w:bCs w:val="1"/>
          <w:color w:val="auto"/>
        </w:rPr>
        <w:t>Program Antibody Patents</w:t>
      </w:r>
      <w:r>
        <w:rPr>
          <w:rFonts w:ascii="Arial" w:cs="Arial" w:eastAsia="Arial" w:hAnsi="Arial"/>
          <w:sz w:val="17"/>
          <w:szCs w:val="17"/>
          <w:color w:val="auto"/>
        </w:rPr>
        <w:t>. On a Target-by-Target basis, Adagio will have the sole right to file and prosecute all Program Antibody</w:t>
      </w:r>
      <w:r>
        <w:rPr>
          <w:rFonts w:ascii="Arial" w:cs="Arial" w:eastAsia="Arial" w:hAnsi="Arial"/>
          <w:sz w:val="17"/>
          <w:szCs w:val="17"/>
          <w:b w:val="1"/>
          <w:bCs w:val="1"/>
          <w:color w:val="auto"/>
        </w:rPr>
        <w:t xml:space="preserve"> </w:t>
      </w:r>
      <w:r>
        <w:rPr>
          <w:rFonts w:ascii="Arial" w:cs="Arial" w:eastAsia="Arial" w:hAnsi="Arial"/>
          <w:sz w:val="17"/>
          <w:szCs w:val="17"/>
          <w:color w:val="auto"/>
        </w:rPr>
        <w:t>Patents, at Adagio’s expense, and prior to Option exercise, Adagio will record Adimab as the sole assignee. Such right will continue for the duration of the longer of the Evaluation Term and, if Adagio exercises the Option, the Term, subject to all of the following:</w:t>
      </w:r>
    </w:p>
    <w:p>
      <w:pPr>
        <w:spacing w:after="0" w:line="49" w:lineRule="exact"/>
        <w:rPr>
          <w:rFonts w:ascii="Arial" w:cs="Arial" w:eastAsia="Arial" w:hAnsi="Arial"/>
          <w:sz w:val="17"/>
          <w:szCs w:val="17"/>
          <w:b w:val="1"/>
          <w:bCs w:val="1"/>
          <w:color w:val="auto"/>
        </w:rPr>
      </w:pPr>
    </w:p>
    <w:p>
      <w:pPr>
        <w:ind w:right="80" w:firstLine="1428"/>
        <w:spacing w:after="0" w:line="303" w:lineRule="auto"/>
        <w:tabs>
          <w:tab w:leader="none" w:pos="1647" w:val="left"/>
        </w:tabs>
        <w:numPr>
          <w:ilvl w:val="1"/>
          <w:numId w:val="372"/>
        </w:numPr>
        <w:rPr>
          <w:rFonts w:ascii="Arial" w:cs="Arial" w:eastAsia="Arial" w:hAnsi="Arial"/>
          <w:sz w:val="16"/>
          <w:szCs w:val="16"/>
          <w:b w:val="1"/>
          <w:bCs w:val="1"/>
          <w:color w:val="auto"/>
        </w:rPr>
      </w:pPr>
      <w:r>
        <w:rPr>
          <w:rFonts w:ascii="Arial" w:cs="Arial" w:eastAsia="Arial" w:hAnsi="Arial"/>
          <w:sz w:val="16"/>
          <w:szCs w:val="16"/>
          <w:b w:val="1"/>
          <w:bCs w:val="1"/>
          <w:color w:val="auto"/>
        </w:rPr>
        <w:t>No Disclosure of Sequences Prior to Option Exercise</w:t>
      </w:r>
      <w:r>
        <w:rPr>
          <w:rFonts w:ascii="Arial" w:cs="Arial" w:eastAsia="Arial" w:hAnsi="Arial"/>
          <w:sz w:val="16"/>
          <w:szCs w:val="16"/>
          <w:color w:val="auto"/>
        </w:rPr>
        <w:t>. Prior to Option exercise, neither Adimab nor Adagio will disclose the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 of any Program-Benefited Antibody in any Program Antibody Patent, or during the prosecution of any Program Antibody Patent, unless such Program Antibody Patent and prosecution history can be prevented from publishing. Adagio will prevent the publication of any Program Antibody Patent prior to Option exercise (e.g., by exercising the Option prior to publication or expressly abandoning such Program Antibody Patent).</w:t>
      </w:r>
    </w:p>
    <w:p>
      <w:pPr>
        <w:spacing w:after="0" w:line="150" w:lineRule="exact"/>
        <w:rPr>
          <w:rFonts w:ascii="Arial" w:cs="Arial" w:eastAsia="Arial" w:hAnsi="Arial"/>
          <w:sz w:val="16"/>
          <w:szCs w:val="16"/>
          <w:b w:val="1"/>
          <w:bCs w:val="1"/>
          <w:color w:val="auto"/>
        </w:rPr>
      </w:pPr>
    </w:p>
    <w:p>
      <w:pPr>
        <w:ind w:firstLine="1428"/>
        <w:spacing w:after="0" w:line="258" w:lineRule="auto"/>
        <w:tabs>
          <w:tab w:leader="none" w:pos="1697" w:val="left"/>
        </w:tabs>
        <w:numPr>
          <w:ilvl w:val="1"/>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Abandonment Prior to Publication if No Option Exercise</w:t>
      </w:r>
      <w:r>
        <w:rPr>
          <w:rFonts w:ascii="Arial" w:cs="Arial" w:eastAsia="Arial" w:hAnsi="Arial"/>
          <w:sz w:val="18"/>
          <w:szCs w:val="18"/>
          <w:color w:val="auto"/>
        </w:rPr>
        <w:t>. If Adagio does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not</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then all Program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that were filed (if any) will be abandoned prior to public disclosure. Within [***] after the Evaluation Term expiring, Adagio will make any and all filings necessary to result in such abandonment without publication (at Adagio’s expense) and provide documentation thereof to Adimab, and the licenses to such Program Antibody Patents provided to Adagio under Article 3 (</w:t>
      </w:r>
      <w:r>
        <w:rPr>
          <w:rFonts w:ascii="Arial" w:cs="Arial" w:eastAsia="Arial" w:hAnsi="Arial"/>
          <w:sz w:val="18"/>
          <w:szCs w:val="18"/>
          <w:i w:val="1"/>
          <w:iCs w:val="1"/>
          <w:color w:val="auto"/>
        </w:rPr>
        <w:t>Licenses; Option; Development &amp; Commercialization</w:t>
      </w:r>
      <w:r>
        <w:rPr>
          <w:rFonts w:ascii="Arial" w:cs="Arial" w:eastAsia="Arial" w:hAnsi="Arial"/>
          <w:sz w:val="18"/>
          <w:szCs w:val="18"/>
          <w:color w:val="auto"/>
        </w:rPr>
        <w:t>) will expire as of the expiration of such Evaluation Term.</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73" w:right="499" w:bottom="1440" w:gutter="0" w:footer="0" w:header="0"/>
        </w:sectPr>
      </w:pPr>
    </w:p>
    <w:bookmarkStart w:id="483" w:name="page484"/>
    <w:bookmarkEnd w:id="483"/>
    <w:p>
      <w:pPr>
        <w:ind w:left="-987" w:firstLine="1428"/>
        <w:spacing w:after="0" w:line="256" w:lineRule="auto"/>
        <w:tabs>
          <w:tab w:leader="none" w:pos="759" w:val="left"/>
        </w:tabs>
        <w:numPr>
          <w:ilvl w:val="1"/>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Disclosure of Non-Optioned Antibodies</w:t>
      </w:r>
      <w:r>
        <w:rPr>
          <w:rFonts w:ascii="Arial" w:cs="Arial" w:eastAsia="Arial" w:hAnsi="Arial"/>
          <w:sz w:val="18"/>
          <w:szCs w:val="18"/>
          <w:color w:val="auto"/>
        </w:rPr>
        <w:t>. If Adagio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does</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the Option, then Adagio will ensure that the sequences of</w:t>
      </w:r>
      <w:r>
        <w:rPr>
          <w:rFonts w:ascii="Arial" w:cs="Arial" w:eastAsia="Arial" w:hAnsi="Arial"/>
          <w:sz w:val="18"/>
          <w:szCs w:val="18"/>
          <w:b w:val="1"/>
          <w:bCs w:val="1"/>
          <w:color w:val="auto"/>
        </w:rPr>
        <w:t xml:space="preserve"> </w:t>
      </w:r>
      <w:r>
        <w:rPr>
          <w:rFonts w:ascii="Arial" w:cs="Arial" w:eastAsia="Arial" w:hAnsi="Arial"/>
          <w:sz w:val="18"/>
          <w:szCs w:val="18"/>
          <w:color w:val="auto"/>
        </w:rPr>
        <w:t>Non-Optioned Antibodies will not be disclosed and all Program Antibody Patents that had been filed for such Target that disclose Non-Optioned Antibodies for that Target will be promptly abandoned without being published and within [***] after the Final Optioned Antibody Selection Date. Adagio will make any and all filings necessary to result in such abandonment without publication (at Adagio’s expense) and provide documentation thereof to Adimab, and the licenses to such Program Antibody Patents provided to Adagio under Article 3 (</w:t>
      </w:r>
      <w:r>
        <w:rPr>
          <w:rFonts w:ascii="Arial" w:cs="Arial" w:eastAsia="Arial" w:hAnsi="Arial"/>
          <w:sz w:val="18"/>
          <w:szCs w:val="18"/>
          <w:i w:val="1"/>
          <w:iCs w:val="1"/>
          <w:color w:val="auto"/>
        </w:rPr>
        <w:t>Licenses; Option; Development &amp;</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Commercialization</w:t>
      </w:r>
      <w:r>
        <w:rPr>
          <w:rFonts w:ascii="Arial" w:cs="Arial" w:eastAsia="Arial" w:hAnsi="Arial"/>
          <w:sz w:val="18"/>
          <w:szCs w:val="18"/>
          <w:color w:val="auto"/>
        </w:rPr>
        <w:t>) will expire as of the exercise of such Option.</w:t>
      </w:r>
    </w:p>
    <w:p>
      <w:pPr>
        <w:spacing w:after="0" w:line="187" w:lineRule="exact"/>
        <w:rPr>
          <w:rFonts w:ascii="Arial" w:cs="Arial" w:eastAsia="Arial" w:hAnsi="Arial"/>
          <w:sz w:val="18"/>
          <w:szCs w:val="18"/>
          <w:b w:val="1"/>
          <w:bCs w:val="1"/>
          <w:color w:val="auto"/>
        </w:rPr>
      </w:pPr>
    </w:p>
    <w:p>
      <w:pPr>
        <w:ind w:left="-987" w:right="60" w:firstLine="1428"/>
        <w:spacing w:after="0" w:line="281" w:lineRule="auto"/>
        <w:tabs>
          <w:tab w:leader="none" w:pos="749" w:val="left"/>
        </w:tabs>
        <w:numPr>
          <w:ilvl w:val="1"/>
          <w:numId w:val="373"/>
        </w:numPr>
        <w:rPr>
          <w:rFonts w:ascii="Arial" w:cs="Arial" w:eastAsia="Arial" w:hAnsi="Arial"/>
          <w:sz w:val="17"/>
          <w:szCs w:val="17"/>
          <w:b w:val="1"/>
          <w:bCs w:val="1"/>
          <w:color w:val="auto"/>
        </w:rPr>
      </w:pPr>
      <w:r>
        <w:rPr>
          <w:rFonts w:ascii="Arial" w:cs="Arial" w:eastAsia="Arial" w:hAnsi="Arial"/>
          <w:sz w:val="17"/>
          <w:szCs w:val="17"/>
          <w:b w:val="1"/>
          <w:bCs w:val="1"/>
          <w:color w:val="auto"/>
        </w:rPr>
        <w:t>Prosecution of Patents</w:t>
      </w:r>
      <w:r>
        <w:rPr>
          <w:rFonts w:ascii="Arial" w:cs="Arial" w:eastAsia="Arial" w:hAnsi="Arial"/>
          <w:sz w:val="17"/>
          <w:szCs w:val="17"/>
          <w:color w:val="auto"/>
        </w:rPr>
        <w:t>. If Adagio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does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the Option, (x) Adagio will prosecute at least [***] corresponding Optioned</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Antibody Patent in each Major Market, and such other countries as are required to be consistent with the Commercially Reasonable Efforts standard and (y) as between the Parties, Adagio will have the sole right (but not the obligation) to prosecute, maintain, enforce, and defend all Optioned Program Antibody Patents, and Adagio (instead of Adimab) will be recorded as the sole assignee.</w:t>
      </w:r>
    </w:p>
    <w:p>
      <w:pPr>
        <w:spacing w:after="0" w:line="164" w:lineRule="exact"/>
        <w:rPr>
          <w:rFonts w:ascii="Arial" w:cs="Arial" w:eastAsia="Arial" w:hAnsi="Arial"/>
          <w:sz w:val="17"/>
          <w:szCs w:val="17"/>
          <w:b w:val="1"/>
          <w:bCs w:val="1"/>
          <w:color w:val="auto"/>
        </w:rPr>
      </w:pPr>
    </w:p>
    <w:p>
      <w:pPr>
        <w:jc w:val="both"/>
        <w:ind w:left="-987" w:right="580" w:firstLine="1428"/>
        <w:spacing w:after="0" w:line="266" w:lineRule="auto"/>
        <w:tabs>
          <w:tab w:leader="none" w:pos="699" w:val="left"/>
        </w:tabs>
        <w:numPr>
          <w:ilvl w:val="1"/>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Costs of Prosecution</w:t>
      </w:r>
      <w:r>
        <w:rPr>
          <w:rFonts w:ascii="Arial" w:cs="Arial" w:eastAsia="Arial" w:hAnsi="Arial"/>
          <w:sz w:val="18"/>
          <w:szCs w:val="18"/>
          <w:color w:val="auto"/>
        </w:rPr>
        <w:t>. Adagio will be solely responsible for all costs of the activities under this Section 5.4(b) (</w:t>
      </w:r>
      <w:r>
        <w:rPr>
          <w:rFonts w:ascii="Arial" w:cs="Arial" w:eastAsia="Arial" w:hAnsi="Arial"/>
          <w:sz w:val="18"/>
          <w:szCs w:val="18"/>
          <w:i w:val="1"/>
          <w:iCs w:val="1"/>
          <w:color w:val="auto"/>
        </w:rPr>
        <w:t>Program</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Antibody Patents</w:t>
      </w:r>
      <w:r>
        <w:rPr>
          <w:rFonts w:ascii="Arial" w:cs="Arial" w:eastAsia="Arial" w:hAnsi="Arial"/>
          <w:sz w:val="18"/>
          <w:szCs w:val="18"/>
          <w:color w:val="auto"/>
        </w:rPr>
        <w:t>), except to the extent Adimab hires counsel to review and comment on Adagio’s prosecution under Section 5.4(b)(vi) (</w:t>
      </w:r>
      <w:r>
        <w:rPr>
          <w:rFonts w:ascii="Arial" w:cs="Arial" w:eastAsia="Arial" w:hAnsi="Arial"/>
          <w:sz w:val="18"/>
          <w:szCs w:val="18"/>
          <w:i w:val="1"/>
          <w:iCs w:val="1"/>
          <w:color w:val="auto"/>
        </w:rPr>
        <w:t>Right to Review</w:t>
      </w:r>
      <w:r>
        <w:rPr>
          <w:rFonts w:ascii="Arial" w:cs="Arial" w:eastAsia="Arial" w:hAnsi="Arial"/>
          <w:sz w:val="18"/>
          <w:szCs w:val="18"/>
          <w:color w:val="auto"/>
        </w:rPr>
        <w:t>), in which case Adimab will be solely responsible for the fees to such counsel.</w:t>
      </w:r>
    </w:p>
    <w:p>
      <w:pPr>
        <w:spacing w:after="0" w:line="175" w:lineRule="exact"/>
        <w:rPr>
          <w:rFonts w:ascii="Arial" w:cs="Arial" w:eastAsia="Arial" w:hAnsi="Arial"/>
          <w:sz w:val="18"/>
          <w:szCs w:val="18"/>
          <w:b w:val="1"/>
          <w:bCs w:val="1"/>
          <w:color w:val="auto"/>
        </w:rPr>
      </w:pPr>
    </w:p>
    <w:p>
      <w:pPr>
        <w:ind w:left="-987" w:right="20" w:firstLine="1428"/>
        <w:spacing w:after="0" w:line="255" w:lineRule="auto"/>
        <w:tabs>
          <w:tab w:leader="none" w:pos="749" w:val="left"/>
        </w:tabs>
        <w:numPr>
          <w:ilvl w:val="1"/>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Review</w:t>
      </w:r>
      <w:r>
        <w:rPr>
          <w:rFonts w:ascii="Arial" w:cs="Arial" w:eastAsia="Arial" w:hAnsi="Arial"/>
          <w:sz w:val="18"/>
          <w:szCs w:val="18"/>
          <w:color w:val="auto"/>
        </w:rPr>
        <w:t>. Adimab will have the right to review and comment on prosecution and enforcement of the Program Antibody</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drafts of patent applications prior to filing such applications with the applicable patent offices, solely for purposes of (x) determining which Adimab employees, if any, are inventors with respect to the claimed subject matter, (y) ensuring that such Program Antibody Patents correctly describe activities undertaken by Adimab, and (z) ensuring that such Program Antibody Patents do not disclose Adimab Platform Technology, including any Adimab Platform Technology Improvements. Adagio will provide Adimab with copies of material correspondence with patent offices relating thereto (including patent applications, office actions and the like) promptly after receipt and drafts of all filings and correspondence with such offices no less than [***] in advance of filing.</w:t>
      </w:r>
    </w:p>
    <w:p>
      <w:pPr>
        <w:spacing w:after="0" w:line="188" w:lineRule="exact"/>
        <w:rPr>
          <w:rFonts w:ascii="Arial" w:cs="Arial" w:eastAsia="Arial" w:hAnsi="Arial"/>
          <w:sz w:val="18"/>
          <w:szCs w:val="18"/>
          <w:b w:val="1"/>
          <w:bCs w:val="1"/>
          <w:color w:val="auto"/>
        </w:rPr>
      </w:pPr>
    </w:p>
    <w:p>
      <w:pPr>
        <w:ind w:left="-987" w:right="360" w:firstLine="1428"/>
        <w:spacing w:after="0" w:line="266" w:lineRule="auto"/>
        <w:tabs>
          <w:tab w:leader="none" w:pos="799" w:val="left"/>
        </w:tabs>
        <w:numPr>
          <w:ilvl w:val="1"/>
          <w:numId w:val="373"/>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After Option exercise with respect to a Research Program, Adagio will have the sole right (but not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to enforce all Program Antibody Patents with respect to a Research Program. Any proceeds received by Adagio from such enforcement, whether by way of damage awards, settlement, or otherwise, will be deemed to be Net Sales hereunder.</w:t>
      </w:r>
    </w:p>
    <w:p>
      <w:pPr>
        <w:spacing w:after="0" w:line="175" w:lineRule="exact"/>
        <w:rPr>
          <w:rFonts w:ascii="Arial" w:cs="Arial" w:eastAsia="Arial" w:hAnsi="Arial"/>
          <w:sz w:val="18"/>
          <w:szCs w:val="18"/>
          <w:b w:val="1"/>
          <w:bCs w:val="1"/>
          <w:color w:val="auto"/>
        </w:rPr>
      </w:pPr>
    </w:p>
    <w:p>
      <w:pPr>
        <w:ind w:left="-987" w:right="360" w:firstLine="987"/>
        <w:spacing w:after="0" w:line="282" w:lineRule="auto"/>
        <w:tabs>
          <w:tab w:leader="none" w:pos="248"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Program Antigen Patents</w:t>
      </w:r>
      <w:r>
        <w:rPr>
          <w:rFonts w:ascii="Arial" w:cs="Arial" w:eastAsia="Arial" w:hAnsi="Arial"/>
          <w:sz w:val="18"/>
          <w:szCs w:val="18"/>
          <w:color w:val="auto"/>
        </w:rPr>
        <w:t>. On a Target-by-Target basis, Adagio will have the sole right to file and prosecute all Program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at Adagio’s expense, subject to all of the following:</w:t>
      </w:r>
    </w:p>
    <w:p>
      <w:pPr>
        <w:spacing w:after="0" w:line="53" w:lineRule="exact"/>
        <w:rPr>
          <w:rFonts w:ascii="Arial" w:cs="Arial" w:eastAsia="Arial" w:hAnsi="Arial"/>
          <w:sz w:val="18"/>
          <w:szCs w:val="18"/>
          <w:b w:val="1"/>
          <w:bCs w:val="1"/>
          <w:color w:val="auto"/>
        </w:rPr>
      </w:pPr>
    </w:p>
    <w:p>
      <w:pPr>
        <w:jc w:val="both"/>
        <w:ind w:left="-987" w:right="240" w:firstLine="1428"/>
        <w:spacing w:after="0" w:line="303" w:lineRule="auto"/>
        <w:tabs>
          <w:tab w:leader="none" w:pos="659" w:val="left"/>
        </w:tabs>
        <w:numPr>
          <w:ilvl w:val="1"/>
          <w:numId w:val="374"/>
        </w:numPr>
        <w:rPr>
          <w:rFonts w:ascii="Arial" w:cs="Arial" w:eastAsia="Arial" w:hAnsi="Arial"/>
          <w:sz w:val="16"/>
          <w:szCs w:val="16"/>
          <w:b w:val="1"/>
          <w:bCs w:val="1"/>
          <w:color w:val="auto"/>
        </w:rPr>
      </w:pPr>
      <w:r>
        <w:rPr>
          <w:rFonts w:ascii="Arial" w:cs="Arial" w:eastAsia="Arial" w:hAnsi="Arial"/>
          <w:sz w:val="16"/>
          <w:szCs w:val="16"/>
          <w:b w:val="1"/>
          <w:bCs w:val="1"/>
          <w:color w:val="auto"/>
        </w:rPr>
        <w:t>Prosecution of Patents</w:t>
      </w:r>
      <w:r>
        <w:rPr>
          <w:rFonts w:ascii="Arial" w:cs="Arial" w:eastAsia="Arial" w:hAnsi="Arial"/>
          <w:sz w:val="16"/>
          <w:szCs w:val="16"/>
          <w:color w:val="auto"/>
        </w:rPr>
        <w:t>. Following the start of IND-enabling toxicology studies with respect to an Adimab Validated Antigen,</w:t>
      </w:r>
      <w:r>
        <w:rPr>
          <w:rFonts w:ascii="Arial" w:cs="Arial" w:eastAsia="Arial" w:hAnsi="Arial"/>
          <w:sz w:val="16"/>
          <w:szCs w:val="16"/>
          <w:b w:val="1"/>
          <w:bCs w:val="1"/>
          <w:color w:val="auto"/>
        </w:rPr>
        <w:t xml:space="preserve"> </w:t>
      </w:r>
      <w:r>
        <w:rPr>
          <w:rFonts w:ascii="Arial" w:cs="Arial" w:eastAsia="Arial" w:hAnsi="Arial"/>
          <w:sz w:val="16"/>
          <w:szCs w:val="16"/>
          <w:color w:val="auto"/>
        </w:rPr>
        <w:t>Adagio will prosecute at least [***] Program Antigen Patent in each Major Market, and such other countries as are required to be consistent with the Commercially Reasonable Efforts standard and as between the Parties, Adagio will have the sole right (but not the obligation) to prosecute, maintain, enforce, and defend all Program Antigen Patents. For clarity, Adagio will be recorded as the sole assignee of all Program Antigen Patents.</w:t>
      </w:r>
    </w:p>
    <w:p>
      <w:pPr>
        <w:sectPr>
          <w:pgSz w:w="11900" w:h="16838" w:orient="portrait"/>
          <w:cols w:equalWidth="0" w:num="1">
            <w:col w:w="9993"/>
          </w:cols>
          <w:pgMar w:left="1427" w:top="269" w:right="479" w:bottom="1440" w:gutter="0" w:footer="0" w:header="0"/>
        </w:sectPr>
      </w:pPr>
    </w:p>
    <w:bookmarkStart w:id="484" w:name="page485"/>
    <w:bookmarkEnd w:id="484"/>
    <w:p>
      <w:pPr>
        <w:ind w:left="-40" w:firstLine="1428"/>
        <w:spacing w:after="0" w:line="266" w:lineRule="auto"/>
        <w:tabs>
          <w:tab w:leader="none" w:pos="1657" w:val="left"/>
        </w:tabs>
        <w:numPr>
          <w:ilvl w:val="1"/>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of Prosecution</w:t>
      </w:r>
      <w:r>
        <w:rPr>
          <w:rFonts w:ascii="Arial" w:cs="Arial" w:eastAsia="Arial" w:hAnsi="Arial"/>
          <w:sz w:val="18"/>
          <w:szCs w:val="18"/>
          <w:color w:val="auto"/>
        </w:rPr>
        <w:t>. Adagio will be solely responsible for all costs of the activities under this Section 5.4(c) (</w:t>
      </w:r>
      <w:r>
        <w:rPr>
          <w:rFonts w:ascii="Arial" w:cs="Arial" w:eastAsia="Arial" w:hAnsi="Arial"/>
          <w:sz w:val="18"/>
          <w:szCs w:val="18"/>
          <w:i w:val="1"/>
          <w:iCs w:val="1"/>
          <w:color w:val="auto"/>
        </w:rPr>
        <w:t>Program Antigen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Patents</w:t>
      </w:r>
      <w:r>
        <w:rPr>
          <w:rFonts w:ascii="Arial" w:cs="Arial" w:eastAsia="Arial" w:hAnsi="Arial"/>
          <w:sz w:val="18"/>
          <w:szCs w:val="18"/>
          <w:color w:val="auto"/>
        </w:rPr>
        <w:t>), except to the extent Adimab hires counsel to review and comment on Adagio’s prosecution under 5.4(c) (iii) (</w:t>
      </w:r>
      <w:r>
        <w:rPr>
          <w:rFonts w:ascii="Arial" w:cs="Arial" w:eastAsia="Arial" w:hAnsi="Arial"/>
          <w:sz w:val="18"/>
          <w:szCs w:val="18"/>
          <w:i w:val="1"/>
          <w:iCs w:val="1"/>
          <w:color w:val="auto"/>
        </w:rPr>
        <w:t>Right to Review</w:t>
      </w:r>
      <w:r>
        <w:rPr>
          <w:rFonts w:ascii="Arial" w:cs="Arial" w:eastAsia="Arial" w:hAnsi="Arial"/>
          <w:sz w:val="18"/>
          <w:szCs w:val="18"/>
          <w:color w:val="auto"/>
        </w:rPr>
        <w:t>), in which case</w:t>
      </w:r>
      <w:r>
        <w:rPr>
          <w:rFonts w:ascii="Arial" w:cs="Arial" w:eastAsia="Arial" w:hAnsi="Arial"/>
          <w:sz w:val="18"/>
          <w:szCs w:val="18"/>
          <w:i w:val="1"/>
          <w:iCs w:val="1"/>
          <w:color w:val="auto"/>
        </w:rPr>
        <w:t xml:space="preserve"> </w:t>
      </w:r>
      <w:r>
        <w:rPr>
          <w:rFonts w:ascii="Arial" w:cs="Arial" w:eastAsia="Arial" w:hAnsi="Arial"/>
          <w:sz w:val="18"/>
          <w:szCs w:val="18"/>
          <w:color w:val="auto"/>
        </w:rPr>
        <w:t>Adimab will be solely responsible for the fees to such counsel.</w:t>
      </w:r>
    </w:p>
    <w:p>
      <w:pPr>
        <w:spacing w:after="0" w:line="175" w:lineRule="exact"/>
        <w:rPr>
          <w:rFonts w:ascii="Arial" w:cs="Arial" w:eastAsia="Arial" w:hAnsi="Arial"/>
          <w:sz w:val="18"/>
          <w:szCs w:val="18"/>
          <w:b w:val="1"/>
          <w:bCs w:val="1"/>
          <w:color w:val="auto"/>
        </w:rPr>
      </w:pPr>
    </w:p>
    <w:p>
      <w:pPr>
        <w:ind w:left="-40" w:firstLine="1428"/>
        <w:spacing w:after="0" w:line="255" w:lineRule="auto"/>
        <w:tabs>
          <w:tab w:leader="none" w:pos="1707" w:val="left"/>
        </w:tabs>
        <w:numPr>
          <w:ilvl w:val="1"/>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Right to Review</w:t>
      </w:r>
      <w:r>
        <w:rPr>
          <w:rFonts w:ascii="Arial" w:cs="Arial" w:eastAsia="Arial" w:hAnsi="Arial"/>
          <w:sz w:val="18"/>
          <w:szCs w:val="18"/>
          <w:color w:val="auto"/>
        </w:rPr>
        <w:t>. Adimab will have the right to review and comment on prosecution and enforcement of the Program Antigen</w:t>
      </w:r>
      <w:r>
        <w:rPr>
          <w:rFonts w:ascii="Arial" w:cs="Arial" w:eastAsia="Arial" w:hAnsi="Arial"/>
          <w:sz w:val="18"/>
          <w:szCs w:val="18"/>
          <w:b w:val="1"/>
          <w:bCs w:val="1"/>
          <w:color w:val="auto"/>
        </w:rPr>
        <w:t xml:space="preserve"> </w:t>
      </w:r>
      <w:r>
        <w:rPr>
          <w:rFonts w:ascii="Arial" w:cs="Arial" w:eastAsia="Arial" w:hAnsi="Arial"/>
          <w:sz w:val="18"/>
          <w:szCs w:val="18"/>
          <w:color w:val="auto"/>
        </w:rPr>
        <w:t>Patents, including drafts of patent applications prior to filing such applications with the applicable patent offices, solely for purposes of (x) determining which Adimab employees, if any, are inventors with respect to the claimed subject matter, (y) ensuring that such Program Antigen Patents correctly describe activities undertaken by Adimab, and (z) ensuring that such Program Antigen Patents do not disclose Adimab Platform Technology, including any Adimab Platform Technology Improvements. Adagio will provide Adimab with copies of material correspondence with patent offices relating thereto (including patent applications, office actions and the like) promptly after receipt and drafts of all filings and correspondence with such offices no less than [***] in advance of filing.</w:t>
      </w:r>
    </w:p>
    <w:p>
      <w:pPr>
        <w:spacing w:after="0" w:line="188" w:lineRule="exact"/>
        <w:rPr>
          <w:rFonts w:ascii="Arial" w:cs="Arial" w:eastAsia="Arial" w:hAnsi="Arial"/>
          <w:sz w:val="18"/>
          <w:szCs w:val="18"/>
          <w:b w:val="1"/>
          <w:bCs w:val="1"/>
          <w:color w:val="auto"/>
        </w:rPr>
      </w:pPr>
    </w:p>
    <w:p>
      <w:pPr>
        <w:ind w:left="-40" w:right="140" w:firstLine="1428"/>
        <w:spacing w:after="0" w:line="266" w:lineRule="auto"/>
        <w:tabs>
          <w:tab w:leader="none" w:pos="1697" w:val="left"/>
        </w:tabs>
        <w:numPr>
          <w:ilvl w:val="1"/>
          <w:numId w:val="375"/>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Adagio will have the sole right (but not the obligation) to enforce all Program Antigen Patents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Program. Any proceeds received by Adagio from such enforcement, whether by way of damage awards, settlement, or otherwise, will be deemed to be Net Sales hereunder.</w:t>
      </w:r>
    </w:p>
    <w:p>
      <w:pPr>
        <w:spacing w:after="0" w:line="175" w:lineRule="exact"/>
        <w:rPr>
          <w:rFonts w:ascii="Arial" w:cs="Arial" w:eastAsia="Arial" w:hAnsi="Arial"/>
          <w:sz w:val="18"/>
          <w:szCs w:val="18"/>
          <w:b w:val="1"/>
          <w:bCs w:val="1"/>
          <w:color w:val="auto"/>
        </w:rPr>
      </w:pPr>
    </w:p>
    <w:p>
      <w:pPr>
        <w:ind w:left="-40" w:right="120" w:firstLine="987"/>
        <w:spacing w:after="0" w:line="291" w:lineRule="auto"/>
        <w:tabs>
          <w:tab w:leader="none" w:pos="1216" w:val="left"/>
        </w:tabs>
        <w:numPr>
          <w:ilvl w:val="0"/>
          <w:numId w:val="376"/>
        </w:numPr>
        <w:rPr>
          <w:rFonts w:ascii="Arial" w:cs="Arial" w:eastAsia="Arial" w:hAnsi="Arial"/>
          <w:sz w:val="16"/>
          <w:szCs w:val="16"/>
          <w:b w:val="1"/>
          <w:bCs w:val="1"/>
          <w:color w:val="auto"/>
        </w:rPr>
      </w:pPr>
      <w:r>
        <w:rPr>
          <w:rFonts w:ascii="Arial" w:cs="Arial" w:eastAsia="Arial" w:hAnsi="Arial"/>
          <w:sz w:val="16"/>
          <w:szCs w:val="16"/>
          <w:b w:val="1"/>
          <w:bCs w:val="1"/>
          <w:color w:val="auto"/>
        </w:rPr>
        <w:t>Patent Prosecution and Maintenance</w:t>
      </w:r>
      <w:r>
        <w:rPr>
          <w:rFonts w:ascii="Arial" w:cs="Arial" w:eastAsia="Arial" w:hAnsi="Arial"/>
          <w:sz w:val="16"/>
          <w:szCs w:val="16"/>
          <w:color w:val="auto"/>
        </w:rPr>
        <w:t>. For purposes of this Section 5.4 (</w:t>
      </w:r>
      <w:r>
        <w:rPr>
          <w:rFonts w:ascii="Arial" w:cs="Arial" w:eastAsia="Arial" w:hAnsi="Arial"/>
          <w:sz w:val="16"/>
          <w:szCs w:val="16"/>
          <w:i w:val="1"/>
          <w:iCs w:val="1"/>
          <w:color w:val="auto"/>
        </w:rPr>
        <w:t>Program Patent Prosecution and Maintenance</w:t>
      </w:r>
      <w:r>
        <w:rPr>
          <w:rFonts w:ascii="Arial" w:cs="Arial" w:eastAsia="Arial" w:hAnsi="Arial"/>
          <w:sz w:val="16"/>
          <w:szCs w:val="16"/>
          <w:color w:val="auto"/>
        </w:rPr>
        <w:t>)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“prosecution” and “maintenance” (including variations such as “prosecute” and “maintain”) means, with respect to a Patent, the preparation, filing, prosecution (including conducting all correspondence and interactions with any patent office and seeking, conducting and defending any interferences, inter partes reviews, reissue proceedings, reexaminations, and oppositions and similar proceedings) and maintenance (including payment of any patent annuity fees) of such Patent, as well as re-examinations, reissues, appeals, post grant reviews (PGR), inter partes reviews (IPR) and requests for patent term adjustments, patent term extensions, supplementary protection certificates, or their equivalents with respect to such Patent, and the initiation or defense of interferences, oppositions and other similar proceedings with respect to the particular Patent, and any appeals therefrom. For clarity, “prosecution” and “maintenance” (including variations such as “prosecute” and “maintain”) exclude any enforcement action with respect to a Patent.</w:t>
      </w:r>
    </w:p>
    <w:p>
      <w:pPr>
        <w:spacing w:after="0" w:line="159" w:lineRule="exact"/>
        <w:rPr>
          <w:rFonts w:ascii="Arial" w:cs="Arial" w:eastAsia="Arial" w:hAnsi="Arial"/>
          <w:sz w:val="16"/>
          <w:szCs w:val="16"/>
          <w:b w:val="1"/>
          <w:bCs w:val="1"/>
          <w:color w:val="auto"/>
        </w:rPr>
      </w:pPr>
    </w:p>
    <w:p>
      <w:pPr>
        <w:jc w:val="both"/>
        <w:ind w:left="-40" w:right="100" w:firstLine="987"/>
        <w:spacing w:after="0" w:line="261" w:lineRule="auto"/>
        <w:tabs>
          <w:tab w:leader="none" w:pos="1196"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w:t>
      </w:r>
      <w:r>
        <w:rPr>
          <w:rFonts w:ascii="Arial" w:cs="Arial" w:eastAsia="Arial" w:hAnsi="Arial"/>
          <w:sz w:val="18"/>
          <w:szCs w:val="18"/>
          <w:color w:val="auto"/>
        </w:rPr>
        <w:t>. It is understood and agreed that searching for, identification and evaluation of Third-Party Patents that may apply to</w:t>
      </w:r>
      <w:r>
        <w:rPr>
          <w:rFonts w:ascii="Arial" w:cs="Arial" w:eastAsia="Arial" w:hAnsi="Arial"/>
          <w:sz w:val="18"/>
          <w:szCs w:val="18"/>
          <w:b w:val="1"/>
          <w:bCs w:val="1"/>
          <w:color w:val="auto"/>
        </w:rPr>
        <w:t xml:space="preserve"> </w:t>
      </w:r>
      <w:r>
        <w:rPr>
          <w:rFonts w:ascii="Arial" w:cs="Arial" w:eastAsia="Arial" w:hAnsi="Arial"/>
          <w:sz w:val="18"/>
          <w:szCs w:val="18"/>
          <w:color w:val="auto"/>
        </w:rPr>
        <w:t>any Excluded Third Party Technology or Third Party Sequence IP, including Patents that apply Program-Benefited Antibodies and Products based on sequence, Target, methods of treatment using any Program-Benefited Antibodies, or the like is the responsibility of Adagio, and that Adimab will have no responsibility for the foregoing nor liability if any such Third-Party Patents exist.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480" w:top="269" w:right="499" w:bottom="1440" w:gutter="0" w:footer="0" w:header="0"/>
        </w:sectPr>
      </w:pPr>
    </w:p>
    <w:bookmarkStart w:id="485" w:name="page486"/>
    <w:bookmarkEnd w:id="485"/>
    <w:p>
      <w:pPr>
        <w:ind w:left="4" w:right="60" w:firstLine="440"/>
        <w:spacing w:after="0" w:line="29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5.5 Cooperation of the Parties</w:t>
      </w:r>
      <w:r>
        <w:rPr>
          <w:rFonts w:ascii="Arial" w:cs="Arial" w:eastAsia="Arial" w:hAnsi="Arial"/>
          <w:sz w:val="16"/>
          <w:szCs w:val="16"/>
          <w:color w:val="auto"/>
        </w:rPr>
        <w:t>. At the reasonable request of the responsible Party (as provided for in this Article 5 (</w:t>
      </w:r>
      <w:r>
        <w:rPr>
          <w:rFonts w:ascii="Arial" w:cs="Arial" w:eastAsia="Arial" w:hAnsi="Arial"/>
          <w:sz w:val="16"/>
          <w:szCs w:val="16"/>
          <w:i w:val="1"/>
          <w:iCs w:val="1"/>
          <w:color w:val="auto"/>
        </w:rPr>
        <w:t>Intellectual Property</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Party agrees to cooperate fully in the preparation, filing, prosecution, enforcement and maintenance (including conducting or participating in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reviews, post grant reviews, derivation proceedings, interferences and oppositions and the like) of any Program Patents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Such cooperation includes executing all papers and instruments (or causing its personnel to do so) reasonably useful to enable the other Party to apply for and to prosecute patent applications in any country; and promptly informing the other Party of any matters coming to such Party’s attention that may affect the preparation, filing, prosecution, enforcement or maintenance of any such Patents. Notwithstanding the foregoing, Adimab will not be required pursuant hereto to disclose Adimab Platform Technology to Adagio or to participate in any action against another Adimab customer.</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CONFIDENTIALITY; PUBLICITY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6.1 General Confidentiality Obligations</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74" w:lineRule="auto"/>
        <w:tabs>
          <w:tab w:leader="none" w:pos="1250" w:val="left"/>
        </w:tabs>
        <w:numPr>
          <w:ilvl w:val="1"/>
          <w:numId w:val="377"/>
        </w:numPr>
        <w:rPr>
          <w:rFonts w:ascii="Arial" w:cs="Arial" w:eastAsia="Arial" w:hAnsi="Arial"/>
          <w:sz w:val="17"/>
          <w:szCs w:val="17"/>
          <w:b w:val="1"/>
          <w:bCs w:val="1"/>
          <w:color w:val="auto"/>
        </w:rPr>
      </w:pPr>
      <w:r>
        <w:rPr>
          <w:rFonts w:ascii="Arial" w:cs="Arial" w:eastAsia="Arial" w:hAnsi="Arial"/>
          <w:sz w:val="17"/>
          <w:szCs w:val="17"/>
          <w:b w:val="1"/>
          <w:bCs w:val="1"/>
          <w:color w:val="auto"/>
        </w:rPr>
        <w:t>Ownership of Confidential Information</w:t>
      </w:r>
      <w:r>
        <w:rPr>
          <w:rFonts w:ascii="Arial" w:cs="Arial" w:eastAsia="Arial" w:hAnsi="Arial"/>
          <w:sz w:val="17"/>
          <w:szCs w:val="17"/>
          <w:color w:val="auto"/>
        </w:rPr>
        <w:t>. Any and all confidential or proprietary information disclosed to one Party by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including information regarding additional potential areas of collaboration between the Parties, is the “</w:t>
      </w:r>
      <w:r>
        <w:rPr>
          <w:rFonts w:ascii="Arial" w:cs="Arial" w:eastAsia="Arial" w:hAnsi="Arial"/>
          <w:sz w:val="17"/>
          <w:szCs w:val="17"/>
          <w:b w:val="1"/>
          <w:bCs w:val="1"/>
          <w:color w:val="auto"/>
        </w:rPr>
        <w:t>Confidential</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of the disclosing Party;</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the foregoing, (i) Confidential Information which constitutes</w:t>
      </w:r>
      <w:r>
        <w:rPr>
          <w:rFonts w:ascii="Arial" w:cs="Arial" w:eastAsia="Arial" w:hAnsi="Arial"/>
          <w:sz w:val="17"/>
          <w:szCs w:val="17"/>
          <w:b w:val="1"/>
          <w:bCs w:val="1"/>
          <w:color w:val="auto"/>
        </w:rPr>
        <w:t xml:space="preserve"> </w:t>
      </w:r>
      <w:r>
        <w:rPr>
          <w:rFonts w:ascii="Arial" w:cs="Arial" w:eastAsia="Arial" w:hAnsi="Arial"/>
          <w:sz w:val="17"/>
          <w:szCs w:val="17"/>
          <w:color w:val="auto"/>
        </w:rPr>
        <w:t>Know-How will be owned by the Party which owns such Know-How as a result of the application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regardless of which Party disclosed such information, (ii) information related to Adimab Platform Technology and information embodied in Adimab Materials is Adimab’s Confidential Information, and (iii) information embodied in the Adagio Materials is Adagio’s Confidential Information.</w:t>
      </w:r>
    </w:p>
    <w:p>
      <w:pPr>
        <w:spacing w:after="0" w:line="173" w:lineRule="exact"/>
        <w:rPr>
          <w:rFonts w:ascii="Arial" w:cs="Arial" w:eastAsia="Arial" w:hAnsi="Arial"/>
          <w:sz w:val="17"/>
          <w:szCs w:val="17"/>
          <w:b w:val="1"/>
          <w:bCs w:val="1"/>
          <w:color w:val="auto"/>
        </w:rPr>
      </w:pPr>
    </w:p>
    <w:p>
      <w:pPr>
        <w:ind w:left="4" w:right="20" w:firstLine="987"/>
        <w:spacing w:after="0" w:line="256" w:lineRule="auto"/>
        <w:tabs>
          <w:tab w:leader="none" w:pos="1260" w:val="left"/>
        </w:tabs>
        <w:numPr>
          <w:ilvl w:val="1"/>
          <w:numId w:val="377"/>
        </w:numPr>
        <w:rPr>
          <w:rFonts w:ascii="Arial" w:cs="Arial" w:eastAsia="Arial" w:hAnsi="Arial"/>
          <w:sz w:val="18"/>
          <w:szCs w:val="18"/>
          <w:b w:val="1"/>
          <w:bCs w:val="1"/>
          <w:color w:val="auto"/>
        </w:rPr>
      </w:pPr>
      <w:r>
        <w:rPr>
          <w:rFonts w:ascii="Arial" w:cs="Arial" w:eastAsia="Arial" w:hAnsi="Arial"/>
          <w:sz w:val="18"/>
          <w:szCs w:val="18"/>
          <w:b w:val="1"/>
          <w:bCs w:val="1"/>
          <w:color w:val="auto"/>
        </w:rPr>
        <w:t>No Requirement to Disclose Adimab Platform Technology or Excluded Adimab Technology</w:t>
      </w:r>
      <w:r>
        <w:rPr>
          <w:rFonts w:ascii="Arial" w:cs="Arial" w:eastAsia="Arial" w:hAnsi="Arial"/>
          <w:sz w:val="18"/>
          <w:szCs w:val="18"/>
          <w:color w:val="auto"/>
        </w:rPr>
        <w:t>. Notwithstanding anything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in this Agreement, Adimab will not be required to disclose any Adimab Platform Technology, including Adimab Platform Technology Improvements, or Excluded Adimab Technology to Adagio except the extent set forth in a Research Plan. In the event that reports, records or data include disclosure of Adimab Platform Technology, Adimab Platform Technology Improvements, or Excluded Adimab Technology, Adimab may redact those portions that would disclose Adimab Platform Technology, including Adimab Platform Technology Improvements, or Excluded Adimab Technology prior to delivery to Adagio or review or inspection by Adagio.</w:t>
      </w:r>
    </w:p>
    <w:p>
      <w:pPr>
        <w:spacing w:after="0" w:line="187" w:lineRule="exact"/>
        <w:rPr>
          <w:rFonts w:ascii="Arial" w:cs="Arial" w:eastAsia="Arial" w:hAnsi="Arial"/>
          <w:sz w:val="18"/>
          <w:szCs w:val="18"/>
          <w:b w:val="1"/>
          <w:bCs w:val="1"/>
          <w:color w:val="auto"/>
        </w:rPr>
      </w:pPr>
    </w:p>
    <w:p>
      <w:pPr>
        <w:ind w:left="4" w:right="20" w:firstLine="987"/>
        <w:spacing w:after="0" w:line="293" w:lineRule="auto"/>
        <w:tabs>
          <w:tab w:leader="none" w:pos="1240" w:val="left"/>
        </w:tabs>
        <w:numPr>
          <w:ilvl w:val="1"/>
          <w:numId w:val="377"/>
        </w:numPr>
        <w:rPr>
          <w:rFonts w:ascii="Arial" w:cs="Arial" w:eastAsia="Arial" w:hAnsi="Arial"/>
          <w:sz w:val="16"/>
          <w:szCs w:val="16"/>
          <w:b w:val="1"/>
          <w:bCs w:val="1"/>
          <w:color w:val="auto"/>
        </w:rPr>
      </w:pPr>
      <w:r>
        <w:rPr>
          <w:rFonts w:ascii="Arial" w:cs="Arial" w:eastAsia="Arial" w:hAnsi="Arial"/>
          <w:sz w:val="16"/>
          <w:szCs w:val="16"/>
          <w:b w:val="1"/>
          <w:bCs w:val="1"/>
          <w:color w:val="auto"/>
        </w:rPr>
        <w:t>Treatment of CDR Sequence Information</w:t>
      </w:r>
      <w:r>
        <w:rPr>
          <w:rFonts w:ascii="Arial" w:cs="Arial" w:eastAsia="Arial" w:hAnsi="Arial"/>
          <w:sz w:val="16"/>
          <w:szCs w:val="16"/>
          <w:color w:val="auto"/>
        </w:rPr>
        <w:t>. To avoid doubt, prior to exercise of the Option, sequence information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CDRs of Program Antibodies will be deemed the Confidential Information of both Parties. From and after the date of expiration of the Evaluation Term,</w:t>
      </w:r>
    </w:p>
    <w:p>
      <w:pPr>
        <w:spacing w:after="0" w:line="1" w:lineRule="exact"/>
        <w:rPr>
          <w:rFonts w:ascii="Arial" w:cs="Arial" w:eastAsia="Arial" w:hAnsi="Arial"/>
          <w:sz w:val="16"/>
          <w:szCs w:val="16"/>
          <w:b w:val="1"/>
          <w:bCs w:val="1"/>
          <w:color w:val="auto"/>
        </w:rPr>
      </w:pPr>
    </w:p>
    <w:p>
      <w:pPr>
        <w:ind w:left="4" w:right="560" w:hanging="4"/>
        <w:spacing w:after="0" w:line="260" w:lineRule="auto"/>
        <w:tabs>
          <w:tab w:leader="none" w:pos="219"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sequence information as to the CDRs of Optioned Antibodies, if any, will be the Confidential Information of Adagio, and (ii) the sequence information as to the CDRs of Non-Optioned Antibodies will be the Confidential Information of Adimab.</w:t>
      </w:r>
    </w:p>
    <w:p>
      <w:pPr>
        <w:sectPr>
          <w:pgSz w:w="11900" w:h="16838" w:orient="portrait"/>
          <w:cols w:equalWidth="0" w:num="1">
            <w:col w:w="11004"/>
          </w:cols>
          <w:pgMar w:left="436" w:top="269" w:right="459" w:bottom="1440" w:gutter="0" w:footer="0" w:header="0"/>
        </w:sectPr>
      </w:pPr>
    </w:p>
    <w:bookmarkStart w:id="486" w:name="page487"/>
    <w:bookmarkEnd w:id="486"/>
    <w:p>
      <w:pPr>
        <w:ind w:firstLine="987"/>
        <w:spacing w:after="0" w:line="269" w:lineRule="auto"/>
        <w:tabs>
          <w:tab w:leader="none" w:pos="1256" w:val="left"/>
        </w:tabs>
        <w:numPr>
          <w:ilvl w:val="0"/>
          <w:numId w:val="379"/>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Limits on Use and Disclosure of Confidential Information</w:t>
      </w:r>
      <w:r>
        <w:rPr>
          <w:rFonts w:ascii="Arial" w:cs="Arial" w:eastAsia="Arial" w:hAnsi="Arial"/>
          <w:sz w:val="17"/>
          <w:szCs w:val="17"/>
          <w:color w:val="auto"/>
        </w:rPr>
        <w:t>. Each Party will receive and maintain the other Party’s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Information in strict confidence. Neither Party will disclose any Confidential Information of the other Party to any Third Party. Neither Party will use the Confidential Information of the other Party for any purpose other than as required to perform its obligations or exercise its rights hereunder. Each Party may disclose the other Party’s Confidential Information to the receiving Party’s employees and contractors requiring access thereto for the purposes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that prior to making any such disclosures, each such person will be bound by written agreement to maintain Confidential Information in confidence and not to use such information for any purpose other than in accordance with the terms and conditions of this Agreement. Each Party agrees to take all steps necessary to ensure that the other Party’s Confidential Information will be maintained in confidence including such steps as it takes to prevent the disclosure of its own proprietary and confidential information of like character. Each Party agrees that this Agreement will be binding upon its employees and contractors involved in the activities contemplated hereby and that it will be liable for any breach by its employees or contractors. Each Party will take all steps necessary to ensure that its employees and contractors will comply with the terms and conditions of this Agreement. The foregoing obligations of confidentiality and non-use will survive, and remain in effect for a period of [***] from, the termination or expiration of this Agreement in accordance with Article 9 (</w:t>
      </w:r>
      <w:r>
        <w:rPr>
          <w:rFonts w:ascii="Arial" w:cs="Arial" w:eastAsia="Arial" w:hAnsi="Arial"/>
          <w:sz w:val="17"/>
          <w:szCs w:val="17"/>
          <w:i w:val="1"/>
          <w:iCs w:val="1"/>
          <w:color w:val="auto"/>
        </w:rPr>
        <w:t>Term</w:t>
      </w:r>
      <w:r>
        <w:rPr>
          <w:rFonts w:ascii="Arial" w:cs="Arial" w:eastAsia="Arial" w:hAnsi="Arial"/>
          <w:sz w:val="17"/>
          <w:szCs w:val="17"/>
          <w:color w:val="auto"/>
        </w:rPr>
        <w:t>).</w:t>
      </w:r>
    </w:p>
    <w:p>
      <w:pPr>
        <w:spacing w:after="0" w:line="17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6.2 Exclusions from Nondisclosure Obligation</w:t>
      </w:r>
      <w:r>
        <w:rPr>
          <w:rFonts w:ascii="Arial" w:cs="Arial" w:eastAsia="Arial" w:hAnsi="Arial"/>
          <w:sz w:val="18"/>
          <w:szCs w:val="18"/>
          <w:color w:val="auto"/>
        </w:rPr>
        <w:t>. Information will not be considered Confidential Information and the nondisclosure and nonuse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in Section 6.1 (</w:t>
      </w:r>
      <w:r>
        <w:rPr>
          <w:rFonts w:ascii="Arial" w:cs="Arial" w:eastAsia="Arial" w:hAnsi="Arial"/>
          <w:sz w:val="18"/>
          <w:szCs w:val="18"/>
          <w:i w:val="1"/>
          <w:iCs w:val="1"/>
          <w:color w:val="auto"/>
        </w:rPr>
        <w:t>General Confidentiality Obligations</w:t>
      </w:r>
      <w:r>
        <w:rPr>
          <w:rFonts w:ascii="Arial" w:cs="Arial" w:eastAsia="Arial" w:hAnsi="Arial"/>
          <w:sz w:val="18"/>
          <w:szCs w:val="18"/>
          <w:color w:val="auto"/>
        </w:rPr>
        <w:t>) will not apply to the extent that the receiving Party can establish by competent written proof that it: (a) at the time of disclosure is publicly known; (b) after disclosure, becomes publicly known by publication or otherwise, except by breach of this Agreement by such Party; (c) was in such Party’s possession at the time of the earlier of disclosure hereunder; (d) is received by such Party from a Third Party who has the lawful right to disclose the Confidential Information and who will not have obtained the Confidential Information either directly or indirectly from the disclosing Party; or (e) is independently developed by such Party (</w:t>
      </w:r>
      <w:r>
        <w:rPr>
          <w:rFonts w:ascii="Arial" w:cs="Arial" w:eastAsia="Arial" w:hAnsi="Arial"/>
          <w:sz w:val="18"/>
          <w:szCs w:val="18"/>
          <w:i w:val="1"/>
          <w:iCs w:val="1"/>
          <w:color w:val="auto"/>
        </w:rPr>
        <w:t>i.e.</w:t>
      </w:r>
      <w:r>
        <w:rPr>
          <w:rFonts w:ascii="Arial" w:cs="Arial" w:eastAsia="Arial" w:hAnsi="Arial"/>
          <w:sz w:val="18"/>
          <w:szCs w:val="18"/>
          <w:color w:val="auto"/>
        </w:rPr>
        <w:t>, without reference to Confidential Information of the disclosing Party).</w:t>
      </w:r>
    </w:p>
    <w:p>
      <w:pPr>
        <w:spacing w:after="0" w:line="189"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6.3 Required Disclosures</w:t>
      </w:r>
      <w:r>
        <w:rPr>
          <w:rFonts w:ascii="Arial" w:cs="Arial" w:eastAsia="Arial" w:hAnsi="Arial"/>
          <w:sz w:val="18"/>
          <w:szCs w:val="18"/>
          <w:color w:val="auto"/>
        </w:rPr>
        <w:t>. If either Party is required, pursuant to a governmental law, regulation or order, to disclose any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of the other Party, the Party which is required to disclose the Confidential Information of the other Party (a) will give advance written notice to the other Party, (b) will make a reasonable effort to assist the other Party to obtain a protective order requiring that the Confidential Information so disclosed be used only for the purposes for which the law, regulation or order required, and (c) will use and disclose the Confidential Information solely to the extent required by the law, regulation or order.</w:t>
      </w:r>
    </w:p>
    <w:p>
      <w:pPr>
        <w:spacing w:after="0" w:line="183"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6.4 Terms of Agreement</w:t>
      </w:r>
      <w:r>
        <w:rPr>
          <w:rFonts w:ascii="Arial" w:cs="Arial" w:eastAsia="Arial" w:hAnsi="Arial"/>
          <w:sz w:val="17"/>
          <w:szCs w:val="17"/>
          <w:color w:val="auto"/>
        </w:rPr>
        <w:t>. The terms of this Agreement are the Confidential Information of both Parties;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b w:val="1"/>
          <w:bCs w:val="1"/>
          <w:color w:val="auto"/>
        </w:rPr>
        <w:t xml:space="preserve"> </w:t>
      </w:r>
      <w:r>
        <w:rPr>
          <w:rFonts w:ascii="Arial" w:cs="Arial" w:eastAsia="Arial" w:hAnsi="Arial"/>
          <w:sz w:val="17"/>
          <w:szCs w:val="17"/>
          <w:color w:val="auto"/>
        </w:rPr>
        <w:t>that (a) either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may disclose that this Agreement include provisions that provide for Adimab’s exclusivity to Adagio within the Scope and (b) each Party will be entitled to disclose the terms of this Agreement under legally binding obligations of confidence and limited use to: legal, financial and investment banking advisors; and potential and actual investors, acquirers and licensees or sublicensees doing diligence and counsel for the foregoing. In addition, if legally required, a copy of this Agreement may be filed by either Party with the U.S. Securities and Exchange Commission (or relevant ex-U.S. counterpart). In that case, the filing Party will if requested by the other Party diligently seek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69" w:right="439" w:bottom="1440" w:gutter="0" w:footer="0" w:header="0"/>
        </w:sectPr>
      </w:pPr>
    </w:p>
    <w:bookmarkStart w:id="487" w:name="page488"/>
    <w:bookmarkEnd w:id="487"/>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for terms of this Agreement for which confidential treatment is reasonably available, and will provide the non-filing Party reasonable advance notice of the terms proposed for redactions and a reasonable opportunity to request that the filing Party make additional redactions to the extent confidential treatment is reasonably available under the law. The filing Party will seek and diligently pursue such confidential treatment requested by the non-filing Party.</w:t>
      </w:r>
    </w:p>
    <w:p>
      <w:pPr>
        <w:spacing w:after="0" w:line="183"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b w:val="1"/>
          <w:bCs w:val="1"/>
          <w:color w:val="auto"/>
        </w:rPr>
        <w:t>6.5 Return of Confidential Information</w:t>
      </w:r>
      <w:r>
        <w:rPr>
          <w:rFonts w:ascii="Arial" w:cs="Arial" w:eastAsia="Arial" w:hAnsi="Arial"/>
          <w:sz w:val="18"/>
          <w:szCs w:val="18"/>
          <w:color w:val="auto"/>
        </w:rPr>
        <w:t>. Promptly after the termination or expiration of this Agreement for any reason, each Party will return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other Party all tangible manifestations of such other Party’s Confidential Information at that time in the possession of the receiving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receiving Party may retain one (1) copy of each document or description thereof in its files for the sole purpose of maintaining a</w:t>
      </w:r>
      <w:r>
        <w:rPr>
          <w:rFonts w:ascii="Arial" w:cs="Arial" w:eastAsia="Arial" w:hAnsi="Arial"/>
          <w:sz w:val="18"/>
          <w:szCs w:val="18"/>
          <w:i w:val="1"/>
          <w:iCs w:val="1"/>
          <w:color w:val="auto"/>
        </w:rPr>
        <w:t xml:space="preserve"> </w:t>
      </w:r>
      <w:r>
        <w:rPr>
          <w:rFonts w:ascii="Arial" w:cs="Arial" w:eastAsia="Arial" w:hAnsi="Arial"/>
          <w:sz w:val="18"/>
          <w:szCs w:val="18"/>
          <w:color w:val="auto"/>
        </w:rPr>
        <w:t>record of what it received in confidence and to comply with its confidentiality obligations hereunder; and that the obligation of the receiving Party to return Confidential Information pursuant to this Section 6.5 (</w:t>
      </w:r>
      <w:r>
        <w:rPr>
          <w:rFonts w:ascii="Arial" w:cs="Arial" w:eastAsia="Arial" w:hAnsi="Arial"/>
          <w:sz w:val="18"/>
          <w:szCs w:val="18"/>
          <w:i w:val="1"/>
          <w:iCs w:val="1"/>
          <w:color w:val="auto"/>
        </w:rPr>
        <w:t>Return of Confidential Information</w:t>
      </w:r>
      <w:r>
        <w:rPr>
          <w:rFonts w:ascii="Arial" w:cs="Arial" w:eastAsia="Arial" w:hAnsi="Arial"/>
          <w:sz w:val="18"/>
          <w:szCs w:val="18"/>
          <w:color w:val="auto"/>
        </w:rPr>
        <w:t xml:space="preserve">) will not apply (a) to copies of electronically stored Confidential Information made as a matter of routine information technology backup,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it is only accessible to receiving Party’s permitted recipients that are responsible for maintaining the receiving Party’s electronic backup services, and (b) to Confidential Information or copies thereof which must be retained pursuant to mandatory applicable law. Any Confidential Information retained will continue to be subject to the terms of this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6.6 Publicity</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55" w:lineRule="auto"/>
        <w:tabs>
          <w:tab w:leader="none" w:pos="1246"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Press Releases</w:t>
      </w:r>
      <w:r>
        <w:rPr>
          <w:rFonts w:ascii="Arial" w:cs="Arial" w:eastAsia="Arial" w:hAnsi="Arial"/>
          <w:sz w:val="18"/>
          <w:szCs w:val="18"/>
          <w:color w:val="auto"/>
        </w:rPr>
        <w:t>. Other than repeating information in a previously approved press release, neither Party will generate or allow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further publicity regarding this Agreement or the transaction or research contemplated hereunder in which the other Party is identified, without giving the other Party the opportunity to approve such new press release. Adimab regularly issues press releases that group multiple achievements of Adimab (such as new and expanded collaborations, option exercises, and achievement of milestones). Accordingly, subject to Adagio’s written approval of the language, not to be unreasonably withheld or delayed, Adimab may disclose the existence (but not the financial terms) of this Agreement in a press release;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only portion of the press release as to which Adagio will have such consent right will be those portions that relate to this Agreement.</w:t>
      </w:r>
    </w:p>
    <w:p>
      <w:pPr>
        <w:spacing w:after="0" w:line="188" w:lineRule="exact"/>
        <w:rPr>
          <w:rFonts w:ascii="Arial" w:cs="Arial" w:eastAsia="Arial" w:hAnsi="Arial"/>
          <w:sz w:val="18"/>
          <w:szCs w:val="18"/>
          <w:b w:val="1"/>
          <w:bCs w:val="1"/>
          <w:color w:val="auto"/>
        </w:rPr>
      </w:pPr>
    </w:p>
    <w:p>
      <w:pPr>
        <w:ind w:right="140" w:firstLine="987"/>
        <w:spacing w:after="0" w:line="256" w:lineRule="auto"/>
        <w:tabs>
          <w:tab w:leader="none" w:pos="1256"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 of Subsequent Events</w:t>
      </w:r>
      <w:r>
        <w:rPr>
          <w:rFonts w:ascii="Arial" w:cs="Arial" w:eastAsia="Arial" w:hAnsi="Arial"/>
          <w:sz w:val="18"/>
          <w:szCs w:val="18"/>
          <w:color w:val="auto"/>
        </w:rPr>
        <w:t>. The Parties recognize the importance of announcing the exercise of any Option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of Milestone Events, and agree that Adimab may disclose these occurrences. At Adimab’s discretion, Adimab will propose the text of an Adimab press release to announce each such event and Adagio will have the opportunity to review and approve such text (such approval not to be unreasonably withheld or delayed). For clarity, Adagio is free to disclose the achievement of significant development events without the prior approval of Adimab, and where not unreasonably cumbersome, Adagio will include in such disclosure a recognition of Adimab as the source of the Program Antibodies in such Products.</w:t>
      </w:r>
    </w:p>
    <w:p>
      <w:pPr>
        <w:spacing w:after="0" w:line="187" w:lineRule="exact"/>
        <w:rPr>
          <w:rFonts w:ascii="Arial" w:cs="Arial" w:eastAsia="Arial" w:hAnsi="Arial"/>
          <w:sz w:val="18"/>
          <w:szCs w:val="18"/>
          <w:b w:val="1"/>
          <w:bCs w:val="1"/>
          <w:color w:val="auto"/>
        </w:rPr>
      </w:pPr>
    </w:p>
    <w:p>
      <w:pPr>
        <w:ind w:firstLine="987"/>
        <w:spacing w:after="0" w:line="261" w:lineRule="auto"/>
        <w:tabs>
          <w:tab w:leader="none" w:pos="1236"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Acknowledgement</w:t>
      </w:r>
      <w:r>
        <w:rPr>
          <w:rFonts w:ascii="Arial" w:cs="Arial" w:eastAsia="Arial" w:hAnsi="Arial"/>
          <w:sz w:val="18"/>
          <w:szCs w:val="18"/>
          <w:color w:val="auto"/>
        </w:rPr>
        <w:t>. In public disclosures (</w:t>
      </w:r>
      <w:r>
        <w:rPr>
          <w:rFonts w:ascii="Arial" w:cs="Arial" w:eastAsia="Arial" w:hAnsi="Arial"/>
          <w:sz w:val="18"/>
          <w:szCs w:val="18"/>
          <w:i w:val="1"/>
          <w:iCs w:val="1"/>
          <w:color w:val="auto"/>
        </w:rPr>
        <w:t>e.g.</w:t>
      </w:r>
      <w:r>
        <w:rPr>
          <w:rFonts w:ascii="Arial" w:cs="Arial" w:eastAsia="Arial" w:hAnsi="Arial"/>
          <w:sz w:val="18"/>
          <w:szCs w:val="18"/>
          <w:color w:val="auto"/>
        </w:rPr>
        <w:t>, press releases, posters, publications) regarding Program Antibodies or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Adagio will acknowledge that such Program Antibodies or Products were discovered or optimized, as applicable, using “the Adimab Platform”, and will include Adimab co-authors, as appropriate in accordance with standard industry practice. Adimab will provide an electronic version of its logo for use in such contexts by Adagio upon request.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488" w:name="page489"/>
    <w:bookmarkEnd w:id="488"/>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6.7 Certain Data</w:t>
      </w:r>
      <w:r>
        <w:rPr>
          <w:rFonts w:ascii="Arial" w:cs="Arial" w:eastAsia="Arial" w:hAnsi="Arial"/>
          <w:sz w:val="17"/>
          <w:szCs w:val="17"/>
          <w:color w:val="auto"/>
        </w:rPr>
        <w:t>. The Parties recognize the need for Adimab to advance and disclose the general capabilities of the Adimab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In connection therewith, notwithstanding this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without disclosing Adagio’s identity, the identity of the Target (although the class of protein of the Target may be disclosed), or the sequence of any Program Antibody or Adimab Validated Antigen, Adimab will be entitled to use and disclose general Program Antibody and Adimab Validated Antigen attributes (i.e., without identifying the specific Program Antibody or Adimab Validated Antigen), including the following: (a) Program Antibody binding affinities, target cross-reactivity, functional properties (</w:t>
      </w:r>
      <w:r>
        <w:rPr>
          <w:rFonts w:ascii="Arial" w:cs="Arial" w:eastAsia="Arial" w:hAnsi="Arial"/>
          <w:sz w:val="17"/>
          <w:szCs w:val="17"/>
          <w:i w:val="1"/>
          <w:iCs w:val="1"/>
          <w:color w:val="auto"/>
        </w:rPr>
        <w:t>e.g.</w:t>
      </w:r>
      <w:r>
        <w:rPr>
          <w:rFonts w:ascii="Arial" w:cs="Arial" w:eastAsia="Arial" w:hAnsi="Arial"/>
          <w:sz w:val="17"/>
          <w:szCs w:val="17"/>
          <w:color w:val="auto"/>
        </w:rPr>
        <w:t xml:space="preserve"> neutralization, antibody-dependent cell-mediated cytotoxicity assays) (b) expression range regarding Program Antibodies, (c) sequence properties of Program Antibodies (</w:t>
      </w:r>
      <w:r>
        <w:rPr>
          <w:rFonts w:ascii="Arial" w:cs="Arial" w:eastAsia="Arial" w:hAnsi="Arial"/>
          <w:sz w:val="17"/>
          <w:szCs w:val="17"/>
          <w:i w:val="1"/>
          <w:iCs w:val="1"/>
          <w:color w:val="auto"/>
        </w:rPr>
        <w:t>e.g.</w:t>
      </w:r>
      <w:r>
        <w:rPr>
          <w:rFonts w:ascii="Arial" w:cs="Arial" w:eastAsia="Arial" w:hAnsi="Arial"/>
          <w:sz w:val="17"/>
          <w:szCs w:val="17"/>
          <w:color w:val="auto"/>
        </w:rPr>
        <w:t xml:space="preserve"> germline family usage, clonal relatedness, CDR lengths, somatic mutation), (d) Program Antibody format (</w:t>
      </w:r>
      <w:r>
        <w:rPr>
          <w:rFonts w:ascii="Arial" w:cs="Arial" w:eastAsia="Arial" w:hAnsi="Arial"/>
          <w:sz w:val="17"/>
          <w:szCs w:val="17"/>
          <w:i w:val="1"/>
          <w:iCs w:val="1"/>
          <w:color w:val="auto"/>
        </w:rPr>
        <w:t>e.g.</w:t>
      </w:r>
      <w:r>
        <w:rPr>
          <w:rFonts w:ascii="Arial" w:cs="Arial" w:eastAsia="Arial" w:hAnsi="Arial"/>
          <w:sz w:val="17"/>
          <w:szCs w:val="17"/>
          <w:color w:val="auto"/>
        </w:rPr>
        <w:t>, monoclonal, Morrison multispecific, CAR-T, etc.), (e) developability data (</w:t>
      </w:r>
      <w:r>
        <w:rPr>
          <w:rFonts w:ascii="Arial" w:cs="Arial" w:eastAsia="Arial" w:hAnsi="Arial"/>
          <w:sz w:val="17"/>
          <w:szCs w:val="17"/>
          <w:i w:val="1"/>
          <w:iCs w:val="1"/>
          <w:color w:val="auto"/>
        </w:rPr>
        <w:t>e.g</w:t>
      </w:r>
      <w:r>
        <w:rPr>
          <w:rFonts w:ascii="Arial" w:cs="Arial" w:eastAsia="Arial" w:hAnsi="Arial"/>
          <w:sz w:val="17"/>
          <w:szCs w:val="17"/>
          <w:color w:val="auto"/>
        </w:rPr>
        <w:t>., polyspecificity, expressibility, and aggregation data), (f) stage of development of Program-Benefited Antibodies (</w:t>
      </w:r>
      <w:r>
        <w:rPr>
          <w:rFonts w:ascii="Arial" w:cs="Arial" w:eastAsia="Arial" w:hAnsi="Arial"/>
          <w:sz w:val="17"/>
          <w:szCs w:val="17"/>
          <w:i w:val="1"/>
          <w:iCs w:val="1"/>
          <w:color w:val="auto"/>
        </w:rPr>
        <w:t>e.g.</w:t>
      </w:r>
      <w:r>
        <w:rPr>
          <w:rFonts w:ascii="Arial" w:cs="Arial" w:eastAsia="Arial" w:hAnsi="Arial"/>
          <w:sz w:val="17"/>
          <w:szCs w:val="17"/>
          <w:color w:val="auto"/>
        </w:rPr>
        <w:t>, “preclinical” or “Phase I”), and (g) immune response profiles following administration of Adimab Validated Antigens (</w:t>
      </w:r>
      <w:r>
        <w:rPr>
          <w:rFonts w:ascii="Arial" w:cs="Arial" w:eastAsia="Arial" w:hAnsi="Arial"/>
          <w:sz w:val="17"/>
          <w:szCs w:val="17"/>
          <w:i w:val="1"/>
          <w:iCs w:val="1"/>
          <w:color w:val="auto"/>
        </w:rPr>
        <w:t>e.g.</w:t>
      </w:r>
      <w:r>
        <w:rPr>
          <w:rFonts w:ascii="Arial" w:cs="Arial" w:eastAsia="Arial" w:hAnsi="Arial"/>
          <w:sz w:val="17"/>
          <w:szCs w:val="17"/>
          <w:color w:val="auto"/>
        </w:rPr>
        <w:t xml:space="preserve"> cellular and humoral immune responses).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7.1 Mutual Representations</w:t>
      </w:r>
      <w:r>
        <w:rPr>
          <w:rFonts w:ascii="Arial" w:cs="Arial" w:eastAsia="Arial" w:hAnsi="Arial"/>
          <w:sz w:val="17"/>
          <w:szCs w:val="17"/>
          <w:color w:val="auto"/>
        </w:rPr>
        <w:t>. Each of Adimab and Adagio hereby represents and warrants to the other of them that the representing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warranting Party is duly organized in its jurisdiction of incorporation; that the representing and warranting Party has the full power and authority to enter into this Agreement; that this Agreement is binding upon the representing and warranting Party; that this Agreement has been duly authorized by all requisite corporate action within the representing and warranting Party; and that the execution, delivery and performance by the representing and warranting Party of this Agreement and its compliance with the terms and conditions hereof does not and will not conflict with or result in a breach of any of the terms and conditions of or constitute a default under (a) any agreement or other instrument binding or affecting it or its property (including, in Adagio’s case, the [***] Agreement), (b) the provisions of its bylaws or other governing documents or (c) any order, writ, injunction or decree of any governmental authority entered against it or by which any of its property is bound.</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7.2 Representations of Adimab</w:t>
      </w:r>
      <w:r>
        <w:rPr>
          <w:rFonts w:ascii="Arial" w:cs="Arial" w:eastAsia="Arial" w:hAnsi="Arial"/>
          <w:sz w:val="18"/>
          <w:szCs w:val="18"/>
          <w:color w:val="auto"/>
        </w:rPr>
        <w:t>. Adimab hereby represents and warrants to Adagio that, as of the Effective Date:</w:t>
      </w:r>
    </w:p>
    <w:p>
      <w:pPr>
        <w:spacing w:after="0" w:line="225" w:lineRule="exact"/>
        <w:rPr>
          <w:sz w:val="20"/>
          <w:szCs w:val="20"/>
          <w:color w:val="auto"/>
        </w:rPr>
      </w:pPr>
    </w:p>
    <w:p>
      <w:pPr>
        <w:ind w:right="320" w:firstLine="987"/>
        <w:spacing w:after="0" w:line="312" w:lineRule="auto"/>
        <w:tabs>
          <w:tab w:leader="none" w:pos="1246" w:val="left"/>
        </w:tabs>
        <w:numPr>
          <w:ilvl w:val="0"/>
          <w:numId w:val="381"/>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w:t>
      </w:r>
      <w:r>
        <w:rPr>
          <w:rFonts w:ascii="Arial" w:cs="Arial" w:eastAsia="Arial" w:hAnsi="Arial"/>
          <w:sz w:val="17"/>
          <w:szCs w:val="17"/>
          <w:color w:val="auto"/>
        </w:rPr>
        <w:t>. The performance of the Research Program and the grant the licenses and assignments that Adimab purports to grant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do not conflict with Adimab’s rights in and to the Adimab Platform Patents and Adimab Platform Technology.</w:t>
      </w:r>
    </w:p>
    <w:p>
      <w:pPr>
        <w:spacing w:after="0" w:line="139" w:lineRule="exact"/>
        <w:rPr>
          <w:rFonts w:ascii="Arial" w:cs="Arial" w:eastAsia="Arial" w:hAnsi="Arial"/>
          <w:sz w:val="17"/>
          <w:szCs w:val="17"/>
          <w:b w:val="1"/>
          <w:bCs w:val="1"/>
          <w:color w:val="auto"/>
        </w:rPr>
      </w:pPr>
    </w:p>
    <w:p>
      <w:pPr>
        <w:ind w:right="20" w:firstLine="987"/>
        <w:spacing w:after="0" w:line="266" w:lineRule="auto"/>
        <w:tabs>
          <w:tab w:leader="none" w:pos="1256"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color w:val="auto"/>
        </w:rPr>
        <w:t>No Complaints</w:t>
      </w:r>
      <w:r>
        <w:rPr>
          <w:rFonts w:ascii="Arial" w:cs="Arial" w:eastAsia="Arial" w:hAnsi="Arial"/>
          <w:sz w:val="18"/>
          <w:szCs w:val="18"/>
          <w:color w:val="auto"/>
        </w:rPr>
        <w:t>. There are no complaints filed in court or, to Adimab’s knowledge, otherwise threatened, in each case pending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Adimab Platform Patents or Adimab Platform Technology which, if decided in a manner adverse to Adimab, would materially affect Adimab’s practice of the Adimab Platform Technology as contemplated by this Agreement.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69" w:right="459" w:bottom="1440" w:gutter="0" w:footer="0" w:header="0"/>
        </w:sectPr>
      </w:pPr>
    </w:p>
    <w:bookmarkStart w:id="489" w:name="page490"/>
    <w:bookmarkEnd w:id="489"/>
    <w:p>
      <w:pPr>
        <w:ind w:firstLine="987"/>
        <w:spacing w:after="0" w:line="261" w:lineRule="auto"/>
        <w:tabs>
          <w:tab w:leader="none" w:pos="1236"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Judgments</w:t>
      </w:r>
      <w:r>
        <w:rPr>
          <w:rFonts w:ascii="Arial" w:cs="Arial" w:eastAsia="Arial" w:hAnsi="Arial"/>
          <w:sz w:val="18"/>
          <w:szCs w:val="18"/>
          <w:color w:val="auto"/>
        </w:rPr>
        <w:t>. There are no judgments or settlements against Adimab or to which it is party which will materially affect Adimab’s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 of the Adimab Platform Technology as contemplated in this Agreement. Adimab is not party to any settlement discussions that, if concluded as of the Effective Date, would result in a settlement which would materially affect Adimab’s practice of the Adimab Platform Technology as contemplated in this Agreement.</w:t>
      </w:r>
    </w:p>
    <w:p>
      <w:pPr>
        <w:spacing w:after="0" w:line="179" w:lineRule="exact"/>
        <w:rPr>
          <w:rFonts w:ascii="Arial" w:cs="Arial" w:eastAsia="Arial" w:hAnsi="Arial"/>
          <w:sz w:val="18"/>
          <w:szCs w:val="18"/>
          <w:b w:val="1"/>
          <w:bCs w:val="1"/>
          <w:color w:val="auto"/>
        </w:rPr>
      </w:pPr>
    </w:p>
    <w:p>
      <w:pPr>
        <w:ind w:right="320" w:firstLine="987"/>
        <w:spacing w:after="0" w:line="266" w:lineRule="auto"/>
        <w:tabs>
          <w:tab w:leader="none" w:pos="1256"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No Misappropriation of Trade Secrets</w:t>
      </w:r>
      <w:r>
        <w:rPr>
          <w:rFonts w:ascii="Arial" w:cs="Arial" w:eastAsia="Arial" w:hAnsi="Arial"/>
          <w:sz w:val="18"/>
          <w:szCs w:val="18"/>
          <w:color w:val="auto"/>
        </w:rPr>
        <w:t>. To Adimab’s knowledge, the conception, development and reduction to practice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Adimab Platform Technology, as it exists on the Effective Date, have not constituted or involved the misappropriation of trade secrets, know-how or similar rights or property of any person.</w:t>
      </w:r>
    </w:p>
    <w:p>
      <w:pPr>
        <w:spacing w:after="0" w:line="175" w:lineRule="exact"/>
        <w:rPr>
          <w:rFonts w:ascii="Arial" w:cs="Arial" w:eastAsia="Arial" w:hAnsi="Arial"/>
          <w:sz w:val="18"/>
          <w:szCs w:val="18"/>
          <w:b w:val="1"/>
          <w:bCs w:val="1"/>
          <w:color w:val="auto"/>
        </w:rPr>
      </w:pPr>
    </w:p>
    <w:p>
      <w:pPr>
        <w:ind w:right="220" w:firstLine="987"/>
        <w:spacing w:after="0" w:line="347" w:lineRule="auto"/>
        <w:tabs>
          <w:tab w:leader="none" w:pos="1236" w:val="left"/>
        </w:tabs>
        <w:numPr>
          <w:ilvl w:val="0"/>
          <w:numId w:val="382"/>
        </w:numPr>
        <w:rPr>
          <w:rFonts w:ascii="Arial" w:cs="Arial" w:eastAsia="Arial" w:hAnsi="Arial"/>
          <w:sz w:val="16"/>
          <w:szCs w:val="16"/>
          <w:b w:val="1"/>
          <w:bCs w:val="1"/>
          <w:color w:val="auto"/>
        </w:rPr>
      </w:pPr>
      <w:r>
        <w:rPr>
          <w:rFonts w:ascii="Arial" w:cs="Arial" w:eastAsia="Arial" w:hAnsi="Arial"/>
          <w:sz w:val="16"/>
          <w:szCs w:val="16"/>
          <w:b w:val="1"/>
          <w:bCs w:val="1"/>
          <w:color w:val="auto"/>
        </w:rPr>
        <w:t>No Infringement</w:t>
      </w:r>
      <w:r>
        <w:rPr>
          <w:rFonts w:ascii="Arial" w:cs="Arial" w:eastAsia="Arial" w:hAnsi="Arial"/>
          <w:sz w:val="16"/>
          <w:szCs w:val="16"/>
          <w:color w:val="auto"/>
        </w:rPr>
        <w:t>. In Adimab’s reasonable judgment, the practice of the Adimab Platform Technology, as practiced by Adimab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does not infringe a valid, issued Patent not Controlled by Adimab or any of its Affiliates of which Adimab has knowledge.</w:t>
      </w:r>
    </w:p>
    <w:p>
      <w:pPr>
        <w:spacing w:after="0" w:line="115" w:lineRule="exact"/>
        <w:rPr>
          <w:rFonts w:ascii="Arial" w:cs="Arial" w:eastAsia="Arial" w:hAnsi="Arial"/>
          <w:sz w:val="16"/>
          <w:szCs w:val="16"/>
          <w:b w:val="1"/>
          <w:bCs w:val="1"/>
          <w:color w:val="auto"/>
        </w:rPr>
      </w:pPr>
    </w:p>
    <w:p>
      <w:pPr>
        <w:ind w:right="60" w:firstLine="987"/>
        <w:spacing w:after="0" w:line="282" w:lineRule="auto"/>
        <w:tabs>
          <w:tab w:leader="none" w:pos="1216" w:val="left"/>
        </w:tabs>
        <w:numPr>
          <w:ilvl w:val="0"/>
          <w:numId w:val="382"/>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Excluded Third Party Technology and Third Party Sequence IP</w:t>
      </w:r>
      <w:r>
        <w:rPr>
          <w:rFonts w:ascii="Arial" w:cs="Arial" w:eastAsia="Arial" w:hAnsi="Arial"/>
          <w:sz w:val="18"/>
          <w:szCs w:val="18"/>
          <w:color w:val="auto"/>
        </w:rPr>
        <w:t>. Notwithstanding the foregoing, Adimab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any representations with respect to any Excluded Third Party Technology or Third Party Sequence IP.</w:t>
      </w:r>
    </w:p>
    <w:p>
      <w:pPr>
        <w:spacing w:after="0" w:line="162" w:lineRule="exact"/>
        <w:rPr>
          <w:sz w:val="20"/>
          <w:szCs w:val="20"/>
          <w:color w:val="auto"/>
        </w:rPr>
      </w:pPr>
    </w:p>
    <w:p>
      <w:pPr>
        <w:ind w:right="280" w:firstLine="440"/>
        <w:spacing w:after="0" w:line="255" w:lineRule="auto"/>
        <w:rPr>
          <w:sz w:val="20"/>
          <w:szCs w:val="20"/>
          <w:color w:val="auto"/>
        </w:rPr>
      </w:pPr>
      <w:r>
        <w:rPr>
          <w:rFonts w:ascii="Arial" w:cs="Arial" w:eastAsia="Arial" w:hAnsi="Arial"/>
          <w:sz w:val="18"/>
          <w:szCs w:val="18"/>
          <w:b w:val="1"/>
          <w:bCs w:val="1"/>
          <w:color w:val="auto"/>
        </w:rPr>
        <w:t>7.3 DISCLAIMER OF WARRANTIES</w:t>
      </w:r>
      <w:r>
        <w:rPr>
          <w:rFonts w:ascii="Arial" w:cs="Arial" w:eastAsia="Arial" w:hAnsi="Arial"/>
          <w:sz w:val="18"/>
          <w:szCs w:val="18"/>
          <w:color w:val="auto"/>
        </w:rPr>
        <w:t>. EACH PARTY ACKNOWLEDGES AND AGREES THAT, EXCEPT FOR THE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OF SECTION 7.1 (</w:t>
      </w:r>
      <w:r>
        <w:rPr>
          <w:rFonts w:ascii="Arial" w:cs="Arial" w:eastAsia="Arial" w:hAnsi="Arial"/>
          <w:sz w:val="18"/>
          <w:szCs w:val="18"/>
          <w:i w:val="1"/>
          <w:iCs w:val="1"/>
          <w:color w:val="auto"/>
        </w:rPr>
        <w:t>MUTUAL REPRESENTATIONS</w:t>
      </w:r>
      <w:r>
        <w:rPr>
          <w:rFonts w:ascii="Arial" w:cs="Arial" w:eastAsia="Arial" w:hAnsi="Arial"/>
          <w:sz w:val="18"/>
          <w:szCs w:val="18"/>
          <w:color w:val="auto"/>
        </w:rPr>
        <w:t>) AND SECTION 7.2 (</w:t>
      </w:r>
      <w:r>
        <w:rPr>
          <w:rFonts w:ascii="Arial" w:cs="Arial" w:eastAsia="Arial" w:hAnsi="Arial"/>
          <w:sz w:val="18"/>
          <w:szCs w:val="18"/>
          <w:i w:val="1"/>
          <w:iCs w:val="1"/>
          <w:color w:val="auto"/>
        </w:rPr>
        <w:t>REPRESENTATIONS OF ADIMAB</w:t>
      </w:r>
      <w:r>
        <w:rPr>
          <w:rFonts w:ascii="Arial" w:cs="Arial" w:eastAsia="Arial" w:hAnsi="Arial"/>
          <w:sz w:val="18"/>
          <w:szCs w:val="18"/>
          <w:color w:val="auto"/>
        </w:rPr>
        <w:t>), SUCH PARTY IS NOT RELYING UPON ANY REPRESENTATIONS OR WARRANTIES OF ANY KIND BY SUCH OTHER PARTY, EITHER EXPRESS OR IMPLIED, AND EACH PARTY DISCLAIMS ALL OTHER WARRANTIES OF ANY KIND, EXPRESS OR IMPLIED, INCLUDING ANY WARRANTY OF MERCHANTABILITY OR FITNESS FOR A PARTICULAR PURPOSE OR THAT ANY PRODUCTS DEVELOPED UNDER THIS AGREEMENT ARE FREE FROM THE RIGHTFUL CLAIM OF ANY THIRD PARTY, BY WAY OF INFRINGEMENT OR THE LIKE OR THAT ANY PROGRAM PATENTS WILL ISSUE OR BE VALID OR ENFORCEABLE.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25" w:lineRule="exact"/>
        <w:rPr>
          <w:sz w:val="20"/>
          <w:szCs w:val="20"/>
          <w:color w:val="auto"/>
        </w:rPr>
      </w:pPr>
    </w:p>
    <w:p>
      <w:pPr>
        <w:ind w:right="60" w:firstLine="440"/>
        <w:spacing w:after="0" w:line="292" w:lineRule="auto"/>
        <w:rPr>
          <w:sz w:val="20"/>
          <w:szCs w:val="20"/>
          <w:color w:val="auto"/>
        </w:rPr>
      </w:pPr>
      <w:r>
        <w:rPr>
          <w:rFonts w:ascii="Arial" w:cs="Arial" w:eastAsia="Arial" w:hAnsi="Arial"/>
          <w:sz w:val="16"/>
          <w:szCs w:val="16"/>
          <w:b w:val="1"/>
          <w:bCs w:val="1"/>
          <w:color w:val="auto"/>
        </w:rPr>
        <w:t>8.1 Indemnification by Adimab</w:t>
      </w:r>
      <w:r>
        <w:rPr>
          <w:rFonts w:ascii="Arial" w:cs="Arial" w:eastAsia="Arial" w:hAnsi="Arial"/>
          <w:sz w:val="16"/>
          <w:szCs w:val="16"/>
          <w:color w:val="auto"/>
        </w:rPr>
        <w:t>. Adimab hereby agrees to indemnify, defend and hold harmless (collectively, “</w:t>
      </w:r>
      <w:r>
        <w:rPr>
          <w:rFonts w:ascii="Arial" w:cs="Arial" w:eastAsia="Arial" w:hAnsi="Arial"/>
          <w:sz w:val="16"/>
          <w:szCs w:val="16"/>
          <w:b w:val="1"/>
          <w:bCs w:val="1"/>
          <w:color w:val="auto"/>
        </w:rPr>
        <w:t>Indemnify</w:t>
      </w:r>
      <w:r>
        <w:rPr>
          <w:rFonts w:ascii="Arial" w:cs="Arial" w:eastAsia="Arial" w:hAnsi="Arial"/>
          <w:sz w:val="16"/>
          <w:szCs w:val="16"/>
          <w:color w:val="auto"/>
        </w:rPr>
        <w:t>”) Adagio,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their respective directors, officers, agents and employees (collectively, “</w:t>
      </w:r>
      <w:r>
        <w:rPr>
          <w:rFonts w:ascii="Arial" w:cs="Arial" w:eastAsia="Arial" w:hAnsi="Arial"/>
          <w:sz w:val="16"/>
          <w:szCs w:val="16"/>
          <w:b w:val="1"/>
          <w:bCs w:val="1"/>
          <w:color w:val="auto"/>
        </w:rPr>
        <w:t>Adagio Indemnitees</w:t>
      </w:r>
      <w:r>
        <w:rPr>
          <w:rFonts w:ascii="Arial" w:cs="Arial" w:eastAsia="Arial" w:hAnsi="Arial"/>
          <w:sz w:val="16"/>
          <w:szCs w:val="16"/>
          <w:color w:val="auto"/>
        </w:rPr>
        <w:t>”) from and against any and all liability, loss, damage or expense (including without limitation reasonable attorneys’ fees) (collectively, “</w:t>
      </w:r>
      <w:r>
        <w:rPr>
          <w:rFonts w:ascii="Arial" w:cs="Arial" w:eastAsia="Arial" w:hAnsi="Arial"/>
          <w:sz w:val="16"/>
          <w:szCs w:val="16"/>
          <w:b w:val="1"/>
          <w:bCs w:val="1"/>
          <w:color w:val="auto"/>
        </w:rPr>
        <w:t>Losses</w:t>
      </w:r>
      <w:r>
        <w:rPr>
          <w:rFonts w:ascii="Arial" w:cs="Arial" w:eastAsia="Arial" w:hAnsi="Arial"/>
          <w:sz w:val="16"/>
          <w:szCs w:val="16"/>
          <w:color w:val="auto"/>
        </w:rPr>
        <w:t>”) they may suffer as the result of Third-Party claims, demands and actions (collectively, “</w:t>
      </w:r>
      <w:r>
        <w:rPr>
          <w:rFonts w:ascii="Arial" w:cs="Arial" w:eastAsia="Arial" w:hAnsi="Arial"/>
          <w:sz w:val="16"/>
          <w:szCs w:val="16"/>
          <w:b w:val="1"/>
          <w:bCs w:val="1"/>
          <w:color w:val="auto"/>
        </w:rPr>
        <w:t>Third-Party Claims</w:t>
      </w:r>
      <w:r>
        <w:rPr>
          <w:rFonts w:ascii="Arial" w:cs="Arial" w:eastAsia="Arial" w:hAnsi="Arial"/>
          <w:sz w:val="16"/>
          <w:szCs w:val="16"/>
          <w:color w:val="auto"/>
        </w:rPr>
        <w:t>”) arising out of or relating to (a) the gross negligence or intentional misconduct of any Adimab Indemnitees, or (b) any breach of this Agreement by any Adimab Indemnitees (including of any a representation or warranty made by Adimab under Article 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except in each case to the extent of any Losses (a) attributable to the negligence or intentional misconduct of any Adagio Indemnitee, or (b) for which Adagio is required to Indemnify Adimab pursuant to Section 8.2 (</w:t>
      </w:r>
      <w:r>
        <w:rPr>
          <w:rFonts w:ascii="Arial" w:cs="Arial" w:eastAsia="Arial" w:hAnsi="Arial"/>
          <w:sz w:val="16"/>
          <w:szCs w:val="16"/>
          <w:i w:val="1"/>
          <w:iCs w:val="1"/>
          <w:color w:val="auto"/>
        </w:rPr>
        <w:t>Indemnification by Adagio</w:t>
      </w:r>
      <w:r>
        <w:rPr>
          <w:rFonts w:ascii="Arial" w:cs="Arial" w:eastAsia="Arial" w:hAnsi="Arial"/>
          <w:sz w:val="16"/>
          <w:szCs w:val="16"/>
          <w:color w:val="auto"/>
        </w:rPr>
        <w: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69" w:right="459" w:bottom="1440" w:gutter="0" w:footer="0" w:header="0"/>
        </w:sectPr>
      </w:pPr>
    </w:p>
    <w:bookmarkStart w:id="490" w:name="page491"/>
    <w:bookmarkEnd w:id="490"/>
    <w:p>
      <w:pPr>
        <w:ind w:left="4" w:right="180" w:firstLine="44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Indemnification by Adagio</w:t>
      </w:r>
      <w:r>
        <w:rPr>
          <w:rFonts w:ascii="Arial" w:cs="Arial" w:eastAsia="Arial" w:hAnsi="Arial"/>
          <w:sz w:val="16"/>
          <w:szCs w:val="16"/>
          <w:color w:val="auto"/>
        </w:rPr>
        <w:t>. Adagio hereby agrees that it and its Licensees will Indemnify Adimab, its Affiliates, and their respective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officers, agents and employees (collectively, “</w:t>
      </w:r>
      <w:r>
        <w:rPr>
          <w:rFonts w:ascii="Arial" w:cs="Arial" w:eastAsia="Arial" w:hAnsi="Arial"/>
          <w:sz w:val="16"/>
          <w:szCs w:val="16"/>
          <w:b w:val="1"/>
          <w:bCs w:val="1"/>
          <w:color w:val="auto"/>
        </w:rPr>
        <w:t>Adimab Indemnitees</w:t>
      </w:r>
      <w:r>
        <w:rPr>
          <w:rFonts w:ascii="Arial" w:cs="Arial" w:eastAsia="Arial" w:hAnsi="Arial"/>
          <w:sz w:val="16"/>
          <w:szCs w:val="16"/>
          <w:color w:val="auto"/>
        </w:rPr>
        <w:t>”) from and against any and all Losses they may suffer as the result of Third-Party Claims arising out of or relating to (a) the gross negligence or intentional misconduct of any Adagio Indemnitees, (b) any breach of this Agreement by an Adagio Indemnitee (including of any representation or warranty made by Adagio under Article 7 (</w:t>
      </w: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w:t>
      </w:r>
    </w:p>
    <w:p>
      <w:pPr>
        <w:spacing w:after="0" w:line="2" w:lineRule="exact"/>
        <w:rPr>
          <w:sz w:val="20"/>
          <w:szCs w:val="20"/>
          <w:color w:val="auto"/>
        </w:rPr>
      </w:pPr>
    </w:p>
    <w:p>
      <w:pPr>
        <w:ind w:left="4" w:right="20" w:hanging="4"/>
        <w:spacing w:after="0" w:line="271" w:lineRule="auto"/>
        <w:tabs>
          <w:tab w:leader="none" w:pos="239"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Adagio’s research, testing, development, manufacture, use, sale, distribution, licensing or commercialization of Program-Benefited Antibodies or Products, (c) Adimab’s use of any Adagio Materials in accordance with this Agreement and the Research Plan, and (d) the use by Adagio or its Licensees of any Excluded Third Party Technology or Third Party Sequence IP, and (e) obligations of Adagio to any Licensee, except in each case to the extent of any Losses (i) attributable to the negligence or intentional misconduct of any Adimab Indemnitee, or (ii) arising out of any breach of a representation or warranty made by Adimab in Article 7 (</w:t>
      </w:r>
      <w:r>
        <w:rPr>
          <w:rFonts w:ascii="Arial" w:cs="Arial" w:eastAsia="Arial" w:hAnsi="Arial"/>
          <w:sz w:val="17"/>
          <w:szCs w:val="17"/>
          <w:i w:val="1"/>
          <w:iCs w:val="1"/>
          <w:color w:val="auto"/>
        </w:rPr>
        <w:t>Representations and Warranties</w:t>
      </w:r>
      <w:r>
        <w:rPr>
          <w:rFonts w:ascii="Arial" w:cs="Arial" w:eastAsia="Arial" w:hAnsi="Arial"/>
          <w:sz w:val="17"/>
          <w:szCs w:val="17"/>
          <w:color w:val="auto"/>
        </w:rPr>
        <w:t>).</w:t>
      </w:r>
    </w:p>
    <w:p>
      <w:pPr>
        <w:spacing w:after="0" w:line="174"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b w:val="1"/>
          <w:bCs w:val="1"/>
          <w:color w:val="auto"/>
        </w:rPr>
        <w:t>8.3 Indemnification Procedures</w:t>
      </w:r>
      <w:r>
        <w:rPr>
          <w:rFonts w:ascii="Arial" w:cs="Arial" w:eastAsia="Arial" w:hAnsi="Arial"/>
          <w:sz w:val="17"/>
          <w:szCs w:val="17"/>
          <w:color w:val="auto"/>
        </w:rPr>
        <w:t>. Each of the foregoing agreements to Indemnify is conditioned on the relevant Adimab Indemnitees or Adagio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Indemnitees (a) providing prompt written notice of any Third-Party Claim giving rise to an indemnification obligation hereunder, (b) permitting the indemnifying Party to assume full responsibility to investigate, prepare for and defend against any such Third-Party Claim (but only to the extent and for such period of time as such indemnifying Party agrees in writing with such indemnified Party that the indemnifying Party will be solely responsible for any and all such monetary damages), (c) providing reasonable assistance in the defense of such claim at the indemnifying Party’s reasonable expense, and (d) not compromising or settling such Third-Party Claim without the indemnifying Party’s advance written consent. If the Parties cannot agree as to the application of the foregoing Section 8.1 (</w:t>
      </w:r>
      <w:r>
        <w:rPr>
          <w:rFonts w:ascii="Arial" w:cs="Arial" w:eastAsia="Arial" w:hAnsi="Arial"/>
          <w:sz w:val="17"/>
          <w:szCs w:val="17"/>
          <w:i w:val="1"/>
          <w:iCs w:val="1"/>
          <w:color w:val="auto"/>
        </w:rPr>
        <w:t>Indemnification by Adimab</w:t>
      </w:r>
      <w:r>
        <w:rPr>
          <w:rFonts w:ascii="Arial" w:cs="Arial" w:eastAsia="Arial" w:hAnsi="Arial"/>
          <w:sz w:val="17"/>
          <w:szCs w:val="17"/>
          <w:color w:val="auto"/>
        </w:rPr>
        <w:t>) and Section 8.2 (</w:t>
      </w:r>
      <w:r>
        <w:rPr>
          <w:rFonts w:ascii="Arial" w:cs="Arial" w:eastAsia="Arial" w:hAnsi="Arial"/>
          <w:sz w:val="17"/>
          <w:szCs w:val="17"/>
          <w:i w:val="1"/>
          <w:iCs w:val="1"/>
          <w:color w:val="auto"/>
        </w:rPr>
        <w:t>Indemnification by Adagio</w:t>
      </w:r>
      <w:r>
        <w:rPr>
          <w:rFonts w:ascii="Arial" w:cs="Arial" w:eastAsia="Arial" w:hAnsi="Arial"/>
          <w:sz w:val="17"/>
          <w:szCs w:val="17"/>
          <w:color w:val="auto"/>
        </w:rPr>
        <w:t>), each may conduct separate defenses of the Third-Party Claim, and each Party reserves the right to claim indemnity from the other in accordance with this Article 8 (</w:t>
      </w:r>
      <w:r>
        <w:rPr>
          <w:rFonts w:ascii="Arial" w:cs="Arial" w:eastAsia="Arial" w:hAnsi="Arial"/>
          <w:sz w:val="17"/>
          <w:szCs w:val="17"/>
          <w:i w:val="1"/>
          <w:iCs w:val="1"/>
          <w:color w:val="auto"/>
        </w:rPr>
        <w:t>Indemnification</w:t>
      </w:r>
      <w:r>
        <w:rPr>
          <w:rFonts w:ascii="Arial" w:cs="Arial" w:eastAsia="Arial" w:hAnsi="Arial"/>
          <w:sz w:val="17"/>
          <w:szCs w:val="17"/>
          <w:color w:val="auto"/>
        </w:rPr>
        <w:t>) upon the resolution of the underlying Third-Party Claim.</w:t>
      </w:r>
    </w:p>
    <w:p>
      <w:pPr>
        <w:spacing w:after="0" w:line="174"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b w:val="1"/>
          <w:bCs w:val="1"/>
          <w:color w:val="auto"/>
        </w:rPr>
        <w:t>8.4 Limitation of Liability</w:t>
      </w:r>
      <w:r>
        <w:rPr>
          <w:rFonts w:ascii="Arial" w:cs="Arial" w:eastAsia="Arial" w:hAnsi="Arial"/>
          <w:sz w:val="18"/>
          <w:szCs w:val="18"/>
          <w:color w:val="auto"/>
        </w:rPr>
        <w:t>. EXCEPT TO THE EXTENT SUCH PARTY MAY BE REQUIRED TO INDEMNIFY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ARTICLE 8 (INDEMNIFICATION) OR AS REGARDS A BREACH OF A PARTY’S RESPONSIBILITIES PURSUANT TO SECTION 3.6 (COVENANT NOT TO EXCEED LICENSE), SECTION 9.4 (COMMITMENTS REGARDING PROGRAM-BENEFITED ANTIBODIES), OR ARTICLE 6 (CONFIDENTIALITY; PUBLICITY), IN NO EVENT WILL EITHER PARTY OR ANY OF ITS AFFILIATES BE LIABLE TO THE OTHER PARTY OR ANY OF ITS AFFILIATES FOR SPECIAL, INDIRECT, INCIDENTAL, CONSEQUENTIAL OR PUNITIVE DAMAGES, INCLUDING LOSS OF PROFITS, WHETHER IN CONTRACT, WARRANTY, TORT, NEGLIGENCE, STRICT LIABILITY OR OTHERWISE ARISING OUT OF OR RELATING TO THIS AGREEMENT, THE TRANSACTIONS CONTEMPLATED HEREIN OR ANY BREACH HEREOF.</w:t>
      </w:r>
    </w:p>
    <w:p>
      <w:pPr>
        <w:spacing w:after="0" w:line="12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69" w:right="459"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w:t>
      </w:r>
    </w:p>
    <w:p>
      <w:pPr>
        <w:spacing w:after="0" w:line="225"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9.1 Term</w:t>
      </w:r>
      <w:r>
        <w:rPr>
          <w:rFonts w:ascii="Arial" w:cs="Arial" w:eastAsia="Arial" w:hAnsi="Arial"/>
          <w:sz w:val="17"/>
          <w:szCs w:val="17"/>
          <w:color w:val="auto"/>
        </w:rPr>
        <w:t>. The term (the “</w:t>
      </w:r>
      <w:r>
        <w:rPr>
          <w:rFonts w:ascii="Arial" w:cs="Arial" w:eastAsia="Arial" w:hAnsi="Arial"/>
          <w:sz w:val="17"/>
          <w:szCs w:val="17"/>
          <w:b w:val="1"/>
          <w:bCs w:val="1"/>
          <w:color w:val="auto"/>
        </w:rPr>
        <w:t>Term</w:t>
      </w:r>
      <w:r>
        <w:rPr>
          <w:rFonts w:ascii="Arial" w:cs="Arial" w:eastAsia="Arial" w:hAnsi="Arial"/>
          <w:sz w:val="17"/>
          <w:szCs w:val="17"/>
          <w:color w:val="auto"/>
        </w:rPr>
        <w:t>”) of this Agreement will commence on the Effective Date and will expire upon (a) in the event that no Option is</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 the conclusion of the last-to-expire Evaluation Term; or (b) in the event that an Option is exercised, on a country-by-country and Product-by-Product basis on the expiration of the last Royalty Term for a Product in the particular country, in each case, unless earlier terminated by a Party as set forth in this Article 9 (</w:t>
      </w:r>
      <w:r>
        <w:rPr>
          <w:rFonts w:ascii="Arial" w:cs="Arial" w:eastAsia="Arial" w:hAnsi="Arial"/>
          <w:sz w:val="17"/>
          <w:szCs w:val="17"/>
          <w:i w:val="1"/>
          <w:iCs w:val="1"/>
          <w:color w:val="auto"/>
        </w:rPr>
        <w:t>Term</w:t>
      </w:r>
      <w:r>
        <w:rPr>
          <w:rFonts w:ascii="Arial" w:cs="Arial" w:eastAsia="Arial" w:hAnsi="Arial"/>
          <w:sz w:val="17"/>
          <w:szCs w:val="17"/>
          <w:color w:val="auto"/>
        </w:rPr>
        <w:t>). Upon expiration of the Term pursuant to clause (b) of the previous sentence, on a Product-by-Product and country-by-country basis, all licenses granted to Adagio hereunder with respect to such Product and country will continue on a non-exclusive, fully paid, worldwide, royalty-free, irrevocable basis, including the right to grant and authorize sublicenses.</w:t>
      </w:r>
    </w:p>
    <w:p>
      <w:pPr>
        <w:spacing w:after="0" w:line="173"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9.2 Material Breach</w:t>
      </w:r>
      <w:r>
        <w:rPr>
          <w:rFonts w:ascii="Arial" w:cs="Arial" w:eastAsia="Arial" w:hAnsi="Arial"/>
          <w:sz w:val="17"/>
          <w:szCs w:val="17"/>
          <w:color w:val="auto"/>
        </w:rPr>
        <w:t>. Either Party may terminate this Agreement for the material breach of this Agreement by the other Party, if such breach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remains uncured [***] following written notice from the non-breaching Party to the breaching Party specifying such breach;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Adimab alleges that such breach is that Adagio has failed to comply with its obligations under Section 3.4 (</w:t>
      </w:r>
      <w:r>
        <w:rPr>
          <w:rFonts w:ascii="Arial" w:cs="Arial" w:eastAsia="Arial" w:hAnsi="Arial"/>
          <w:sz w:val="17"/>
          <w:szCs w:val="17"/>
          <w:i w:val="1"/>
          <w:iCs w:val="1"/>
          <w:color w:val="auto"/>
        </w:rPr>
        <w:t>Diligent Development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Commercialization</w:t>
      </w:r>
      <w:r>
        <w:rPr>
          <w:rFonts w:ascii="Arial" w:cs="Arial" w:eastAsia="Arial" w:hAnsi="Arial"/>
          <w:sz w:val="17"/>
          <w:szCs w:val="17"/>
          <w:color w:val="auto"/>
        </w:rPr>
        <w:t>) and such breach is not reasonably capable of cure within such [***] period, then Adagio shall submit to Adimab a plan a for Adagio</w:t>
      </w:r>
      <w:r>
        <w:rPr>
          <w:rFonts w:ascii="Arial" w:cs="Arial" w:eastAsia="Arial" w:hAnsi="Arial"/>
          <w:sz w:val="17"/>
          <w:szCs w:val="17"/>
          <w:i w:val="1"/>
          <w:iCs w:val="1"/>
          <w:color w:val="auto"/>
        </w:rPr>
        <w:t xml:space="preserve"> </w:t>
      </w:r>
      <w:r>
        <w:rPr>
          <w:rFonts w:ascii="Arial" w:cs="Arial" w:eastAsia="Arial" w:hAnsi="Arial"/>
          <w:sz w:val="17"/>
          <w:szCs w:val="17"/>
          <w:color w:val="auto"/>
        </w:rPr>
        <w:t>to regain compliance with Section 3.4 (</w:t>
      </w:r>
      <w:r>
        <w:rPr>
          <w:rFonts w:ascii="Arial" w:cs="Arial" w:eastAsia="Arial" w:hAnsi="Arial"/>
          <w:sz w:val="17"/>
          <w:szCs w:val="17"/>
          <w:i w:val="1"/>
          <w:iCs w:val="1"/>
          <w:color w:val="auto"/>
        </w:rPr>
        <w:t>Diligent Development and Commercialization</w:t>
      </w:r>
      <w:r>
        <w:rPr>
          <w:rFonts w:ascii="Arial" w:cs="Arial" w:eastAsia="Arial" w:hAnsi="Arial"/>
          <w:sz w:val="17"/>
          <w:szCs w:val="17"/>
          <w:color w:val="auto"/>
        </w:rPr>
        <w:t>) and Adimab will have no right to terminate this Agreement so long as Adagio is using Commercially Reasonable Efforts to carry out such plan. Any right to terminate this Agreement under this Section 9.2 (</w:t>
      </w:r>
      <w:r>
        <w:rPr>
          <w:rFonts w:ascii="Arial" w:cs="Arial" w:eastAsia="Arial" w:hAnsi="Arial"/>
          <w:sz w:val="17"/>
          <w:szCs w:val="17"/>
          <w:i w:val="1"/>
          <w:iCs w:val="1"/>
          <w:color w:val="auto"/>
        </w:rPr>
        <w:t>Material</w:t>
      </w:r>
      <w:r>
        <w:rPr>
          <w:rFonts w:ascii="Arial" w:cs="Arial" w:eastAsia="Arial" w:hAnsi="Arial"/>
          <w:sz w:val="17"/>
          <w:szCs w:val="17"/>
          <w:color w:val="auto"/>
        </w:rPr>
        <w:t xml:space="preserve"> </w:t>
      </w:r>
      <w:r>
        <w:rPr>
          <w:rFonts w:ascii="Arial" w:cs="Arial" w:eastAsia="Arial" w:hAnsi="Arial"/>
          <w:sz w:val="17"/>
          <w:szCs w:val="17"/>
          <w:i w:val="1"/>
          <w:iCs w:val="1"/>
          <w:color w:val="auto"/>
        </w:rPr>
        <w:t>Breach</w:t>
      </w:r>
      <w:r>
        <w:rPr>
          <w:rFonts w:ascii="Arial" w:cs="Arial" w:eastAsia="Arial" w:hAnsi="Arial"/>
          <w:sz w:val="17"/>
          <w:szCs w:val="17"/>
          <w:color w:val="auto"/>
        </w:rPr>
        <w:t>) will be stayed and the cure period will be tolled if, during any cure period, the Party alleged to have been in material breach has initiated dispute</w:t>
      </w:r>
      <w:r>
        <w:rPr>
          <w:rFonts w:ascii="Arial" w:cs="Arial" w:eastAsia="Arial" w:hAnsi="Arial"/>
          <w:sz w:val="17"/>
          <w:szCs w:val="17"/>
          <w:i w:val="1"/>
          <w:iCs w:val="1"/>
          <w:color w:val="auto"/>
        </w:rPr>
        <w:t xml:space="preserve"> </w:t>
      </w:r>
      <w:r>
        <w:rPr>
          <w:rFonts w:ascii="Arial" w:cs="Arial" w:eastAsia="Arial" w:hAnsi="Arial"/>
          <w:sz w:val="17"/>
          <w:szCs w:val="17"/>
          <w:color w:val="auto"/>
        </w:rPr>
        <w:t>resolution in accordance with Section 10.2 (</w:t>
      </w:r>
      <w:r>
        <w:rPr>
          <w:rFonts w:ascii="Arial" w:cs="Arial" w:eastAsia="Arial" w:hAnsi="Arial"/>
          <w:sz w:val="17"/>
          <w:szCs w:val="17"/>
          <w:i w:val="1"/>
          <w:iCs w:val="1"/>
          <w:color w:val="auto"/>
        </w:rPr>
        <w:t>Dispute</w:t>
      </w:r>
      <w:r>
        <w:rPr>
          <w:rFonts w:ascii="Arial" w:cs="Arial" w:eastAsia="Arial" w:hAnsi="Arial"/>
          <w:sz w:val="17"/>
          <w:szCs w:val="17"/>
          <w:color w:val="auto"/>
        </w:rPr>
        <w:t>) with respect to the alleged breach, which stay and tolling will continue until such dispute has been resolved in accordance with Section 10.2 (</w:t>
      </w:r>
      <w:r>
        <w:rPr>
          <w:rFonts w:ascii="Arial" w:cs="Arial" w:eastAsia="Arial" w:hAnsi="Arial"/>
          <w:sz w:val="17"/>
          <w:szCs w:val="17"/>
          <w:i w:val="1"/>
          <w:iCs w:val="1"/>
          <w:color w:val="auto"/>
        </w:rPr>
        <w:t>Dispute</w:t>
      </w:r>
      <w:r>
        <w:rPr>
          <w:rFonts w:ascii="Arial" w:cs="Arial" w:eastAsia="Arial" w:hAnsi="Arial"/>
          <w:sz w:val="17"/>
          <w:szCs w:val="17"/>
          <w:color w:val="auto"/>
        </w:rPr>
        <w: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9.3 Termination for Convenience</w:t>
      </w:r>
      <w:r>
        <w:rPr>
          <w:rFonts w:ascii="Arial" w:cs="Arial" w:eastAsia="Arial" w:hAnsi="Arial"/>
          <w:sz w:val="18"/>
          <w:szCs w:val="18"/>
          <w:color w:val="auto"/>
        </w:rPr>
        <w:t>. Adagio may terminate this Agreement at any time upon [***] written notice to Adimab.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9.4 Commitments Regarding Program-Benefited Antibodies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61" w:lineRule="auto"/>
        <w:tabs>
          <w:tab w:leader="none" w:pos="1246"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Program-Benefited Antibodies During the Evaluation Term</w:t>
      </w:r>
      <w:r>
        <w:rPr>
          <w:rFonts w:ascii="Arial" w:cs="Arial" w:eastAsia="Arial" w:hAnsi="Arial"/>
          <w:sz w:val="18"/>
          <w:szCs w:val="18"/>
          <w:color w:val="auto"/>
        </w:rPr>
        <w:t>. During the Evaluation Term with respect to a Research</w:t>
      </w:r>
      <w:r>
        <w:rPr>
          <w:rFonts w:ascii="Arial" w:cs="Arial" w:eastAsia="Arial" w:hAnsi="Arial"/>
          <w:sz w:val="18"/>
          <w:szCs w:val="18"/>
          <w:b w:val="1"/>
          <w:bCs w:val="1"/>
          <w:color w:val="auto"/>
        </w:rPr>
        <w:t xml:space="preserve"> </w:t>
      </w:r>
      <w:r>
        <w:rPr>
          <w:rFonts w:ascii="Arial" w:cs="Arial" w:eastAsia="Arial" w:hAnsi="Arial"/>
          <w:sz w:val="18"/>
          <w:szCs w:val="18"/>
          <w:color w:val="auto"/>
        </w:rPr>
        <w:t>Program, Adagio will not seek to or actually research, develop or commercialize any Program-Benefited Antibody, or product containing the foregoing, other than the activities permitted hereunder during the Research Term and the Evaluation Term for the purpose of determining whether or not to exercise the Option for a given Research Program.</w:t>
      </w:r>
    </w:p>
    <w:p>
      <w:pPr>
        <w:spacing w:after="0" w:line="179" w:lineRule="exact"/>
        <w:rPr>
          <w:rFonts w:ascii="Arial" w:cs="Arial" w:eastAsia="Arial" w:hAnsi="Arial"/>
          <w:sz w:val="18"/>
          <w:szCs w:val="18"/>
          <w:b w:val="1"/>
          <w:bCs w:val="1"/>
          <w:color w:val="auto"/>
        </w:rPr>
      </w:pPr>
    </w:p>
    <w:p>
      <w:pPr>
        <w:ind w:right="40" w:firstLine="987"/>
        <w:spacing w:after="0" w:line="281" w:lineRule="auto"/>
        <w:tabs>
          <w:tab w:leader="none" w:pos="1256" w:val="left"/>
        </w:tabs>
        <w:numPr>
          <w:ilvl w:val="0"/>
          <w:numId w:val="384"/>
        </w:numPr>
        <w:rPr>
          <w:rFonts w:ascii="Arial" w:cs="Arial" w:eastAsia="Arial" w:hAnsi="Arial"/>
          <w:sz w:val="17"/>
          <w:szCs w:val="17"/>
          <w:b w:val="1"/>
          <w:bCs w:val="1"/>
          <w:color w:val="auto"/>
        </w:rPr>
      </w:pPr>
      <w:r>
        <w:rPr>
          <w:rFonts w:ascii="Arial" w:cs="Arial" w:eastAsia="Arial" w:hAnsi="Arial"/>
          <w:sz w:val="17"/>
          <w:szCs w:val="17"/>
          <w:b w:val="1"/>
          <w:bCs w:val="1"/>
          <w:color w:val="auto"/>
        </w:rPr>
        <w:t>Use of Non-Optioned Antibodies After Expiration of the Evaluation Term</w:t>
      </w:r>
      <w:r>
        <w:rPr>
          <w:rFonts w:ascii="Arial" w:cs="Arial" w:eastAsia="Arial" w:hAnsi="Arial"/>
          <w:sz w:val="17"/>
          <w:szCs w:val="17"/>
          <w:color w:val="auto"/>
        </w:rPr>
        <w:t>. Subject to Adagio’s right to identify additional</w:t>
      </w:r>
      <w:r>
        <w:rPr>
          <w:rFonts w:ascii="Arial" w:cs="Arial" w:eastAsia="Arial" w:hAnsi="Arial"/>
          <w:sz w:val="17"/>
          <w:szCs w:val="17"/>
          <w:b w:val="1"/>
          <w:bCs w:val="1"/>
          <w:color w:val="auto"/>
        </w:rPr>
        <w:t xml:space="preserve"> </w:t>
      </w:r>
      <w:r>
        <w:rPr>
          <w:rFonts w:ascii="Arial" w:cs="Arial" w:eastAsia="Arial" w:hAnsi="Arial"/>
          <w:sz w:val="17"/>
          <w:szCs w:val="17"/>
          <w:color w:val="auto"/>
        </w:rPr>
        <w:t>Optioned Antibodies after the Evaluation Term pursuant to Section 3.2(a)(i) (</w:t>
      </w:r>
      <w:r>
        <w:rPr>
          <w:rFonts w:ascii="Arial" w:cs="Arial" w:eastAsia="Arial" w:hAnsi="Arial"/>
          <w:sz w:val="17"/>
          <w:szCs w:val="17"/>
          <w:i w:val="1"/>
          <w:iCs w:val="1"/>
          <w:color w:val="auto"/>
        </w:rPr>
        <w:t>Option Exercise</w:t>
      </w:r>
      <w:r>
        <w:rPr>
          <w:rFonts w:ascii="Arial" w:cs="Arial" w:eastAsia="Arial" w:hAnsi="Arial"/>
          <w:sz w:val="17"/>
          <w:szCs w:val="17"/>
          <w:color w:val="auto"/>
        </w:rPr>
        <w:t>), after the expiration of the Evaluation Term with respect to a Research Program, Adagio and its Licensees will not research, develop, manufacture or commercialize (i) Program-Benefited Antibodies other than Optioned Antibodies, (ii) Optioned Antibodies except as Products under this Agreement, or (iii) Non-Optioned Antibodies.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69" w:right="459" w:bottom="1440" w:gutter="0" w:footer="0" w:header="0"/>
        </w:sectPr>
      </w:pPr>
    </w:p>
    <w:bookmarkStart w:id="492" w:name="page493"/>
    <w:bookmarkEnd w:id="492"/>
    <w:p>
      <w:pPr>
        <w:ind w:firstLine="987"/>
        <w:spacing w:after="0" w:line="256" w:lineRule="auto"/>
        <w:tabs>
          <w:tab w:leader="none" w:pos="1236"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Use of Program-Benefited Antibodies After Termination</w:t>
      </w:r>
      <w:r>
        <w:rPr>
          <w:rFonts w:ascii="Arial" w:cs="Arial" w:eastAsia="Arial" w:hAnsi="Arial"/>
          <w:sz w:val="18"/>
          <w:szCs w:val="18"/>
          <w:color w:val="auto"/>
        </w:rPr>
        <w:t>. If this Agreement expires or terminates (other than an expiration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9.1 (</w:t>
      </w:r>
      <w:r>
        <w:rPr>
          <w:rFonts w:ascii="Arial" w:cs="Arial" w:eastAsia="Arial" w:hAnsi="Arial"/>
          <w:sz w:val="18"/>
          <w:szCs w:val="18"/>
          <w:i w:val="1"/>
          <w:iCs w:val="1"/>
          <w:color w:val="auto"/>
        </w:rPr>
        <w:t>Term</w:t>
      </w:r>
      <w:r>
        <w:rPr>
          <w:rFonts w:ascii="Arial" w:cs="Arial" w:eastAsia="Arial" w:hAnsi="Arial"/>
          <w:sz w:val="18"/>
          <w:szCs w:val="18"/>
          <w:color w:val="auto"/>
        </w:rPr>
        <w:t>) following an Option exercise after all applicable Royalty Terms have expired), Adagio and its Licensees (i) will not research, develop, manufacture or commercialize any Program-Benefited Antibody or Product containing a Program-Benefited Antibody, (ii) will not license or otherwise grant rights to any entity to do the foregoing, and (iii) will not practice, license, or assign to a Third Party, option to a Third Party, or covenant not to sue a Third Party, with respect to Program Antibody Patents, Program-Benefited Antibodies, or products containing them (in each case, regardless of inventorship).</w:t>
      </w:r>
    </w:p>
    <w:p>
      <w:pPr>
        <w:spacing w:after="0" w:line="187" w:lineRule="exact"/>
        <w:rPr>
          <w:rFonts w:ascii="Arial" w:cs="Arial" w:eastAsia="Arial" w:hAnsi="Arial"/>
          <w:sz w:val="18"/>
          <w:szCs w:val="18"/>
          <w:b w:val="1"/>
          <w:bCs w:val="1"/>
          <w:color w:val="auto"/>
        </w:rPr>
      </w:pPr>
    </w:p>
    <w:p>
      <w:pPr>
        <w:ind w:right="40" w:firstLine="987"/>
        <w:spacing w:after="0" w:line="269" w:lineRule="auto"/>
        <w:tabs>
          <w:tab w:leader="none" w:pos="1256" w:val="left"/>
        </w:tabs>
        <w:numPr>
          <w:ilvl w:val="0"/>
          <w:numId w:val="385"/>
        </w:numPr>
        <w:rPr>
          <w:rFonts w:ascii="Arial" w:cs="Arial" w:eastAsia="Arial" w:hAnsi="Arial"/>
          <w:sz w:val="17"/>
          <w:szCs w:val="17"/>
          <w:b w:val="1"/>
          <w:bCs w:val="1"/>
          <w:color w:val="auto"/>
        </w:rPr>
      </w:pPr>
      <w:r>
        <w:rPr>
          <w:rFonts w:ascii="Arial" w:cs="Arial" w:eastAsia="Arial" w:hAnsi="Arial"/>
          <w:sz w:val="17"/>
          <w:szCs w:val="17"/>
          <w:b w:val="1"/>
          <w:bCs w:val="1"/>
          <w:color w:val="auto"/>
        </w:rPr>
        <w:t>Payment Commitment for Program-Benefited Antibodies and Adimab Validated Antigen</w:t>
      </w:r>
      <w:r>
        <w:rPr>
          <w:rFonts w:ascii="Arial" w:cs="Arial" w:eastAsia="Arial" w:hAnsi="Arial"/>
          <w:sz w:val="17"/>
          <w:szCs w:val="17"/>
          <w:color w:val="auto"/>
        </w:rPr>
        <w:t>. It is the intent of the Parties that</w:t>
      </w:r>
      <w:r>
        <w:rPr>
          <w:rFonts w:ascii="Arial" w:cs="Arial" w:eastAsia="Arial" w:hAnsi="Arial"/>
          <w:sz w:val="17"/>
          <w:szCs w:val="17"/>
          <w:b w:val="1"/>
          <w:bCs w:val="1"/>
          <w:color w:val="auto"/>
        </w:rPr>
        <w:t xml:space="preserve"> </w:t>
      </w:r>
      <w:r>
        <w:rPr>
          <w:rFonts w:ascii="Arial" w:cs="Arial" w:eastAsia="Arial" w:hAnsi="Arial"/>
          <w:sz w:val="17"/>
          <w:szCs w:val="17"/>
          <w:color w:val="auto"/>
        </w:rPr>
        <w:t>Adagio and its Licensees will pay the Option Fee, Milestone Payments and Royalty Payments in accordance with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with respect to Program-Benefited Antibodies and Adimab Validated Antigens researched, developed, manufactured and commercialized by Adagio or its Licensees. Accordingly, the Parties agree that if Adagio or any of its Licensees researches, develops, manufactures, or commercializes any Program-Benefited Antibody or Adimab Validated Antigen, then Adagio will pay to Adimab the fees set forth in Article 4 (</w:t>
      </w:r>
      <w:r>
        <w:rPr>
          <w:rFonts w:ascii="Arial" w:cs="Arial" w:eastAsia="Arial" w:hAnsi="Arial"/>
          <w:sz w:val="17"/>
          <w:szCs w:val="17"/>
          <w:i w:val="1"/>
          <w:iCs w:val="1"/>
          <w:color w:val="auto"/>
        </w:rPr>
        <w:t>Financial Terms</w:t>
      </w:r>
      <w:r>
        <w:rPr>
          <w:rFonts w:ascii="Arial" w:cs="Arial" w:eastAsia="Arial" w:hAnsi="Arial"/>
          <w:sz w:val="17"/>
          <w:szCs w:val="17"/>
          <w:color w:val="auto"/>
        </w:rPr>
        <w:t>), including the Option Fee, Milestone Payments and Royalty Payments, as applicable, on the Program-Benefited Antibody or Adimab Validated Antigen as (or as if) a Product under this Agreement. Adagio shall include in each Licensee Agreement an obligation on the part of the applicable Licensee, in the event that Adagio is unwilling or unable to pay to Adimab any Milestone Payments and Royalty Payments that become due hereunder with respect to Optioned Antibodies or Adimab Validated Antigen developed or commercialized by such Licensee (because, for example, of the dissolution of Adagio for bankruptcy or other reasons), to make such payments owed to Adimab directly to Adimab. For clarity, in the event of breach of this Agreement (including breach of the other subsections of this Section 9.4 (</w:t>
      </w:r>
      <w:r>
        <w:rPr>
          <w:rFonts w:ascii="Arial" w:cs="Arial" w:eastAsia="Arial" w:hAnsi="Arial"/>
          <w:sz w:val="17"/>
          <w:szCs w:val="17"/>
          <w:i w:val="1"/>
          <w:iCs w:val="1"/>
          <w:color w:val="auto"/>
        </w:rPr>
        <w:t>Commitments Regarding Program-Benefited Antibodies</w:t>
      </w:r>
      <w:r>
        <w:rPr>
          <w:rFonts w:ascii="Arial" w:cs="Arial" w:eastAsia="Arial" w:hAnsi="Arial"/>
          <w:sz w:val="17"/>
          <w:szCs w:val="17"/>
          <w:color w:val="auto"/>
        </w:rPr>
        <w:t>)), the payment obligations described in this Section 9.4(d) (</w:t>
      </w:r>
      <w:r>
        <w:rPr>
          <w:rFonts w:ascii="Arial" w:cs="Arial" w:eastAsia="Arial" w:hAnsi="Arial"/>
          <w:sz w:val="17"/>
          <w:szCs w:val="17"/>
          <w:i w:val="1"/>
          <w:iCs w:val="1"/>
          <w:color w:val="auto"/>
        </w:rPr>
        <w:t>Payment Commitment for Program-Benefited Antibodies</w:t>
      </w:r>
      <w:r>
        <w:rPr>
          <w:rFonts w:ascii="Arial" w:cs="Arial" w:eastAsia="Arial" w:hAnsi="Arial"/>
          <w:sz w:val="17"/>
          <w:szCs w:val="17"/>
          <w:color w:val="auto"/>
        </w:rPr>
        <w:t>) will be in addition to any other remedies available to Adimab as a result of a breach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9.5 Survival in All Cases</w:t>
      </w:r>
      <w:r>
        <w:rPr>
          <w:rFonts w:ascii="Arial" w:cs="Arial" w:eastAsia="Arial" w:hAnsi="Arial"/>
          <w:sz w:val="17"/>
          <w:szCs w:val="17"/>
          <w:color w:val="auto"/>
        </w:rPr>
        <w:t>. Termination of this Agreement will be without prejudice to or limitation on any other remedies available to nor any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accrued obligations of either Party. In addition, Section 2.3 (</w:t>
      </w:r>
      <w:r>
        <w:rPr>
          <w:rFonts w:ascii="Arial" w:cs="Arial" w:eastAsia="Arial" w:hAnsi="Arial"/>
          <w:sz w:val="17"/>
          <w:szCs w:val="17"/>
          <w:i w:val="1"/>
          <w:iCs w:val="1"/>
          <w:color w:val="auto"/>
        </w:rPr>
        <w:t>Reports; Records</w:t>
      </w:r>
      <w:r>
        <w:rPr>
          <w:rFonts w:ascii="Arial" w:cs="Arial" w:eastAsia="Arial" w:hAnsi="Arial"/>
          <w:sz w:val="17"/>
          <w:szCs w:val="17"/>
          <w:color w:val="auto"/>
        </w:rPr>
        <w:t>), Section 2.4 (</w:t>
      </w:r>
      <w:r>
        <w:rPr>
          <w:rFonts w:ascii="Arial" w:cs="Arial" w:eastAsia="Arial" w:hAnsi="Arial"/>
          <w:sz w:val="17"/>
          <w:szCs w:val="17"/>
          <w:i w:val="1"/>
          <w:iCs w:val="1"/>
          <w:color w:val="auto"/>
        </w:rPr>
        <w:t>Adimab Materials</w:t>
      </w:r>
      <w:r>
        <w:rPr>
          <w:rFonts w:ascii="Arial" w:cs="Arial" w:eastAsia="Arial" w:hAnsi="Arial"/>
          <w:sz w:val="17"/>
          <w:szCs w:val="17"/>
          <w:color w:val="auto"/>
        </w:rPr>
        <w:t>), Section 2.5 (</w:t>
      </w:r>
      <w:r>
        <w:rPr>
          <w:rFonts w:ascii="Arial" w:cs="Arial" w:eastAsia="Arial" w:hAnsi="Arial"/>
          <w:sz w:val="17"/>
          <w:szCs w:val="17"/>
          <w:i w:val="1"/>
          <w:iCs w:val="1"/>
          <w:color w:val="auto"/>
        </w:rPr>
        <w:t>Adagio Materials</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2.6 (</w:t>
      </w:r>
      <w:r>
        <w:rPr>
          <w:rFonts w:ascii="Arial" w:cs="Arial" w:eastAsia="Arial" w:hAnsi="Arial"/>
          <w:sz w:val="17"/>
          <w:szCs w:val="17"/>
          <w:i w:val="1"/>
          <w:iCs w:val="1"/>
          <w:color w:val="auto"/>
        </w:rPr>
        <w:t>Certain Restrictions on the Use of Naïve Libraries and Antibodies</w:t>
      </w:r>
      <w:r>
        <w:rPr>
          <w:rFonts w:ascii="Arial" w:cs="Arial" w:eastAsia="Arial" w:hAnsi="Arial"/>
          <w:sz w:val="17"/>
          <w:szCs w:val="17"/>
          <w:color w:val="auto"/>
        </w:rPr>
        <w:t>), Section 3.5 (</w:t>
      </w:r>
      <w:r>
        <w:rPr>
          <w:rFonts w:ascii="Arial" w:cs="Arial" w:eastAsia="Arial" w:hAnsi="Arial"/>
          <w:sz w:val="17"/>
          <w:szCs w:val="17"/>
          <w:i w:val="1"/>
          <w:iCs w:val="1"/>
          <w:color w:val="auto"/>
        </w:rPr>
        <w:t>No Implied Licenses</w:t>
      </w:r>
      <w:r>
        <w:rPr>
          <w:rFonts w:ascii="Arial" w:cs="Arial" w:eastAsia="Arial" w:hAnsi="Arial"/>
          <w:sz w:val="17"/>
          <w:szCs w:val="17"/>
          <w:color w:val="auto"/>
        </w:rPr>
        <w:t>), Section 3.6 (</w:t>
      </w:r>
      <w:r>
        <w:rPr>
          <w:rFonts w:ascii="Arial" w:cs="Arial" w:eastAsia="Arial" w:hAnsi="Arial"/>
          <w:sz w:val="17"/>
          <w:szCs w:val="17"/>
          <w:i w:val="1"/>
          <w:iCs w:val="1"/>
          <w:color w:val="auto"/>
        </w:rPr>
        <w:t>Covenant Not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Exceed License</w:t>
      </w:r>
      <w:r>
        <w:rPr>
          <w:rFonts w:ascii="Arial" w:cs="Arial" w:eastAsia="Arial" w:hAnsi="Arial"/>
          <w:sz w:val="16"/>
          <w:szCs w:val="16"/>
          <w:color w:val="auto"/>
        </w:rPr>
        <w:t>), Section 4.6 (</w:t>
      </w:r>
      <w:r>
        <w:rPr>
          <w:rFonts w:ascii="Arial" w:cs="Arial" w:eastAsia="Arial" w:hAnsi="Arial"/>
          <w:sz w:val="16"/>
          <w:szCs w:val="16"/>
          <w:i w:val="1"/>
          <w:iCs w:val="1"/>
          <w:color w:val="auto"/>
        </w:rPr>
        <w:t>Quarterly Payment Timings</w:t>
      </w:r>
      <w:r>
        <w:rPr>
          <w:rFonts w:ascii="Arial" w:cs="Arial" w:eastAsia="Arial" w:hAnsi="Arial"/>
          <w:sz w:val="16"/>
          <w:szCs w:val="16"/>
          <w:color w:val="auto"/>
        </w:rPr>
        <w:t>) through Section 4.14 (</w:t>
      </w:r>
      <w:r>
        <w:rPr>
          <w:rFonts w:ascii="Arial" w:cs="Arial" w:eastAsia="Arial" w:hAnsi="Arial"/>
          <w:sz w:val="16"/>
          <w:szCs w:val="16"/>
          <w:i w:val="1"/>
          <w:iCs w:val="1"/>
          <w:color w:val="auto"/>
        </w:rPr>
        <w:t>Late Payments</w:t>
      </w:r>
      <w:r>
        <w:rPr>
          <w:rFonts w:ascii="Arial" w:cs="Arial" w:eastAsia="Arial" w:hAnsi="Arial"/>
          <w:sz w:val="16"/>
          <w:szCs w:val="16"/>
          <w:color w:val="auto"/>
        </w:rPr>
        <w:t>) (with respect to payment obligations outstanding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having accrued as the effective date of termination or expiration), Section 5.1 (</w:t>
      </w:r>
      <w:r>
        <w:rPr>
          <w:rFonts w:ascii="Arial" w:cs="Arial" w:eastAsia="Arial" w:hAnsi="Arial"/>
          <w:sz w:val="17"/>
          <w:szCs w:val="17"/>
          <w:i w:val="1"/>
          <w:iCs w:val="1"/>
          <w:color w:val="auto"/>
        </w:rPr>
        <w:t>Ownership and Inventorship</w:t>
      </w:r>
      <w:r>
        <w:rPr>
          <w:rFonts w:ascii="Arial" w:cs="Arial" w:eastAsia="Arial" w:hAnsi="Arial"/>
          <w:sz w:val="17"/>
          <w:szCs w:val="17"/>
          <w:color w:val="auto"/>
        </w:rPr>
        <w:t>), Section 5.2 (</w:t>
      </w:r>
      <w:r>
        <w:rPr>
          <w:rFonts w:ascii="Arial" w:cs="Arial" w:eastAsia="Arial" w:hAnsi="Arial"/>
          <w:sz w:val="17"/>
          <w:szCs w:val="17"/>
          <w:i w:val="1"/>
          <w:iCs w:val="1"/>
          <w:color w:val="auto"/>
        </w:rPr>
        <w:t>Assignment</w:t>
      </w:r>
      <w:r>
        <w:rPr>
          <w:rFonts w:ascii="Arial" w:cs="Arial" w:eastAsia="Arial" w:hAnsi="Arial"/>
          <w:sz w:val="17"/>
          <w:szCs w:val="17"/>
          <w:color w:val="auto"/>
        </w:rPr>
        <w:t>), Section 5.4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Program Patent Prosecution and Maintenance</w:t>
      </w:r>
      <w:r>
        <w:rPr>
          <w:rFonts w:ascii="Arial" w:cs="Arial" w:eastAsia="Arial" w:hAnsi="Arial"/>
          <w:sz w:val="17"/>
          <w:szCs w:val="17"/>
          <w:color w:val="auto"/>
        </w:rPr>
        <w:t>), Section 5.5 (</w:t>
      </w:r>
      <w:r>
        <w:rPr>
          <w:rFonts w:ascii="Arial" w:cs="Arial" w:eastAsia="Arial" w:hAnsi="Arial"/>
          <w:sz w:val="17"/>
          <w:szCs w:val="17"/>
          <w:i w:val="1"/>
          <w:iCs w:val="1"/>
          <w:color w:val="auto"/>
        </w:rPr>
        <w:t>Cooperation of the Parties</w:t>
      </w:r>
      <w:r>
        <w:rPr>
          <w:rFonts w:ascii="Arial" w:cs="Arial" w:eastAsia="Arial" w:hAnsi="Arial"/>
          <w:sz w:val="17"/>
          <w:szCs w:val="17"/>
          <w:color w:val="auto"/>
        </w:rPr>
        <w:t>), Section 7.3 (</w:t>
      </w:r>
      <w:r>
        <w:rPr>
          <w:rFonts w:ascii="Arial" w:cs="Arial" w:eastAsia="Arial" w:hAnsi="Arial"/>
          <w:sz w:val="17"/>
          <w:szCs w:val="17"/>
          <w:i w:val="1"/>
          <w:iCs w:val="1"/>
          <w:color w:val="auto"/>
        </w:rPr>
        <w:t>Disclaimer of Warranties</w:t>
      </w:r>
      <w:r>
        <w:rPr>
          <w:rFonts w:ascii="Arial" w:cs="Arial" w:eastAsia="Arial" w:hAnsi="Arial"/>
          <w:sz w:val="17"/>
          <w:szCs w:val="17"/>
          <w:color w:val="auto"/>
        </w:rPr>
        <w:t>), Section 9.4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Commitments Regarding Program-Benefited Antibodies</w:t>
      </w:r>
      <w:r>
        <w:rPr>
          <w:rFonts w:ascii="Arial" w:cs="Arial" w:eastAsia="Arial" w:hAnsi="Arial"/>
          <w:sz w:val="17"/>
          <w:szCs w:val="17"/>
          <w:color w:val="auto"/>
        </w:rPr>
        <w:t>), Section 0.5 (</w:t>
      </w:r>
      <w:r>
        <w:rPr>
          <w:rFonts w:ascii="Arial" w:cs="Arial" w:eastAsia="Arial" w:hAnsi="Arial"/>
          <w:sz w:val="17"/>
          <w:szCs w:val="17"/>
          <w:i w:val="1"/>
          <w:iCs w:val="1"/>
          <w:color w:val="auto"/>
        </w:rPr>
        <w:t>Survival in All Cases</w:t>
      </w:r>
      <w:r>
        <w:rPr>
          <w:rFonts w:ascii="Arial" w:cs="Arial" w:eastAsia="Arial" w:hAnsi="Arial"/>
          <w:sz w:val="17"/>
          <w:szCs w:val="17"/>
          <w:color w:val="auto"/>
        </w:rPr>
        <w:t>), Section 9.6 (</w:t>
      </w:r>
      <w:r>
        <w:rPr>
          <w:rFonts w:ascii="Arial" w:cs="Arial" w:eastAsia="Arial" w:hAnsi="Arial"/>
          <w:sz w:val="17"/>
          <w:szCs w:val="17"/>
          <w:i w:val="1"/>
          <w:iCs w:val="1"/>
          <w:color w:val="auto"/>
        </w:rPr>
        <w:t>Return of Adimab Materials</w:t>
      </w:r>
      <w:r>
        <w:rPr>
          <w:rFonts w:ascii="Arial" w:cs="Arial" w:eastAsia="Arial" w:hAnsi="Arial"/>
          <w:sz w:val="17"/>
          <w:szCs w:val="17"/>
          <w:color w:val="auto"/>
        </w:rPr>
        <w:t>),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9.7 (</w:t>
      </w:r>
      <w:r>
        <w:rPr>
          <w:rFonts w:ascii="Arial" w:cs="Arial" w:eastAsia="Arial" w:hAnsi="Arial"/>
          <w:sz w:val="16"/>
          <w:szCs w:val="16"/>
          <w:i w:val="1"/>
          <w:iCs w:val="1"/>
          <w:color w:val="auto"/>
        </w:rPr>
        <w:t>Survival of Licensee Agreements</w:t>
      </w:r>
      <w:r>
        <w:rPr>
          <w:rFonts w:ascii="Arial" w:cs="Arial" w:eastAsia="Arial" w:hAnsi="Arial"/>
          <w:sz w:val="16"/>
          <w:szCs w:val="16"/>
          <w:color w:val="auto"/>
        </w:rPr>
        <w:t>), and Article 1 (</w:t>
      </w:r>
      <w:r>
        <w:rPr>
          <w:rFonts w:ascii="Arial" w:cs="Arial" w:eastAsia="Arial" w:hAnsi="Arial"/>
          <w:sz w:val="16"/>
          <w:szCs w:val="16"/>
          <w:i w:val="1"/>
          <w:iCs w:val="1"/>
          <w:color w:val="auto"/>
        </w:rPr>
        <w:t>Definitions</w:t>
      </w:r>
      <w:r>
        <w:rPr>
          <w:rFonts w:ascii="Arial" w:cs="Arial" w:eastAsia="Arial" w:hAnsi="Arial"/>
          <w:sz w:val="16"/>
          <w:szCs w:val="16"/>
          <w:color w:val="auto"/>
        </w:rPr>
        <w:t>), Article 6 (</w:t>
      </w:r>
      <w:r>
        <w:rPr>
          <w:rFonts w:ascii="Arial" w:cs="Arial" w:eastAsia="Arial" w:hAnsi="Arial"/>
          <w:sz w:val="16"/>
          <w:szCs w:val="16"/>
          <w:i w:val="1"/>
          <w:iCs w:val="1"/>
          <w:color w:val="auto"/>
        </w:rPr>
        <w:t>Confidentiality; Publicity</w:t>
      </w:r>
      <w:r>
        <w:rPr>
          <w:rFonts w:ascii="Arial" w:cs="Arial" w:eastAsia="Arial" w:hAnsi="Arial"/>
          <w:sz w:val="16"/>
          <w:szCs w:val="16"/>
          <w:color w:val="auto"/>
        </w:rPr>
        <w:t>), Article 8 (</w:t>
      </w:r>
      <w:r>
        <w:rPr>
          <w:rFonts w:ascii="Arial" w:cs="Arial" w:eastAsia="Arial" w:hAnsi="Arial"/>
          <w:sz w:val="16"/>
          <w:szCs w:val="16"/>
          <w:i w:val="1"/>
          <w:iCs w:val="1"/>
          <w:color w:val="auto"/>
        </w:rPr>
        <w:t>Indemnification</w:t>
      </w:r>
      <w:r>
        <w:rPr>
          <w:rFonts w:ascii="Arial" w:cs="Arial" w:eastAsia="Arial" w:hAnsi="Arial"/>
          <w:sz w:val="16"/>
          <w:szCs w:val="16"/>
          <w:color w:val="auto"/>
        </w:rPr>
        <w:t>), and Article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10 (</w:t>
      </w:r>
      <w:r>
        <w:rPr>
          <w:rFonts w:ascii="Arial" w:cs="Arial" w:eastAsia="Arial" w:hAnsi="Arial"/>
          <w:sz w:val="18"/>
          <w:szCs w:val="18"/>
          <w:i w:val="1"/>
          <w:iCs w:val="1"/>
          <w:color w:val="auto"/>
        </w:rPr>
        <w:t>Miscellaneous</w:t>
      </w:r>
      <w:r>
        <w:rPr>
          <w:rFonts w:ascii="Arial" w:cs="Arial" w:eastAsia="Arial" w:hAnsi="Arial"/>
          <w:sz w:val="18"/>
          <w:szCs w:val="18"/>
          <w:color w:val="auto"/>
        </w:rPr>
        <w:t>) will survive any expiration or termination of this Agreement.</w:t>
      </w:r>
    </w:p>
    <w:p>
      <w:pPr>
        <w:spacing w:after="0" w:line="207"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b w:val="1"/>
          <w:bCs w:val="1"/>
          <w:color w:val="auto"/>
        </w:rPr>
        <w:t>9.6 Return of Adimab Materials</w:t>
      </w:r>
      <w:r>
        <w:rPr>
          <w:rFonts w:ascii="Arial" w:cs="Arial" w:eastAsia="Arial" w:hAnsi="Arial"/>
          <w:sz w:val="18"/>
          <w:szCs w:val="18"/>
          <w:color w:val="auto"/>
        </w:rPr>
        <w:t>. Adagio will either return to Adimab or destroy (at Adimab’s direction) all Adimab Materials (other than</w:t>
      </w:r>
      <w:r>
        <w:rPr>
          <w:rFonts w:ascii="Arial" w:cs="Arial" w:eastAsia="Arial" w:hAnsi="Arial"/>
          <w:sz w:val="18"/>
          <w:szCs w:val="18"/>
          <w:b w:val="1"/>
          <w:bCs w:val="1"/>
          <w:color w:val="auto"/>
        </w:rPr>
        <w:t xml:space="preserve"> </w:t>
      </w:r>
      <w:r>
        <w:rPr>
          <w:rFonts w:ascii="Arial" w:cs="Arial" w:eastAsia="Arial" w:hAnsi="Arial"/>
          <w:sz w:val="18"/>
          <w:szCs w:val="18"/>
          <w:color w:val="auto"/>
        </w:rPr>
        <w:t>Adimab Materials relating to Optioned Antibodies) upon expiration or termination of the Evaluation Term without the Option being exercised, and all Adimab Materials on expiration or termination of this Agreement.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69" w:right="459" w:bottom="1440" w:gutter="0" w:footer="0" w:header="0"/>
        </w:sectPr>
      </w:pPr>
    </w:p>
    <w:bookmarkStart w:id="493" w:name="page494"/>
    <w:bookmarkEnd w:id="493"/>
    <w:p>
      <w:pPr>
        <w:ind w:right="180" w:firstLine="44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 Survival of Licensee Agreements</w:t>
      </w:r>
      <w:r>
        <w:rPr>
          <w:rFonts w:ascii="Arial" w:cs="Arial" w:eastAsia="Arial" w:hAnsi="Arial"/>
          <w:sz w:val="16"/>
          <w:szCs w:val="16"/>
          <w:color w:val="auto"/>
        </w:rPr>
        <w:t>. In the event that: (a) Adagio has entered into a Licensee Agreement consistent with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(including the provisions of Section 3.2(b)(iii) (</w:t>
      </w:r>
      <w:r>
        <w:rPr>
          <w:rFonts w:ascii="Arial" w:cs="Arial" w:eastAsia="Arial" w:hAnsi="Arial"/>
          <w:sz w:val="16"/>
          <w:szCs w:val="16"/>
          <w:i w:val="1"/>
          <w:iCs w:val="1"/>
          <w:color w:val="auto"/>
        </w:rPr>
        <w:t>Licensees</w:t>
      </w:r>
      <w:r>
        <w:rPr>
          <w:rFonts w:ascii="Arial" w:cs="Arial" w:eastAsia="Arial" w:hAnsi="Arial"/>
          <w:sz w:val="16"/>
          <w:szCs w:val="16"/>
          <w:color w:val="auto"/>
        </w:rPr>
        <w:t xml:space="preserve">)), which Licensee Agreement includes either (i) worldwide commercialization rights, or (ii) commercialization rights for, at a minimum, [***]; (b) this Agreement is terminated; and (c) such Licensee Agreement is in effect at the time of such termination; then such Licensee Agreement will survive such termination of this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Licensee will assume all of Adagio’s obligations hereunder with respect to the Program-Benefited Antibodies covered by such Licensee Agreement (including those obligations set forth in Section 2.3(b) (</w:t>
      </w:r>
      <w:r>
        <w:rPr>
          <w:rFonts w:ascii="Arial" w:cs="Arial" w:eastAsia="Arial" w:hAnsi="Arial"/>
          <w:sz w:val="16"/>
          <w:szCs w:val="16"/>
          <w:i w:val="1"/>
          <w:iCs w:val="1"/>
          <w:color w:val="auto"/>
        </w:rPr>
        <w:t>Reports By Adagio</w:t>
      </w:r>
      <w:r>
        <w:rPr>
          <w:rFonts w:ascii="Arial" w:cs="Arial" w:eastAsia="Arial" w:hAnsi="Arial"/>
          <w:sz w:val="16"/>
          <w:szCs w:val="16"/>
          <w:color w:val="auto"/>
        </w:rPr>
        <w:t>) and Section 3.4 (</w:t>
      </w:r>
      <w:r>
        <w:rPr>
          <w:rFonts w:ascii="Arial" w:cs="Arial" w:eastAsia="Arial" w:hAnsi="Arial"/>
          <w:sz w:val="16"/>
          <w:szCs w:val="16"/>
          <w:i w:val="1"/>
          <w:iCs w:val="1"/>
          <w:color w:val="auto"/>
        </w:rPr>
        <w:t>Diligent Development and Commercialization</w:t>
      </w:r>
      <w:r>
        <w:rPr>
          <w:rFonts w:ascii="Arial" w:cs="Arial" w:eastAsia="Arial" w:hAnsi="Arial"/>
          <w:sz w:val="16"/>
          <w:szCs w:val="16"/>
          <w:color w:val="auto"/>
        </w:rPr>
        <w:t>)) and pays to Adimab all amounts that would have been due to Adimab from Adagio as a result of Licensee’s activities under the scope of the Licensee Agreement (including those obligations set forth in Article 4 (</w:t>
      </w:r>
      <w:r>
        <w:rPr>
          <w:rFonts w:ascii="Arial" w:cs="Arial" w:eastAsia="Arial" w:hAnsi="Arial"/>
          <w:sz w:val="16"/>
          <w:szCs w:val="16"/>
          <w:i w:val="1"/>
          <w:iCs w:val="1"/>
          <w:color w:val="auto"/>
        </w:rPr>
        <w:t>Financial Terms</w:t>
      </w:r>
      <w:r>
        <w:rPr>
          <w:rFonts w:ascii="Arial" w:cs="Arial" w:eastAsia="Arial" w:hAnsi="Arial"/>
          <w:sz w:val="16"/>
          <w:szCs w:val="16"/>
          <w:color w:val="auto"/>
        </w:rPr>
        <w:t>)) and otherwise accepts Adagio’s responsibilities hereunder (as applicable to such Licensee), including those set forth in Section 9.4 (</w:t>
      </w:r>
      <w:r>
        <w:rPr>
          <w:rFonts w:ascii="Arial" w:cs="Arial" w:eastAsia="Arial" w:hAnsi="Arial"/>
          <w:sz w:val="16"/>
          <w:szCs w:val="16"/>
          <w:i w:val="1"/>
          <w:iCs w:val="1"/>
          <w:color w:val="auto"/>
        </w:rPr>
        <w:t>Commitments Regarding Program-Benefited Antibodies</w:t>
      </w:r>
      <w:r>
        <w:rPr>
          <w:rFonts w:ascii="Arial" w:cs="Arial" w:eastAsia="Arial" w:hAnsi="Arial"/>
          <w:sz w:val="16"/>
          <w:szCs w:val="16"/>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20" w:firstLine="440"/>
        <w:spacing w:after="0" w:line="314" w:lineRule="auto"/>
        <w:rPr>
          <w:sz w:val="20"/>
          <w:szCs w:val="20"/>
          <w:color w:val="auto"/>
        </w:rPr>
      </w:pPr>
      <w:r>
        <w:rPr>
          <w:rFonts w:ascii="Arial" w:cs="Arial" w:eastAsia="Arial" w:hAnsi="Arial"/>
          <w:sz w:val="16"/>
          <w:szCs w:val="16"/>
          <w:b w:val="1"/>
          <w:bCs w:val="1"/>
          <w:color w:val="auto"/>
        </w:rPr>
        <w:t>10.1 Independent Contractors</w:t>
      </w:r>
      <w:r>
        <w:rPr>
          <w:rFonts w:ascii="Arial" w:cs="Arial" w:eastAsia="Arial" w:hAnsi="Arial"/>
          <w:sz w:val="16"/>
          <w:szCs w:val="16"/>
          <w:color w:val="auto"/>
        </w:rPr>
        <w:t>. The Parties will perform their obligations under this Agreement as independent contractors. Nothing contained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will be construed to be inconsistent with such relationship or status. This Agreement and the Parties’ relationship in connection with it will not constitute, create or in any way be interpreted as a joint venture, fiduciary relationship, partnership, or agency of any kind.</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10.2 Dispute Resolution</w:t>
      </w:r>
      <w:r>
        <w:rPr>
          <w:rFonts w:ascii="Arial" w:cs="Arial" w:eastAsia="Arial" w:hAnsi="Arial"/>
          <w:sz w:val="18"/>
          <w:szCs w:val="18"/>
          <w:color w:val="auto"/>
        </w:rPr>
        <w:t>.</w:t>
      </w:r>
    </w:p>
    <w:p>
      <w:pPr>
        <w:spacing w:after="0" w:line="225" w:lineRule="exact"/>
        <w:rPr>
          <w:sz w:val="20"/>
          <w:szCs w:val="20"/>
          <w:color w:val="auto"/>
        </w:rPr>
      </w:pPr>
    </w:p>
    <w:p>
      <w:pPr>
        <w:jc w:val="both"/>
        <w:ind w:right="400" w:firstLine="987"/>
        <w:spacing w:after="0" w:line="261" w:lineRule="auto"/>
        <w:tabs>
          <w:tab w:leader="none" w:pos="1246"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Initial Dispute Resolution</w:t>
      </w:r>
      <w:r>
        <w:rPr>
          <w:rFonts w:ascii="Arial" w:cs="Arial" w:eastAsia="Arial" w:hAnsi="Arial"/>
          <w:sz w:val="18"/>
          <w:szCs w:val="18"/>
          <w:color w:val="auto"/>
        </w:rPr>
        <w:t>. Subject to Section 10.2(d) (</w:t>
      </w:r>
      <w:r>
        <w:rPr>
          <w:rFonts w:ascii="Arial" w:cs="Arial" w:eastAsia="Arial" w:hAnsi="Arial"/>
          <w:sz w:val="18"/>
          <w:szCs w:val="18"/>
          <w:i w:val="1"/>
          <w:iCs w:val="1"/>
          <w:color w:val="auto"/>
        </w:rPr>
        <w:t>Court Actions</w:t>
      </w:r>
      <w:r>
        <w:rPr>
          <w:rFonts w:ascii="Arial" w:cs="Arial" w:eastAsia="Arial" w:hAnsi="Arial"/>
          <w:sz w:val="18"/>
          <w:szCs w:val="18"/>
          <w:color w:val="auto"/>
        </w:rPr>
        <w:t>), either Party may refer any dispute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w:t>
      </w:r>
      <w:r>
        <w:rPr>
          <w:rFonts w:ascii="Arial" w:cs="Arial" w:eastAsia="Arial" w:hAnsi="Arial"/>
          <w:sz w:val="18"/>
          <w:szCs w:val="18"/>
          <w:b w:val="1"/>
          <w:bCs w:val="1"/>
          <w:color w:val="auto"/>
        </w:rPr>
        <w:t>Dispute</w:t>
      </w:r>
      <w:r>
        <w:rPr>
          <w:rFonts w:ascii="Arial" w:cs="Arial" w:eastAsia="Arial" w:hAnsi="Arial"/>
          <w:sz w:val="18"/>
          <w:szCs w:val="18"/>
          <w:color w:val="auto"/>
        </w:rPr>
        <w:t>”) not resolved by discussion of the Alliance Managers to senior executives of the Parties (for Adimab, [***] and for Adagio, [***]) for good-faith discussions over a period of not less than [***] (the “</w:t>
      </w:r>
      <w:r>
        <w:rPr>
          <w:rFonts w:ascii="Arial" w:cs="Arial" w:eastAsia="Arial" w:hAnsi="Arial"/>
          <w:sz w:val="18"/>
          <w:szCs w:val="18"/>
          <w:b w:val="1"/>
          <w:bCs w:val="1"/>
          <w:color w:val="auto"/>
        </w:rPr>
        <w:t>Senior Executives Discussions</w:t>
      </w:r>
      <w:r>
        <w:rPr>
          <w:rFonts w:ascii="Arial" w:cs="Arial" w:eastAsia="Arial" w:hAnsi="Arial"/>
          <w:sz w:val="18"/>
          <w:szCs w:val="18"/>
          <w:color w:val="auto"/>
        </w:rPr>
        <w:t>”). Each Party will make its executives reasonably available for such discussions.</w:t>
      </w:r>
    </w:p>
    <w:p>
      <w:pPr>
        <w:spacing w:after="0" w:line="179" w:lineRule="exact"/>
        <w:rPr>
          <w:rFonts w:ascii="Arial" w:cs="Arial" w:eastAsia="Arial" w:hAnsi="Arial"/>
          <w:sz w:val="18"/>
          <w:szCs w:val="18"/>
          <w:b w:val="1"/>
          <w:bCs w:val="1"/>
          <w:color w:val="auto"/>
        </w:rPr>
      </w:pPr>
    </w:p>
    <w:p>
      <w:pPr>
        <w:ind w:firstLine="987"/>
        <w:spacing w:after="0" w:line="256" w:lineRule="auto"/>
        <w:tabs>
          <w:tab w:leader="none" w:pos="1256"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Disputes Not Resolved Between the Parties</w:t>
      </w:r>
      <w:r>
        <w:rPr>
          <w:rFonts w:ascii="Arial" w:cs="Arial" w:eastAsia="Arial" w:hAnsi="Arial"/>
          <w:sz w:val="18"/>
          <w:szCs w:val="18"/>
          <w:color w:val="auto"/>
        </w:rPr>
        <w:t>. Subject to Section 10.2(d) (</w:t>
      </w:r>
      <w:r>
        <w:rPr>
          <w:rFonts w:ascii="Arial" w:cs="Arial" w:eastAsia="Arial" w:hAnsi="Arial"/>
          <w:sz w:val="18"/>
          <w:szCs w:val="18"/>
          <w:i w:val="1"/>
          <w:iCs w:val="1"/>
          <w:color w:val="auto"/>
        </w:rPr>
        <w:t>Court Actions</w:t>
      </w:r>
      <w:r>
        <w:rPr>
          <w:rFonts w:ascii="Arial" w:cs="Arial" w:eastAsia="Arial" w:hAnsi="Arial"/>
          <w:sz w:val="18"/>
          <w:szCs w:val="18"/>
          <w:color w:val="auto"/>
        </w:rPr>
        <w:t>), if the Parties are unable to resolve the</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through the Senior Executives Discussions within such [***], then either Party may, as the sole and exclusive means for resolving Disputes under this Agreement, proceed to demand confidential arbitration by written notice to the other Party and making a filing with the American Arbitration Association (“</w:t>
      </w:r>
      <w:r>
        <w:rPr>
          <w:rFonts w:ascii="Arial" w:cs="Arial" w:eastAsia="Arial" w:hAnsi="Arial"/>
          <w:sz w:val="18"/>
          <w:szCs w:val="18"/>
          <w:b w:val="1"/>
          <w:bCs w:val="1"/>
          <w:color w:val="auto"/>
        </w:rPr>
        <w:t>AAA</w:t>
      </w:r>
      <w:r>
        <w:rPr>
          <w:rFonts w:ascii="Arial" w:cs="Arial" w:eastAsia="Arial" w:hAnsi="Arial"/>
          <w:sz w:val="18"/>
          <w:szCs w:val="18"/>
          <w:color w:val="auto"/>
        </w:rPr>
        <w:t>”) in accordance with Section 10.2(c) (</w:t>
      </w:r>
      <w:r>
        <w:rPr>
          <w:rFonts w:ascii="Arial" w:cs="Arial" w:eastAsia="Arial" w:hAnsi="Arial"/>
          <w:sz w:val="18"/>
          <w:szCs w:val="18"/>
          <w:i w:val="1"/>
          <w:iCs w:val="1"/>
          <w:color w:val="auto"/>
        </w:rPr>
        <w:t>Arbitration</w:t>
      </w:r>
      <w:r>
        <w:rPr>
          <w:rFonts w:ascii="Arial" w:cs="Arial" w:eastAsia="Arial" w:hAnsi="Arial"/>
          <w:sz w:val="18"/>
          <w:szCs w:val="18"/>
          <w:color w:val="auto"/>
        </w:rPr>
        <w:t>). For clarity, each Party hereby acknowledges that both the fact of and nature of a Dispute is the Confidential Information of both Parties, and any disclosure of the fact of or the nature of such a Dispute would be highly damaging to the non-disclosing Party.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69" w:right="459" w:bottom="1440" w:gutter="0" w:footer="0" w:header="0"/>
        </w:sectPr>
      </w:pPr>
    </w:p>
    <w:bookmarkStart w:id="494" w:name="page495"/>
    <w:bookmarkEnd w:id="494"/>
    <w:p>
      <w:pPr>
        <w:ind w:left="1240" w:hanging="253"/>
        <w:spacing w:after="0"/>
        <w:tabs>
          <w:tab w:leader="none" w:pos="12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Arbitration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right="380" w:firstLine="1428"/>
        <w:spacing w:after="0" w:line="282" w:lineRule="auto"/>
        <w:tabs>
          <w:tab w:leader="none" w:pos="1647" w:val="left"/>
        </w:tabs>
        <w:numPr>
          <w:ilvl w:val="1"/>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Use of AAA</w:t>
      </w:r>
      <w:r>
        <w:rPr>
          <w:rFonts w:ascii="Arial" w:cs="Arial" w:eastAsia="Arial" w:hAnsi="Arial"/>
          <w:sz w:val="18"/>
          <w:szCs w:val="18"/>
          <w:color w:val="auto"/>
        </w:rPr>
        <w:t>. Any Dispute referred for arbitration will be finally resolved by binding arbitration in accordance with the most</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rules of the AAA and judgment on the arbitration award may be entered in any court having jurisdiction.</w:t>
      </w:r>
    </w:p>
    <w:p>
      <w:pPr>
        <w:spacing w:after="0" w:line="161" w:lineRule="exact"/>
        <w:rPr>
          <w:rFonts w:ascii="Arial" w:cs="Arial" w:eastAsia="Arial" w:hAnsi="Arial"/>
          <w:sz w:val="18"/>
          <w:szCs w:val="18"/>
          <w:b w:val="1"/>
          <w:bCs w:val="1"/>
          <w:color w:val="auto"/>
        </w:rPr>
      </w:pPr>
    </w:p>
    <w:p>
      <w:pPr>
        <w:ind w:firstLine="1428"/>
        <w:spacing w:after="0" w:line="271" w:lineRule="auto"/>
        <w:tabs>
          <w:tab w:leader="none" w:pos="1697" w:val="left"/>
        </w:tabs>
        <w:numPr>
          <w:ilvl w:val="1"/>
          <w:numId w:val="387"/>
        </w:numPr>
        <w:rPr>
          <w:rFonts w:ascii="Arial" w:cs="Arial" w:eastAsia="Arial" w:hAnsi="Arial"/>
          <w:sz w:val="17"/>
          <w:szCs w:val="17"/>
          <w:b w:val="1"/>
          <w:bCs w:val="1"/>
          <w:color w:val="auto"/>
        </w:rPr>
      </w:pPr>
      <w:r>
        <w:rPr>
          <w:rFonts w:ascii="Arial" w:cs="Arial" w:eastAsia="Arial" w:hAnsi="Arial"/>
          <w:sz w:val="17"/>
          <w:szCs w:val="17"/>
          <w:b w:val="1"/>
          <w:bCs w:val="1"/>
          <w:color w:val="auto"/>
        </w:rPr>
        <w:t>Selection of Arbitrator</w:t>
      </w:r>
      <w:r>
        <w:rPr>
          <w:rFonts w:ascii="Arial" w:cs="Arial" w:eastAsia="Arial" w:hAnsi="Arial"/>
          <w:sz w:val="17"/>
          <w:szCs w:val="17"/>
          <w:color w:val="auto"/>
        </w:rPr>
        <w:t>s. The arbitration will be conducted by a panel of [***] people experienced in the business of</w:t>
      </w:r>
      <w:r>
        <w:rPr>
          <w:rFonts w:ascii="Arial" w:cs="Arial" w:eastAsia="Arial" w:hAnsi="Arial"/>
          <w:sz w:val="17"/>
          <w:szCs w:val="17"/>
          <w:b w:val="1"/>
          <w:bCs w:val="1"/>
          <w:color w:val="auto"/>
        </w:rPr>
        <w:t xml:space="preserve"> </w:t>
      </w:r>
      <w:r>
        <w:rPr>
          <w:rFonts w:ascii="Arial" w:cs="Arial" w:eastAsia="Arial" w:hAnsi="Arial"/>
          <w:sz w:val="17"/>
          <w:szCs w:val="17"/>
          <w:color w:val="auto"/>
        </w:rPr>
        <w:t>biopharmaceuticals. If the issues in dispute involve scientific, technical or commercial matters, then any arbitrator chosen under this Agreement will have educational training or industry experience sufficient to demonstrate a reasonable level of relevant scientific, technical and commercial knowledge as applied to the pharmaceutical industry. If the issues in dispute involve patent matters, then at least one (1) of the arbitrators will be a licensed patent attorney or otherwise knowledgeable about patent law matters. Within [***] after a Party demands arbitration, each Party will select one person to act as arbitrator, and the two Party-selected arbitrators will select a third arbitrator within [***] after their own appointment. If the arbitrators selected by the Parties are unable or fail to agree upon the third arbitrator, then the third arbitrator will be appointed by the AAA. The place of arbitration will be Boston, Massachusetts. All proceedings and communications as part of the arbitration will be in English. The arbitrators will complete the arbitration proceedings and render an award within [***] after the third arbitrator is appointed.</w:t>
      </w:r>
    </w:p>
    <w:p>
      <w:pPr>
        <w:spacing w:after="0" w:line="173" w:lineRule="exact"/>
        <w:rPr>
          <w:rFonts w:ascii="Arial" w:cs="Arial" w:eastAsia="Arial" w:hAnsi="Arial"/>
          <w:sz w:val="17"/>
          <w:szCs w:val="17"/>
          <w:b w:val="1"/>
          <w:bCs w:val="1"/>
          <w:color w:val="auto"/>
        </w:rPr>
      </w:pPr>
    </w:p>
    <w:p>
      <w:pPr>
        <w:ind w:firstLine="1428"/>
        <w:spacing w:after="0" w:line="266" w:lineRule="auto"/>
        <w:tabs>
          <w:tab w:leader="none" w:pos="1747" w:val="left"/>
        </w:tabs>
        <w:numPr>
          <w:ilvl w:val="1"/>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 Each Party will bear its own costs and expenses and attorneys’ fees and an equal share of the arbitrators’ fees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fees for arbitration, unless in each case the arbitrators agree otherwise, which they are hereby empowered, authorized and instructed to do if they determine that to be fair and appropriate.</w:t>
      </w:r>
    </w:p>
    <w:p>
      <w:pPr>
        <w:spacing w:after="0" w:line="175" w:lineRule="exact"/>
        <w:rPr>
          <w:rFonts w:ascii="Arial" w:cs="Arial" w:eastAsia="Arial" w:hAnsi="Arial"/>
          <w:sz w:val="18"/>
          <w:szCs w:val="18"/>
          <w:b w:val="1"/>
          <w:bCs w:val="1"/>
          <w:color w:val="auto"/>
        </w:rPr>
      </w:pPr>
    </w:p>
    <w:p>
      <w:pPr>
        <w:ind w:right="60" w:firstLine="1428"/>
        <w:spacing w:after="0" w:line="266" w:lineRule="auto"/>
        <w:tabs>
          <w:tab w:leader="none" w:pos="1737" w:val="left"/>
        </w:tabs>
        <w:numPr>
          <w:ilvl w:val="1"/>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of Process and Awards</w:t>
      </w:r>
      <w:r>
        <w:rPr>
          <w:rFonts w:ascii="Arial" w:cs="Arial" w:eastAsia="Arial" w:hAnsi="Arial"/>
          <w:sz w:val="18"/>
          <w:szCs w:val="18"/>
          <w:color w:val="auto"/>
        </w:rPr>
        <w:t>. Except to the extent necessary to confirm an award or as may be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6.3 (</w:t>
      </w:r>
      <w:r>
        <w:rPr>
          <w:rFonts w:ascii="Arial" w:cs="Arial" w:eastAsia="Arial" w:hAnsi="Arial"/>
          <w:sz w:val="18"/>
          <w:szCs w:val="18"/>
          <w:i w:val="1"/>
          <w:iCs w:val="1"/>
          <w:color w:val="auto"/>
        </w:rPr>
        <w:t>Required Disclosures</w:t>
      </w:r>
      <w:r>
        <w:rPr>
          <w:rFonts w:ascii="Arial" w:cs="Arial" w:eastAsia="Arial" w:hAnsi="Arial"/>
          <w:sz w:val="18"/>
          <w:szCs w:val="18"/>
          <w:color w:val="auto"/>
        </w:rPr>
        <w:t>) or Section 6.6(a) (</w:t>
      </w:r>
      <w:r>
        <w:rPr>
          <w:rFonts w:ascii="Arial" w:cs="Arial" w:eastAsia="Arial" w:hAnsi="Arial"/>
          <w:sz w:val="18"/>
          <w:szCs w:val="18"/>
          <w:i w:val="1"/>
          <w:iCs w:val="1"/>
          <w:color w:val="auto"/>
        </w:rPr>
        <w:t>Press Releases</w:t>
      </w:r>
      <w:r>
        <w:rPr>
          <w:rFonts w:ascii="Arial" w:cs="Arial" w:eastAsia="Arial" w:hAnsi="Arial"/>
          <w:sz w:val="18"/>
          <w:szCs w:val="18"/>
          <w:color w:val="auto"/>
        </w:rPr>
        <w:t>), neither Party will disclose the existence, content or results of an arbitration under this Agreement without the prior written consent of the other Party.</w:t>
      </w:r>
    </w:p>
    <w:p>
      <w:pPr>
        <w:spacing w:after="0" w:line="175" w:lineRule="exact"/>
        <w:rPr>
          <w:rFonts w:ascii="Arial" w:cs="Arial" w:eastAsia="Arial" w:hAnsi="Arial"/>
          <w:sz w:val="18"/>
          <w:szCs w:val="18"/>
          <w:b w:val="1"/>
          <w:bCs w:val="1"/>
          <w:color w:val="auto"/>
        </w:rPr>
      </w:pPr>
    </w:p>
    <w:p>
      <w:pPr>
        <w:ind w:right="320" w:firstLine="1428"/>
        <w:spacing w:after="0" w:line="312" w:lineRule="auto"/>
        <w:tabs>
          <w:tab w:leader="none" w:pos="1687" w:val="left"/>
        </w:tabs>
        <w:numPr>
          <w:ilvl w:val="1"/>
          <w:numId w:val="387"/>
        </w:numPr>
        <w:rPr>
          <w:rFonts w:ascii="Arial" w:cs="Arial" w:eastAsia="Arial" w:hAnsi="Arial"/>
          <w:sz w:val="17"/>
          <w:szCs w:val="17"/>
          <w:b w:val="1"/>
          <w:bCs w:val="1"/>
          <w:color w:val="auto"/>
        </w:rPr>
      </w:pPr>
      <w:r>
        <w:rPr>
          <w:rFonts w:ascii="Arial" w:cs="Arial" w:eastAsia="Arial" w:hAnsi="Arial"/>
          <w:sz w:val="17"/>
          <w:szCs w:val="17"/>
          <w:b w:val="1"/>
          <w:bCs w:val="1"/>
          <w:color w:val="auto"/>
        </w:rPr>
        <w:t>Statute of Limitations</w:t>
      </w:r>
      <w:r>
        <w:rPr>
          <w:rFonts w:ascii="Arial" w:cs="Arial" w:eastAsia="Arial" w:hAnsi="Arial"/>
          <w:sz w:val="17"/>
          <w:szCs w:val="17"/>
          <w:color w:val="auto"/>
        </w:rPr>
        <w:t>. In no event will an arbitration be initiated after the date when commencement of a legal or equitable</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based on the subject matter of the Dispute would be barred by the applicable statute of limitations under New York law.</w:t>
      </w:r>
    </w:p>
    <w:p>
      <w:pPr>
        <w:spacing w:after="0" w:line="140" w:lineRule="exact"/>
        <w:rPr>
          <w:sz w:val="20"/>
          <w:szCs w:val="20"/>
          <w:color w:val="auto"/>
        </w:rPr>
      </w:pPr>
    </w:p>
    <w:p>
      <w:pPr>
        <w:ind w:right="140" w:firstLine="1428"/>
        <w:spacing w:after="0" w:line="256" w:lineRule="auto"/>
        <w:tabs>
          <w:tab w:leader="none" w:pos="1697"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Court Actions</w:t>
      </w:r>
      <w:r>
        <w:rPr>
          <w:rFonts w:ascii="Arial" w:cs="Arial" w:eastAsia="Arial" w:hAnsi="Arial"/>
          <w:sz w:val="18"/>
          <w:szCs w:val="18"/>
          <w:color w:val="auto"/>
        </w:rPr>
        <w:t>. Nothing contained in this Agreement will deny either Party the right to seek injunctive or other 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a court of competent jurisdiction in the context of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emergency or prospective irreparable harm, and such an action may be filed and maintained notwithstanding any ongoing discussions between the Parties or any ongoing arbitration proceeding. In addition, either Party may bring an action in any court of competent jurisdiction to resolve disputes pertaining to the validity, construction, scope, enforceability, infringement or other violations of Patents or other intellectual property rights, and no such claim will eb subject to arbitration pursuant to Section 10.2(c) (</w:t>
      </w:r>
      <w:r>
        <w:rPr>
          <w:rFonts w:ascii="Arial" w:cs="Arial" w:eastAsia="Arial" w:hAnsi="Arial"/>
          <w:sz w:val="18"/>
          <w:szCs w:val="18"/>
          <w:i w:val="1"/>
          <w:iCs w:val="1"/>
          <w:color w:val="auto"/>
        </w:rPr>
        <w:t>Disputes Not</w:t>
      </w:r>
      <w:r>
        <w:rPr>
          <w:rFonts w:ascii="Arial" w:cs="Arial" w:eastAsia="Arial" w:hAnsi="Arial"/>
          <w:sz w:val="18"/>
          <w:szCs w:val="18"/>
          <w:color w:val="auto"/>
        </w:rPr>
        <w:t xml:space="preserve"> </w:t>
      </w:r>
      <w:r>
        <w:rPr>
          <w:rFonts w:ascii="Arial" w:cs="Arial" w:eastAsia="Arial" w:hAnsi="Arial"/>
          <w:sz w:val="18"/>
          <w:szCs w:val="18"/>
          <w:i w:val="1"/>
          <w:iCs w:val="1"/>
          <w:color w:val="auto"/>
        </w:rPr>
        <w:t>Resolved Between the Parties</w:t>
      </w:r>
      <w:r>
        <w:rPr>
          <w:rFonts w:ascii="Arial" w:cs="Arial" w:eastAsia="Arial" w:hAnsi="Arial"/>
          <w:sz w:val="18"/>
          <w:szCs w:val="18"/>
          <w:color w:val="auto"/>
        </w:rPr>
        <w:t>).</w:t>
      </w:r>
    </w:p>
    <w:p>
      <w:pPr>
        <w:spacing w:after="0" w:line="18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b w:val="1"/>
          <w:bCs w:val="1"/>
          <w:color w:val="auto"/>
        </w:rPr>
        <w:t>10.3 Governing Law</w:t>
      </w:r>
      <w:r>
        <w:rPr>
          <w:rFonts w:ascii="Arial" w:cs="Arial" w:eastAsia="Arial" w:hAnsi="Arial"/>
          <w:sz w:val="18"/>
          <w:szCs w:val="18"/>
          <w:color w:val="auto"/>
        </w:rPr>
        <w:t>. This Agreement will be governed by and interpreted in accordance with the laws of the State of New York, excluding its</w:t>
      </w:r>
      <w:r>
        <w:rPr>
          <w:rFonts w:ascii="Arial" w:cs="Arial" w:eastAsia="Arial" w:hAnsi="Arial"/>
          <w:sz w:val="18"/>
          <w:szCs w:val="18"/>
          <w:b w:val="1"/>
          <w:bCs w:val="1"/>
          <w:color w:val="auto"/>
        </w:rPr>
        <w:t xml:space="preserve"> </w:t>
      </w:r>
      <w:r>
        <w:rPr>
          <w:rFonts w:ascii="Arial" w:cs="Arial" w:eastAsia="Arial" w:hAnsi="Arial"/>
          <w:sz w:val="18"/>
          <w:szCs w:val="18"/>
          <w:color w:val="auto"/>
        </w:rPr>
        <w:t>conflicts of laws principles with the exception of section 5-1401 and 5-1402 of New York General Obligations Law.</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69" w:right="479" w:bottom="1440" w:gutter="0" w:footer="0" w:header="0"/>
        </w:sectPr>
      </w:pPr>
    </w:p>
    <w:bookmarkStart w:id="495" w:name="page496"/>
    <w:bookmarkEnd w:id="495"/>
    <w:p>
      <w:pPr>
        <w:ind w:firstLine="440"/>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10.4 Entire Agreement</w:t>
      </w:r>
      <w:r>
        <w:rPr>
          <w:rFonts w:ascii="Arial" w:cs="Arial" w:eastAsia="Arial" w:hAnsi="Arial"/>
          <w:sz w:val="17"/>
          <w:szCs w:val="17"/>
          <w:color w:val="auto"/>
        </w:rPr>
        <w:t>. This Agreement (including its Exhibits) set forth all the covenants, promises, agreements, warranties,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conditions and understandings between the Parties with respect to the subject matter hereof and supersedes and terminates all prior agreements and understandings between the Parties with respect to such subject matter;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Existing Agreement which covers the discovery of antibodies against certain sarbecoviruses discovered by Adimab prior to the Effective Date of this Agreement, and any optimization of such antibodies will continue in full force and effect with respect to such antibodies;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new discovery of antibodies against any Target, including sarbecoviruses, commenced by Adimab on behalf of Adagio after the Effective Date of this Agreement shall be governed by this Agreement. Although this Agreement is designed to work with a Collaboration Agreement, each of this Agreement and any Collaboration Agreement are intended to be free-standing agreements and each is intended to be the entire agreement with respect to the subject matter thereto. No subsequent alteration, amendment, change or addition to this Agreement will be binding upon the Parties unless reduced to writing and signed by the respective authorized officers of the Parties.</w:t>
      </w:r>
    </w:p>
    <w:p>
      <w:pPr>
        <w:spacing w:after="0" w:line="177"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b w:val="1"/>
          <w:bCs w:val="1"/>
          <w:color w:val="auto"/>
        </w:rPr>
        <w:t>10.5 Assignment</w:t>
      </w:r>
      <w:r>
        <w:rPr>
          <w:rFonts w:ascii="Arial" w:cs="Arial" w:eastAsia="Arial" w:hAnsi="Arial"/>
          <w:sz w:val="17"/>
          <w:szCs w:val="17"/>
          <w:color w:val="auto"/>
        </w:rPr>
        <w:t>. Neither Party may assign in whole or in part this Agreement without the advance written consent of the other Party,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in the following sentences. Notwithstanding the foregoing, either Party may assign this Agreement in its entirety without such consent of the other Party (a) to an Affiliate or (b) to the successor to all or substantially all of its stock or assets to which this Agreement relates in connection with its merger with, or the sale of all or substantially all of its stock or assets to which this Agreement relates to, another entity, regardless of the form of the transaction. In addition, Adimab may assign this Agreement or any of its rights under this Agreement, without Adagio’s consent, in connection with the sale of, monetization of, transfer of, or obtaining financing on the basis of the payments due to Adimab under this Agreement or debt or project financing in connection with this Agreement. This Agreement will be binding upon and will inure to the benefit of the Parties and their respective successors and permitted assigns. Any assignment of this Agreement not made in accordance with this Agreement is prohibited hereunder and will be null and void.</w:t>
      </w:r>
    </w:p>
    <w:p>
      <w:pPr>
        <w:spacing w:after="0" w:line="174" w:lineRule="exact"/>
        <w:rPr>
          <w:sz w:val="20"/>
          <w:szCs w:val="20"/>
          <w:color w:val="auto"/>
        </w:rPr>
      </w:pPr>
    </w:p>
    <w:p>
      <w:pPr>
        <w:ind w:right="320" w:firstLine="440"/>
        <w:spacing w:after="0" w:line="289" w:lineRule="auto"/>
        <w:rPr>
          <w:sz w:val="20"/>
          <w:szCs w:val="20"/>
          <w:color w:val="auto"/>
        </w:rPr>
      </w:pPr>
      <w:r>
        <w:rPr>
          <w:rFonts w:ascii="Arial" w:cs="Arial" w:eastAsia="Arial" w:hAnsi="Arial"/>
          <w:sz w:val="17"/>
          <w:szCs w:val="17"/>
          <w:b w:val="1"/>
          <w:bCs w:val="1"/>
          <w:color w:val="auto"/>
        </w:rPr>
        <w:t>10.6 Severability</w:t>
      </w:r>
      <w:r>
        <w:rPr>
          <w:rFonts w:ascii="Arial" w:cs="Arial" w:eastAsia="Arial" w:hAnsi="Arial"/>
          <w:sz w:val="17"/>
          <w:szCs w:val="17"/>
          <w:color w:val="auto"/>
        </w:rPr>
        <w:t>. If one or more of the provisions in this Agreement are deemed unenforceable by law, then such provision will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stricken from this Agreement and the remaining provisions will continue in full force and effect, and the Parties will substitute for the unenforceable provision an enforceable provision that conforms as nearly as possible with the original intent of the Parties.</w:t>
      </w:r>
    </w:p>
    <w:p>
      <w:pPr>
        <w:spacing w:after="0" w:line="158"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10.7 Force Majeure</w:t>
      </w:r>
      <w:r>
        <w:rPr>
          <w:rFonts w:ascii="Arial" w:cs="Arial" w:eastAsia="Arial" w:hAnsi="Arial"/>
          <w:sz w:val="18"/>
          <w:szCs w:val="18"/>
          <w:color w:val="auto"/>
        </w:rPr>
        <w:t>. Both Parties will be excused from the performance of their obligations under this Agreement to the extent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is prevented by a Force Majeure and the nonperforming Party promptly provides notice of the prevention to the other Party. Such excuse will be continued so long as the condition constituting Force Majeure continues and the nonperforming Party takes reasonable efforts to remove the condition, but no longer than [***].</w:t>
      </w:r>
    </w:p>
    <w:p>
      <w:pPr>
        <w:spacing w:after="0" w:line="180"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10.8 Notices</w:t>
      </w:r>
      <w:r>
        <w:rPr>
          <w:rFonts w:ascii="Arial" w:cs="Arial" w:eastAsia="Arial" w:hAnsi="Arial"/>
          <w:sz w:val="16"/>
          <w:szCs w:val="16"/>
          <w:color w:val="auto"/>
        </w:rPr>
        <w:t>. Any notice required or permitted to be given under this Agreement will be in writing, will specifically refer to this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deemed to have been sufficiently given for all purposes if delivered by express delivery service or personally delivered, and such notice will be deemed to have been given upon receipt. Unless otherwise specified in writing, the addresses of the Parties will be as described below.</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69" w:right="459" w:bottom="1440" w:gutter="0" w:footer="0" w:header="0"/>
        </w:sectPr>
      </w:pPr>
    </w:p>
    <w:bookmarkStart w:id="496" w:name="page497"/>
    <w:bookmarkEnd w:id="49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Adimab:</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 the case of Adagio: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with a required copy to:</w:t>
      </w:r>
    </w:p>
    <w:p>
      <w:pPr>
        <w:spacing w:after="0" w:line="11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ind w:right="220" w:firstLine="440"/>
        <w:spacing w:after="0" w:line="347" w:lineRule="auto"/>
        <w:rPr>
          <w:sz w:val="20"/>
          <w:szCs w:val="20"/>
          <w:color w:val="auto"/>
        </w:rPr>
      </w:pPr>
      <w:r>
        <w:rPr>
          <w:rFonts w:ascii="Arial" w:cs="Arial" w:eastAsia="Arial" w:hAnsi="Arial"/>
          <w:sz w:val="16"/>
          <w:szCs w:val="16"/>
          <w:b w:val="1"/>
          <w:bCs w:val="1"/>
          <w:color w:val="auto"/>
        </w:rPr>
        <w:t>10.9 Construction</w:t>
      </w:r>
      <w:r>
        <w:rPr>
          <w:rFonts w:ascii="Arial" w:cs="Arial" w:eastAsia="Arial" w:hAnsi="Arial"/>
          <w:sz w:val="16"/>
          <w:szCs w:val="16"/>
          <w:color w:val="auto"/>
        </w:rPr>
        <w:t>. This Agreement has been prepared jointly and will not be strictly construed against either Party. Ambiguities, if any, in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will not be construed against any Party, irrespective of which Party may be deemed to have authored the ambiguous provision.</w:t>
      </w:r>
    </w:p>
    <w:p>
      <w:pPr>
        <w:spacing w:after="0" w:line="116"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b w:val="1"/>
          <w:bCs w:val="1"/>
          <w:color w:val="auto"/>
        </w:rPr>
        <w:t>10.10 Headings</w:t>
      </w:r>
      <w:r>
        <w:rPr>
          <w:rFonts w:ascii="Arial" w:cs="Arial" w:eastAsia="Arial" w:hAnsi="Arial"/>
          <w:sz w:val="18"/>
          <w:szCs w:val="18"/>
          <w:color w:val="auto"/>
        </w:rPr>
        <w:t>. The headings for each Article and Section in this Agreement have been inserted for convenience of reference only and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limit or expand on the meaning of the language contained in the particular Article or Section.</w:t>
      </w:r>
    </w:p>
    <w:p>
      <w:pPr>
        <w:spacing w:after="0" w:line="162" w:lineRule="exact"/>
        <w:rPr>
          <w:sz w:val="20"/>
          <w:szCs w:val="20"/>
          <w:color w:val="auto"/>
        </w:rPr>
      </w:pPr>
    </w:p>
    <w:p>
      <w:pPr>
        <w:ind w:right="140" w:firstLine="440"/>
        <w:spacing w:after="0" w:line="289" w:lineRule="auto"/>
        <w:rPr>
          <w:sz w:val="20"/>
          <w:szCs w:val="20"/>
          <w:color w:val="auto"/>
        </w:rPr>
      </w:pPr>
      <w:r>
        <w:rPr>
          <w:rFonts w:ascii="Arial" w:cs="Arial" w:eastAsia="Arial" w:hAnsi="Arial"/>
          <w:sz w:val="17"/>
          <w:szCs w:val="17"/>
          <w:b w:val="1"/>
          <w:bCs w:val="1"/>
          <w:color w:val="auto"/>
        </w:rPr>
        <w:t>10.11 No Waiver</w:t>
      </w:r>
      <w:r>
        <w:rPr>
          <w:rFonts w:ascii="Arial" w:cs="Arial" w:eastAsia="Arial" w:hAnsi="Arial"/>
          <w:sz w:val="17"/>
          <w:szCs w:val="17"/>
          <w:color w:val="auto"/>
        </w:rPr>
        <w:t>. Any delay in enforcing a Party’s rights under this Agreement or any waiver as to a particular default or other matter will not</w:t>
      </w:r>
      <w:r>
        <w:rPr>
          <w:rFonts w:ascii="Arial" w:cs="Arial" w:eastAsia="Arial" w:hAnsi="Arial"/>
          <w:sz w:val="17"/>
          <w:szCs w:val="17"/>
          <w:b w:val="1"/>
          <w:bCs w:val="1"/>
          <w:color w:val="auto"/>
        </w:rPr>
        <w:t xml:space="preserve"> </w:t>
      </w:r>
      <w:r>
        <w:rPr>
          <w:rFonts w:ascii="Arial" w:cs="Arial" w:eastAsia="Arial" w:hAnsi="Arial"/>
          <w:sz w:val="17"/>
          <w:szCs w:val="17"/>
          <w:color w:val="auto"/>
        </w:rPr>
        <w:t>constitute a waiver of such Party’s rights to the subsequent enforcement of its rights under this Agreement, excepting only as to an express written and signed waiver as to a particular matter for a particular period of time executed by an authorized officer of the waiving Party.</w:t>
      </w:r>
    </w:p>
    <w:p>
      <w:pPr>
        <w:spacing w:after="0" w:line="15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10.12 Performance by Affiliates</w:t>
      </w:r>
      <w:r>
        <w:rPr>
          <w:rFonts w:ascii="Arial" w:cs="Arial" w:eastAsia="Arial" w:hAnsi="Arial"/>
          <w:sz w:val="17"/>
          <w:szCs w:val="17"/>
          <w:color w:val="auto"/>
        </w:rPr>
        <w:t>. A Party may perform some or all of its obligations under this Agreement through Affiliate(s) or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some or all of its rights under this Agreement through Affiliates. However, each Party will remain responsible and be guarantor of the performance by its Affiliates and will cause its Affiliates to comply with the provisions of this Agreement in connection with such performance as if such Party were performing such obligations itself, and references to a Party in this Agreement will be deemed to also reference such Affiliate. In particular and without limitation, all Affiliates of a Party that receive Confidential Information of the other Party pursuant to this Agreement will be governed and bound by all obligations set forth in Article 6 (</w:t>
      </w:r>
      <w:r>
        <w:rPr>
          <w:rFonts w:ascii="Arial" w:cs="Arial" w:eastAsia="Arial" w:hAnsi="Arial"/>
          <w:sz w:val="17"/>
          <w:szCs w:val="17"/>
          <w:i w:val="1"/>
          <w:iCs w:val="1"/>
          <w:color w:val="auto"/>
        </w:rPr>
        <w:t>Confidentiality; Publicity</w:t>
      </w:r>
      <w:r>
        <w:rPr>
          <w:rFonts w:ascii="Arial" w:cs="Arial" w:eastAsia="Arial" w:hAnsi="Arial"/>
          <w:sz w:val="17"/>
          <w:szCs w:val="17"/>
          <w:color w:val="auto"/>
        </w:rPr>
        <w:t>), and will (to avoid doubt) be subject to the intellectual property assignment and other intellectual property provisions of Article 5 (</w:t>
      </w:r>
      <w:r>
        <w:rPr>
          <w:rFonts w:ascii="Arial" w:cs="Arial" w:eastAsia="Arial" w:hAnsi="Arial"/>
          <w:sz w:val="17"/>
          <w:szCs w:val="17"/>
          <w:i w:val="1"/>
          <w:iCs w:val="1"/>
          <w:color w:val="auto"/>
        </w:rPr>
        <w:t>Intellectual Property</w:t>
      </w:r>
      <w:r>
        <w:rPr>
          <w:rFonts w:ascii="Arial" w:cs="Arial" w:eastAsia="Arial" w:hAnsi="Arial"/>
          <w:sz w:val="17"/>
          <w:szCs w:val="17"/>
          <w:color w:val="auto"/>
        </w:rPr>
        <w:t>) as if they were the original Party to this Agreement (and be deemed included in the actual Party to this Agreement for purposes of all intellectual property-related definitions). A Party and its Affiliates will be jointly and severally liable for their performance under this Agreement.</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60"/>
          </w:cols>
          <w:pgMar w:left="440" w:top="273" w:right="499" w:bottom="1440" w:gutter="0" w:footer="0" w:header="0"/>
        </w:sectPr>
      </w:pPr>
    </w:p>
    <w:bookmarkStart w:id="497" w:name="page498"/>
    <w:bookmarkEnd w:id="497"/>
    <w:p>
      <w:pPr>
        <w:ind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10.13 Counterparts</w:t>
      </w:r>
      <w:r>
        <w:rPr>
          <w:rFonts w:ascii="Arial" w:cs="Arial" w:eastAsia="Arial" w:hAnsi="Arial"/>
          <w:sz w:val="18"/>
          <w:szCs w:val="18"/>
          <w:color w:val="auto"/>
        </w:rPr>
        <w:t>. This Agreement may be executed in one or more identical counterparts, each of which will be deemed to be an original, and</w:t>
      </w:r>
      <w:r>
        <w:rPr>
          <w:rFonts w:ascii="Arial" w:cs="Arial" w:eastAsia="Arial" w:hAnsi="Arial"/>
          <w:sz w:val="18"/>
          <w:szCs w:val="18"/>
          <w:b w:val="1"/>
          <w:bCs w:val="1"/>
          <w:color w:val="auto"/>
        </w:rPr>
        <w:t xml:space="preserve"> </w:t>
      </w:r>
      <w:r>
        <w:rPr>
          <w:rFonts w:ascii="Arial" w:cs="Arial" w:eastAsia="Arial" w:hAnsi="Arial"/>
          <w:sz w:val="18"/>
          <w:szCs w:val="18"/>
          <w:color w:val="auto"/>
        </w:rPr>
        <w:t>which collectively will be deemed to be one and the same instrument. In addition, signatures may be exchanged by facsimile or PDF. Counterparts may be delivered via facsimile, electronic mail (including pdf or any electronic signature complying with the U.S. federal ESIGN Act of 2000, e.g., www.docusign.com) or other transmission method and any counterpart so delivered will be deemed to have been duly and validly delivered and be valid and effective for all purposes.</w:t>
      </w: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[Remainder of Page Left Intentionally Blank; Signature Page Follows]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69" w:right="479" w:bottom="1440" w:gutter="0" w:footer="0" w:header="0"/>
        </w:sectPr>
      </w:pPr>
    </w:p>
    <w:bookmarkStart w:id="498" w:name="page499"/>
    <w:bookmarkEnd w:id="498"/>
    <w:p>
      <w:pPr>
        <w:ind w:right="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have by duly authorized persons executed this Agreement to be effective as of the Effective Date.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 that the signature date below may not be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760" w:type="dxa"/>
            <w:vAlign w:val="bottom"/>
            <w:gridSpan w:val="2"/>
          </w:tcPr>
          <w:p>
            <w:pPr>
              <w:ind w:left="60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DIMAB</w:t>
            </w:r>
            <w:r>
              <w:rPr>
                <w:rFonts w:ascii="Arial" w:cs="Arial" w:eastAsia="Arial" w:hAnsi="Arial"/>
                <w:sz w:val="18"/>
                <w:szCs w:val="18"/>
                <w:b w:val="1"/>
                <w:bCs w:val="1"/>
                <w:color w:val="auto"/>
              </w:rPr>
              <w:t>, LLC: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60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r>
      <w:tr>
        <w:trPr>
          <w:trHeight w:val="224"/>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ind w:left="600"/>
              <w:spacing w:after="0"/>
              <w:rPr>
                <w:sz w:val="20"/>
                <w:szCs w:val="20"/>
                <w:color w:val="auto"/>
              </w:rPr>
            </w:pPr>
            <w:r>
              <w:rPr>
                <w:rFonts w:ascii="Arial" w:cs="Arial" w:eastAsia="Arial" w:hAnsi="Arial"/>
                <w:sz w:val="18"/>
                <w:szCs w:val="18"/>
                <w:color w:val="auto"/>
              </w:rPr>
              <w:t>Title:</w:t>
            </w:r>
          </w:p>
        </w:tc>
        <w:tc>
          <w:tcPr>
            <w:tcW w:w="4740" w:type="dxa"/>
            <w:vAlign w:val="bottom"/>
          </w:tcPr>
          <w:p>
            <w:pPr>
              <w:ind w:left="120"/>
              <w:spacing w:after="0"/>
              <w:rPr>
                <w:sz w:val="20"/>
                <w:szCs w:val="20"/>
                <w:color w:val="auto"/>
              </w:rPr>
            </w:pPr>
            <w:r>
              <w:rPr>
                <w:rFonts w:ascii="Arial" w:cs="Arial" w:eastAsia="Arial" w:hAnsi="Arial"/>
                <w:sz w:val="18"/>
                <w:szCs w:val="18"/>
                <w:color w:val="auto"/>
              </w:rPr>
              <w:t>[***]</w:t>
            </w: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ind w:left="100"/>
              <w:spacing w:after="0"/>
              <w:rPr>
                <w:sz w:val="20"/>
                <w:szCs w:val="20"/>
                <w:color w:val="auto"/>
              </w:rPr>
            </w:pPr>
            <w:r>
              <w:rPr>
                <w:rFonts w:ascii="Arial" w:cs="Arial" w:eastAsia="Arial" w:hAnsi="Arial"/>
                <w:sz w:val="18"/>
                <w:szCs w:val="18"/>
                <w:color w:val="auto"/>
              </w:rPr>
              <w:t>5/21/2021</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Date:</w:t>
            </w:r>
          </w:p>
        </w:tc>
        <w:tc>
          <w:tcPr>
            <w:tcW w:w="4740" w:type="dxa"/>
            <w:vAlign w:val="bottom"/>
          </w:tcPr>
          <w:p>
            <w:pPr>
              <w:ind w:left="120"/>
              <w:spacing w:after="0"/>
              <w:rPr>
                <w:sz w:val="20"/>
                <w:szCs w:val="20"/>
                <w:color w:val="auto"/>
              </w:rPr>
            </w:pPr>
            <w:r>
              <w:rPr>
                <w:rFonts w:ascii="Arial" w:cs="Arial" w:eastAsia="Arial" w:hAnsi="Arial"/>
                <w:sz w:val="18"/>
                <w:szCs w:val="18"/>
                <w:color w:val="auto"/>
              </w:rPr>
              <w:t>5/21/2021</w:t>
            </w:r>
          </w:p>
        </w:tc>
      </w:tr>
      <w:tr>
        <w:trPr>
          <w:trHeight w:val="365"/>
        </w:trPr>
        <w:tc>
          <w:tcPr>
            <w:tcW w:w="5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Arial" w:cs="Arial" w:eastAsia="Arial" w:hAnsi="Arial"/>
                <w:sz w:val="18"/>
                <w:szCs w:val="18"/>
                <w:color w:val="auto"/>
              </w:rPr>
              <w:t>45</w:t>
            </w:r>
          </w:p>
        </w:tc>
        <w:tc>
          <w:tcPr>
            <w:tcW w:w="474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99" w:name="page500"/>
    <w:bookmarkEnd w:id="499"/>
    <w:p>
      <w:pPr>
        <w:jc w:val="right"/>
        <w:ind w:right="39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w:t>
      </w:r>
      <w:r>
        <w:rPr>
          <w:rFonts w:ascii="Arial" w:cs="Arial" w:eastAsia="Arial" w:hAnsi="Arial"/>
          <w:sz w:val="14"/>
          <w:szCs w:val="14"/>
          <w:b w:val="1"/>
          <w:bCs w:val="1"/>
          <w:color w:val="auto"/>
        </w:rPr>
        <w:t>XHIBITS</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 F</w:t>
      </w:r>
      <w:r>
        <w:rPr>
          <w:rFonts w:ascii="Arial" w:cs="Arial" w:eastAsia="Arial" w:hAnsi="Arial"/>
          <w:sz w:val="14"/>
          <w:szCs w:val="14"/>
          <w:b w:val="1"/>
          <w:bCs w:val="1"/>
          <w:color w:val="auto"/>
        </w:rPr>
        <w:t>ORM</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EMI</w:t>
      </w:r>
      <w:r>
        <w:rPr>
          <w:rFonts w:ascii="Arial" w:cs="Arial" w:eastAsia="Arial" w:hAnsi="Arial"/>
          <w:sz w:val="18"/>
          <w:szCs w:val="18"/>
          <w:b w:val="1"/>
          <w:bCs w:val="1"/>
          <w:color w:val="auto"/>
        </w:rPr>
        <w:t>-A</w:t>
      </w:r>
      <w:r>
        <w:rPr>
          <w:rFonts w:ascii="Arial" w:cs="Arial" w:eastAsia="Arial" w:hAnsi="Arial"/>
          <w:sz w:val="14"/>
          <w:szCs w:val="14"/>
          <w:b w:val="1"/>
          <w:bCs w:val="1"/>
          <w:color w:val="auto"/>
        </w:rPr>
        <w:t>NNUAL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ROGRAM</w:t>
      </w:r>
      <w:r>
        <w:rPr>
          <w:rFonts w:ascii="Arial" w:cs="Arial" w:eastAsia="Arial" w:hAnsi="Arial"/>
          <w:sz w:val="18"/>
          <w:szCs w:val="18"/>
          <w:b w:val="1"/>
          <w:bCs w:val="1"/>
          <w:color w:val="auto"/>
        </w:rPr>
        <w:t xml:space="preserve"> U</w:t>
      </w:r>
      <w:r>
        <w:rPr>
          <w:rFonts w:ascii="Arial" w:cs="Arial" w:eastAsia="Arial" w:hAnsi="Arial"/>
          <w:sz w:val="14"/>
          <w:szCs w:val="14"/>
          <w:b w:val="1"/>
          <w:bCs w:val="1"/>
          <w:color w:val="auto"/>
        </w:rPr>
        <w:t>PDATE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 F</w:t>
      </w:r>
      <w:r>
        <w:rPr>
          <w:rFonts w:ascii="Arial" w:cs="Arial" w:eastAsia="Arial" w:hAnsi="Arial"/>
          <w:sz w:val="14"/>
          <w:szCs w:val="14"/>
          <w:b w:val="1"/>
          <w:bCs w:val="1"/>
          <w:color w:val="auto"/>
        </w:rPr>
        <w:t>ORM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ESEARCH</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ectPr>
          <w:pgSz w:w="11900" w:h="16838" w:orient="portrait"/>
          <w:cols w:equalWidth="0" w:num="1">
            <w:col w:w="10019"/>
          </w:cols>
          <w:pgMar w:left="440" w:top="269" w:right="1440" w:bottom="1440" w:gutter="0" w:footer="0" w:header="0"/>
        </w:sectPr>
      </w:pPr>
    </w:p>
    <w:bookmarkStart w:id="500" w:name="page501"/>
    <w:bookmarkEnd w:id="500"/>
    <w:p>
      <w:pPr>
        <w:jc w:val="right"/>
        <w:ind w:right="2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Adagio Semi-Annual Program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579"/>
          </w:cols>
          <w:pgMar w:left="880" w:top="269" w:right="1440" w:bottom="1440" w:gutter="0" w:footer="0" w:header="0"/>
        </w:sectPr>
      </w:pPr>
    </w:p>
    <w:bookmarkStart w:id="501" w:name="page502"/>
    <w:bookmarkEnd w:id="501"/>
    <w:p>
      <w:pPr>
        <w:jc w:val="center"/>
        <w:ind w:right="19"/>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2.1 – Form of Research Plan</w:t>
      </w:r>
    </w:p>
    <w:p>
      <w:pPr>
        <w:sectPr>
          <w:pgSz w:w="11900" w:h="16838" w:orient="portrait"/>
          <w:cols w:equalWidth="0" w:num="1">
            <w:col w:w="9019"/>
          </w:cols>
          <w:pgMar w:left="1440" w:top="269" w:right="1440"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9019"/>
          </w:cols>
          <w:pgMar w:left="1440" w:top="269" w:right="1440" w:bottom="1440" w:gutter="0" w:footer="0" w:header="0"/>
          <w:type w:val="continuous"/>
        </w:sectPr>
      </w:pPr>
    </w:p>
    <w:bookmarkStart w:id="502" w:name="page503"/>
    <w:bookmarkEnd w:id="502"/>
    <w:p>
      <w:pPr>
        <w:ind w:left="10120"/>
        <w:spacing w:after="0"/>
        <w:rPr>
          <w:sz w:val="20"/>
          <w:szCs w:val="20"/>
          <w:color w:val="auto"/>
        </w:rPr>
      </w:pPr>
      <w:r>
        <w:rPr>
          <w:rFonts w:ascii="Arial" w:cs="Arial" w:eastAsia="Arial" w:hAnsi="Arial"/>
          <w:sz w:val="17"/>
          <w:szCs w:val="17"/>
          <w:color w:val="auto"/>
        </w:rPr>
        <w:t>Exhibit 10.7</w:t>
      </w:r>
    </w:p>
    <w:p>
      <w:pPr>
        <w:spacing w:after="0" w:line="2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 MANUFACTURING SERVICES AGREEMENT</w:t>
      </w:r>
    </w:p>
    <w:p>
      <w:pPr>
        <w:spacing w:after="0" w:line="229" w:lineRule="exact"/>
        <w:rPr>
          <w:sz w:val="20"/>
          <w:szCs w:val="20"/>
          <w:color w:val="auto"/>
        </w:rPr>
      </w:pPr>
    </w:p>
    <w:p>
      <w:pPr>
        <w:jc w:val="both"/>
        <w:ind w:right="360"/>
        <w:spacing w:after="0" w:line="279" w:lineRule="auto"/>
        <w:rPr>
          <w:sz w:val="20"/>
          <w:szCs w:val="20"/>
          <w:color w:val="auto"/>
        </w:rPr>
      </w:pPr>
      <w:r>
        <w:rPr>
          <w:rFonts w:ascii="Arial" w:cs="Arial" w:eastAsia="Arial" w:hAnsi="Arial"/>
          <w:sz w:val="17"/>
          <w:szCs w:val="17"/>
          <w:color w:val="auto"/>
        </w:rPr>
        <w:t>THIS COMMERCIAL MANUFACTURING SERVICES AGREEMENT is made as of December 24, 2020 by and between WuXi Biologics (Hong Kong) Limited, a corporation organized under the laws of Hong Kong, with its registered address at Flat/RM826, 8/F Ocean Centre Harbour City, 5 Canton Road TST, Hong Kong (“</w:t>
      </w:r>
      <w:r>
        <w:rPr>
          <w:rFonts w:ascii="Arial" w:cs="Arial" w:eastAsia="Arial" w:hAnsi="Arial"/>
          <w:sz w:val="17"/>
          <w:szCs w:val="17"/>
          <w:b w:val="1"/>
          <w:bCs w:val="1"/>
          <w:color w:val="auto"/>
        </w:rPr>
        <w:t>WuXi Biologics</w:t>
      </w:r>
      <w:r>
        <w:rPr>
          <w:rFonts w:ascii="Arial" w:cs="Arial" w:eastAsia="Arial" w:hAnsi="Arial"/>
          <w:sz w:val="17"/>
          <w:szCs w:val="17"/>
          <w:color w:val="auto"/>
        </w:rPr>
        <w:t>”), and Adagio Therapeutics, Inc., with an address at 303 Wyman Street, Suite 300, Waltham, MA 02451 (“</w:t>
      </w:r>
      <w:r>
        <w:rPr>
          <w:rFonts w:ascii="Arial" w:cs="Arial" w:eastAsia="Arial" w:hAnsi="Arial"/>
          <w:sz w:val="17"/>
          <w:szCs w:val="17"/>
          <w:b w:val="1"/>
          <w:bCs w:val="1"/>
          <w:color w:val="auto"/>
        </w:rPr>
        <w:t>Client</w:t>
      </w:r>
      <w:r>
        <w:rPr>
          <w:rFonts w:ascii="Arial" w:cs="Arial" w:eastAsia="Arial" w:hAnsi="Arial"/>
          <w:sz w:val="17"/>
          <w:szCs w:val="17"/>
          <w:color w:val="auto"/>
        </w:rPr>
        <w:t>”). WuXi Biologics and Client may be referred to herein as a “</w:t>
      </w:r>
      <w:r>
        <w:rPr>
          <w:rFonts w:ascii="Arial" w:cs="Arial" w:eastAsia="Arial" w:hAnsi="Arial"/>
          <w:sz w:val="17"/>
          <w:szCs w:val="17"/>
          <w:b w:val="1"/>
          <w:bCs w:val="1"/>
          <w:color w:val="auto"/>
        </w:rPr>
        <w:t>Party</w:t>
      </w:r>
      <w:r>
        <w:rPr>
          <w:rFonts w:ascii="Arial" w:cs="Arial" w:eastAsia="Arial" w:hAnsi="Arial"/>
          <w:sz w:val="17"/>
          <w:szCs w:val="17"/>
          <w:color w:val="auto"/>
        </w:rPr>
        <w:t>” or, collectively, as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Client and its Affiliates are engaged in the discovery, development, manufacture and sale of biopharmaceutical products;</w:t>
      </w:r>
    </w:p>
    <w:p>
      <w:pPr>
        <w:spacing w:after="0" w:line="237"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WHEREAS, WuXi Biologics has the requisite infrastructure, licenses, permits and capabilities, including trained and experienced personnel and technical skills, to manufacture and supply the Products (as defined below) to Client in accordance with this Agreement;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WHEREAS, Client wishes to engage WuXi Biologics for services relating to the commercial manufacture of the drug substance of Products as described in this Agreement (“</w:t>
      </w:r>
      <w:r>
        <w:rPr>
          <w:rFonts w:ascii="Arial" w:cs="Arial" w:eastAsia="Arial" w:hAnsi="Arial"/>
          <w:sz w:val="18"/>
          <w:szCs w:val="18"/>
          <w:b w:val="1"/>
          <w:bCs w:val="1"/>
          <w:color w:val="auto"/>
        </w:rPr>
        <w:t>Services</w:t>
      </w:r>
      <w:r>
        <w:rPr>
          <w:rFonts w:ascii="Arial" w:cs="Arial" w:eastAsia="Arial" w:hAnsi="Arial"/>
          <w:sz w:val="18"/>
          <w:szCs w:val="18"/>
          <w:color w:val="auto"/>
        </w:rPr>
        <w:t>”); and</w:t>
      </w:r>
    </w:p>
    <w:p>
      <w:pPr>
        <w:spacing w:after="0" w:line="166" w:lineRule="exact"/>
        <w:rPr>
          <w:sz w:val="20"/>
          <w:szCs w:val="20"/>
          <w:color w:val="auto"/>
        </w:rPr>
      </w:pPr>
    </w:p>
    <w:p>
      <w:pPr>
        <w:ind w:right="980" w:firstLine="440"/>
        <w:spacing w:after="0" w:line="282" w:lineRule="auto"/>
        <w:rPr>
          <w:sz w:val="20"/>
          <w:szCs w:val="20"/>
          <w:color w:val="auto"/>
        </w:rPr>
      </w:pPr>
      <w:r>
        <w:rPr>
          <w:rFonts w:ascii="Arial" w:cs="Arial" w:eastAsia="Arial" w:hAnsi="Arial"/>
          <w:sz w:val="18"/>
          <w:szCs w:val="18"/>
          <w:color w:val="auto"/>
        </w:rPr>
        <w:t>WHEREAS, Client and WuXi Biologics entered a Cell Line License Agreement effective December 2, 2020 (the “</w:t>
      </w:r>
      <w:r>
        <w:rPr>
          <w:rFonts w:ascii="Arial" w:cs="Arial" w:eastAsia="Arial" w:hAnsi="Arial"/>
          <w:sz w:val="18"/>
          <w:szCs w:val="18"/>
          <w:b w:val="1"/>
          <w:bCs w:val="1"/>
          <w:color w:val="auto"/>
        </w:rPr>
        <w:t>Cell Line License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66"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NOW, THEREFORE, in consideration of the mutual promises, covenants and agreements set forth herein, and for other good and valuable consideration, the receipt and sufficiency of which are hereby acknowledged, and intending to be legally bound, the Parties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Unless otherwise specifically provided herein, the following terms shall have the following meanings:</w:t>
      </w:r>
    </w:p>
    <w:p>
      <w:pPr>
        <w:spacing w:after="0" w:line="113" w:lineRule="exact"/>
        <w:rPr>
          <w:sz w:val="20"/>
          <w:szCs w:val="20"/>
          <w:color w:val="auto"/>
        </w:rPr>
      </w:pPr>
    </w:p>
    <w:p>
      <w:pPr>
        <w:ind w:right="540" w:firstLine="440"/>
        <w:spacing w:after="0" w:line="282"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w:t>
      </w:r>
      <w:r>
        <w:rPr>
          <w:rFonts w:ascii="Arial" w:cs="Arial" w:eastAsia="Arial" w:hAnsi="Arial"/>
          <w:sz w:val="18"/>
          <w:szCs w:val="18"/>
          <w:b w:val="1"/>
          <w:bCs w:val="1"/>
          <w:color w:val="auto"/>
        </w:rPr>
        <w:t>Adverse Event</w:t>
      </w:r>
      <w:r>
        <w:rPr>
          <w:rFonts w:ascii="Arial" w:cs="Arial" w:eastAsia="Arial" w:hAnsi="Arial"/>
          <w:sz w:val="18"/>
          <w:szCs w:val="18"/>
          <w:color w:val="auto"/>
        </w:rPr>
        <w:t>” means any unfavorable or unintended sign, symptom or disease temporally associated with the use of the Products by</w:t>
      </w:r>
      <w:r>
        <w:rPr>
          <w:rFonts w:ascii="Arial" w:cs="Arial" w:eastAsia="Arial" w:hAnsi="Arial"/>
          <w:sz w:val="18"/>
          <w:szCs w:val="18"/>
          <w:b w:val="1"/>
          <w:bCs w:val="1"/>
          <w:color w:val="auto"/>
        </w:rPr>
        <w:t xml:space="preserve"> </w:t>
      </w:r>
      <w:r>
        <w:rPr>
          <w:rFonts w:ascii="Arial" w:cs="Arial" w:eastAsia="Arial" w:hAnsi="Arial"/>
          <w:sz w:val="18"/>
          <w:szCs w:val="18"/>
          <w:color w:val="auto"/>
        </w:rPr>
        <w:t>humans (including any adverse drug experience), whether or not considered related to the Products.</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person or entity that Controls, is Controlled by or is under common Control with a Party, but only for so long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control exists.</w:t>
      </w:r>
    </w:p>
    <w:p>
      <w:pPr>
        <w:sectPr>
          <w:pgSz w:w="11900" w:h="16838" w:orient="portrait"/>
          <w:cols w:equalWidth="0" w:num="1">
            <w:col w:w="11020"/>
          </w:cols>
          <w:pgMar w:left="440" w:top="125" w:right="439" w:bottom="1440" w:gutter="0" w:footer="0" w:header="0"/>
        </w:sectPr>
      </w:pPr>
    </w:p>
    <w:bookmarkStart w:id="503" w:name="page504"/>
    <w:bookmarkEnd w:id="50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 </w:t>
      </w: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means this agreement incorporating all schedules, as amended from time to time by written agreement of the Parties.</w:t>
      </w:r>
    </w:p>
    <w:p>
      <w:pPr>
        <w:spacing w:after="0" w:line="237"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applicable provisions of constitutions, statutes, laws, rules, treaties, regulations, orders and decrees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Regulatory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Batch</w:t>
      </w:r>
      <w:r>
        <w:rPr>
          <w:rFonts w:ascii="Arial" w:cs="Arial" w:eastAsia="Arial" w:hAnsi="Arial"/>
          <w:sz w:val="18"/>
          <w:szCs w:val="18"/>
          <w:color w:val="auto"/>
        </w:rPr>
        <w:t>” means a defined quantity of Product that has been or is being Manufactured in accordance with the Specifications.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Certificate of Analysis</w:t>
      </w:r>
      <w:r>
        <w:rPr>
          <w:rFonts w:ascii="Arial" w:cs="Arial" w:eastAsia="Arial" w:hAnsi="Arial"/>
          <w:sz w:val="18"/>
          <w:szCs w:val="18"/>
          <w:color w:val="auto"/>
        </w:rPr>
        <w:t>” means a certificate for testing of Specifications of a Product in a form agreed by both Parties.</w:t>
      </w:r>
    </w:p>
    <w:p>
      <w:pPr>
        <w:spacing w:after="0" w:line="225"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Certificate of Compliance</w:t>
      </w:r>
      <w:r>
        <w:rPr>
          <w:rFonts w:ascii="Arial" w:cs="Arial" w:eastAsia="Arial" w:hAnsi="Arial"/>
          <w:sz w:val="16"/>
          <w:szCs w:val="16"/>
          <w:color w:val="auto"/>
        </w:rPr>
        <w:t>” means a document issued by WuXi Biologics attesting that a cGMP Product Batch has been manufactured in</w:t>
      </w:r>
      <w:r>
        <w:rPr>
          <w:rFonts w:ascii="Arial" w:cs="Arial" w:eastAsia="Arial" w:hAnsi="Arial"/>
          <w:sz w:val="16"/>
          <w:szCs w:val="16"/>
          <w:b w:val="1"/>
          <w:bCs w:val="1"/>
          <w:color w:val="auto"/>
        </w:rPr>
        <w:t xml:space="preserve"> </w:t>
      </w:r>
      <w:r>
        <w:rPr>
          <w:rFonts w:ascii="Arial" w:cs="Arial" w:eastAsia="Arial" w:hAnsi="Arial"/>
          <w:sz w:val="16"/>
          <w:szCs w:val="16"/>
          <w:color w:val="auto"/>
        </w:rPr>
        <w:t>compliance with cGMP’s and that Manufacturing Batch records have been reviewed and approved by WuXi Biologics’ Quality Assurance.</w:t>
      </w:r>
    </w:p>
    <w:p>
      <w:pPr>
        <w:spacing w:after="0" w:line="116"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w:t>
      </w:r>
      <w:r>
        <w:rPr>
          <w:rFonts w:ascii="Arial" w:cs="Arial" w:eastAsia="Arial" w:hAnsi="Arial"/>
          <w:sz w:val="18"/>
          <w:szCs w:val="18"/>
          <w:b w:val="1"/>
          <w:bCs w:val="1"/>
          <w:color w:val="auto"/>
        </w:rPr>
        <w:t>Certificate of Testing</w:t>
      </w:r>
      <w:r>
        <w:rPr>
          <w:rFonts w:ascii="Arial" w:cs="Arial" w:eastAsia="Arial" w:hAnsi="Arial"/>
          <w:sz w:val="18"/>
          <w:szCs w:val="18"/>
          <w:color w:val="auto"/>
        </w:rPr>
        <w:t>” means a certificate for testing of selected Specifications of a Product in a form agreed by both Parties, for the selected</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performed by WuXi Biologics.</w:t>
      </w:r>
    </w:p>
    <w:p>
      <w:pPr>
        <w:spacing w:after="0" w:line="162" w:lineRule="exact"/>
        <w:rPr>
          <w:sz w:val="20"/>
          <w:szCs w:val="20"/>
          <w:color w:val="auto"/>
        </w:rPr>
      </w:pPr>
    </w:p>
    <w:p>
      <w:pPr>
        <w:ind w:right="340" w:firstLine="440"/>
        <w:spacing w:after="0" w:line="261"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efforts to be expended by either Party with respect to any objective, such</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diligent, and good faith efforts as such Party would normally use to accomplish a similar objective under similar circumstances as expeditiously as possible, which in no event shall be less than the standard of care generally adhered to in the industry of such Party when providing such efforts.</w:t>
      </w:r>
    </w:p>
    <w:p>
      <w:pPr>
        <w:spacing w:after="0" w:line="18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1.10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 with respect to Client, any and all information (in whatever form, tangible or intangible)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Client’s, its Affiliates’ and/or their business partners’, business, employee or customer information or data which is disclosed, or otherwise comes into possession of WuXi Biologics, directly or indirectly as a result of this Agreement and which is of a confidential nature (including, without limitation, any information relating to business affairs, operations, products, processes, methodologies, formulae, plans, intentions, projections, Intellectual Property rights, trade secrets, market opportunities, suppliers, customers, marketing activities, sales, software, computer and telecommunications systems, costs and prices, wage rates, records, finances and personnel); and (b) with respect to WuXi Biologics, any and all information (in whatever form, tangible or intangible) relating to WuXi Biologics’ or its Affiliates’ methodology, testing processes, packaging and manufacturing techniques, data collection and data management techniques which is disclosed, or otherwise comes into possession of Client, directly or indirectly as a result of this Agreement and which is of a confidential nature.</w:t>
      </w:r>
    </w:p>
    <w:p>
      <w:pPr>
        <w:spacing w:after="0" w:line="174" w:lineRule="exact"/>
        <w:rPr>
          <w:sz w:val="20"/>
          <w:szCs w:val="20"/>
          <w:color w:val="auto"/>
        </w:rPr>
      </w:pPr>
    </w:p>
    <w:p>
      <w:pPr>
        <w:ind w:right="200" w:firstLine="440"/>
        <w:spacing w:after="0" w:line="312" w:lineRule="auto"/>
        <w:rPr>
          <w:sz w:val="20"/>
          <w:szCs w:val="20"/>
          <w:color w:val="auto"/>
        </w:rPr>
      </w:pPr>
      <w:r>
        <w:rPr>
          <w:rFonts w:ascii="Arial" w:cs="Arial" w:eastAsia="Arial" w:hAnsi="Arial"/>
          <w:sz w:val="17"/>
          <w:szCs w:val="17"/>
          <w:b w:val="1"/>
          <w:bCs w:val="1"/>
          <w:color w:val="auto"/>
        </w:rPr>
        <w:t xml:space="preserve">1.11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the ownership of more than fifty (50) percent of the voting stock of any organization or the legal power to direct or cause</w:t>
      </w:r>
      <w:r>
        <w:rPr>
          <w:rFonts w:ascii="Arial" w:cs="Arial" w:eastAsia="Arial" w:hAnsi="Arial"/>
          <w:sz w:val="17"/>
          <w:szCs w:val="17"/>
          <w:b w:val="1"/>
          <w:bCs w:val="1"/>
          <w:color w:val="auto"/>
        </w:rPr>
        <w:t xml:space="preserve"> </w:t>
      </w:r>
      <w:r>
        <w:rPr>
          <w:rFonts w:ascii="Arial" w:cs="Arial" w:eastAsia="Arial" w:hAnsi="Arial"/>
          <w:sz w:val="17"/>
          <w:szCs w:val="17"/>
          <w:color w:val="auto"/>
        </w:rPr>
        <w:t>the direction of the general management of the organization as appropriate, and “</w:t>
      </w:r>
      <w:r>
        <w:rPr>
          <w:rFonts w:ascii="Arial" w:cs="Arial" w:eastAsia="Arial" w:hAnsi="Arial"/>
          <w:sz w:val="17"/>
          <w:szCs w:val="17"/>
          <w:b w:val="1"/>
          <w:bCs w:val="1"/>
          <w:color w:val="auto"/>
        </w:rPr>
        <w:t>Controlled</w:t>
      </w:r>
      <w:r>
        <w:rPr>
          <w:rFonts w:ascii="Arial" w:cs="Arial" w:eastAsia="Arial" w:hAnsi="Arial"/>
          <w:sz w:val="17"/>
          <w:szCs w:val="17"/>
          <w:color w:val="auto"/>
        </w:rPr>
        <w:t>” shall be construed accordingly.</w:t>
      </w:r>
    </w:p>
    <w:p>
      <w:pPr>
        <w:spacing w:after="0" w:line="140"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Current Good Manufacturing Practice</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means all applicable standards relating to current manufacturing practices for</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intermediates, bulk products or finished pharmaceutical products (as appropriate), as required:</w:t>
      </w:r>
    </w:p>
    <w:p>
      <w:pPr>
        <w:spacing w:after="0" w:line="166" w:lineRule="exact"/>
        <w:rPr>
          <w:sz w:val="20"/>
          <w:szCs w:val="20"/>
          <w:color w:val="auto"/>
        </w:rPr>
      </w:pPr>
    </w:p>
    <w:p>
      <w:pPr>
        <w:ind w:right="320" w:firstLine="987"/>
        <w:spacing w:after="0" w:line="263" w:lineRule="auto"/>
        <w:tabs>
          <w:tab w:leader="none" w:pos="1236" w:val="left"/>
        </w:tabs>
        <w:numPr>
          <w:ilvl w:val="0"/>
          <w:numId w:val="389"/>
        </w:numPr>
        <w:rPr>
          <w:rFonts w:ascii="Arial" w:cs="Arial" w:eastAsia="Arial" w:hAnsi="Arial"/>
          <w:sz w:val="18"/>
          <w:szCs w:val="18"/>
          <w:color w:val="auto"/>
        </w:rPr>
      </w:pPr>
      <w:r>
        <w:rPr>
          <w:rFonts w:ascii="Arial" w:cs="Arial" w:eastAsia="Arial" w:hAnsi="Arial"/>
          <w:sz w:val="18"/>
          <w:szCs w:val="18"/>
          <w:color w:val="auto"/>
        </w:rPr>
        <w:t>by the standards, rules, principles and guidelines set out in the provisions of Chapter II of EC Commission Directive 2003/94/EC, together with Volume 4 of the Rules Governing Medicinal Products in the European Union entitled “EU Guidelines to Good Manufacturing Practice Medicinal Products for Human and Veterinary Use”;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504" w:name="page505"/>
    <w:bookmarkEnd w:id="504"/>
    <w:p>
      <w:pPr>
        <w:ind w:left="4" w:right="240" w:firstLine="987"/>
        <w:spacing w:after="0" w:line="277" w:lineRule="auto"/>
        <w:tabs>
          <w:tab w:leader="none" w:pos="1250"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the provisions of 21 C.F.R., parts 210 and 211 and all applicable rules, regulations, orders and guidance published by the United States Food and Drug Administration;</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by the MHLW GMP/GQP ordinances and accompanying regulations in Japan;</w:t>
      </w:r>
    </w:p>
    <w:p>
      <w:pPr>
        <w:spacing w:after="0" w:line="225" w:lineRule="exact"/>
        <w:rPr>
          <w:rFonts w:ascii="Arial" w:cs="Arial" w:eastAsia="Arial" w:hAnsi="Arial"/>
          <w:sz w:val="18"/>
          <w:szCs w:val="18"/>
          <w:color w:val="auto"/>
        </w:rPr>
      </w:pPr>
    </w:p>
    <w:p>
      <w:pPr>
        <w:ind w:left="4" w:right="20" w:firstLine="987"/>
        <w:spacing w:after="0" w:line="277" w:lineRule="auto"/>
        <w:tabs>
          <w:tab w:leader="none" w:pos="125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such other applicable standards as the Parties may agree in writing to reflect the requirements of Regulatory Authorities in the country of Manufacture or supply; and</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390"/>
        </w:numPr>
        <w:rPr>
          <w:rFonts w:ascii="Arial" w:cs="Arial" w:eastAsia="Arial" w:hAnsi="Arial"/>
          <w:sz w:val="16"/>
          <w:szCs w:val="16"/>
          <w:color w:val="auto"/>
        </w:rPr>
      </w:pPr>
      <w:r>
        <w:rPr>
          <w:rFonts w:ascii="Arial" w:cs="Arial" w:eastAsia="Arial" w:hAnsi="Arial"/>
          <w:sz w:val="16"/>
          <w:szCs w:val="16"/>
          <w:color w:val="auto"/>
        </w:rPr>
        <w:t>such other requirements as agreed between the Parties and set out in a Quality Agreement, if applicable, as amended and updated from</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07"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w:t>
      </w:r>
      <w:r>
        <w:rPr>
          <w:rFonts w:ascii="Arial" w:cs="Arial" w:eastAsia="Arial" w:hAnsi="Arial"/>
          <w:sz w:val="18"/>
          <w:szCs w:val="18"/>
          <w:b w:val="1"/>
          <w:bCs w:val="1"/>
          <w:color w:val="auto"/>
        </w:rPr>
        <w:t>Current Good Distribution Practices</w:t>
      </w:r>
      <w:r>
        <w:rPr>
          <w:rFonts w:ascii="Arial" w:cs="Arial" w:eastAsia="Arial" w:hAnsi="Arial"/>
          <w:sz w:val="18"/>
          <w:szCs w:val="18"/>
          <w:color w:val="auto"/>
        </w:rPr>
        <w:t>” or “</w:t>
      </w:r>
      <w:r>
        <w:rPr>
          <w:rFonts w:ascii="Arial" w:cs="Arial" w:eastAsia="Arial" w:hAnsi="Arial"/>
          <w:sz w:val="18"/>
          <w:szCs w:val="18"/>
          <w:b w:val="1"/>
          <w:bCs w:val="1"/>
          <w:color w:val="auto"/>
        </w:rPr>
        <w:t>cGDP</w:t>
      </w:r>
      <w:r>
        <w:rPr>
          <w:rFonts w:ascii="Arial" w:cs="Arial" w:eastAsia="Arial" w:hAnsi="Arial"/>
          <w:sz w:val="18"/>
          <w:szCs w:val="18"/>
          <w:color w:val="auto"/>
        </w:rPr>
        <w:t>” means all applicable standards relating to current distribution practices of medicinal</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for human use, as required:</w:t>
      </w:r>
    </w:p>
    <w:p>
      <w:pPr>
        <w:spacing w:after="0" w:line="166" w:lineRule="exact"/>
        <w:rPr>
          <w:sz w:val="20"/>
          <w:szCs w:val="20"/>
          <w:color w:val="auto"/>
        </w:rPr>
      </w:pPr>
    </w:p>
    <w:p>
      <w:pPr>
        <w:ind w:left="4" w:right="160" w:firstLine="987"/>
        <w:spacing w:after="0" w:line="277" w:lineRule="auto"/>
        <w:tabs>
          <w:tab w:leader="none" w:pos="12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by the standards, rules, principles and guidelines set out in Article 84 and 85b(3) of EC Commission Directive 2001/83/EC, together with Directive 2011/62/EU and revised Guidelines published on November 2013 (2013/C 343/01);</w:t>
      </w:r>
    </w:p>
    <w:p>
      <w:pPr>
        <w:spacing w:after="0" w:line="170" w:lineRule="exact"/>
        <w:rPr>
          <w:rFonts w:ascii="Arial" w:cs="Arial" w:eastAsia="Arial" w:hAnsi="Arial"/>
          <w:sz w:val="18"/>
          <w:szCs w:val="18"/>
          <w:color w:val="auto"/>
        </w:rPr>
      </w:pPr>
    </w:p>
    <w:p>
      <w:pPr>
        <w:ind w:left="4" w:right="60" w:firstLine="987"/>
        <w:spacing w:after="0" w:line="277" w:lineRule="auto"/>
        <w:tabs>
          <w:tab w:leader="none" w:pos="125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any other part of the world, such standards as the Parties may agree in writing to reflect the requirements of Regulatory Authorities in the country of Manufacture or supply; and</w:t>
      </w:r>
    </w:p>
    <w:p>
      <w:pPr>
        <w:spacing w:after="0" w:line="170" w:lineRule="exact"/>
        <w:rPr>
          <w:rFonts w:ascii="Arial" w:cs="Arial" w:eastAsia="Arial" w:hAnsi="Arial"/>
          <w:sz w:val="18"/>
          <w:szCs w:val="18"/>
          <w:color w:val="auto"/>
        </w:rPr>
      </w:pPr>
    </w:p>
    <w:p>
      <w:pPr>
        <w:ind w:left="4" w:right="280" w:firstLine="987"/>
        <w:spacing w:after="0" w:line="277" w:lineRule="auto"/>
        <w:tabs>
          <w:tab w:leader="none" w:pos="124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such other requirements as agreed between the Parties and set out in the Quality Agreement, in each case, as amended and updated from time to time.</w:t>
      </w:r>
    </w:p>
    <w:p>
      <w:pPr>
        <w:spacing w:after="0" w:line="166"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Defect</w:t>
      </w:r>
      <w:r>
        <w:rPr>
          <w:rFonts w:ascii="Arial" w:cs="Arial" w:eastAsia="Arial" w:hAnsi="Arial"/>
          <w:sz w:val="18"/>
          <w:szCs w:val="18"/>
          <w:color w:val="auto"/>
        </w:rPr>
        <w:t>” means, in respect of a Product, a failure to comply with the Product warranties set forth in 17.2. “</w:t>
      </w:r>
      <w:r>
        <w:rPr>
          <w:rFonts w:ascii="Arial" w:cs="Arial" w:eastAsia="Arial" w:hAnsi="Arial"/>
          <w:sz w:val="18"/>
          <w:szCs w:val="18"/>
          <w:b w:val="1"/>
          <w:bCs w:val="1"/>
          <w:color w:val="auto"/>
        </w:rPr>
        <w:t>Defective</w:t>
      </w:r>
      <w:r>
        <w:rPr>
          <w:rFonts w:ascii="Arial" w:cs="Arial" w:eastAsia="Arial" w:hAnsi="Arial"/>
          <w:sz w:val="18"/>
          <w:szCs w:val="18"/>
          <w:color w:val="auto"/>
        </w:rPr>
        <w:t>” shall be construed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accordingly.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Defective Product</w:t>
      </w:r>
      <w:r>
        <w:rPr>
          <w:rFonts w:ascii="Arial" w:cs="Arial" w:eastAsia="Arial" w:hAnsi="Arial"/>
          <w:sz w:val="18"/>
          <w:szCs w:val="18"/>
          <w:color w:val="auto"/>
        </w:rPr>
        <w:t>” means a Product with a Defect.</w:t>
      </w:r>
    </w:p>
    <w:p>
      <w:pPr>
        <w:spacing w:after="0" w:line="225"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Delivery Terms</w:t>
      </w:r>
      <w:r>
        <w:rPr>
          <w:rFonts w:ascii="Arial" w:cs="Arial" w:eastAsia="Arial" w:hAnsi="Arial"/>
          <w:sz w:val="18"/>
          <w:szCs w:val="18"/>
          <w:color w:val="auto"/>
        </w:rPr>
        <w:t>” shall mean FCA (Incoterms 2020) with respect to Products, or such other terms as may be agreed in writing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terms such as “</w:t>
      </w:r>
      <w:r>
        <w:rPr>
          <w:rFonts w:ascii="Arial" w:cs="Arial" w:eastAsia="Arial" w:hAnsi="Arial"/>
          <w:sz w:val="18"/>
          <w:szCs w:val="18"/>
          <w:b w:val="1"/>
          <w:bCs w:val="1"/>
          <w:color w:val="auto"/>
        </w:rPr>
        <w:t>Delivery</w:t>
      </w:r>
      <w:r>
        <w:rPr>
          <w:rFonts w:ascii="Arial" w:cs="Arial" w:eastAsia="Arial" w:hAnsi="Arial"/>
          <w:sz w:val="18"/>
          <w:szCs w:val="18"/>
          <w:color w:val="auto"/>
        </w:rPr>
        <w:t>” and “</w:t>
      </w:r>
      <w:r>
        <w:rPr>
          <w:rFonts w:ascii="Arial" w:cs="Arial" w:eastAsia="Arial" w:hAnsi="Arial"/>
          <w:sz w:val="18"/>
          <w:szCs w:val="18"/>
          <w:b w:val="1"/>
          <w:bCs w:val="1"/>
          <w:color w:val="auto"/>
        </w:rPr>
        <w:t>Delivered</w:t>
      </w:r>
      <w:r>
        <w:rPr>
          <w:rFonts w:ascii="Arial" w:cs="Arial" w:eastAsia="Arial" w:hAnsi="Arial"/>
          <w:sz w:val="18"/>
          <w:szCs w:val="18"/>
          <w:color w:val="auto"/>
        </w:rPr>
        <w:t>” shall be construed accordingly.</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Executive Officers</w:t>
      </w:r>
      <w:r>
        <w:rPr>
          <w:rFonts w:ascii="Arial" w:cs="Arial" w:eastAsia="Arial" w:hAnsi="Arial"/>
          <w:sz w:val="18"/>
          <w:szCs w:val="18"/>
          <w:color w:val="auto"/>
        </w:rPr>
        <w:t>” means, together, the [***] or their respective designees.</w:t>
      </w:r>
    </w:p>
    <w:p>
      <w:pPr>
        <w:spacing w:after="0" w:line="225" w:lineRule="exact"/>
        <w:rPr>
          <w:sz w:val="20"/>
          <w:szCs w:val="20"/>
          <w:color w:val="auto"/>
        </w:rPr>
      </w:pPr>
    </w:p>
    <w:p>
      <w:pPr>
        <w:ind w:left="4" w:right="40" w:firstLine="440"/>
        <w:spacing w:after="0" w:line="256"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in relation to either Party, any acts or restraints of governments or public authorities (including embargos,</w:t>
      </w:r>
      <w:r>
        <w:rPr>
          <w:rFonts w:ascii="Arial" w:cs="Arial" w:eastAsia="Arial" w:hAnsi="Arial"/>
          <w:sz w:val="18"/>
          <w:szCs w:val="18"/>
          <w:b w:val="1"/>
          <w:bCs w:val="1"/>
          <w:color w:val="auto"/>
        </w:rPr>
        <w:t xml:space="preserve"> </w:t>
      </w:r>
      <w:r>
        <w:rPr>
          <w:rFonts w:ascii="Arial" w:cs="Arial" w:eastAsia="Arial" w:hAnsi="Arial"/>
          <w:sz w:val="18"/>
          <w:szCs w:val="18"/>
          <w:color w:val="auto"/>
        </w:rPr>
        <w:t>sanctions, prohibitions), war, terrorism, revolution, riot or civil disturbances or commotion, disruption of suppliers, pandemic, fire, explosion, accident, lightning, washout, storm, flood, sabotage, lack of adequate fuel, power, raw materials, transportation, labor dispute, general strike of a national or industry-wide nature, or any similar circumstances or occurrences (excluding the payment of money, unless the circumstance or occurrence directly affects all of a Party’s payment mechanisms needed to make such payment) beyond the reasonable control (including the taking of reasonable precautions) of that Party.</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1.19 </w:t>
      </w: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court, tribunal, arbitrator, agency, legislative body, commission, official or other instrumentality of</w:t>
      </w:r>
    </w:p>
    <w:p>
      <w:pPr>
        <w:spacing w:after="0" w:line="50" w:lineRule="exact"/>
        <w:rPr>
          <w:sz w:val="20"/>
          <w:szCs w:val="20"/>
          <w:color w:val="auto"/>
        </w:rPr>
      </w:pPr>
    </w:p>
    <w:p>
      <w:pPr>
        <w:ind w:left="4" w:right="520" w:hanging="4"/>
        <w:spacing w:after="0" w:line="260" w:lineRule="auto"/>
        <w:tabs>
          <w:tab w:leader="none" w:pos="24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any government of any country, (b) a federal, state, province, county, city or other political subdivision thereof or (c) any supranational body, including any Regulatory Authority.</w:t>
      </w:r>
    </w:p>
    <w:p>
      <w:pPr>
        <w:spacing w:after="0" w:line="11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4"/>
          </w:cols>
          <w:pgMar w:left="436" w:top="273" w:right="539" w:bottom="1440" w:gutter="0" w:footer="0" w:header="0"/>
        </w:sectPr>
      </w:pPr>
    </w:p>
    <w:bookmarkStart w:id="505" w:name="page506"/>
    <w:bookmarkEnd w:id="505"/>
    <w:p>
      <w:pPr>
        <w:ind w:right="18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1.20 </w:t>
      </w:r>
      <w:r>
        <w:rPr>
          <w:rFonts w:ascii="Arial" w:cs="Arial" w:eastAsia="Arial" w:hAnsi="Arial"/>
          <w:sz w:val="17"/>
          <w:szCs w:val="17"/>
          <w:color w:val="auto"/>
        </w:rPr>
        <w:t>“</w:t>
      </w:r>
      <w:r>
        <w:rPr>
          <w:rFonts w:ascii="Arial" w:cs="Arial" w:eastAsia="Arial" w:hAnsi="Arial"/>
          <w:sz w:val="17"/>
          <w:szCs w:val="17"/>
          <w:b w:val="1"/>
          <w:bCs w:val="1"/>
          <w:color w:val="auto"/>
        </w:rPr>
        <w:t>Hazardous Materials</w:t>
      </w:r>
      <w:r>
        <w:rPr>
          <w:rFonts w:ascii="Arial" w:cs="Arial" w:eastAsia="Arial" w:hAnsi="Arial"/>
          <w:sz w:val="17"/>
          <w:szCs w:val="17"/>
          <w:color w:val="auto"/>
        </w:rPr>
        <w:t>” means any material or substance that, whether by its nature or use, is now or hereafter defined or regulated as a</w:t>
      </w:r>
      <w:r>
        <w:rPr>
          <w:rFonts w:ascii="Arial" w:cs="Arial" w:eastAsia="Arial" w:hAnsi="Arial"/>
          <w:sz w:val="17"/>
          <w:szCs w:val="17"/>
          <w:b w:val="1"/>
          <w:bCs w:val="1"/>
          <w:color w:val="auto"/>
        </w:rPr>
        <w:t xml:space="preserve"> </w:t>
      </w:r>
      <w:r>
        <w:rPr>
          <w:rFonts w:ascii="Arial" w:cs="Arial" w:eastAsia="Arial" w:hAnsi="Arial"/>
          <w:sz w:val="17"/>
          <w:szCs w:val="17"/>
          <w:color w:val="auto"/>
        </w:rPr>
        <w:t>hazardous waste, hazardous substance, pollutant, or contaminant under any Applicable Laws relating to or addressing public and employee health and safety and protection of the environment, or which is toxic, explosive, corrosive, flammable, radioactive, carcinogenic, mutagenic or otherwise hazardous or which is or contains petroleum, gasoline, diesel, fuel, another petroleum hydrocarbon product, or polychlorinated biphenyls. Hazardous Materials specifically include asbestos-containing materials (ACM), mold and lead-based paints.</w:t>
      </w:r>
    </w:p>
    <w:p>
      <w:pPr>
        <w:spacing w:after="0" w:line="168"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Independent Expert</w:t>
      </w:r>
      <w:r>
        <w:rPr>
          <w:rFonts w:ascii="Arial" w:cs="Arial" w:eastAsia="Arial" w:hAnsi="Arial"/>
          <w:sz w:val="18"/>
          <w:szCs w:val="18"/>
          <w:color w:val="auto"/>
        </w:rPr>
        <w:t>” means a laboratory or expert mutually agreed upon by the Parties, and if no agreement can be reached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will accept a laboratory or expert appointed by the International Chamber of Commerce of Switzerland.</w:t>
      </w:r>
    </w:p>
    <w:p>
      <w:pPr>
        <w:spacing w:after="0" w:line="16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1.22 </w:t>
      </w:r>
      <w:r>
        <w:rPr>
          <w:rFonts w:ascii="Arial" w:cs="Arial" w:eastAsia="Arial" w:hAnsi="Arial"/>
          <w:sz w:val="16"/>
          <w:szCs w:val="16"/>
          <w:color w:val="auto"/>
        </w:rPr>
        <w:t>“</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patents, trademarks, service marks, design rights, including applications for any of the foregoing, copyright,</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in know-how, trade or business names and other rights or forms of protection of a similar nature or having equivalent or similar effect to any of these which may subsist anywhere in the world whether registerable or not. For the purposes of this definition, know-how shall mean any current and future scientific, technical, or commercial information, results and data of any type whatsoever, developed or generated in relation to the Products, in any tangible and intangible form, that is not in the public domain or otherwise publicly known, including, without limitation, discoveries, inventions, trade secrets, databases, practices, protocols, regulatory filings, methods, processes, techniques, biological and other materials, reagents, specifications, formulations, formulae, data (including pharmacological, biological, chemical, toxicological and clinical information, analytical, quality control and stability data, studies and procedures), manufacturing process and development information, results and data, whether or not patentable.</w:t>
      </w:r>
    </w:p>
    <w:p>
      <w:pPr>
        <w:spacing w:after="0" w:line="159"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Latent Defect</w:t>
      </w:r>
      <w:r>
        <w:rPr>
          <w:rFonts w:ascii="Arial" w:cs="Arial" w:eastAsia="Arial" w:hAnsi="Arial"/>
          <w:sz w:val="18"/>
          <w:szCs w:val="18"/>
          <w:color w:val="auto"/>
        </w:rPr>
        <w:t>” means a Defect existing at the time of delivery of the Product in question to Client, but which could not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discovered by a visual inspection of its outer packaging.</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means all losses, claims, liabilities, costs, awards, fines, penalties, expenses (including legal fees and other professional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and damages of any nature whatsoever and whether or not reasonably foreseeable or avoidable.</w:t>
      </w:r>
    </w:p>
    <w:p>
      <w:pPr>
        <w:spacing w:after="0" w:line="162" w:lineRule="exact"/>
        <w:rPr>
          <w:sz w:val="20"/>
          <w:szCs w:val="20"/>
          <w:color w:val="auto"/>
        </w:rPr>
      </w:pPr>
    </w:p>
    <w:p>
      <w:pPr>
        <w:jc w:val="both"/>
        <w:ind w:right="320" w:firstLine="440"/>
        <w:spacing w:after="0" w:line="266"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Manufacture</w:t>
      </w:r>
      <w:r>
        <w:rPr>
          <w:rFonts w:ascii="Arial" w:cs="Arial" w:eastAsia="Arial" w:hAnsi="Arial"/>
          <w:sz w:val="18"/>
          <w:szCs w:val="18"/>
          <w:color w:val="auto"/>
        </w:rPr>
        <w:t>” means the planning, purchasing, manufacture, processing, compounding, storage, filling, packaging, labeling, leafleting,</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sample retention, stability testing, release and dispatch of the Products. This term will also include variations such as “</w:t>
      </w:r>
      <w:r>
        <w:rPr>
          <w:rFonts w:ascii="Arial" w:cs="Arial" w:eastAsia="Arial" w:hAnsi="Arial"/>
          <w:sz w:val="18"/>
          <w:szCs w:val="18"/>
          <w:b w:val="1"/>
          <w:bCs w:val="1"/>
          <w:color w:val="auto"/>
        </w:rPr>
        <w:t>Manufacturing</w:t>
      </w:r>
      <w:r>
        <w:rPr>
          <w:rFonts w:ascii="Arial" w:cs="Arial" w:eastAsia="Arial" w:hAnsi="Arial"/>
          <w:sz w:val="18"/>
          <w:szCs w:val="18"/>
          <w:color w:val="auto"/>
        </w:rPr>
        <w:t>” and “</w:t>
      </w:r>
      <w:r>
        <w:rPr>
          <w:rFonts w:ascii="Arial" w:cs="Arial" w:eastAsia="Arial" w:hAnsi="Arial"/>
          <w:sz w:val="18"/>
          <w:szCs w:val="18"/>
          <w:b w:val="1"/>
          <w:bCs w:val="1"/>
          <w:color w:val="auto"/>
        </w:rPr>
        <w:t>Manufactured</w:t>
      </w:r>
      <w:r>
        <w:rPr>
          <w:rFonts w:ascii="Arial" w:cs="Arial" w:eastAsia="Arial" w:hAnsi="Arial"/>
          <w:sz w:val="18"/>
          <w:szCs w:val="18"/>
          <w:color w:val="auto"/>
        </w:rPr>
        <w:t>.”</w:t>
      </w:r>
    </w:p>
    <w:p>
      <w:pPr>
        <w:spacing w:after="0" w:line="176" w:lineRule="exact"/>
        <w:rPr>
          <w:sz w:val="20"/>
          <w:szCs w:val="20"/>
          <w:color w:val="auto"/>
        </w:rPr>
      </w:pPr>
    </w:p>
    <w:p>
      <w:pPr>
        <w:ind w:right="200" w:firstLine="440"/>
        <w:spacing w:after="0" w:line="261"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Manufacturing License</w:t>
      </w:r>
      <w:r>
        <w:rPr>
          <w:rFonts w:ascii="Arial" w:cs="Arial" w:eastAsia="Arial" w:hAnsi="Arial"/>
          <w:sz w:val="18"/>
          <w:szCs w:val="18"/>
          <w:color w:val="auto"/>
        </w:rPr>
        <w:t>” means any consent, permit, authorization or approval required for or in connection with the Manufacture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at the Manufacturing Site(s), and the export/import of the Products to Client in accordance with the Delivery Terms (including any license required pursuant to Article 13.1 of the Directive 2001/20/EC or other applicable Regulatory Authority) including as applicable, a current drug establishment registration with the FDA as set forth in 21 C.F.R. §207.</w:t>
      </w:r>
    </w:p>
    <w:p>
      <w:pPr>
        <w:spacing w:after="0" w:line="180"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 xml:space="preserve">1.27 </w:t>
      </w:r>
      <w:r>
        <w:rPr>
          <w:rFonts w:ascii="Arial" w:cs="Arial" w:eastAsia="Arial" w:hAnsi="Arial"/>
          <w:sz w:val="18"/>
          <w:szCs w:val="18"/>
          <w:color w:val="auto"/>
        </w:rPr>
        <w:t>“</w:t>
      </w:r>
      <w:r>
        <w:rPr>
          <w:rFonts w:ascii="Arial" w:cs="Arial" w:eastAsia="Arial" w:hAnsi="Arial"/>
          <w:sz w:val="18"/>
          <w:szCs w:val="18"/>
          <w:b w:val="1"/>
          <w:bCs w:val="1"/>
          <w:color w:val="auto"/>
        </w:rPr>
        <w:t>Manufacturing Site</w:t>
      </w:r>
      <w:r>
        <w:rPr>
          <w:rFonts w:ascii="Arial" w:cs="Arial" w:eastAsia="Arial" w:hAnsi="Arial"/>
          <w:sz w:val="18"/>
          <w:szCs w:val="18"/>
          <w:color w:val="auto"/>
        </w:rPr>
        <w:t>” means the manufacturing facility of WuXi Biologics Co Ltd registered at 108 Meiliang Road. MaShan - Binhu</w:t>
      </w:r>
      <w:r>
        <w:rPr>
          <w:rFonts w:ascii="Arial" w:cs="Arial" w:eastAsia="Arial" w:hAnsi="Arial"/>
          <w:sz w:val="18"/>
          <w:szCs w:val="18"/>
          <w:b w:val="1"/>
          <w:bCs w:val="1"/>
          <w:color w:val="auto"/>
        </w:rPr>
        <w:t xml:space="preserve"> </w:t>
      </w:r>
      <w:r>
        <w:rPr>
          <w:rFonts w:ascii="Arial" w:cs="Arial" w:eastAsia="Arial" w:hAnsi="Arial"/>
          <w:sz w:val="18"/>
          <w:szCs w:val="18"/>
          <w:color w:val="auto"/>
        </w:rPr>
        <w:t>District, Wuxi 214092, or such other manufacturing facility of WuXi Biologics as agreed to by the Parties pursuant to the change control procedures set out in the Quality Agreement.</w:t>
      </w:r>
    </w:p>
    <w:p>
      <w:pPr>
        <w:spacing w:after="0" w:line="176"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Materials</w:t>
      </w:r>
      <w:r>
        <w:rPr>
          <w:rFonts w:ascii="Arial" w:cs="Arial" w:eastAsia="Arial" w:hAnsi="Arial"/>
          <w:sz w:val="18"/>
          <w:szCs w:val="18"/>
          <w:color w:val="auto"/>
        </w:rPr>
        <w:t>” means the active ingredients, raw materials, excipients, packaging materials and components used in the Manufacture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69" w:right="479" w:bottom="1440" w:gutter="0" w:footer="0" w:header="0"/>
        </w:sectPr>
      </w:pPr>
    </w:p>
    <w:bookmarkStart w:id="506" w:name="page507"/>
    <w:bookmarkEnd w:id="506"/>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1.29 </w:t>
      </w:r>
      <w:r>
        <w:rPr>
          <w:rFonts w:ascii="Arial" w:cs="Arial" w:eastAsia="Arial" w:hAnsi="Arial"/>
          <w:sz w:val="18"/>
          <w:szCs w:val="18"/>
          <w:color w:val="auto"/>
        </w:rPr>
        <w:t>“</w:t>
      </w:r>
      <w:r>
        <w:rPr>
          <w:rFonts w:ascii="Arial" w:cs="Arial" w:eastAsia="Arial" w:hAnsi="Arial"/>
          <w:sz w:val="18"/>
          <w:szCs w:val="18"/>
          <w:b w:val="1"/>
          <w:bCs w:val="1"/>
          <w:color w:val="auto"/>
        </w:rPr>
        <w:t>Payment Default</w:t>
      </w:r>
      <w:r>
        <w:rPr>
          <w:rFonts w:ascii="Arial" w:cs="Arial" w:eastAsia="Arial" w:hAnsi="Arial"/>
          <w:sz w:val="18"/>
          <w:szCs w:val="18"/>
          <w:color w:val="auto"/>
        </w:rPr>
        <w:t>” means, Client’s failure to pay an undisputed invoice on or before the payment due date for such invoice.</w:t>
      </w:r>
    </w:p>
    <w:p>
      <w:pPr>
        <w:spacing w:after="0" w:line="225"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 xml:space="preserve">1.30 </w:t>
      </w:r>
      <w:r>
        <w:rPr>
          <w:rFonts w:ascii="Arial" w:cs="Arial" w:eastAsia="Arial" w:hAnsi="Arial"/>
          <w:sz w:val="18"/>
          <w:szCs w:val="18"/>
          <w:color w:val="auto"/>
        </w:rPr>
        <w:t>“</w:t>
      </w:r>
      <w:r>
        <w:rPr>
          <w:rFonts w:ascii="Arial" w:cs="Arial" w:eastAsia="Arial" w:hAnsi="Arial"/>
          <w:sz w:val="18"/>
          <w:szCs w:val="18"/>
          <w:b w:val="1"/>
          <w:bCs w:val="1"/>
          <w:color w:val="auto"/>
        </w:rPr>
        <w:t>Payment Default Rate</w:t>
      </w:r>
      <w:r>
        <w:rPr>
          <w:rFonts w:ascii="Arial" w:cs="Arial" w:eastAsia="Arial" w:hAnsi="Arial"/>
          <w:sz w:val="18"/>
          <w:szCs w:val="18"/>
          <w:color w:val="auto"/>
        </w:rPr>
        <w:t>” means that, in the event of a Payment Default, interest of [***] will be accrued [***] (up to the maximum legally</w:t>
      </w:r>
      <w:r>
        <w:rPr>
          <w:rFonts w:ascii="Arial" w:cs="Arial" w:eastAsia="Arial" w:hAnsi="Arial"/>
          <w:sz w:val="18"/>
          <w:szCs w:val="18"/>
          <w:b w:val="1"/>
          <w:bCs w:val="1"/>
          <w:color w:val="auto"/>
        </w:rPr>
        <w:t xml:space="preserve"> </w:t>
      </w:r>
      <w:r>
        <w:rPr>
          <w:rFonts w:ascii="Arial" w:cs="Arial" w:eastAsia="Arial" w:hAnsi="Arial"/>
          <w:sz w:val="18"/>
          <w:szCs w:val="18"/>
          <w:color w:val="auto"/>
        </w:rPr>
        <w:t>permissible rate in the Client’s jurisdiction, or [***], whichever is less) of the overdue payment starting on the date such undisputed invoice was due to be paid.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Price</w:t>
      </w:r>
      <w:r>
        <w:rPr>
          <w:rFonts w:ascii="Arial" w:cs="Arial" w:eastAsia="Arial" w:hAnsi="Arial"/>
          <w:sz w:val="18"/>
          <w:szCs w:val="18"/>
          <w:color w:val="auto"/>
        </w:rPr>
        <w:t>” means, in respect of each Product, the price set out in Schedule 1.</w:t>
      </w:r>
    </w:p>
    <w:p>
      <w:pPr>
        <w:spacing w:after="0" w:line="225"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color w:val="auto"/>
        </w:rPr>
        <w:t>“</w:t>
      </w:r>
      <w:r>
        <w:rPr>
          <w:rFonts w:ascii="Arial" w:cs="Arial" w:eastAsia="Arial" w:hAnsi="Arial"/>
          <w:sz w:val="18"/>
          <w:szCs w:val="18"/>
          <w:b w:val="1"/>
          <w:bCs w:val="1"/>
          <w:color w:val="auto"/>
        </w:rPr>
        <w:t>Product License</w:t>
      </w:r>
      <w:r>
        <w:rPr>
          <w:rFonts w:ascii="Arial" w:cs="Arial" w:eastAsia="Arial" w:hAnsi="Arial"/>
          <w:sz w:val="18"/>
          <w:szCs w:val="18"/>
          <w:color w:val="auto"/>
        </w:rPr>
        <w:t>” means the product license or marketing authorization issued by a competent Regulatory Authority,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(as the case may be) required for the marketing, sale, distribution, importation, use, or clinical investigation of the Products by Client in the jurisdictions in which the foregoing activities take place, and any extension or renewal of any of the foregoing; provided that, for clarity, “Product License” shall not include any authorizations required for WuXi Biologics’ Manufacturing activities under this Agreement and Wuxi Biologics shall be solely responsible for acquiring and maintaining such licenses and authorizations.</w:t>
      </w:r>
    </w:p>
    <w:p>
      <w:pPr>
        <w:spacing w:after="0" w:line="183"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Products</w:t>
      </w:r>
      <w:r>
        <w:rPr>
          <w:rFonts w:ascii="Arial" w:cs="Arial" w:eastAsia="Arial" w:hAnsi="Arial"/>
          <w:sz w:val="18"/>
          <w:szCs w:val="18"/>
          <w:color w:val="auto"/>
        </w:rPr>
        <w:t>” means each of the Products set out on Schedule 1, as amended from time to time, that are Manufactured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applicable Product Schedule or Purchase Order.</w:t>
      </w:r>
    </w:p>
    <w:p>
      <w:pPr>
        <w:spacing w:after="0" w:line="162"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 xml:space="preserve">1.34 “Product Schedule” </w:t>
      </w:r>
      <w:r>
        <w:rPr>
          <w:rFonts w:ascii="Arial" w:cs="Arial" w:eastAsia="Arial" w:hAnsi="Arial"/>
          <w:sz w:val="18"/>
          <w:szCs w:val="18"/>
          <w:color w:val="auto"/>
        </w:rPr>
        <w:t>means a schedule completed and entered into between the Parties for the Manufacture and supply of Product and/or</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services, pursuant to this Agreement.</w:t>
      </w:r>
    </w:p>
    <w:p>
      <w:pPr>
        <w:spacing w:after="0" w:line="162" w:lineRule="exact"/>
        <w:rPr>
          <w:sz w:val="20"/>
          <w:szCs w:val="20"/>
          <w:color w:val="auto"/>
        </w:rPr>
      </w:pPr>
    </w:p>
    <w:p>
      <w:pPr>
        <w:jc w:val="both"/>
        <w:ind w:right="240" w:firstLine="440"/>
        <w:spacing w:after="0" w:line="289" w:lineRule="auto"/>
        <w:rPr>
          <w:sz w:val="20"/>
          <w:szCs w:val="20"/>
          <w:color w:val="auto"/>
        </w:rPr>
      </w:pPr>
      <w:r>
        <w:rPr>
          <w:rFonts w:ascii="Arial" w:cs="Arial" w:eastAsia="Arial" w:hAnsi="Arial"/>
          <w:sz w:val="17"/>
          <w:szCs w:val="17"/>
          <w:b w:val="1"/>
          <w:bCs w:val="1"/>
          <w:color w:val="auto"/>
        </w:rPr>
        <w:t xml:space="preserve">1.35 </w:t>
      </w:r>
      <w:r>
        <w:rPr>
          <w:rFonts w:ascii="Arial" w:cs="Arial" w:eastAsia="Arial" w:hAnsi="Arial"/>
          <w:sz w:val="17"/>
          <w:szCs w:val="17"/>
          <w:color w:val="auto"/>
        </w:rPr>
        <w:t>“</w:t>
      </w:r>
      <w:r>
        <w:rPr>
          <w:rFonts w:ascii="Arial" w:cs="Arial" w:eastAsia="Arial" w:hAnsi="Arial"/>
          <w:sz w:val="17"/>
          <w:szCs w:val="17"/>
          <w:b w:val="1"/>
          <w:bCs w:val="1"/>
          <w:color w:val="auto"/>
        </w:rPr>
        <w:t>Qualified Person</w:t>
      </w:r>
      <w:r>
        <w:rPr>
          <w:rFonts w:ascii="Arial" w:cs="Arial" w:eastAsia="Arial" w:hAnsi="Arial"/>
          <w:sz w:val="17"/>
          <w:szCs w:val="17"/>
          <w:color w:val="auto"/>
        </w:rPr>
        <w:t>” means the person named in the Quality Agreement (or any replacement notified in writing by WuXi Biologics, from</w:t>
      </w:r>
      <w:r>
        <w:rPr>
          <w:rFonts w:ascii="Arial" w:cs="Arial" w:eastAsia="Arial" w:hAnsi="Arial"/>
          <w:sz w:val="17"/>
          <w:szCs w:val="17"/>
          <w:b w:val="1"/>
          <w:bCs w:val="1"/>
          <w:color w:val="auto"/>
        </w:rPr>
        <w:t xml:space="preserve"> </w:t>
      </w:r>
      <w:r>
        <w:rPr>
          <w:rFonts w:ascii="Arial" w:cs="Arial" w:eastAsia="Arial" w:hAnsi="Arial"/>
          <w:sz w:val="17"/>
          <w:szCs w:val="17"/>
          <w:color w:val="auto"/>
        </w:rPr>
        <w:t>time to time), who is suitably qualified to enable WuXi Biologics to perform and discharge its quality management obligations as required by current Good Manufacturing Practice or other Applicable Laws (including, without limitation, Article 13.3 of Directive 2001/20/EC).</w:t>
      </w:r>
    </w:p>
    <w:p>
      <w:pPr>
        <w:spacing w:after="0" w:line="158"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1.36 </w:t>
      </w:r>
      <w:r>
        <w:rPr>
          <w:rFonts w:ascii="Arial" w:cs="Arial" w:eastAsia="Arial" w:hAnsi="Arial"/>
          <w:sz w:val="17"/>
          <w:szCs w:val="17"/>
          <w:color w:val="auto"/>
        </w:rPr>
        <w:t>“</w:t>
      </w:r>
      <w:r>
        <w:rPr>
          <w:rFonts w:ascii="Arial" w:cs="Arial" w:eastAsia="Arial" w:hAnsi="Arial"/>
          <w:sz w:val="17"/>
          <w:szCs w:val="17"/>
          <w:b w:val="1"/>
          <w:bCs w:val="1"/>
          <w:color w:val="auto"/>
        </w:rPr>
        <w:t>Quality Agreement</w:t>
      </w:r>
      <w:r>
        <w:rPr>
          <w:rFonts w:ascii="Arial" w:cs="Arial" w:eastAsia="Arial" w:hAnsi="Arial"/>
          <w:sz w:val="17"/>
          <w:szCs w:val="17"/>
          <w:color w:val="auto"/>
        </w:rPr>
        <w:t>” means the quality agreement related to the commercial Manufacture of the Products to be executed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prior to the performance by WuXi Biologics of any cGMP activities and substantially in the form set out in Schedule 2 hereto, which outlines the Parties’ respective responsibilities on quality matters, as amended from time to time by written agreement between the Parties.</w:t>
      </w:r>
    </w:p>
    <w:p>
      <w:pPr>
        <w:spacing w:after="0" w:line="158"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1.37 </w:t>
      </w: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multinational, federal, state, local, municipal or other Governmental Authority having jurisdiction over</w:t>
      </w:r>
      <w:r>
        <w:rPr>
          <w:rFonts w:ascii="Arial" w:cs="Arial" w:eastAsia="Arial" w:hAnsi="Arial"/>
          <w:sz w:val="18"/>
          <w:szCs w:val="18"/>
          <w:b w:val="1"/>
          <w:bCs w:val="1"/>
          <w:color w:val="auto"/>
        </w:rPr>
        <w:t xml:space="preserve"> </w:t>
      </w:r>
      <w:r>
        <w:rPr>
          <w:rFonts w:ascii="Arial" w:cs="Arial" w:eastAsia="Arial" w:hAnsi="Arial"/>
          <w:sz w:val="18"/>
          <w:szCs w:val="18"/>
          <w:color w:val="auto"/>
        </w:rPr>
        <w:t>any aspect of the activities contemplated by this Agreement, including, but not limited to, the United States Food and Drug Administration (“</w:t>
      </w:r>
      <w:r>
        <w:rPr>
          <w:rFonts w:ascii="Arial" w:cs="Arial" w:eastAsia="Arial" w:hAnsi="Arial"/>
          <w:sz w:val="18"/>
          <w:szCs w:val="18"/>
          <w:b w:val="1"/>
          <w:bCs w:val="1"/>
          <w:color w:val="auto"/>
        </w:rPr>
        <w:t>FDA</w:t>
      </w:r>
      <w:r>
        <w:rPr>
          <w:rFonts w:ascii="Arial" w:cs="Arial" w:eastAsia="Arial" w:hAnsi="Arial"/>
          <w:sz w:val="18"/>
          <w:szCs w:val="18"/>
          <w:color w:val="auto"/>
        </w:rPr>
        <w:t>”) and the European Medicines Agency (“</w:t>
      </w:r>
      <w:r>
        <w:rPr>
          <w:rFonts w:ascii="Arial" w:cs="Arial" w:eastAsia="Arial" w:hAnsi="Arial"/>
          <w:sz w:val="18"/>
          <w:szCs w:val="18"/>
          <w:b w:val="1"/>
          <w:bCs w:val="1"/>
          <w:color w:val="auto"/>
        </w:rPr>
        <w:t>EMA</w:t>
      </w:r>
      <w:r>
        <w:rPr>
          <w:rFonts w:ascii="Arial" w:cs="Arial" w:eastAsia="Arial" w:hAnsi="Arial"/>
          <w:sz w:val="18"/>
          <w:szCs w:val="18"/>
          <w:color w:val="auto"/>
        </w:rPr>
        <w:t>”).</w:t>
      </w:r>
    </w:p>
    <w:p>
      <w:pPr>
        <w:spacing w:after="0" w:line="17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with respect to each Product, the material, technical specifications which are defined by Client and for the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and characteristics of the Product agreed between the Parties in writing in the Quality Agreement (as the same may be amended from time to time in accordance with this Agreement).</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1.39 </w:t>
      </w:r>
      <w:r>
        <w:rPr>
          <w:rFonts w:ascii="Arial" w:cs="Arial" w:eastAsia="Arial" w:hAnsi="Arial"/>
          <w:sz w:val="18"/>
          <w:szCs w:val="18"/>
          <w:color w:val="auto"/>
        </w:rPr>
        <w:t>“</w:t>
      </w:r>
      <w:r>
        <w:rPr>
          <w:rFonts w:ascii="Arial" w:cs="Arial" w:eastAsia="Arial" w:hAnsi="Arial"/>
          <w:sz w:val="18"/>
          <w:szCs w:val="18"/>
          <w:b w:val="1"/>
          <w:bCs w:val="1"/>
          <w:color w:val="auto"/>
        </w:rPr>
        <w:t xml:space="preserve">Third Party” </w:t>
      </w:r>
      <w:r>
        <w:rPr>
          <w:rFonts w:ascii="Arial" w:cs="Arial" w:eastAsia="Arial" w:hAnsi="Arial"/>
          <w:sz w:val="18"/>
          <w:szCs w:val="18"/>
          <w:color w:val="auto"/>
        </w:rPr>
        <w:t>means any person or entity other than Client or WuXi Biologics, or either of their Affiliates.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69" w:right="479" w:bottom="1440" w:gutter="0" w:footer="0" w:header="0"/>
        </w:sectPr>
      </w:pPr>
    </w:p>
    <w:bookmarkStart w:id="507" w:name="page508"/>
    <w:bookmarkEnd w:id="507"/>
    <w:p>
      <w:pPr>
        <w:ind w:right="10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1.40 </w:t>
      </w:r>
      <w:r>
        <w:rPr>
          <w:rFonts w:ascii="Arial" w:cs="Arial" w:eastAsia="Arial" w:hAnsi="Arial"/>
          <w:sz w:val="18"/>
          <w:szCs w:val="18"/>
          <w:color w:val="auto"/>
        </w:rPr>
        <w:t>“</w:t>
      </w:r>
      <w:r>
        <w:rPr>
          <w:rFonts w:ascii="Arial" w:cs="Arial" w:eastAsia="Arial" w:hAnsi="Arial"/>
          <w:sz w:val="18"/>
          <w:szCs w:val="18"/>
          <w:b w:val="1"/>
          <w:bCs w:val="1"/>
          <w:color w:val="auto"/>
        </w:rPr>
        <w:t>Working Day</w:t>
      </w:r>
      <w:r>
        <w:rPr>
          <w:rFonts w:ascii="Arial" w:cs="Arial" w:eastAsia="Arial" w:hAnsi="Arial"/>
          <w:sz w:val="18"/>
          <w:szCs w:val="18"/>
          <w:color w:val="auto"/>
        </w:rPr>
        <w:t>” means a day other than Saturday or Sunday or a day that is a public holiday in the jurisdiction in which Client is located as</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in the Preamble, and the jurisdiction in which the Manufacturing Site is located.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1.41 Other Terms</w:t>
      </w:r>
      <w:r>
        <w:rPr>
          <w:rFonts w:ascii="Arial" w:cs="Arial" w:eastAsia="Arial" w:hAnsi="Arial"/>
          <w:sz w:val="18"/>
          <w:szCs w:val="18"/>
          <w:color w:val="auto"/>
        </w:rPr>
        <w:t>. The definition of other terms are set forth in the following sections of this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WUXI BIOLOGICS’ OBLIGATIONS</w:t>
      </w:r>
    </w:p>
    <w:p>
      <w:pPr>
        <w:spacing w:after="0" w:line="207"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2.1 Obligation to Supply</w:t>
      </w:r>
      <w:r>
        <w:rPr>
          <w:rFonts w:ascii="Arial" w:cs="Arial" w:eastAsia="Arial" w:hAnsi="Arial"/>
          <w:sz w:val="18"/>
          <w:szCs w:val="18"/>
          <w:color w:val="auto"/>
        </w:rPr>
        <w:t>. With effect from the Effective Date and subject to Client’s obligations in Article 4 and Client’s obligations in Article 7,</w:t>
      </w:r>
      <w:r>
        <w:rPr>
          <w:rFonts w:ascii="Arial" w:cs="Arial" w:eastAsia="Arial" w:hAnsi="Arial"/>
          <w:sz w:val="18"/>
          <w:szCs w:val="18"/>
          <w:b w:val="1"/>
          <w:bCs w:val="1"/>
          <w:color w:val="auto"/>
        </w:rPr>
        <w:t xml:space="preserve"> </w:t>
      </w:r>
      <w:r>
        <w:rPr>
          <w:rFonts w:ascii="Arial" w:cs="Arial" w:eastAsia="Arial" w:hAnsi="Arial"/>
          <w:sz w:val="18"/>
          <w:szCs w:val="18"/>
          <w:color w:val="auto"/>
        </w:rPr>
        <w:t>WuXi Biologics agrees to Manufacture and sell to Client Products as ordered by Client in consideration of Client paying the Price for the Products and reserve capacity at WuXi Biologics’ Manufacturing Site necessary to enable WuXi Biologics to Manufacture and supply Product in accordance with a Product Schedule and any binding portion of a Forecast.</w:t>
      </w:r>
    </w:p>
    <w:p>
      <w:pPr>
        <w:spacing w:after="0" w:line="180"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2.2 Standards Applicable to the Manufacture of the Product</w:t>
      </w:r>
      <w:r>
        <w:rPr>
          <w:rFonts w:ascii="Arial" w:cs="Arial" w:eastAsia="Arial" w:hAnsi="Arial"/>
          <w:sz w:val="16"/>
          <w:szCs w:val="16"/>
          <w:color w:val="auto"/>
        </w:rPr>
        <w:t>. WuXi Biologics shall Manufacture the Products at the Manufacturing Site (a)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all material requirements of Current Good Manufacturing Practice, the Specifications, the Manufacturing License, the Quality Agreement, Client’s Labeling and all Applicable Laws relevant to the Manufacture of the Products and (b) with personnel that are knowledgeable, qualified and trained to perform the activities required to Manufacture the Products in accordance with the terms and conditions of this Agreement.</w:t>
      </w:r>
    </w:p>
    <w:p>
      <w:pPr>
        <w:spacing w:after="0" w:line="151"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2.3 Use of Affiliates and Subcontractors</w:t>
      </w:r>
      <w:r>
        <w:rPr>
          <w:rFonts w:ascii="Arial" w:cs="Arial" w:eastAsia="Arial" w:hAnsi="Arial"/>
          <w:sz w:val="16"/>
          <w:szCs w:val="16"/>
          <w:color w:val="auto"/>
        </w:rPr>
        <w:t>. WuXi Biologics may not, without the prior written consent of Client, (which will not be unreasonably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withheld, delayed, or conditioned) use Third Party sub-contractors to conduct any elements of Manufacturing the Products except WuXi Biologics’ Affiliate sub-contractors as specified per Schedule 4. For any subcontract authorized by Client, WuXi Biologics shall ensure that the subcontractor complies with the obligations and restrictions applicable to WuXi Biologics under this Agreement and shall further ensure that its subcontractor protects Client’s interests in Confidential Information, Client Background IP and Client Arising IP. WuXi Biologics (a) shall manage the performance of the subcontractor at its sole cost and expense and (b) shall remain responsible to Client for all acts and omissions of any subcontractor and the performance of those subcontracted Manufacturing activities just as though WuXi Biologics had performed them itself and for purposes of this Agreement such acts or omissions and the performance of those subcontracted Manufacturing services shall be deemed to be WuXi Biologics’ acts or omissions. WuXi Biologics shall be Client’s sole point of contact regarding the Manufacturing services, including with respect to payment.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2.4 Designated Vendors.</w:t>
      </w:r>
    </w:p>
    <w:p>
      <w:pPr>
        <w:spacing w:after="0" w:line="229" w:lineRule="exact"/>
        <w:rPr>
          <w:sz w:val="20"/>
          <w:szCs w:val="20"/>
          <w:color w:val="auto"/>
        </w:rPr>
      </w:pPr>
    </w:p>
    <w:p>
      <w:pPr>
        <w:ind w:right="20" w:firstLine="987"/>
        <w:spacing w:after="0" w:line="254" w:lineRule="auto"/>
        <w:tabs>
          <w:tab w:leader="none" w:pos="123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Approval of Designated Vendors</w:t>
      </w:r>
      <w:r>
        <w:rPr>
          <w:rFonts w:ascii="Arial" w:cs="Arial" w:eastAsia="Arial" w:hAnsi="Arial"/>
          <w:sz w:val="18"/>
          <w:szCs w:val="18"/>
          <w:color w:val="auto"/>
        </w:rPr>
        <w:t>. If Client elects, at its sole discretion, to require WuXi Biologics to procure Materials from Third Parties designated and approved by Client in writing (the “</w:t>
      </w:r>
      <w:r>
        <w:rPr>
          <w:rFonts w:ascii="Arial" w:cs="Arial" w:eastAsia="Arial" w:hAnsi="Arial"/>
          <w:sz w:val="18"/>
          <w:szCs w:val="18"/>
          <w:b w:val="1"/>
          <w:bCs w:val="1"/>
          <w:color w:val="auto"/>
        </w:rPr>
        <w:t>Designated Vendors</w:t>
      </w:r>
      <w:r>
        <w:rPr>
          <w:rFonts w:ascii="Arial" w:cs="Arial" w:eastAsia="Arial" w:hAnsi="Arial"/>
          <w:sz w:val="18"/>
          <w:szCs w:val="18"/>
          <w:color w:val="auto"/>
        </w:rPr>
        <w:t>”) which are not then under contract with WuXi Biologics, Client shall so advise WuXi Biologics in writing, and WuXi Biologics shall establish supply arrangements with such Designated Vendors (which supply arrangements shall comply with the terms of this Agreement, the Quality Agreement and any other related agreements) and the terms and conditions of such supply shall be subject to the approval of Client. WuXi Biologics shall use Commercially Reasonable Efforts to ensure that all contracts with Designated Vendors provide for indemnification of Client and WuXi Biologics by such Designated Vendors with respect to risks or liabilities created by such Designated Vendors.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69" w:right="499" w:bottom="1440" w:gutter="0" w:footer="0" w:header="0"/>
        </w:sectPr>
      </w:pPr>
    </w:p>
    <w:bookmarkStart w:id="508" w:name="page509"/>
    <w:bookmarkEnd w:id="508"/>
    <w:p>
      <w:pPr>
        <w:ind w:right="60" w:firstLine="987"/>
        <w:spacing w:after="0" w:line="255" w:lineRule="auto"/>
        <w:tabs>
          <w:tab w:leader="none" w:pos="124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Notification</w:t>
      </w:r>
      <w:r>
        <w:rPr>
          <w:rFonts w:ascii="Arial" w:cs="Arial" w:eastAsia="Arial" w:hAnsi="Arial"/>
          <w:sz w:val="18"/>
          <w:szCs w:val="18"/>
          <w:color w:val="auto"/>
        </w:rPr>
        <w:t>. WuXi Biologics shall promptly advise Client if it encounters or is advised of material supply problems by any of Client’s Designated Vendors, including written notice of material delays and/or delivery of non-conforming Materials; and WuXi Biologics shall use Commercially Reasonable Efforts for seeking to reduce and eliminate any supply problems from such Designated Vendors (and Client shall provide WuXi Biologics with reasonable assistance in connection therewith). For clarity, WuXi Biologics will not be responsible for Product delays caused by Client’s Designated Vendors, and may reasonably request that Client select a different Designated Vendor after repeated problems with any such Designated Vendor.</w:t>
      </w:r>
    </w:p>
    <w:p>
      <w:pPr>
        <w:spacing w:after="0" w:line="192" w:lineRule="exact"/>
        <w:rPr>
          <w:rFonts w:ascii="Arial" w:cs="Arial" w:eastAsia="Arial" w:hAnsi="Arial"/>
          <w:sz w:val="18"/>
          <w:szCs w:val="18"/>
          <w:color w:val="auto"/>
        </w:rPr>
      </w:pPr>
    </w:p>
    <w:p>
      <w:pPr>
        <w:ind w:right="180" w:firstLine="987"/>
        <w:spacing w:after="0" w:line="263" w:lineRule="auto"/>
        <w:tabs>
          <w:tab w:leader="none" w:pos="123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Certification and Assessment</w:t>
      </w:r>
      <w:r>
        <w:rPr>
          <w:rFonts w:ascii="Arial" w:cs="Arial" w:eastAsia="Arial" w:hAnsi="Arial"/>
          <w:sz w:val="18"/>
          <w:szCs w:val="18"/>
          <w:color w:val="auto"/>
        </w:rPr>
        <w:t>. WuXi Biologics may assess the Designated Vendors’ performance upon Client’s agreement on [***] basis at Client’s cost, in accordance with the relevant standard operating procedures or as otherwise instructed by Client. Client may participate in any such assessment in its discretion.</w:t>
      </w:r>
    </w:p>
    <w:p>
      <w:pPr>
        <w:spacing w:after="0" w:line="180"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2.5 Responsibility</w:t>
      </w:r>
      <w:r>
        <w:rPr>
          <w:rFonts w:ascii="Arial" w:cs="Arial" w:eastAsia="Arial" w:hAnsi="Arial"/>
          <w:sz w:val="16"/>
          <w:szCs w:val="16"/>
          <w:color w:val="auto"/>
        </w:rPr>
        <w:t>. Unless otherwise specified herein or expressly consented to in writing by Client, as between the Parties, WuXi Biologics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solely responsible for performance of all activities necessary for Client to be supplied with Product as contemplated hereunder including the ordering and purchasing of all of the Materials to enable WuXi Biologics to meet its Manufacturing and delivery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the Parties agree that Client will be responsible for supplying any Materials, shipment of any such Client-supplied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by Client or Client’s Designated Vendors will be DDP (Incoterms 2020) or such other terms as may be agreed in writing between the Parties.</w:t>
      </w:r>
    </w:p>
    <w:p>
      <w:pPr>
        <w:spacing w:after="0" w:line="154"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2.6 Safety Stock</w:t>
      </w:r>
      <w:r>
        <w:rPr>
          <w:rFonts w:ascii="Arial" w:cs="Arial" w:eastAsia="Arial" w:hAnsi="Arial"/>
          <w:sz w:val="18"/>
          <w:szCs w:val="18"/>
          <w:color w:val="auto"/>
        </w:rPr>
        <w:t>. During the Term, upon payment from Client for the raw materials inventory, WuXi Biologics shall maintain at all times a safety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of Materials sufficient to meet the applicable Volume Requirements (as defined in Section 4.2), unless otherwise agreed to in writing by Client in its sole discretion. WuXi Biologics shall notify Client immediately whenever the inventories of Materials become insufficient to Manufacture enough Product to meet the applicable Volume Requirements.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INTELLECTUAL PROPERTY</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3.1 Background IP</w:t>
      </w:r>
      <w:r>
        <w:rPr>
          <w:rFonts w:ascii="Arial" w:cs="Arial" w:eastAsia="Arial" w:hAnsi="Arial"/>
          <w:sz w:val="17"/>
          <w:szCs w:val="17"/>
          <w:color w:val="auto"/>
        </w:rPr>
        <w:t>. Each Party shall, at all times throughout and after the Term, remain the owner of any and all Intellectual Property that it</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owned (or was licensed to use) prior to the Effective Date, and which Intellectual Property shall, for the purposes of this Agreement, be defined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Background IP</w:t>
      </w:r>
      <w:r>
        <w:rPr>
          <w:rFonts w:ascii="Arial" w:cs="Arial" w:eastAsia="Arial" w:hAnsi="Arial"/>
          <w:sz w:val="16"/>
          <w:szCs w:val="16"/>
          <w:color w:val="auto"/>
        </w:rPr>
        <w:t>”. WuXi Biologics acknowledges that Intellectual Property relating to the Products shall remain vested solely and exclusively in Client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its relevant Affiliate. Client acknowledges that Intellectual Property relating to manufacturing processes, including testing and packaging, which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generally used at the Manufacturing Site and not specific to the Product (to the extent existing prior to the Effective Date, or developed independently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Agreement at any time without the need to reference Client’s Confidential Information or Client Background IP), shall remain vested solely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exclusively in WuXi Biologics or its relevant Affiliate. For the purposes of this Agreement, Background IP vested in Client (or its Affiliates) shall be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defined as “</w:t>
      </w:r>
      <w:r>
        <w:rPr>
          <w:rFonts w:ascii="Arial" w:cs="Arial" w:eastAsia="Arial" w:hAnsi="Arial"/>
          <w:sz w:val="16"/>
          <w:szCs w:val="16"/>
          <w:b w:val="1"/>
          <w:bCs w:val="1"/>
          <w:color w:val="auto"/>
        </w:rPr>
        <w:t>Client Background IP</w:t>
      </w:r>
      <w:r>
        <w:rPr>
          <w:rFonts w:ascii="Arial" w:cs="Arial" w:eastAsia="Arial" w:hAnsi="Arial"/>
          <w:sz w:val="16"/>
          <w:szCs w:val="16"/>
          <w:color w:val="auto"/>
        </w:rPr>
        <w:t>” and Background IP vested in WuXi Biologics (or its Affiliates) shall be defined as “</w:t>
      </w:r>
      <w:r>
        <w:rPr>
          <w:rFonts w:ascii="Arial" w:cs="Arial" w:eastAsia="Arial" w:hAnsi="Arial"/>
          <w:sz w:val="16"/>
          <w:szCs w:val="16"/>
          <w:b w:val="1"/>
          <w:bCs w:val="1"/>
          <w:color w:val="auto"/>
        </w:rPr>
        <w:t>WuXi Biologics Background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w:t>
      </w:r>
      <w:r>
        <w:rPr>
          <w:rFonts w:ascii="Arial" w:cs="Arial" w:eastAsia="Arial" w:hAnsi="Arial"/>
          <w:sz w:val="18"/>
          <w:szCs w:val="18"/>
          <w:color w:val="auto"/>
        </w:rPr>
        <w:t>”.</w:t>
      </w:r>
    </w:p>
    <w:p>
      <w:pPr>
        <w:spacing w:after="0" w:line="207"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3.2 Arising IP</w:t>
      </w:r>
      <w:r>
        <w:rPr>
          <w:rFonts w:ascii="Arial" w:cs="Arial" w:eastAsia="Arial" w:hAnsi="Arial"/>
          <w:sz w:val="18"/>
          <w:szCs w:val="18"/>
          <w:color w:val="auto"/>
        </w:rPr>
        <w:t>. Neither WuXi Biologics, its Affiliates, nor any of their respective subcontractors shall acquire any rights of any kind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the Product by conducting Manufacturing activities hereunder. All rights to any Intellectual Property (whether or not patentable) created, developed, or conceived (whether or not reduced to practice) in the performance of work conducted under this Agreement by WuXi Biologics’ or its Affiliates’ employees, or independent contractors, either solely or jointly with employees, agents, consultants or other representatives of Client, including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509" w:name="page510"/>
    <w:bookmarkEnd w:id="509"/>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development, improvement, modification, addition, adaptation, enhancement, derivative, variant or progeny to or of any Product, Client’s Confidential Information or Client Background IP will be owned (from the moment such Intellectual Property is created, developed or conceived) solely and exclusively by Client (“</w:t>
      </w:r>
      <w:r>
        <w:rPr>
          <w:rFonts w:ascii="Arial" w:cs="Arial" w:eastAsia="Arial" w:hAnsi="Arial"/>
          <w:sz w:val="17"/>
          <w:szCs w:val="17"/>
          <w:b w:val="1"/>
          <w:bCs w:val="1"/>
          <w:color w:val="auto"/>
        </w:rPr>
        <w:t>Client Arising IP</w:t>
      </w:r>
      <w:r>
        <w:rPr>
          <w:rFonts w:ascii="Arial" w:cs="Arial" w:eastAsia="Arial" w:hAnsi="Arial"/>
          <w:sz w:val="17"/>
          <w:szCs w:val="17"/>
          <w:color w:val="auto"/>
        </w:rPr>
        <w:t>”). Client agrees that Client Arising IP does not include any Intellectual Property (whether or not patentable) developed, conceived, or reduced to practice by WuXi Biologics, its Affiliates, or its subcontractors in the performance of this Agreement that (a) relates to experimental, testing, analytical, packaging methods, (b) relates to manufacturing processes developed at WuXi Biologics’ expense, or (c) constitutes developments, improvements, modifications, additions, adaptations, enhancements, derivatives, or variants to WuXi Biologics Background IP developed by WuXi Biologics through the performance of the Services, provided, that the foregoing (i) are made without the benefit of Client Background IP and/or Client’s Confidential Information, and (ii) [***]) (“</w:t>
      </w:r>
      <w:r>
        <w:rPr>
          <w:rFonts w:ascii="Arial" w:cs="Arial" w:eastAsia="Arial" w:hAnsi="Arial"/>
          <w:sz w:val="17"/>
          <w:szCs w:val="17"/>
          <w:b w:val="1"/>
          <w:bCs w:val="1"/>
          <w:color w:val="auto"/>
        </w:rPr>
        <w:t>WuXi Biologics Arising IP</w:t>
      </w:r>
      <w:r>
        <w:rPr>
          <w:rFonts w:ascii="Arial" w:cs="Arial" w:eastAsia="Arial" w:hAnsi="Arial"/>
          <w:sz w:val="17"/>
          <w:szCs w:val="17"/>
          <w:color w:val="auto"/>
        </w:rPr>
        <w:t>”).</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3.3 Use of Intellectual Property</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59" w:lineRule="auto"/>
        <w:tabs>
          <w:tab w:leader="none" w:pos="12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WuXi Biologics will not use, or allow others to use, any Client Background IP or Client Arising IP for any purpose other than the Manufacture of the Products for Client under this Agreement. Client hereby grants WuXi Biologics and any Affiliates and subcontractors approved by Client a non-exclusive, fully paid-up, and royalty-free license for the Term to use the Client Background IP and Client Arising IP to the extent necessary to Manufacture the Products under this Agreement.</w:t>
      </w:r>
    </w:p>
    <w:p>
      <w:pPr>
        <w:spacing w:after="0" w:line="186" w:lineRule="exact"/>
        <w:rPr>
          <w:rFonts w:ascii="Arial" w:cs="Arial" w:eastAsia="Arial" w:hAnsi="Arial"/>
          <w:sz w:val="18"/>
          <w:szCs w:val="18"/>
          <w:color w:val="auto"/>
        </w:rPr>
      </w:pPr>
    </w:p>
    <w:p>
      <w:pPr>
        <w:ind w:left="4" w:right="220" w:firstLine="987"/>
        <w:spacing w:after="0" w:line="291" w:lineRule="auto"/>
        <w:tabs>
          <w:tab w:leader="none" w:pos="125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Client will not use, or allow others to use, any WuXi Biologics Background IP or WuXi Biologics Arising IP for any purpose other than as necessary for the commercialization, distribution, marketing, sale, import and export of the Products; provided that, except with respect to any WuXi Biologics Background IP or WuXi Biologics Arising IP, this permitted use of WuXi Biologics Background IP or WuXi Biologics Arising IP expressly excludes any products (including the Products) not manufactured under this Agreement. WuXi Biologics hereby grants to Client, Client’s Affiliates and Client’s subcontractors a world-wide, non-exclusive, fully paid-up royalty-free license for the Term under any WuXi Biologics Background IP and WuXi Biologics Arising IP (i) incorporated into the Products, or (ii) to the extent necessary for commercializing, distributing, marketing, selling, importing and exporting the Products; in either case (i) or (ii) only with respect to Products manufactured under this Agreement.</w:t>
      </w:r>
    </w:p>
    <w:p>
      <w:pPr>
        <w:spacing w:after="0" w:line="166" w:lineRule="exact"/>
        <w:rPr>
          <w:rFonts w:ascii="Arial" w:cs="Arial" w:eastAsia="Arial" w:hAnsi="Arial"/>
          <w:sz w:val="16"/>
          <w:szCs w:val="16"/>
          <w:color w:val="auto"/>
        </w:rPr>
      </w:pPr>
    </w:p>
    <w:p>
      <w:pPr>
        <w:ind w:left="4" w:right="80" w:firstLine="987"/>
        <w:spacing w:after="0" w:line="277" w:lineRule="auto"/>
        <w:tabs>
          <w:tab w:leader="none" w:pos="1240" w:val="left"/>
        </w:tabs>
        <w:numPr>
          <w:ilvl w:val="1"/>
          <w:numId w:val="395"/>
        </w:numPr>
        <w:rPr>
          <w:rFonts w:ascii="Arial" w:cs="Arial" w:eastAsia="Arial" w:hAnsi="Arial"/>
          <w:sz w:val="18"/>
          <w:szCs w:val="18"/>
          <w:color w:val="auto"/>
        </w:rPr>
      </w:pPr>
      <w:r>
        <w:rPr>
          <w:rFonts w:ascii="Arial" w:cs="Arial" w:eastAsia="Arial" w:hAnsi="Arial"/>
          <w:sz w:val="18"/>
          <w:szCs w:val="18"/>
          <w:color w:val="auto"/>
        </w:rPr>
        <w:t>For the purposes of clarity, nothing in Section 3.3(b) is intended to limit the rights of Client to fully enjoy the rights granted in, and the benefits of, the Cell Line License Agreement during the term of that agreement.</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1"/>
          <w:numId w:val="395"/>
        </w:numPr>
        <w:rPr>
          <w:rFonts w:ascii="Arial" w:cs="Arial" w:eastAsia="Arial" w:hAnsi="Arial"/>
          <w:sz w:val="17"/>
          <w:szCs w:val="17"/>
          <w:color w:val="auto"/>
        </w:rPr>
      </w:pPr>
      <w:r>
        <w:rPr>
          <w:rFonts w:ascii="Arial" w:cs="Arial" w:eastAsia="Arial" w:hAnsi="Arial"/>
          <w:sz w:val="17"/>
          <w:szCs w:val="17"/>
          <w:color w:val="auto"/>
        </w:rPr>
        <w:t>WuXi Biologics will notify Client of any WuXi Biologics Background IP or WuXi Biologics Arising IP prior to including the same in</w:t>
      </w:r>
    </w:p>
    <w:p>
      <w:pPr>
        <w:spacing w:after="0" w:line="34" w:lineRule="exact"/>
        <w:rPr>
          <w:rFonts w:ascii="Arial" w:cs="Arial" w:eastAsia="Arial" w:hAnsi="Arial"/>
          <w:sz w:val="17"/>
          <w:szCs w:val="17"/>
          <w:color w:val="auto"/>
        </w:rPr>
      </w:pPr>
    </w:p>
    <w:p>
      <w:pPr>
        <w:ind w:left="4" w:right="40" w:hanging="4"/>
        <w:spacing w:after="0" w:line="290" w:lineRule="auto"/>
        <w:tabs>
          <w:tab w:leader="none" w:pos="219" w:val="left"/>
        </w:tabs>
        <w:numPr>
          <w:ilvl w:val="0"/>
          <w:numId w:val="396"/>
        </w:numPr>
        <w:rPr>
          <w:rFonts w:ascii="Arial" w:cs="Arial" w:eastAsia="Arial" w:hAnsi="Arial"/>
          <w:sz w:val="16"/>
          <w:szCs w:val="16"/>
          <w:color w:val="auto"/>
        </w:rPr>
      </w:pPr>
      <w:r>
        <w:rPr>
          <w:rFonts w:ascii="Arial" w:cs="Arial" w:eastAsia="Arial" w:hAnsi="Arial"/>
          <w:sz w:val="16"/>
          <w:szCs w:val="16"/>
          <w:color w:val="auto"/>
        </w:rPr>
        <w:t>any process related to the Products or (ii) any deliverables to be provided under the Services, in each case that falls outside the rights granted to Client under this Section 3.3, so that the Parties can discuss in good faith whether such WuXi Biologics Background IP or WuXi Biologics Arising IP should be included in such Products or deliverables. As of the date hereof, except for the Cell Line License Agreement, no WuXi Biologics Background IP or WuXi Biologics Arising IP has been incorporated into either of (i) or (ii) of this Section 3.3(d). In the event that WuXi Biologics does not notify Client in accordance with this Section 3.3(d), Client shall be granted a [***] license to any such WuXi Biologics Background IP or WuXi Biologics Arising IP to the extent necessary for commercializing, distributing, marketing, selling, importing, manufacturing, and exporting the Products.</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3" w:right="459" w:bottom="1440" w:gutter="0" w:footer="0" w:header="0"/>
        </w:sectPr>
      </w:pPr>
    </w:p>
    <w:bookmarkStart w:id="510" w:name="page511"/>
    <w:bookmarkEnd w:id="5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FORECASTS AND ORDERS</w:t>
      </w:r>
    </w:p>
    <w:p>
      <w:pPr>
        <w:spacing w:after="0" w:line="207" w:lineRule="exact"/>
        <w:rPr>
          <w:sz w:val="20"/>
          <w:szCs w:val="20"/>
          <w:color w:val="auto"/>
        </w:rPr>
      </w:pPr>
    </w:p>
    <w:p>
      <w:pPr>
        <w:ind w:right="460" w:firstLine="440"/>
        <w:spacing w:after="0" w:line="347" w:lineRule="auto"/>
        <w:rPr>
          <w:sz w:val="20"/>
          <w:szCs w:val="20"/>
          <w:color w:val="auto"/>
        </w:rPr>
      </w:pPr>
      <w:r>
        <w:rPr>
          <w:rFonts w:ascii="Arial" w:cs="Arial" w:eastAsia="Arial" w:hAnsi="Arial"/>
          <w:sz w:val="16"/>
          <w:szCs w:val="16"/>
          <w:b w:val="1"/>
          <w:bCs w:val="1"/>
          <w:color w:val="auto"/>
        </w:rPr>
        <w:t>4.1 Ordering for Calendar Years [</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Manufacture of Product to be initiated in calendar years [***], all Batches are in a binding</w:t>
      </w:r>
      <w:r>
        <w:rPr>
          <w:rFonts w:ascii="Arial" w:cs="Arial" w:eastAsia="Arial" w:hAnsi="Arial"/>
          <w:sz w:val="16"/>
          <w:szCs w:val="16"/>
          <w:b w:val="1"/>
          <w:bCs w:val="1"/>
          <w:color w:val="auto"/>
        </w:rPr>
        <w:t xml:space="preserve"> </w:t>
      </w:r>
      <w:r>
        <w:rPr>
          <w:rFonts w:ascii="Arial" w:cs="Arial" w:eastAsia="Arial" w:hAnsi="Arial"/>
          <w:sz w:val="16"/>
          <w:szCs w:val="16"/>
          <w:color w:val="auto"/>
        </w:rPr>
        <w:t>forecast (based on vial thaw dates) on the Effective Date of this Agreement and are governed by and agreed to in a Product Schedule.</w:t>
      </w:r>
    </w:p>
    <w:p>
      <w:pPr>
        <w:spacing w:after="0" w:line="11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4.2 Forecast for Calendar Year [</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Client shall provide to WuXi Biologics, on the first Working Day of each quarter (or on such other date or</w:t>
      </w:r>
      <w:r>
        <w:rPr>
          <w:rFonts w:ascii="Arial" w:cs="Arial" w:eastAsia="Arial" w:hAnsi="Arial"/>
          <w:sz w:val="18"/>
          <w:szCs w:val="18"/>
          <w:b w:val="1"/>
          <w:bCs w:val="1"/>
          <w:color w:val="auto"/>
        </w:rPr>
        <w:t xml:space="preserve"> </w:t>
      </w:r>
      <w:r>
        <w:rPr>
          <w:rFonts w:ascii="Arial" w:cs="Arial" w:eastAsia="Arial" w:hAnsi="Arial"/>
          <w:sz w:val="18"/>
          <w:szCs w:val="18"/>
          <w:color w:val="auto"/>
        </w:rPr>
        <w:t>at such frequency, as the Parties may agree), an [***] forecast (based on vial thaw dates) that includes both binding and non-binding components. Included within this forecast, the first [***] (or such shorter period as may then remain under the Term) will be a binding forecast giving details of volume requirements for the Products required to be manufactured (the “</w:t>
      </w:r>
      <w:r>
        <w:rPr>
          <w:rFonts w:ascii="Arial" w:cs="Arial" w:eastAsia="Arial" w:hAnsi="Arial"/>
          <w:sz w:val="18"/>
          <w:szCs w:val="18"/>
          <w:b w:val="1"/>
          <w:bCs w:val="1"/>
          <w:color w:val="auto"/>
        </w:rPr>
        <w:t>Forecast Schedule</w:t>
      </w:r>
      <w:r>
        <w:rPr>
          <w:rFonts w:ascii="Arial" w:cs="Arial" w:eastAsia="Arial" w:hAnsi="Arial"/>
          <w:sz w:val="18"/>
          <w:szCs w:val="18"/>
          <w:color w:val="auto"/>
        </w:rPr>
        <w:t>”). The remaining [***] (or such shorter period as may then remain under the Term) shall be non-binding. For clarity, the Forecast Schedule shall show estimates of required Product volumes (“</w:t>
      </w:r>
      <w:r>
        <w:rPr>
          <w:rFonts w:ascii="Arial" w:cs="Arial" w:eastAsia="Arial" w:hAnsi="Arial"/>
          <w:sz w:val="18"/>
          <w:szCs w:val="18"/>
          <w:b w:val="1"/>
          <w:bCs w:val="1"/>
          <w:color w:val="auto"/>
        </w:rPr>
        <w:t>Volume</w:t>
      </w:r>
      <w:r>
        <w:rPr>
          <w:rFonts w:ascii="Arial" w:cs="Arial" w:eastAsia="Arial" w:hAnsi="Arial"/>
          <w:sz w:val="18"/>
          <w:szCs w:val="18"/>
          <w:color w:val="auto"/>
        </w:rPr>
        <w:t xml:space="preserve"> </w:t>
      </w:r>
      <w:r>
        <w:rPr>
          <w:rFonts w:ascii="Arial" w:cs="Arial" w:eastAsia="Arial" w:hAnsi="Arial"/>
          <w:sz w:val="18"/>
          <w:szCs w:val="18"/>
          <w:b w:val="1"/>
          <w:bCs w:val="1"/>
          <w:color w:val="auto"/>
        </w:rPr>
        <w:t>Requirements</w:t>
      </w:r>
      <w:r>
        <w:rPr>
          <w:rFonts w:ascii="Arial" w:cs="Arial" w:eastAsia="Arial" w:hAnsi="Arial"/>
          <w:sz w:val="18"/>
          <w:szCs w:val="18"/>
          <w:color w:val="auto"/>
        </w:rPr>
        <w:t>”), with the first [***] binding and remaining [***] non-binding. The first such Forecast Schedule shall be provided to WuXi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Effective Date.</w:t>
      </w:r>
    </w:p>
    <w:p>
      <w:pPr>
        <w:spacing w:after="0" w:line="189" w:lineRule="exact"/>
        <w:rPr>
          <w:sz w:val="20"/>
          <w:szCs w:val="20"/>
          <w:color w:val="auto"/>
        </w:rPr>
      </w:pPr>
    </w:p>
    <w:p>
      <w:pPr>
        <w:ind w:right="480" w:firstLine="440"/>
        <w:spacing w:after="0" w:line="282" w:lineRule="auto"/>
        <w:rPr>
          <w:sz w:val="20"/>
          <w:szCs w:val="20"/>
          <w:color w:val="auto"/>
        </w:rPr>
      </w:pPr>
      <w:r>
        <w:rPr>
          <w:rFonts w:ascii="Arial" w:cs="Arial" w:eastAsia="Arial" w:hAnsi="Arial"/>
          <w:sz w:val="18"/>
          <w:szCs w:val="18"/>
          <w:b w:val="1"/>
          <w:bCs w:val="1"/>
          <w:color w:val="auto"/>
        </w:rPr>
        <w:t>4.3 Required Purchases</w:t>
      </w:r>
      <w:r>
        <w:rPr>
          <w:rFonts w:ascii="Arial" w:cs="Arial" w:eastAsia="Arial" w:hAnsi="Arial"/>
          <w:sz w:val="18"/>
          <w:szCs w:val="18"/>
          <w:color w:val="auto"/>
        </w:rPr>
        <w:t>. The Volume Requirements in any binding period will constitute binding commitments on Client to purchase such</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volumes of Products.</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4.4 Forecast Variation</w:t>
      </w:r>
      <w:r>
        <w:rPr>
          <w:rFonts w:ascii="Arial" w:cs="Arial" w:eastAsia="Arial" w:hAnsi="Arial"/>
          <w:sz w:val="18"/>
          <w:szCs w:val="18"/>
          <w:color w:val="auto"/>
        </w:rPr>
        <w:t>. Unless otherwise agreed in writing between the Parties or under Section 4.7, if the Volume Requirements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Purchase Orders are lower than the requirements set out in Section 4.3, [***], and Client and WuXi Biologics shall be deemed to agree to this change. If Client’s Purchase Orders are higher than the requirements set out in Section 4.3, WuXi Biologics shall use Commercially Reasonable Efforts to Manufacture Products to fill Client’s Purchase Orders above the Volume Requirements; provided that a failure to meet such overage shall not be considered a breach of this Agreement.</w:t>
      </w:r>
    </w:p>
    <w:p>
      <w:pPr>
        <w:spacing w:after="0" w:line="183"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b w:val="1"/>
          <w:bCs w:val="1"/>
          <w:color w:val="auto"/>
        </w:rPr>
        <w:t>4.5 Purchase Orders</w:t>
      </w:r>
      <w:r>
        <w:rPr>
          <w:rFonts w:ascii="Arial" w:cs="Arial" w:eastAsia="Arial" w:hAnsi="Arial"/>
          <w:sz w:val="17"/>
          <w:szCs w:val="17"/>
          <w:color w:val="auto"/>
        </w:rPr>
        <w:t>. Client shall from time to time throughout the Term, issue purchase orders to WuXi Biologics, corresponding to at least the</w:t>
      </w:r>
      <w:r>
        <w:rPr>
          <w:rFonts w:ascii="Arial" w:cs="Arial" w:eastAsia="Arial" w:hAnsi="Arial"/>
          <w:sz w:val="17"/>
          <w:szCs w:val="17"/>
          <w:b w:val="1"/>
          <w:bCs w:val="1"/>
          <w:color w:val="auto"/>
        </w:rPr>
        <w:t xml:space="preserve"> </w:t>
      </w:r>
      <w:r>
        <w:rPr>
          <w:rFonts w:ascii="Arial" w:cs="Arial" w:eastAsia="Arial" w:hAnsi="Arial"/>
          <w:sz w:val="17"/>
          <w:szCs w:val="17"/>
          <w:color w:val="auto"/>
        </w:rPr>
        <w:t>Volume Requirements in the binding forecast (each such order being referred to, once accepted by WuXi Biologics in accordance with Section 4.6, as a “</w:t>
      </w:r>
      <w:r>
        <w:rPr>
          <w:rFonts w:ascii="Arial" w:cs="Arial" w:eastAsia="Arial" w:hAnsi="Arial"/>
          <w:sz w:val="17"/>
          <w:szCs w:val="17"/>
          <w:b w:val="1"/>
          <w:bCs w:val="1"/>
          <w:color w:val="auto"/>
        </w:rPr>
        <w:t>Purchase Order</w:t>
      </w:r>
      <w:r>
        <w:rPr>
          <w:rFonts w:ascii="Arial" w:cs="Arial" w:eastAsia="Arial" w:hAnsi="Arial"/>
          <w:sz w:val="17"/>
          <w:szCs w:val="17"/>
          <w:color w:val="auto"/>
        </w:rPr>
        <w:t>”). Each Purchase Order shall, unless otherwise agreed between the Parties, specify the volumes of Product ordered and required delivery or dispatch date which shall be at least [***] after the effective date of the Purchase Order (the “</w:t>
      </w:r>
      <w:r>
        <w:rPr>
          <w:rFonts w:ascii="Arial" w:cs="Arial" w:eastAsia="Arial" w:hAnsi="Arial"/>
          <w:sz w:val="17"/>
          <w:szCs w:val="17"/>
          <w:b w:val="1"/>
          <w:bCs w:val="1"/>
          <w:color w:val="auto"/>
        </w:rPr>
        <w:t>Delivery Date</w:t>
      </w:r>
      <w:r>
        <w:rPr>
          <w:rFonts w:ascii="Arial" w:cs="Arial" w:eastAsia="Arial" w:hAnsi="Arial"/>
          <w:sz w:val="17"/>
          <w:szCs w:val="17"/>
          <w:color w:val="auto"/>
        </w:rPr>
        <w:t>”). The standard terms and conditions which shall apply to each Purchase Order are set forth in this Agreement, which terms may be mutually agreed upon with respect to any Purchase Order or additional Product Schedule. In all cases, this Agreement shall supersede a conflict between this Agreement and a Purchase Order or its relevant terms and conditions unless the Parties mutually agree otherwise.</w:t>
      </w:r>
    </w:p>
    <w:p>
      <w:pPr>
        <w:spacing w:after="0" w:line="172"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b w:val="1"/>
          <w:bCs w:val="1"/>
          <w:color w:val="auto"/>
        </w:rPr>
        <w:t>4.6 WuXi Biologics’ Response to Purchase Orders</w:t>
      </w:r>
      <w:r>
        <w:rPr>
          <w:rFonts w:ascii="Arial" w:cs="Arial" w:eastAsia="Arial" w:hAnsi="Arial"/>
          <w:sz w:val="17"/>
          <w:szCs w:val="17"/>
          <w:color w:val="auto"/>
        </w:rPr>
        <w:t>. Purchase Orders shall be issued by Client under Section 4.5 in accordance with Section 4.9.</w:t>
      </w:r>
      <w:r>
        <w:rPr>
          <w:rFonts w:ascii="Arial" w:cs="Arial" w:eastAsia="Arial" w:hAnsi="Arial"/>
          <w:sz w:val="17"/>
          <w:szCs w:val="17"/>
          <w:b w:val="1"/>
          <w:bCs w:val="1"/>
          <w:color w:val="auto"/>
        </w:rPr>
        <w:t xml:space="preserve"> </w:t>
      </w:r>
      <w:r>
        <w:rPr>
          <w:rFonts w:ascii="Arial" w:cs="Arial" w:eastAsia="Arial" w:hAnsi="Arial"/>
          <w:sz w:val="17"/>
          <w:szCs w:val="17"/>
          <w:color w:val="auto"/>
        </w:rPr>
        <w:t>WuXi Biologics shall respond to each such Purchase Order received from Client within [***] of receipt. Provided that the Volume Requirements for any Purchase Order comply with the requirements set out in Section 4.3 above, WuXi Biologics shall accept the Purchase Order and its response shall include confirmation of the quantity of Product and the Delivery Date, and such shall be binding upon WuXi Biologics.</w:t>
      </w:r>
    </w:p>
    <w:p>
      <w:pPr>
        <w:spacing w:after="0" w:line="165"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4.7 Changes to Confirmed Purchase Orders</w:t>
      </w:r>
      <w:r>
        <w:rPr>
          <w:rFonts w:ascii="Arial" w:cs="Arial" w:eastAsia="Arial" w:hAnsi="Arial"/>
          <w:sz w:val="18"/>
          <w:szCs w:val="18"/>
          <w:color w:val="auto"/>
        </w:rPr>
        <w:t>. WuXi Biologics shall use Commercially Reasonable Efforts to satisfy an increase in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quantity, or changes to delivery phasing or dates, requested in writing by Client in respect of any accepted Purchase Order, provided that Client shall reimburse all reasonable additional pre-agreed costs actually incurred by WuXi Biologics in the event it is able to meet such change (provided that WuXi Biologics informs Client of such estimated costs in advance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69" w:right="479" w:bottom="1440" w:gutter="0" w:footer="0" w:header="0"/>
        </w:sectPr>
      </w:pPr>
    </w:p>
    <w:bookmarkStart w:id="511" w:name="page512"/>
    <w:bookmarkEnd w:id="511"/>
    <w:p>
      <w:pPr>
        <w:ind w:right="8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that it provides Client with reasonable documentation of the actual incurrence of such costs within [***] of such estimate). Failure to meet any increase in quantity or delivery dates modified after a Purchase Order is accepted shall not be considered a material breach of this Agreement. In the event Client wishes to reduce the quantities of Product in any Purchase Order or cancel or defer a Purchase Order, Client shall notify WuXi Biologics thereof and WuXi Biologics will notify Client if WuXi Biologics can, using Commercially Reasonable Efforts, fill Client’s slot with a Third Party’s reasonable comparable production (including scale, process, duration) and/or return, re-sell or reallocate raw materials or work in progress, as applicable. Following such notification, Client will confirm whether or not to reduce the quantities of Product in such Purchase Order or cancel or defer such Purchase Order, as applicable, and only after such confirmation from Client will WuXi Biologics reduce the quantities of Product and Client be responsible to pay the Price for the number of Batches ordered less any amounts attributable to the refilling of the slot and/or the return, resale or reallocation of the raw materials and work in progress.</w:t>
      </w:r>
    </w:p>
    <w:p>
      <w:pPr>
        <w:spacing w:after="0" w:line="177"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4.8 Deposit</w:t>
      </w:r>
      <w:r>
        <w:rPr>
          <w:rFonts w:ascii="Arial" w:cs="Arial" w:eastAsia="Arial" w:hAnsi="Arial"/>
          <w:sz w:val="17"/>
          <w:szCs w:val="17"/>
          <w:color w:val="auto"/>
        </w:rPr>
        <w:t>. Pursuant to Section 4.1, for all Batches in [***] for the Manufacturing of Product, Client shall pay WuXi Biologics [***] of the Price</w:t>
      </w:r>
      <w:r>
        <w:rPr>
          <w:rFonts w:ascii="Arial" w:cs="Arial" w:eastAsia="Arial" w:hAnsi="Arial"/>
          <w:sz w:val="17"/>
          <w:szCs w:val="17"/>
          <w:b w:val="1"/>
          <w:bCs w:val="1"/>
          <w:color w:val="auto"/>
        </w:rPr>
        <w:t xml:space="preserve"> </w:t>
      </w:r>
      <w:r>
        <w:rPr>
          <w:rFonts w:ascii="Arial" w:cs="Arial" w:eastAsia="Arial" w:hAnsi="Arial"/>
          <w:sz w:val="17"/>
          <w:szCs w:val="17"/>
          <w:color w:val="auto"/>
        </w:rPr>
        <w:t>within [***] of the Effective Date and [***] of the Price within [***] of the Effective Date based on the total number of Batches as a non-refundable deposit to secure capacity for such binding Batches in [***]. For Batches in [***] and beyond, Client shall pay WuXi Biologics [***] of the Price for the total number of Batches for the [***] binding forecast as a nonrefundable deposit to secure capacity for the binding forecast period when that binding forecast is provided to WuXi Biologics. The deposit will be creditable to the final payment(s) for the related binding Batch(es).</w:t>
      </w:r>
    </w:p>
    <w:p>
      <w:pPr>
        <w:spacing w:after="0" w:line="168"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4.9 Addressees for Correspondence</w:t>
      </w:r>
      <w:r>
        <w:rPr>
          <w:rFonts w:ascii="Arial" w:cs="Arial" w:eastAsia="Arial" w:hAnsi="Arial"/>
          <w:sz w:val="18"/>
          <w:szCs w:val="18"/>
          <w:color w:val="auto"/>
        </w:rPr>
        <w:t>. All Forecast Schedules, Purchase Orders, written confirmation of Purchase Orders and other notices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under this Agreement shall be sent to the attention of such Party as set forth in Section 23.9, or such persons as each Party may identify to the other in writing from time-to-time.</w:t>
      </w:r>
    </w:p>
    <w:p>
      <w:pPr>
        <w:spacing w:after="0" w:line="176" w:lineRule="exact"/>
        <w:rPr>
          <w:sz w:val="20"/>
          <w:szCs w:val="20"/>
          <w:color w:val="auto"/>
        </w:rPr>
      </w:pPr>
    </w:p>
    <w:p>
      <w:pPr>
        <w:ind w:right="380" w:firstLine="440"/>
        <w:spacing w:after="0" w:line="289" w:lineRule="auto"/>
        <w:rPr>
          <w:sz w:val="20"/>
          <w:szCs w:val="20"/>
          <w:color w:val="auto"/>
        </w:rPr>
      </w:pPr>
      <w:r>
        <w:rPr>
          <w:rFonts w:ascii="Arial" w:cs="Arial" w:eastAsia="Arial" w:hAnsi="Arial"/>
          <w:sz w:val="17"/>
          <w:szCs w:val="17"/>
          <w:b w:val="1"/>
          <w:bCs w:val="1"/>
          <w:color w:val="auto"/>
        </w:rPr>
        <w:t>4.10 Affiliates of Client</w:t>
      </w:r>
      <w:r>
        <w:rPr>
          <w:rFonts w:ascii="Arial" w:cs="Arial" w:eastAsia="Arial" w:hAnsi="Arial"/>
          <w:sz w:val="17"/>
          <w:szCs w:val="17"/>
          <w:color w:val="auto"/>
        </w:rPr>
        <w:t>. Affiliates of Client may order Products included within the Volume Requirements directly from WuXi Biologics</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Client shall be liable for the obligations of any of its Affiliates that order Products from WuXi Biologics under this Agreement. WuXi Biologics shall supply to such Affiliates the ordered Products in accordance with the terms and conditions of this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PRODUCT</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5.1 Delivery of Products</w:t>
      </w:r>
      <w:r>
        <w:rPr>
          <w:rFonts w:ascii="Arial" w:cs="Arial" w:eastAsia="Arial" w:hAnsi="Arial"/>
          <w:sz w:val="18"/>
          <w:szCs w:val="18"/>
          <w:color w:val="auto"/>
        </w:rPr>
        <w:t>.</w:t>
      </w:r>
    </w:p>
    <w:p>
      <w:pPr>
        <w:spacing w:after="0" w:line="229" w:lineRule="exact"/>
        <w:rPr>
          <w:sz w:val="20"/>
          <w:szCs w:val="20"/>
          <w:color w:val="auto"/>
        </w:rPr>
      </w:pPr>
    </w:p>
    <w:p>
      <w:pPr>
        <w:jc w:val="both"/>
        <w:ind w:right="20" w:firstLine="987"/>
        <w:spacing w:after="0" w:line="279" w:lineRule="auto"/>
        <w:tabs>
          <w:tab w:leader="none" w:pos="123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All materials to be provided by WuXi Biologics to Client will be delivered FCA (carrier named by Client) (Incoterms 2020), including Products and other deliverables produced under a Purchase Order, returned Client materials, returned records and returned Confidential Information. For the avoidance of doubt, FCA (carrier named by Client) means WuXi Biologics is responsible for handing over the materials, cleared for export, to a carrier named by Client. Client assumes all risk at such hand over and pays all further shipping costs.</w:t>
      </w:r>
    </w:p>
    <w:p>
      <w:pPr>
        <w:spacing w:after="0" w:line="171" w:lineRule="exact"/>
        <w:rPr>
          <w:rFonts w:ascii="Arial" w:cs="Arial" w:eastAsia="Arial" w:hAnsi="Arial"/>
          <w:sz w:val="17"/>
          <w:szCs w:val="17"/>
          <w:color w:val="auto"/>
        </w:rPr>
      </w:pPr>
    </w:p>
    <w:p>
      <w:pPr>
        <w:ind w:firstLine="987"/>
        <w:spacing w:after="0" w:line="279" w:lineRule="auto"/>
        <w:tabs>
          <w:tab w:leader="none" w:pos="1246"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Products may be delivered by WuXi Biologics in an amount that is lower by up to [***] and up to [***] before or after the time specified in the relevant Purchase Order and any such variance shall not constitute a breach of this Agreement by WuXi Biologics. WuXi Biologics shall arrange for the delivery of Product to Client’s (or its agent’s) designated facilities as stated on the Purchase Order and in a manner consistent with good commercial practices, and in accordance with any agreed-upon shipping specifications.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12" w:name="page513"/>
    <w:bookmarkEnd w:id="512"/>
    <w:p>
      <w:pPr>
        <w:ind w:right="480" w:firstLine="987"/>
        <w:spacing w:after="0" w:line="263" w:lineRule="auto"/>
        <w:tabs>
          <w:tab w:leader="none" w:pos="1236" w:val="left"/>
        </w:tabs>
        <w:numPr>
          <w:ilvl w:val="0"/>
          <w:numId w:val="3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WuXi Biologics will ensure full cGDP compliance, on temperature-controlled products. WuXi Biologics will ensure temperature monitoring for shipments to Client sites and shipment qualifications will be conducted in coordination with the Client, at Client’s expense, and otherwise as set forth in the Quality Agreement.</w:t>
      </w:r>
    </w:p>
    <w:p>
      <w:pPr>
        <w:spacing w:after="0" w:line="180"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5.2 Title; Risk of Loss</w:t>
      </w:r>
      <w:r>
        <w:rPr>
          <w:rFonts w:ascii="Arial" w:cs="Arial" w:eastAsia="Arial" w:hAnsi="Arial"/>
          <w:sz w:val="18"/>
          <w:szCs w:val="18"/>
          <w:color w:val="auto"/>
        </w:rPr>
        <w:t>. Risk and title in the Products shall be transferred to Client as soon as the Products are delivered to a Third Party carrier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Delivery Terms.</w:t>
      </w:r>
    </w:p>
    <w:p>
      <w:pPr>
        <w:spacing w:after="0" w:line="162" w:lineRule="exact"/>
        <w:rPr>
          <w:sz w:val="20"/>
          <w:szCs w:val="20"/>
          <w:color w:val="auto"/>
        </w:rPr>
      </w:pPr>
    </w:p>
    <w:p>
      <w:pPr>
        <w:ind w:right="80" w:firstLine="440"/>
        <w:spacing w:after="0" w:line="258" w:lineRule="auto"/>
        <w:rPr>
          <w:sz w:val="20"/>
          <w:szCs w:val="20"/>
          <w:color w:val="auto"/>
        </w:rPr>
      </w:pPr>
      <w:r>
        <w:rPr>
          <w:rFonts w:ascii="Arial" w:cs="Arial" w:eastAsia="Arial" w:hAnsi="Arial"/>
          <w:sz w:val="18"/>
          <w:szCs w:val="18"/>
          <w:b w:val="1"/>
          <w:bCs w:val="1"/>
          <w:color w:val="auto"/>
        </w:rPr>
        <w:t>5.3 Accompanying Documentation</w:t>
      </w:r>
      <w:r>
        <w:rPr>
          <w:rFonts w:ascii="Arial" w:cs="Arial" w:eastAsia="Arial" w:hAnsi="Arial"/>
          <w:sz w:val="18"/>
          <w:szCs w:val="18"/>
          <w:color w:val="auto"/>
        </w:rPr>
        <w:t>. With each shipment of Product, WuXi Biologics shall provide Client with a Certificate of Compliance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 1) a Certificate of Analysis (if lot release testing is performed by WuXi Biologics) or 2) a Certificate of Testing (if Client requests only selected lot release testing to be performed by WuXi Biologics), as applicable, duly signed or released by a Qualified Person in accordance with cGMP, that sets forth the analytical test results for each specified lot of Product delivered to Client hereunder and confirms that such Products have been manufactured in accordance with the Specifications unless otherwise requested by Client.</w:t>
      </w:r>
    </w:p>
    <w:p>
      <w:pPr>
        <w:spacing w:after="0" w:line="183"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5.4 Retention of Samples</w:t>
      </w:r>
      <w:r>
        <w:rPr>
          <w:rFonts w:ascii="Arial" w:cs="Arial" w:eastAsia="Arial" w:hAnsi="Arial"/>
          <w:sz w:val="18"/>
          <w:szCs w:val="18"/>
          <w:color w:val="auto"/>
        </w:rPr>
        <w:t>. Provisions covering WuXi Biologics’ obligation to store and retain appropriate samples (identified by batch number)</w:t>
      </w:r>
      <w:r>
        <w:rPr>
          <w:rFonts w:ascii="Arial" w:cs="Arial" w:eastAsia="Arial" w:hAnsi="Arial"/>
          <w:sz w:val="18"/>
          <w:szCs w:val="18"/>
          <w:b w:val="1"/>
          <w:bCs w:val="1"/>
          <w:color w:val="auto"/>
        </w:rPr>
        <w:t xml:space="preserve"> </w:t>
      </w:r>
      <w:r>
        <w:rPr>
          <w:rFonts w:ascii="Arial" w:cs="Arial" w:eastAsia="Arial" w:hAnsi="Arial"/>
          <w:sz w:val="18"/>
          <w:szCs w:val="18"/>
          <w:color w:val="auto"/>
        </w:rPr>
        <w:t>of Product that it supplies to Client, and access by Client to the same, will be set forth in the Quality Agreement.</w:t>
      </w:r>
    </w:p>
    <w:p>
      <w:pPr>
        <w:spacing w:after="0" w:line="162"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5.5 Late Delivery</w:t>
      </w:r>
      <w:r>
        <w:rPr>
          <w:rFonts w:ascii="Arial" w:cs="Arial" w:eastAsia="Arial" w:hAnsi="Arial"/>
          <w:sz w:val="16"/>
          <w:szCs w:val="16"/>
          <w:color w:val="auto"/>
        </w:rPr>
        <w:t>. Without prejudice to the Client’s rights and WuXi Biologics’ obligations under this Agreement and Applicable Laws,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event that WuXi Biologics is unable to fulfill its supply obligations under this Agreement for a reason other than a Force Majeure Event, it shall notify Client as soon as possible and the Parties will work together to agree to a mutually acceptable resolution. If conforming Product is not received by Client within [***] of the Delivery Date, then Client shall have the right to claim payment from WuXi Biologics of a late performance penalty equal to [***] of the Price of such delayed Product(s). The foregoing amounts may be deducted by Client against any invoices delivered to Client. WuXi Biologics shall not be subject to a late performance penalty under this Section 5.5 if late delivery was the result of (A) a Force Majeure Event; (B) non-WuXi Biologics’ Materials shortage; or (C) a delay or defect in Materials provided by Client or a Client Designated Vendor, and WuXi Biologics, in each case where WuXi Biologics has (i) used Commercially Reasonable Efforts to mitigate such shortage and (ii) promptly notified Client.</w:t>
      </w:r>
    </w:p>
    <w:p>
      <w:pPr>
        <w:spacing w:after="0" w:line="159"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b w:val="1"/>
          <w:bCs w:val="1"/>
          <w:color w:val="auto"/>
        </w:rPr>
        <w:t>5.6 Termination for Late Delivery</w:t>
      </w:r>
      <w:r>
        <w:rPr>
          <w:rFonts w:ascii="Arial" w:cs="Arial" w:eastAsia="Arial" w:hAnsi="Arial"/>
          <w:sz w:val="17"/>
          <w:szCs w:val="17"/>
          <w:color w:val="auto"/>
        </w:rPr>
        <w:t>. Subject to Section 23.4, if conforming Product is not received by Client within [***] of the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then Client shall have the right to be fully reimbursed for the Price paid for the undelivered Products ordered under the applicable Purchase Order(s),less the cost of any non-cancellable raw materials ordered by WuXi Biologics for any such applicable Products to be reimbursed where such raw materials cannot be reasonably reallocated or re-used by WuXi Biologics. Without limiting the foregoing, if at least [***] of the quantity of Product in any calendar year is not received by Client within such calendar year, Client shall have the right to terminate this Agreement upon written notice to WuXi Biologics and such termination shall be considered a termination by Client pursuant to Section 19.2.</w:t>
      </w:r>
    </w:p>
    <w:p>
      <w:pPr>
        <w:spacing w:after="0" w:line="173"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5.7 Manufacturing Problem</w:t>
      </w:r>
      <w:r>
        <w:rPr>
          <w:rFonts w:ascii="Arial" w:cs="Arial" w:eastAsia="Arial" w:hAnsi="Arial"/>
          <w:sz w:val="17"/>
          <w:szCs w:val="17"/>
          <w:color w:val="auto"/>
        </w:rPr>
        <w:t>. In the event that a Party becomes aware of any matter, circumstance or event (excluding any Force Majeure Event)</w:t>
      </w:r>
      <w:r>
        <w:rPr>
          <w:rFonts w:ascii="Arial" w:cs="Arial" w:eastAsia="Arial" w:hAnsi="Arial"/>
          <w:sz w:val="17"/>
          <w:szCs w:val="17"/>
          <w:b w:val="1"/>
          <w:bCs w:val="1"/>
          <w:color w:val="auto"/>
        </w:rPr>
        <w:t xml:space="preserve"> </w:t>
      </w:r>
      <w:r>
        <w:rPr>
          <w:rFonts w:ascii="Arial" w:cs="Arial" w:eastAsia="Arial" w:hAnsi="Arial"/>
          <w:sz w:val="17"/>
          <w:szCs w:val="17"/>
          <w:color w:val="auto"/>
        </w:rPr>
        <w:t>which (a) would reasonably be expected to give rise to a material delay in the shipment of Product; (b) reasonably indicate that the quality standards set forth herein and in the Quality Agreement have been materially compromised or (iii) may reasonably give rise to a material breach hereunder or the right of Client to terminate this Agreement under Article 19 (each a “</w:t>
      </w:r>
      <w:r>
        <w:rPr>
          <w:rFonts w:ascii="Arial" w:cs="Arial" w:eastAsia="Arial" w:hAnsi="Arial"/>
          <w:sz w:val="17"/>
          <w:szCs w:val="17"/>
          <w:b w:val="1"/>
          <w:bCs w:val="1"/>
          <w:color w:val="auto"/>
        </w:rPr>
        <w:t>Manufacturing Problem</w:t>
      </w:r>
      <w:r>
        <w:rPr>
          <w:rFonts w:ascii="Arial" w:cs="Arial" w:eastAsia="Arial" w:hAnsi="Arial"/>
          <w:sz w:val="17"/>
          <w:szCs w:val="17"/>
          <w:color w:val="auto"/>
        </w:rPr>
        <w:t>”), such Party shall promptly give written notice of the Manufacturing Problem to the other Party. In the event WuXi Biologics becomes aware of a Manufacturing Problem, WuXi Biologics shall as soon as reasonably possible give written notice to Client of such Manufacturing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513" w:name="page514"/>
    <w:bookmarkEnd w:id="513"/>
    <w:p>
      <w:pPr>
        <w:ind w:left="4" w:right="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Problem, the cause thereof, the anticipated length of such Manufacturing Problem, and the action to be taken to reduce, minimize or remove the adverse effects of any such Manufacturing Problem. Within [***] of receipt of the notice given pursuant to this Section 5.7, Client and WuXi Biologics shall discuss or meet with a view to agreeing to any actions necessary to minimize the risk of an interruption to supply or shortfall in quantities of Product occurs. For purposes of clarity, a Manufacturing Problem which shall give rise to the remedies set forth in this Section 5.7 includes, but is not limited to,</w:t>
      </w:r>
    </w:p>
    <w:p>
      <w:pPr>
        <w:spacing w:after="0" w:line="1" w:lineRule="exact"/>
        <w:rPr>
          <w:sz w:val="20"/>
          <w:szCs w:val="20"/>
          <w:color w:val="auto"/>
        </w:rPr>
      </w:pPr>
    </w:p>
    <w:p>
      <w:pPr>
        <w:jc w:val="both"/>
        <w:ind w:left="4" w:right="100" w:hanging="4"/>
        <w:spacing w:after="0" w:line="255" w:lineRule="auto"/>
        <w:tabs>
          <w:tab w:leader="none" w:pos="219" w:val="left"/>
        </w:tabs>
        <w:numPr>
          <w:ilvl w:val="0"/>
          <w:numId w:val="399"/>
        </w:numPr>
        <w:rPr>
          <w:rFonts w:ascii="Arial" w:cs="Arial" w:eastAsia="Arial" w:hAnsi="Arial"/>
          <w:sz w:val="18"/>
          <w:szCs w:val="18"/>
          <w:color w:val="auto"/>
        </w:rPr>
      </w:pPr>
      <w:r>
        <w:rPr>
          <w:rFonts w:ascii="Arial" w:cs="Arial" w:eastAsia="Arial" w:hAnsi="Arial"/>
          <w:sz w:val="18"/>
          <w:szCs w:val="18"/>
          <w:color w:val="auto"/>
        </w:rPr>
        <w:t>receipt by WuXi Biologics of a warning letter from a Regulatory Authority affecting a Product, or (ii) delivery of [***] or more consecutive Batches of Product which do not meet quality standards (including relevant compliance standards) for the Product as set forth under this Agreement, the Quality Agreement, cGMPs, the Specifications or Applicable Laws.</w:t>
      </w:r>
    </w:p>
    <w:p>
      <w:pPr>
        <w:spacing w:after="0" w:line="186"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b w:val="1"/>
          <w:bCs w:val="1"/>
          <w:color w:val="auto"/>
        </w:rPr>
        <w:t xml:space="preserve">5.8 Key Performance Indicators. </w:t>
      </w:r>
      <w:r>
        <w:rPr>
          <w:rFonts w:ascii="Arial" w:cs="Arial" w:eastAsia="Arial" w:hAnsi="Arial"/>
          <w:sz w:val="17"/>
          <w:szCs w:val="17"/>
          <w:color w:val="auto"/>
        </w:rPr>
        <w:t>The Parties agree to measure WuXi Biologics’ performance through the establishment of the Key Performance</w:t>
      </w:r>
      <w:r>
        <w:rPr>
          <w:rFonts w:ascii="Arial" w:cs="Arial" w:eastAsia="Arial" w:hAnsi="Arial"/>
          <w:sz w:val="17"/>
          <w:szCs w:val="17"/>
          <w:b w:val="1"/>
          <w:bCs w:val="1"/>
          <w:color w:val="auto"/>
        </w:rPr>
        <w:t xml:space="preserve"> </w:t>
      </w:r>
      <w:r>
        <w:rPr>
          <w:rFonts w:ascii="Arial" w:cs="Arial" w:eastAsia="Arial" w:hAnsi="Arial"/>
          <w:sz w:val="17"/>
          <w:szCs w:val="17"/>
          <w:color w:val="auto"/>
        </w:rPr>
        <w:t>Indicators (“</w:t>
      </w:r>
      <w:r>
        <w:rPr>
          <w:rFonts w:ascii="Arial" w:cs="Arial" w:eastAsia="Arial" w:hAnsi="Arial"/>
          <w:sz w:val="17"/>
          <w:szCs w:val="17"/>
          <w:b w:val="1"/>
          <w:bCs w:val="1"/>
          <w:color w:val="auto"/>
        </w:rPr>
        <w:t>KPIs</w:t>
      </w:r>
      <w:r>
        <w:rPr>
          <w:rFonts w:ascii="Arial" w:cs="Arial" w:eastAsia="Arial" w:hAnsi="Arial"/>
          <w:sz w:val="17"/>
          <w:szCs w:val="17"/>
          <w:color w:val="auto"/>
        </w:rPr>
        <w:t>”) set forth in Schedule 3. Client may request the establishment of reasonable additional mutually agreed KPIs, which shall then be appended to Schedule 3. The Parties shall agree upon the relative importance of the KPIs by classifying each KPI with a designation of “minor”, “major” or “critical”. The Parties shall agree in good faith by January of each year, (beginning with the second calendar year of this Agreement), the performance level objectives of WuXi Biologics for the following year. The performance level objectives shall be established for individual KPIs and for overall performance and on the basis of actual, past performance, and shall be expressed in measurable values. In addition, minimum acceptance levels shall be agreed upon for all critical KPIs and for overall performance. WuXi Biologics shall use all Commercially Reasonable Efforts to ensure that its performance does not fall below these minimum acceptance levels. Notwithstanding WuXi Biologics’ use of all Commercially Reasonable Efforts, if at any time WuXi Biologics’ overall performance or performance for critical KPIs falls below the established minimum acceptance levels, WuXi Biologics shall promptly take corrective action using Commercially Reasonable Efforts to cure such under-performance. WuXi Biologics’ level of performance in relation to the KPIs shall be reported on a [***] basis.</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PRICE</w:t>
      </w:r>
    </w:p>
    <w:p>
      <w:pPr>
        <w:spacing w:after="0" w:line="207"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6.1 Supply Price</w:t>
      </w:r>
      <w:r>
        <w:rPr>
          <w:rFonts w:ascii="Arial" w:cs="Arial" w:eastAsia="Arial" w:hAnsi="Arial"/>
          <w:sz w:val="18"/>
          <w:szCs w:val="18"/>
          <w:color w:val="auto"/>
        </w:rPr>
        <w:t>. In consideration of the Manufacture of the Products, in accordance with Article 7, Client shall pay to WuXi Biologics the Price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Products supplied under this Agreement less any amounts previously paid by Client for Materials pursuant to Section 2.6 to the extent such Materials are used in such Products.</w:t>
      </w:r>
    </w:p>
    <w:p>
      <w:pPr>
        <w:spacing w:after="0" w:line="176" w:lineRule="exact"/>
        <w:rPr>
          <w:sz w:val="20"/>
          <w:szCs w:val="20"/>
          <w:color w:val="auto"/>
        </w:rPr>
      </w:pPr>
    </w:p>
    <w:p>
      <w:pPr>
        <w:ind w:left="4" w:right="60" w:firstLine="440"/>
        <w:spacing w:after="0" w:line="298" w:lineRule="auto"/>
        <w:rPr>
          <w:sz w:val="20"/>
          <w:szCs w:val="20"/>
          <w:color w:val="auto"/>
        </w:rPr>
      </w:pPr>
      <w:r>
        <w:rPr>
          <w:rFonts w:ascii="Arial" w:cs="Arial" w:eastAsia="Arial" w:hAnsi="Arial"/>
          <w:sz w:val="16"/>
          <w:szCs w:val="16"/>
          <w:b w:val="1"/>
          <w:bCs w:val="1"/>
          <w:color w:val="auto"/>
        </w:rPr>
        <w:t>6.2 Taxes</w:t>
      </w:r>
      <w:r>
        <w:rPr>
          <w:rFonts w:ascii="Arial" w:cs="Arial" w:eastAsia="Arial" w:hAnsi="Arial"/>
          <w:sz w:val="16"/>
          <w:szCs w:val="16"/>
          <w:color w:val="auto"/>
        </w:rPr>
        <w:t>. Client shall be responsible for all sales, use, value added, excise and similar taxes imposed by any government or governmental agency</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Client’s purchase of any Product under this Agreement, except for any such taxes based upon the general business operations, capital, property, corporate franchise, existence, or income of WuXi Biologics and any taxes or amounts in lieu thereof paid or payable by WuXi Biologics. All payments under this Agreement are deemed exclusive of VAT or any other indirect taxes; WuXi Biologics shall, if required under Applicable Laws and regulations, add VAT or any other indirect taxes to the Price at the prevailing rate under Applicable Laws and regulations.</w:t>
      </w:r>
    </w:p>
    <w:p>
      <w:pPr>
        <w:spacing w:after="0" w:line="154" w:lineRule="exact"/>
        <w:rPr>
          <w:sz w:val="20"/>
          <w:szCs w:val="20"/>
          <w:color w:val="auto"/>
        </w:rPr>
      </w:pPr>
    </w:p>
    <w:p>
      <w:pPr>
        <w:ind w:left="4" w:right="80" w:firstLine="440"/>
        <w:spacing w:after="0" w:line="298" w:lineRule="auto"/>
        <w:rPr>
          <w:sz w:val="20"/>
          <w:szCs w:val="20"/>
          <w:color w:val="auto"/>
        </w:rPr>
      </w:pPr>
      <w:r>
        <w:rPr>
          <w:rFonts w:ascii="Arial" w:cs="Arial" w:eastAsia="Arial" w:hAnsi="Arial"/>
          <w:sz w:val="16"/>
          <w:szCs w:val="16"/>
          <w:b w:val="1"/>
          <w:bCs w:val="1"/>
          <w:color w:val="auto"/>
        </w:rPr>
        <w:t>6.3 Tax Withholding</w:t>
      </w:r>
      <w:r>
        <w:rPr>
          <w:rFonts w:ascii="Arial" w:cs="Arial" w:eastAsia="Arial" w:hAnsi="Arial"/>
          <w:sz w:val="16"/>
          <w:szCs w:val="16"/>
          <w:color w:val="auto"/>
        </w:rPr>
        <w:t>. The amounts payable by one Party (the “</w:t>
      </w:r>
      <w:r>
        <w:rPr>
          <w:rFonts w:ascii="Arial" w:cs="Arial" w:eastAsia="Arial" w:hAnsi="Arial"/>
          <w:sz w:val="16"/>
          <w:szCs w:val="16"/>
          <w:b w:val="1"/>
          <w:bCs w:val="1"/>
          <w:color w:val="auto"/>
        </w:rPr>
        <w:t>Payer</w:t>
      </w:r>
      <w:r>
        <w:rPr>
          <w:rFonts w:ascii="Arial" w:cs="Arial" w:eastAsia="Arial" w:hAnsi="Arial"/>
          <w:sz w:val="16"/>
          <w:szCs w:val="16"/>
          <w:color w:val="auto"/>
        </w:rPr>
        <w:t>”) to another Party (the “</w:t>
      </w:r>
      <w:r>
        <w:rPr>
          <w:rFonts w:ascii="Arial" w:cs="Arial" w:eastAsia="Arial" w:hAnsi="Arial"/>
          <w:sz w:val="16"/>
          <w:szCs w:val="16"/>
          <w:b w:val="1"/>
          <w:bCs w:val="1"/>
          <w:color w:val="auto"/>
        </w:rPr>
        <w:t>Payee</w:t>
      </w:r>
      <w:r>
        <w:rPr>
          <w:rFonts w:ascii="Arial" w:cs="Arial" w:eastAsia="Arial" w:hAnsi="Arial"/>
          <w:sz w:val="16"/>
          <w:szCs w:val="16"/>
          <w:color w:val="auto"/>
        </w:rPr>
        <w:t>”) pursuant to this Agreement (“</w:t>
      </w:r>
      <w:r>
        <w:rPr>
          <w:rFonts w:ascii="Arial" w:cs="Arial" w:eastAsia="Arial" w:hAnsi="Arial"/>
          <w:sz w:val="16"/>
          <w:szCs w:val="16"/>
          <w:b w:val="1"/>
          <w:bCs w:val="1"/>
          <w:color w:val="auto"/>
        </w:rPr>
        <w:t>Payments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be reduced on account of any taxes unless required by law. The Payee alone shall be responsible for paying any and all taxes (other than withholding taxes required to be paid by the Payer) levied on account of, or measured in whole or in part by reference to, any Payments it receives. The Payer shall deduct or withhold from the Payments any taxes that it is required by law to deduct or withhold. Notwithstanding the foregoing, if the Payee is entitled under any applicable tax treaty to a reduction of rate of, or the elimination of, or recovery of, applicable withholding</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4"/>
          </w:cols>
          <w:pgMar w:left="436" w:top="273" w:right="439" w:bottom="1440" w:gutter="0" w:footer="0" w:header="0"/>
        </w:sectPr>
      </w:pPr>
    </w:p>
    <w:bookmarkStart w:id="514" w:name="page515"/>
    <w:bookmarkEnd w:id="514"/>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it shall promptly deliver to the Payer or the appropriate governmental body (with the assistance of the Payer to the extent that this is reasonably required and is expressly requested in writing) the prescribed forms necessary to reduce the applicable rate of withholding or to relieve the Payer of its obligation to withhold tax, and the Payer shall apply the reduced rate of withholding, or dispense with the withholding, as the case may be. If, in accordance with the foregoing, the Payer withholds any amount, it shall make timely payment to the proper taxing authority of the withheld amount, and send to the Payee reasonable proof of such payment within [***] following that payment. If taxes are paid to a tax authority, each Party will provide the other such assistance as is reasonably required to obtain a refund of taxes withheld, or obtain a credit with respect to taxes paid.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INVOICE AND PAYMENT</w:t>
      </w:r>
    </w:p>
    <w:p>
      <w:pPr>
        <w:spacing w:after="0" w:line="207"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b w:val="1"/>
          <w:bCs w:val="1"/>
          <w:color w:val="auto"/>
        </w:rPr>
        <w:t>7.1 Invoices</w:t>
      </w:r>
      <w:r>
        <w:rPr>
          <w:rFonts w:ascii="Arial" w:cs="Arial" w:eastAsia="Arial" w:hAnsi="Arial"/>
          <w:sz w:val="17"/>
          <w:szCs w:val="17"/>
          <w:color w:val="auto"/>
        </w:rPr>
        <w:t>. WuXi Biologics shall invoice Client for [***] of the Price for Products ordered under a Purchase Order upon commencement (based</w:t>
      </w:r>
      <w:r>
        <w:rPr>
          <w:rFonts w:ascii="Arial" w:cs="Arial" w:eastAsia="Arial" w:hAnsi="Arial"/>
          <w:sz w:val="17"/>
          <w:szCs w:val="17"/>
          <w:b w:val="1"/>
          <w:bCs w:val="1"/>
          <w:color w:val="auto"/>
        </w:rPr>
        <w:t xml:space="preserve"> </w:t>
      </w:r>
      <w:r>
        <w:rPr>
          <w:rFonts w:ascii="Arial" w:cs="Arial" w:eastAsia="Arial" w:hAnsi="Arial"/>
          <w:sz w:val="17"/>
          <w:szCs w:val="17"/>
          <w:color w:val="auto"/>
        </w:rPr>
        <w:t>on vial thaw) of Manufacturing of Batches of such Products, and [***] of the Price for Products ordered under such Purchase Order upon WuXi Biologics’ issuance of a Certificate of Compliance with 1) a Certificate of Analysis (if lot release testing is performed by WuXi Biologics) or 2) a Certificate of Testing (if Client requests only selected lot release testing to be performed by WuXi Biologics), as applicable, for each applicable Batch. Each invoice shall specify the Price in respect of the Product delivered, the quantity of the Product delivered and the amount of sales, use, value added, excise or equivalent indirect tax, if relevant under Applicable Laws due in respect of the Product delivered, and the Purchase Order reference number. WuXi Biologics’ invoices shall comply with all Applicable Laws.</w:t>
      </w:r>
    </w:p>
    <w:p>
      <w:pPr>
        <w:spacing w:after="0" w:line="172" w:lineRule="exact"/>
        <w:rPr>
          <w:sz w:val="20"/>
          <w:szCs w:val="20"/>
          <w:color w:val="auto"/>
        </w:rPr>
      </w:pPr>
    </w:p>
    <w:p>
      <w:pPr>
        <w:ind w:right="20" w:firstLine="440"/>
        <w:spacing w:after="0" w:line="298" w:lineRule="auto"/>
        <w:rPr>
          <w:sz w:val="20"/>
          <w:szCs w:val="20"/>
          <w:color w:val="auto"/>
        </w:rPr>
      </w:pPr>
      <w:r>
        <w:rPr>
          <w:rFonts w:ascii="Arial" w:cs="Arial" w:eastAsia="Arial" w:hAnsi="Arial"/>
          <w:sz w:val="16"/>
          <w:szCs w:val="16"/>
          <w:b w:val="1"/>
          <w:bCs w:val="1"/>
          <w:color w:val="auto"/>
        </w:rPr>
        <w:t>7.2 Payment of Invoices</w:t>
      </w:r>
      <w:r>
        <w:rPr>
          <w:rFonts w:ascii="Arial" w:cs="Arial" w:eastAsia="Arial" w:hAnsi="Arial"/>
          <w:sz w:val="16"/>
          <w:szCs w:val="16"/>
          <w:color w:val="auto"/>
        </w:rPr>
        <w:t>. Client shall pay undisputed invoices (including any undisputed portion thereof) issued by WuXi Biologics in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Dollars (USD) within [***] from the receipt of any invoice under Section 7.1, by electronic transfer to the account nominated in writing by WuXi Biologics, except in case of any Defective Product rejected in accordance with Article 9 and then only as to the Price excluding any allegedly Defective Product. The term of payment starts once the delivery is accepted by Client or at the moment an Independent Expert finds any rejected Product not to be Defective, although payment will not be due for properly rejected Defective Product (including, for clarity, any Products with Latent Defects).</w:t>
      </w:r>
    </w:p>
    <w:p>
      <w:pPr>
        <w:spacing w:after="0" w:line="154"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7.3 Late Payment</w:t>
      </w:r>
      <w:r>
        <w:rPr>
          <w:rFonts w:ascii="Arial" w:cs="Arial" w:eastAsia="Arial" w:hAnsi="Arial"/>
          <w:sz w:val="17"/>
          <w:szCs w:val="17"/>
          <w:color w:val="auto"/>
        </w:rPr>
        <w:t>. If Client is in Payment Default, WuXi Biologics may impose the Payment Default Rate against Client. In the event of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Default, WuXi Biologics will provide notice of late payment to Client. If Client does not make payment of all undisputed amounts within [***] of such notice, WuXi Biologics will have the right to temporarily [***] under the applicable Product Schedule until such payment is made. If the Payment Default is not rectified within [***] after the undisputed payment was due, then it will be deemed an incurable material breach of this Agreement and WuXi Biologics may terminate the applicable Product Schedule or this entire Agreement under Section 19.5.</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QUALITY ASSURANCE</w:t>
      </w:r>
    </w:p>
    <w:p>
      <w:pPr>
        <w:spacing w:after="0" w:line="207"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b w:val="1"/>
          <w:bCs w:val="1"/>
          <w:color w:val="auto"/>
        </w:rPr>
        <w:t>8.1 Validation and Stability Studies</w:t>
      </w:r>
      <w:r>
        <w:rPr>
          <w:rFonts w:ascii="Arial" w:cs="Arial" w:eastAsia="Arial" w:hAnsi="Arial"/>
          <w:sz w:val="18"/>
          <w:szCs w:val="18"/>
          <w:color w:val="auto"/>
        </w:rPr>
        <w:t>. WuXi Biologics shall perform validation and stability studies as agreed between the Parties in writing,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to the extent required by the Specifications for the Product(s), cGMP or Applicable Laws to Manufacture the Products at the Manufacturing Site.</w:t>
      </w:r>
    </w:p>
    <w:p>
      <w:pPr>
        <w:spacing w:after="0" w:line="176"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b w:val="1"/>
          <w:bCs w:val="1"/>
          <w:color w:val="auto"/>
        </w:rPr>
        <w:t>8.2 Release Testing</w:t>
      </w:r>
      <w:r>
        <w:rPr>
          <w:rFonts w:ascii="Arial" w:cs="Arial" w:eastAsia="Arial" w:hAnsi="Arial"/>
          <w:sz w:val="18"/>
          <w:szCs w:val="18"/>
          <w:color w:val="auto"/>
        </w:rPr>
        <w:t>. Prior to release of the Products to finished goods inventory, WuXi Biologics shall test the Products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testing procedures described in the Specifications.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515" w:name="page516"/>
    <w:bookmarkEnd w:id="515"/>
    <w:p>
      <w:pPr>
        <w:ind w:left="4"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8.3 Analytical Reference Standards</w:t>
      </w:r>
      <w:r>
        <w:rPr>
          <w:rFonts w:ascii="Arial" w:cs="Arial" w:eastAsia="Arial" w:hAnsi="Arial"/>
          <w:sz w:val="18"/>
          <w:szCs w:val="18"/>
          <w:color w:val="auto"/>
        </w:rPr>
        <w:t>. Client shall provide, without charge to WuXi Biologics, analytical reference standards for the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standards shall be provided in quantities reasonably required for WuXi Biologics to perform its obligations relating to the Manufacture, stability testing or any other testing of the Products under this Agreement.</w:t>
      </w:r>
    </w:p>
    <w:p>
      <w:pPr>
        <w:spacing w:after="0" w:line="176" w:lineRule="exact"/>
        <w:rPr>
          <w:sz w:val="20"/>
          <w:szCs w:val="20"/>
          <w:color w:val="auto"/>
        </w:rPr>
      </w:pPr>
    </w:p>
    <w:p>
      <w:pPr>
        <w:ind w:left="4" w:right="60" w:firstLine="440"/>
        <w:spacing w:after="0" w:line="282" w:lineRule="auto"/>
        <w:rPr>
          <w:sz w:val="20"/>
          <w:szCs w:val="20"/>
          <w:color w:val="auto"/>
        </w:rPr>
      </w:pPr>
      <w:r>
        <w:rPr>
          <w:rFonts w:ascii="Arial" w:cs="Arial" w:eastAsia="Arial" w:hAnsi="Arial"/>
          <w:sz w:val="18"/>
          <w:szCs w:val="18"/>
          <w:b w:val="1"/>
          <w:bCs w:val="1"/>
          <w:color w:val="auto"/>
        </w:rPr>
        <w:t>8.4 Technical and Quality Matters</w:t>
      </w:r>
      <w:r>
        <w:rPr>
          <w:rFonts w:ascii="Arial" w:cs="Arial" w:eastAsia="Arial" w:hAnsi="Arial"/>
          <w:sz w:val="18"/>
          <w:szCs w:val="18"/>
          <w:color w:val="auto"/>
        </w:rPr>
        <w:t>. The respective responsibilities of each Party in relation to technical and quality matters are or will be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set out in the Quality Agreement.</w:t>
      </w:r>
    </w:p>
    <w:p>
      <w:pPr>
        <w:spacing w:after="0" w:line="162"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b w:val="1"/>
          <w:bCs w:val="1"/>
          <w:color w:val="auto"/>
        </w:rPr>
        <w:t>8.5 Man-in-Plant</w:t>
      </w:r>
      <w:r>
        <w:rPr>
          <w:rFonts w:ascii="Arial" w:cs="Arial" w:eastAsia="Arial" w:hAnsi="Arial"/>
          <w:sz w:val="16"/>
          <w:szCs w:val="16"/>
          <w:color w:val="auto"/>
        </w:rPr>
        <w:t>. WuXi Biologics agrees that, at Client’s option and sole expense, Client representatives may be present at the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Site (including adequate temporary desk space and other reasonable resources available to these representatives at WuXi Biologics’ expense during the periods they are at the Manufacturing Site) during the Manufacturing of the Products for the purposes of inspecting, sampling, check weighing, and documenting Manufacturing of the Products and all associated records in connection therewith. Client representatives shall have reasonable access to</w:t>
      </w:r>
    </w:p>
    <w:p>
      <w:pPr>
        <w:spacing w:after="0" w:line="2" w:lineRule="exact"/>
        <w:rPr>
          <w:sz w:val="20"/>
          <w:szCs w:val="20"/>
          <w:color w:val="auto"/>
        </w:rPr>
      </w:pPr>
    </w:p>
    <w:p>
      <w:pPr>
        <w:ind w:left="4" w:hanging="4"/>
        <w:spacing w:after="0" w:line="251" w:lineRule="auto"/>
        <w:tabs>
          <w:tab w:leader="none" w:pos="219"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those portions of the Manufacturing Site where Product is Manufactured, subject to WuXi Biologics’ then-current SOPs; and (ii) full visibility and transparency to the activities being undertaken with respect to the Manufacture of Product. Any Client employees who are present at the Manufacturing Site shall comply with WuXi Biologics’ site regulations and rules. The Client representative, if present, does not have responsibility for the supervision of WuXi Biologics’ personnel or the Manufacturing of the Products. However, if at any time the Client representative objectively and reasonably determines that WuXi Biologics is operating in a manner not compliant with the terms of this Agreement or Applicable Laws or cGMP, he/she may recommend that WuXi Biologics cease operations until such condition is remedied or otherwise recommend a modification to such operations to overcome such concern; provided that, in the event that WuXi Biologics does not follow and adhere to such recommendation, then WuXi Biologics shall indemnify the Client pursuant to Section 18.1 from any Third Party Claims occurring or resulting from such failure to follow and adhere to such recommendation.</w:t>
      </w: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DEFECTIVE PRODUCTS</w:t>
      </w:r>
    </w:p>
    <w:p>
      <w:pPr>
        <w:spacing w:after="0" w:line="207"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9.1 Acceptance, Rejection of Product</w:t>
      </w:r>
      <w:r>
        <w:rPr>
          <w:rFonts w:ascii="Arial" w:cs="Arial" w:eastAsia="Arial" w:hAnsi="Arial"/>
          <w:sz w:val="18"/>
          <w:szCs w:val="18"/>
          <w:color w:val="auto"/>
        </w:rPr>
        <w:t>. For a period of [***] after the delivery of Products (or, in the case of Latent Defects, a period of [***]</w:t>
      </w:r>
      <w:r>
        <w:rPr>
          <w:rFonts w:ascii="Arial" w:cs="Arial" w:eastAsia="Arial" w:hAnsi="Arial"/>
          <w:sz w:val="18"/>
          <w:szCs w:val="18"/>
          <w:b w:val="1"/>
          <w:bCs w:val="1"/>
          <w:color w:val="auto"/>
        </w:rPr>
        <w:t xml:space="preserve"> </w:t>
      </w:r>
      <w:r>
        <w:rPr>
          <w:rFonts w:ascii="Arial" w:cs="Arial" w:eastAsia="Arial" w:hAnsi="Arial"/>
          <w:sz w:val="18"/>
          <w:szCs w:val="18"/>
          <w:color w:val="auto"/>
        </w:rPr>
        <w:t>after discovery of the Latent Defect), Client shall have the right to reject any allegedly Defective Products upon written notice to WuXi Biologics, such notice to include the reason(s) for the rejection and to be accompanied with any supporting documentation or other evidence. After the applicable time period set forth in this Section 9.1, all Product(s) will be deemed accepted by Client and materially compliant with all required Specifications, the Quality Agreement, cGMP, and Applicable Laws.</w:t>
      </w:r>
    </w:p>
    <w:p>
      <w:pPr>
        <w:spacing w:after="0" w:line="183" w:lineRule="exact"/>
        <w:rPr>
          <w:sz w:val="20"/>
          <w:szCs w:val="20"/>
          <w:color w:val="auto"/>
        </w:rPr>
      </w:pPr>
    </w:p>
    <w:p>
      <w:pPr>
        <w:jc w:val="both"/>
        <w:ind w:left="4" w:right="220" w:firstLine="440"/>
        <w:spacing w:after="0" w:line="266" w:lineRule="auto"/>
        <w:rPr>
          <w:sz w:val="20"/>
          <w:szCs w:val="20"/>
          <w:color w:val="auto"/>
        </w:rPr>
      </w:pPr>
      <w:r>
        <w:rPr>
          <w:rFonts w:ascii="Arial" w:cs="Arial" w:eastAsia="Arial" w:hAnsi="Arial"/>
          <w:sz w:val="18"/>
          <w:szCs w:val="18"/>
          <w:b w:val="1"/>
          <w:bCs w:val="1"/>
          <w:color w:val="auto"/>
        </w:rPr>
        <w:t>9.2 Defective Product</w:t>
      </w:r>
      <w:r>
        <w:rPr>
          <w:rFonts w:ascii="Arial" w:cs="Arial" w:eastAsia="Arial" w:hAnsi="Arial"/>
          <w:sz w:val="18"/>
          <w:szCs w:val="18"/>
          <w:color w:val="auto"/>
        </w:rPr>
        <w:t>. If Products are rejected in accordance with Section 9.1, WuXi Biologics shall be offered a reasonable opportunity (a) to</w:t>
      </w:r>
      <w:r>
        <w:rPr>
          <w:rFonts w:ascii="Arial" w:cs="Arial" w:eastAsia="Arial" w:hAnsi="Arial"/>
          <w:sz w:val="18"/>
          <w:szCs w:val="18"/>
          <w:b w:val="1"/>
          <w:bCs w:val="1"/>
          <w:color w:val="auto"/>
        </w:rPr>
        <w:t xml:space="preserve"> </w:t>
      </w:r>
      <w:r>
        <w:rPr>
          <w:rFonts w:ascii="Arial" w:cs="Arial" w:eastAsia="Arial" w:hAnsi="Arial"/>
          <w:sz w:val="18"/>
          <w:szCs w:val="18"/>
          <w:color w:val="auto"/>
        </w:rPr>
        <w:t>offer proof or evidence as to why such Product should not be rejected, and (b) to inspect and/or test such Product. The Parties shall use Commercially Reasonable Efforts to agree whether or not the rejected Products are Defective.</w:t>
      </w:r>
    </w:p>
    <w:p>
      <w:pPr>
        <w:spacing w:after="0" w:line="176" w:lineRule="exact"/>
        <w:rPr>
          <w:sz w:val="20"/>
          <w:szCs w:val="20"/>
          <w:color w:val="auto"/>
        </w:rPr>
      </w:pPr>
    </w:p>
    <w:p>
      <w:pPr>
        <w:jc w:val="both"/>
        <w:ind w:left="4" w:right="60" w:firstLine="440"/>
        <w:spacing w:after="0" w:line="277" w:lineRule="auto"/>
        <w:rPr>
          <w:sz w:val="20"/>
          <w:szCs w:val="20"/>
          <w:color w:val="auto"/>
        </w:rPr>
      </w:pPr>
      <w:r>
        <w:rPr>
          <w:rFonts w:ascii="Arial" w:cs="Arial" w:eastAsia="Arial" w:hAnsi="Arial"/>
          <w:sz w:val="17"/>
          <w:szCs w:val="17"/>
          <w:b w:val="1"/>
          <w:bCs w:val="1"/>
          <w:color w:val="auto"/>
        </w:rPr>
        <w:t>9.3 Resolution of Dispute as to Whether a Product is Defective</w:t>
      </w:r>
      <w:r>
        <w:rPr>
          <w:rFonts w:ascii="Arial" w:cs="Arial" w:eastAsia="Arial" w:hAnsi="Arial"/>
          <w:sz w:val="17"/>
          <w:szCs w:val="17"/>
          <w:color w:val="auto"/>
        </w:rPr>
        <w:t>. If, within [***] of WuXi Biologics being notified pursuant to Section 9.1,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fail to agree whether or not the rejected Products are Defective, the dispute shall be referred to and determined by an Independent Expert whose decision shall be final and binding on the Parties. The Independent Expert shall act as an expert and not as an arbitrator, and his or her fees shall be paid by the Party against whom the Independent Expert’s decision is made. If any rejected Products are found by the Independent Expert not to be Defective, Client shall pay for such Products in accordance with the payment provisions set out in this Agreement.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69" w:right="459" w:bottom="1440" w:gutter="0" w:footer="0" w:header="0"/>
        </w:sectPr>
      </w:pPr>
    </w:p>
    <w:bookmarkStart w:id="516" w:name="page517"/>
    <w:bookmarkEnd w:id="516"/>
    <w:p>
      <w:pPr>
        <w:ind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9.4 Remedies</w:t>
      </w:r>
      <w:r>
        <w:rPr>
          <w:rFonts w:ascii="Arial" w:cs="Arial" w:eastAsia="Arial" w:hAnsi="Arial"/>
          <w:sz w:val="17"/>
          <w:szCs w:val="17"/>
          <w:color w:val="auto"/>
        </w:rPr>
        <w:t>. After joint investigation, if the Parties agree, or if the Independent Expert finds, that the rejected Products are Defective (even if the</w:t>
      </w:r>
      <w:r>
        <w:rPr>
          <w:rFonts w:ascii="Arial" w:cs="Arial" w:eastAsia="Arial" w:hAnsi="Arial"/>
          <w:sz w:val="17"/>
          <w:szCs w:val="17"/>
          <w:b w:val="1"/>
          <w:bCs w:val="1"/>
          <w:color w:val="auto"/>
        </w:rPr>
        <w:t xml:space="preserve"> </w:t>
      </w:r>
      <w:r>
        <w:rPr>
          <w:rFonts w:ascii="Arial" w:cs="Arial" w:eastAsia="Arial" w:hAnsi="Arial"/>
          <w:sz w:val="17"/>
          <w:szCs w:val="17"/>
          <w:color w:val="auto"/>
        </w:rPr>
        <w:t>root cause of the Defective Products is not determined), Client may elect (a) for WuXi Biologics to replace such Defective Products with an equal quantity of Product that is not Defective while only paying for the material cost of the new Products, or (b) to receive a refund of the Price for such Defective Products less raw materials and pass-through costs within [***] from the agreement of the Parties or the decision of the Independent Expert that the rejected Produces are Defective; or otherwise if any such Price was not paid during the dispute then WuXi Biologics will rescind any invoice previously issued for that Defective Product. If Client requests WuXi Biologics to replace the Defective Products, Client shall be responsible for [***] to WuXi Biologics, and WuXi Biologics shall replace such Defective Products as soon as reasonably possible [***] to Client. Notwithstanding the foregoing, should the Independent Expert find that the rejected Products are Defective due to Materials provided by or on behalf of Client or its Designated Vendors, then Client will be liable for paying for such Defective Products.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PRODUCT LICENSES</w:t>
      </w:r>
    </w:p>
    <w:p>
      <w:pPr>
        <w:spacing w:after="0" w:line="20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b w:val="1"/>
          <w:bCs w:val="1"/>
          <w:color w:val="auto"/>
        </w:rPr>
        <w:t>10.1 Product Licenses</w:t>
      </w:r>
      <w:r>
        <w:rPr>
          <w:rFonts w:ascii="Arial" w:cs="Arial" w:eastAsia="Arial" w:hAnsi="Arial"/>
          <w:sz w:val="17"/>
          <w:szCs w:val="17"/>
          <w:color w:val="auto"/>
        </w:rPr>
        <w:t>. Client shall, at its expense, obtain and maintain all necessary Product Licenses, and, subject to Section 10.2, hereby grants</w:t>
      </w:r>
      <w:r>
        <w:rPr>
          <w:rFonts w:ascii="Arial" w:cs="Arial" w:eastAsia="Arial" w:hAnsi="Arial"/>
          <w:sz w:val="17"/>
          <w:szCs w:val="17"/>
          <w:b w:val="1"/>
          <w:bCs w:val="1"/>
          <w:color w:val="auto"/>
        </w:rPr>
        <w:t xml:space="preserve"> </w:t>
      </w:r>
      <w:r>
        <w:rPr>
          <w:rFonts w:ascii="Arial" w:cs="Arial" w:eastAsia="Arial" w:hAnsi="Arial"/>
          <w:sz w:val="17"/>
          <w:szCs w:val="17"/>
          <w:color w:val="auto"/>
        </w:rPr>
        <w:t>to WuXi Biologics under such Product Licenses any and all rights and permissions necessary to conduct the Services agreed-upon in connection with this Agreement. Client shall be responsible for responding to all requests for information related to such Product Licenses made by, and for making all legally required filings relating to such Product Licenses with, any Regulatory Authority having jurisdiction to make such requests or require such filings. If any Product License held by Client relating directly to the Products is hereafter suspended or revoked, Client shall promptly notify WuXi Biologics of the event and shall promptly inform WuXi Biologics of the impact on Client’s purchases of the affected Product and Client’s general intentions with respect to the affected Product. WuXi Biologics shall provide all documents reasonably requested by Client for obtaining and maintaining Product Licenses, as well as responding to any suspension or revocation thereof. WuXi Biologics, at Client’s cost, shall provide ongoing support reasonably requested by Client with respect to obtaining and maintaining Product Licenses.</w:t>
      </w:r>
    </w:p>
    <w:p>
      <w:pPr>
        <w:spacing w:after="0" w:line="174"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10.2 WuXi Biologics Responsibility</w:t>
      </w:r>
      <w:r>
        <w:rPr>
          <w:rFonts w:ascii="Arial" w:cs="Arial" w:eastAsia="Arial" w:hAnsi="Arial"/>
          <w:sz w:val="18"/>
          <w:szCs w:val="18"/>
          <w:color w:val="auto"/>
        </w:rPr>
        <w:t>. WuXi Biologics shall, at its expense, obtain and maintain all necessary licenses and permits needed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its Manufacturing activities under this Agreement, including compliance with cGDP.</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CHANGES TO PRODUCT SPECIFICATIONS</w:t>
      </w:r>
    </w:p>
    <w:p>
      <w:pPr>
        <w:spacing w:after="0" w:line="207"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b w:val="1"/>
          <w:bCs w:val="1"/>
          <w:color w:val="auto"/>
        </w:rPr>
        <w:t>11.1 Changes by WuXi Biologics</w:t>
      </w:r>
      <w:r>
        <w:rPr>
          <w:rFonts w:ascii="Arial" w:cs="Arial" w:eastAsia="Arial" w:hAnsi="Arial"/>
          <w:sz w:val="17"/>
          <w:szCs w:val="17"/>
          <w:color w:val="auto"/>
        </w:rPr>
        <w:t>. Notwithstanding anything herein to the contrary, WuXi Biologics shall not amend, change or supplement any</w:t>
      </w:r>
      <w:r>
        <w:rPr>
          <w:rFonts w:ascii="Arial" w:cs="Arial" w:eastAsia="Arial" w:hAnsi="Arial"/>
          <w:sz w:val="17"/>
          <w:szCs w:val="17"/>
          <w:b w:val="1"/>
          <w:bCs w:val="1"/>
          <w:color w:val="auto"/>
        </w:rPr>
        <w:t xml:space="preserve"> </w:t>
      </w:r>
      <w:r>
        <w:rPr>
          <w:rFonts w:ascii="Arial" w:cs="Arial" w:eastAsia="Arial" w:hAnsi="Arial"/>
          <w:sz w:val="17"/>
          <w:szCs w:val="17"/>
          <w:color w:val="auto"/>
        </w:rPr>
        <w:t>of the following without the prior written consent of Client (which will not be unreasonably withheld, delayed, or conditions), except in accordance with the change control provisions set forth in the Quality Agreement: (a) the Specifications, (b) the Materials, (c) the source of Materials, (d) the specifications for Materials, (e) the Manufacturing Site or the equipment used in Manufacturing the Product, (f) the test methods used to test the Product or Materials, or (g) the process for Manufacturing the Products (each of the foregoing a “</w:t>
      </w:r>
      <w:r>
        <w:rPr>
          <w:rFonts w:ascii="Arial" w:cs="Arial" w:eastAsia="Arial" w:hAnsi="Arial"/>
          <w:sz w:val="17"/>
          <w:szCs w:val="17"/>
          <w:b w:val="1"/>
          <w:bCs w:val="1"/>
          <w:color w:val="auto"/>
        </w:rPr>
        <w:t>Technical Change</w:t>
      </w:r>
      <w:r>
        <w:rPr>
          <w:rFonts w:ascii="Arial" w:cs="Arial" w:eastAsia="Arial" w:hAnsi="Arial"/>
          <w:sz w:val="17"/>
          <w:szCs w:val="17"/>
          <w:color w:val="auto"/>
        </w:rPr>
        <w:t>”).</w:t>
      </w:r>
    </w:p>
    <w:p>
      <w:pPr>
        <w:spacing w:after="0" w:line="168" w:lineRule="exact"/>
        <w:rPr>
          <w:sz w:val="20"/>
          <w:szCs w:val="20"/>
          <w:color w:val="auto"/>
        </w:rPr>
      </w:pPr>
    </w:p>
    <w:p>
      <w:pPr>
        <w:ind w:right="300" w:firstLine="440"/>
        <w:spacing w:after="0" w:line="314" w:lineRule="auto"/>
        <w:rPr>
          <w:sz w:val="20"/>
          <w:szCs w:val="20"/>
          <w:color w:val="auto"/>
        </w:rPr>
      </w:pPr>
      <w:r>
        <w:rPr>
          <w:rFonts w:ascii="Arial" w:cs="Arial" w:eastAsia="Arial" w:hAnsi="Arial"/>
          <w:sz w:val="16"/>
          <w:szCs w:val="16"/>
          <w:b w:val="1"/>
          <w:bCs w:val="1"/>
          <w:color w:val="auto"/>
        </w:rPr>
        <w:t>11.2 Required Manufacturing Changes</w:t>
      </w:r>
      <w:r>
        <w:rPr>
          <w:rFonts w:ascii="Arial" w:cs="Arial" w:eastAsia="Arial" w:hAnsi="Arial"/>
          <w:sz w:val="16"/>
          <w:szCs w:val="16"/>
          <w:color w:val="auto"/>
        </w:rPr>
        <w:t>. Each Party shall notify the other Party of any Technical Change which is required by cGMPs or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(a “</w:t>
      </w:r>
      <w:r>
        <w:rPr>
          <w:rFonts w:ascii="Arial" w:cs="Arial" w:eastAsia="Arial" w:hAnsi="Arial"/>
          <w:sz w:val="16"/>
          <w:szCs w:val="16"/>
          <w:b w:val="1"/>
          <w:bCs w:val="1"/>
          <w:color w:val="auto"/>
        </w:rPr>
        <w:t>Required Manufacturing Change</w:t>
      </w:r>
      <w:r>
        <w:rPr>
          <w:rFonts w:ascii="Arial" w:cs="Arial" w:eastAsia="Arial" w:hAnsi="Arial"/>
          <w:sz w:val="16"/>
          <w:szCs w:val="16"/>
          <w:color w:val="auto"/>
        </w:rPr>
        <w:t>”). Upon approval by Client, WuXi Biologics shall use Commercially Reasonable Efforts to promptly implement Required Manufacturing Changes in accordance with the change control provisions set forth in the Quality Agreement.</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69" w:right="439" w:bottom="1440" w:gutter="0" w:footer="0" w:header="0"/>
        </w:sectPr>
      </w:pPr>
    </w:p>
    <w:bookmarkStart w:id="517" w:name="page518"/>
    <w:bookmarkEnd w:id="517"/>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Discretionary Changes</w:t>
      </w:r>
      <w:r>
        <w:rPr>
          <w:rFonts w:ascii="Arial" w:cs="Arial" w:eastAsia="Arial" w:hAnsi="Arial"/>
          <w:sz w:val="17"/>
          <w:szCs w:val="17"/>
          <w:color w:val="auto"/>
        </w:rPr>
        <w:t>. In the event that either Party desires to propose any Technical Change not required by cGMPs or other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Laws during the Term (a “</w:t>
      </w:r>
      <w:r>
        <w:rPr>
          <w:rFonts w:ascii="Arial" w:cs="Arial" w:eastAsia="Arial" w:hAnsi="Arial"/>
          <w:sz w:val="17"/>
          <w:szCs w:val="17"/>
          <w:b w:val="1"/>
          <w:bCs w:val="1"/>
          <w:color w:val="auto"/>
        </w:rPr>
        <w:t>Discretionary Manufacturing Change</w:t>
      </w:r>
      <w:r>
        <w:rPr>
          <w:rFonts w:ascii="Arial" w:cs="Arial" w:eastAsia="Arial" w:hAnsi="Arial"/>
          <w:sz w:val="17"/>
          <w:szCs w:val="17"/>
          <w:color w:val="auto"/>
        </w:rPr>
        <w:t>”), the Parties shall discuss such Discretionary Manufacturing Change and any Manufacturing issues identified by either Party in connection with implementing such change. In all cases, such Discretionary Manufacturing Change shall be made in accordance with the change control provisions set forth in the Quality Agreement. Notwithstanding the foregoing, in all cases, the Specifications may be amended or supplemented from time to time by Client, at Client’s cost, upon written notice to WuXi Biologics in accordance with any change control procedures in the Quality Agreement and at Client’s costs.</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11.4 Cost of Technical Changes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401"/>
        </w:numPr>
        <w:rPr>
          <w:rFonts w:ascii="Arial" w:cs="Arial" w:eastAsia="Arial" w:hAnsi="Arial"/>
          <w:sz w:val="16"/>
          <w:szCs w:val="16"/>
          <w:color w:val="auto"/>
        </w:rPr>
      </w:pPr>
      <w:r>
        <w:rPr>
          <w:rFonts w:ascii="Arial" w:cs="Arial" w:eastAsia="Arial" w:hAnsi="Arial"/>
          <w:sz w:val="16"/>
          <w:szCs w:val="16"/>
          <w:color w:val="auto"/>
        </w:rPr>
        <w:t>WuXi Biologics shall bear the costs of implementing Discretionary Manufacturing Changes proposed by WuXi Biologics that do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benefit Client;</w:t>
      </w:r>
    </w:p>
    <w:p>
      <w:pPr>
        <w:spacing w:after="0" w:line="210"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Client shall reimburse WuXi Biologics for its reasonable costs of implementing Discretionary Manufacturing Changes (i) proposed by Client; and (ii) proposed by WuXi Biologics that benefit Client, once Client approves thereof; and in connection therewith, the Parties shall discuss in good faith and agree to the amount of such costs prior to the commencement of such activities; or</w:t>
      </w:r>
    </w:p>
    <w:p>
      <w:pPr>
        <w:spacing w:after="0" w:line="183" w:lineRule="exact"/>
        <w:rPr>
          <w:rFonts w:ascii="Arial" w:cs="Arial" w:eastAsia="Arial" w:hAnsi="Arial"/>
          <w:sz w:val="18"/>
          <w:szCs w:val="18"/>
          <w:color w:val="auto"/>
        </w:rPr>
      </w:pPr>
    </w:p>
    <w:p>
      <w:pPr>
        <w:ind w:firstLine="987"/>
        <w:spacing w:after="0" w:line="254" w:lineRule="auto"/>
        <w:tabs>
          <w:tab w:leader="none" w:pos="1236" w:val="left"/>
        </w:tabs>
        <w:numPr>
          <w:ilvl w:val="0"/>
          <w:numId w:val="401"/>
        </w:numPr>
        <w:rPr>
          <w:rFonts w:ascii="Arial" w:cs="Arial" w:eastAsia="Arial" w:hAnsi="Arial"/>
          <w:sz w:val="18"/>
          <w:szCs w:val="18"/>
          <w:color w:val="auto"/>
        </w:rPr>
      </w:pPr>
      <w:r>
        <w:rPr>
          <w:rFonts w:ascii="Arial" w:cs="Arial" w:eastAsia="Arial" w:hAnsi="Arial"/>
          <w:sz w:val="18"/>
          <w:szCs w:val="18"/>
          <w:color w:val="auto"/>
        </w:rPr>
        <w:t>Client shall be responsible for reimbursing WuXi Biologics for a proportionate share of the reasonable costs based on the relative benefits of any Required Manufacturing Change with respect to the Product hereunder as compared to the benefits of such change to other products manufactured at the Manufacturing Site (taking into account the remaining duration of the Term), and in the event that the Parties disagree as to such proportionate share, the matter shall be resolved in accordance with Article 22; provided that the Parties shall discuss in good faith and agree to the amount of such costs to be reimbursed prior to the commencement of such activities. Without limiting the foregoing, if the Required Manufacturing Change relates to the general operations, procedures, and equipment not dedicated to Client’s Product(s) at the Manufacturing Site, WuXi Biologics will bear the cost. If the Required Manufacturing Change relates solely to the Product, Product Specifications, or the process of Manufacturing such Product, Client will bear the cost.</w:t>
      </w:r>
    </w:p>
    <w:p>
      <w:pPr>
        <w:spacing w:after="0" w:line="188" w:lineRule="exact"/>
        <w:rPr>
          <w:sz w:val="20"/>
          <w:szCs w:val="20"/>
          <w:color w:val="auto"/>
        </w:rPr>
      </w:pPr>
    </w:p>
    <w:p>
      <w:pPr>
        <w:ind w:right="120" w:firstLine="440"/>
        <w:spacing w:after="0" w:line="298" w:lineRule="auto"/>
        <w:rPr>
          <w:sz w:val="20"/>
          <w:szCs w:val="20"/>
          <w:color w:val="auto"/>
        </w:rPr>
      </w:pPr>
      <w:r>
        <w:rPr>
          <w:rFonts w:ascii="Arial" w:cs="Arial" w:eastAsia="Arial" w:hAnsi="Arial"/>
          <w:sz w:val="16"/>
          <w:szCs w:val="16"/>
          <w:b w:val="1"/>
          <w:bCs w:val="1"/>
          <w:color w:val="auto"/>
        </w:rPr>
        <w:t>11.5 Technical Change Implementation</w:t>
      </w:r>
      <w:r>
        <w:rPr>
          <w:rFonts w:ascii="Arial" w:cs="Arial" w:eastAsia="Arial" w:hAnsi="Arial"/>
          <w:sz w:val="16"/>
          <w:szCs w:val="16"/>
          <w:color w:val="auto"/>
        </w:rPr>
        <w:t>. All Technical Changes (including Required Manufacturing Changes and Discretionary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shall be implemented in accordance with Applicable Laws, cGMP and the Quality Agreement. Prior to implementation of any Technical Change, the Parties shall ensure that any implications on the quality of the Products has been considered and recorded, and the change is approved by the relevant Regulatory Authorities. WuXi Biologics shall provide Client with technical assistance, including through the provision of supporting documentation in order to permit Client to amend and file any relevant document required to be filed with a Regulatory Authority.</w:t>
      </w:r>
    </w:p>
    <w:p>
      <w:pPr>
        <w:spacing w:after="0" w:line="370"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u w:val="single" w:color="auto"/>
          <w:color w:val="auto"/>
        </w:rPr>
        <w:t>LABELING</w:t>
      </w:r>
    </w:p>
    <w:p>
      <w:pPr>
        <w:spacing w:after="0" w:line="207"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12.1 Labeling</w:t>
      </w:r>
      <w:r>
        <w:rPr>
          <w:rFonts w:ascii="Arial" w:cs="Arial" w:eastAsia="Arial" w:hAnsi="Arial"/>
          <w:sz w:val="18"/>
          <w:szCs w:val="18"/>
          <w:color w:val="auto"/>
        </w:rPr>
        <w:t>. Client shall provide WuXi Biologics with any labeling which Client requires to be included on the packaging for the Products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Client’s Labeling</w:t>
      </w:r>
      <w:r>
        <w:rPr>
          <w:rFonts w:ascii="Arial" w:cs="Arial" w:eastAsia="Arial" w:hAnsi="Arial"/>
          <w:sz w:val="18"/>
          <w:szCs w:val="18"/>
          <w:color w:val="auto"/>
        </w:rPr>
        <w:t>”). All Client’s Labeling shall be timely provided by Client to WuXi Biologics, in WuXi Biologics’ reasonable discretion unless otherwise specified in a Purchase Order, and in a form appropriate for Manufacture of the Products in accordance with cGMP, the Specifications and Applicable Laws.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69" w:right="479" w:bottom="1440" w:gutter="0" w:footer="0" w:header="0"/>
        </w:sectPr>
      </w:pPr>
    </w:p>
    <w:bookmarkStart w:id="518" w:name="page519"/>
    <w:bookmarkEnd w:id="518"/>
    <w:p>
      <w:pPr>
        <w:ind w:right="60" w:firstLine="440"/>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12.2 Responsibility for and Changes to Labeling</w:t>
      </w:r>
      <w:r>
        <w:rPr>
          <w:rFonts w:ascii="Arial" w:cs="Arial" w:eastAsia="Arial" w:hAnsi="Arial"/>
          <w:sz w:val="18"/>
          <w:szCs w:val="18"/>
          <w:color w:val="auto"/>
        </w:rPr>
        <w:t>. Client shall be responsible for the design of Client’s Labeling and for ensuring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labeling is accurate and complies with all Applicable Laws. In the event that Client requests a change to Client’s Labeling for any Product the Parties will mutually agree on the timing for the introduction of any such change. Client shall be responsible for obtaining approval from applicable Regulatory Authorities for any such change and shall bear all reasonable costs arising therefrom, including in respect of any write-off of Materials and work in progress; provided that the Parties shall use Commercially Reasonable Efforts to limit such costs. For clarity, this Section 12.2 shall be subject to provisions in the Quality Agreement covering the subject matter herein.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REGULATORY COMPLIANCE</w:t>
      </w:r>
    </w:p>
    <w:p>
      <w:pPr>
        <w:spacing w:after="0" w:line="207"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13.1 Maintenance of Permits</w:t>
      </w:r>
      <w:r>
        <w:rPr>
          <w:rFonts w:ascii="Arial" w:cs="Arial" w:eastAsia="Arial" w:hAnsi="Arial"/>
          <w:sz w:val="18"/>
          <w:szCs w:val="18"/>
          <w:color w:val="auto"/>
        </w:rPr>
        <w:t>. WuXi Biologics shall maintain all Manufacturing Licenses and other regulatory and governmental permits,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and approvals that may be necessary to Manufacture and supply Products.</w:t>
      </w:r>
    </w:p>
    <w:p>
      <w:pPr>
        <w:spacing w:after="0" w:line="162" w:lineRule="exact"/>
        <w:rPr>
          <w:sz w:val="20"/>
          <w:szCs w:val="20"/>
          <w:color w:val="auto"/>
        </w:rPr>
      </w:pPr>
    </w:p>
    <w:p>
      <w:pPr>
        <w:ind w:right="180" w:firstLine="440"/>
        <w:spacing w:after="0" w:line="261" w:lineRule="auto"/>
        <w:rPr>
          <w:sz w:val="20"/>
          <w:szCs w:val="20"/>
          <w:color w:val="auto"/>
        </w:rPr>
      </w:pPr>
      <w:r>
        <w:rPr>
          <w:rFonts w:ascii="Arial" w:cs="Arial" w:eastAsia="Arial" w:hAnsi="Arial"/>
          <w:sz w:val="18"/>
          <w:szCs w:val="18"/>
          <w:b w:val="1"/>
          <w:bCs w:val="1"/>
          <w:color w:val="auto"/>
        </w:rPr>
        <w:t>13.2 Notification of Adverse Manufacturing Activities</w:t>
      </w:r>
      <w:r>
        <w:rPr>
          <w:rFonts w:ascii="Arial" w:cs="Arial" w:eastAsia="Arial" w:hAnsi="Arial"/>
          <w:sz w:val="18"/>
          <w:szCs w:val="18"/>
          <w:color w:val="auto"/>
        </w:rPr>
        <w:t>. WuXi Biologics shall advise (as soon as reasonably practical after becoming aware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information) Client of any information arising out of its Manufacturing activities that has adverse regulatory compliance and/or reporting consequences concerning the Products. The Parties shall meet as soon as reasonably possible after such notification in order to resolve such adverse regulatory compliance and/or reporting consequences.</w:t>
      </w:r>
    </w:p>
    <w:p>
      <w:pPr>
        <w:spacing w:after="0" w:line="180"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13.3 Activities at the Manufacturing Site and Machinery Used to Manufacture Products</w:t>
      </w:r>
      <w:r>
        <w:rPr>
          <w:rFonts w:ascii="Arial" w:cs="Arial" w:eastAsia="Arial" w:hAnsi="Arial"/>
          <w:sz w:val="17"/>
          <w:szCs w:val="17"/>
          <w:color w:val="auto"/>
        </w:rPr>
        <w:t>. WuXi Biologics shall not carry out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at the Manufacturing Site that may prejudice the quality, safety or efficacy of the Products. WuXi Biologics agrees to disclose to Client as soon as reasonably practical after becoming aware of such information (and not less than [***] after identification), subject to WuXi Biologics’ confidentiality obligations to its other customers, the nature of any relevant products manufactured or packaged by WuXi Biologics for itself or Third Parties which use the same machinery as that used by WuXi Biologics for the Manufacture of the Products under this Agreement in order that WuXi Biologics and Client may identify any potential effects on quality, safety or efficacy of the Products which may result.</w:t>
      </w:r>
    </w:p>
    <w:p>
      <w:pPr>
        <w:spacing w:after="0" w:line="173"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13.4 Storage and Warehousing</w:t>
      </w:r>
      <w:r>
        <w:rPr>
          <w:rFonts w:ascii="Arial" w:cs="Arial" w:eastAsia="Arial" w:hAnsi="Arial"/>
          <w:sz w:val="17"/>
          <w:szCs w:val="17"/>
          <w:color w:val="auto"/>
        </w:rPr>
        <w:t>. WuXi Biologics shall at all times store and warehouse all Materials and Products in premises that are secure,</w:t>
      </w:r>
      <w:r>
        <w:rPr>
          <w:rFonts w:ascii="Arial" w:cs="Arial" w:eastAsia="Arial" w:hAnsi="Arial"/>
          <w:sz w:val="17"/>
          <w:szCs w:val="17"/>
          <w:b w:val="1"/>
          <w:bCs w:val="1"/>
          <w:color w:val="auto"/>
        </w:rPr>
        <w:t xml:space="preserve"> </w:t>
      </w:r>
      <w:r>
        <w:rPr>
          <w:rFonts w:ascii="Arial" w:cs="Arial" w:eastAsia="Arial" w:hAnsi="Arial"/>
          <w:sz w:val="17"/>
          <w:szCs w:val="17"/>
          <w:color w:val="auto"/>
        </w:rPr>
        <w:t>clean, compliant with the Specifications, Manufacturing Licenses and the Quality Agreement and such Products shall be physically separated from all other materials and products in WuXi Biologics’ possession. WuXi Biologics shall operate a warehousing system which identifies all Products according to type and status if appropriate. WuXi Biologics shall comply with any requirements of Client relating to the security of controlled drug substances. Client shall arrange for shipment and a carrier named by Client shall take delivery of such Products from WuXi Biologics’ storage site at Client’s own expense within [***] after the release of the Products at no charge for storage costs at the storage site. Client shall be charged a monthly storage fee if the carrier does not take delivery within the [***], and Client is responsible for purchasing insurance for the stored Products and Products transferred to the carrier. WuXi Biologics shall be responsible for the safe storage and handling of the Product until delivery to Client in accordance with the Delivery Terms. Client agrees that the commercial value and/or cost of replacement or remanufacture of any Products provided to WuXi Biologics for storage is a matter that, as between Client and WuXi Biologics, is within the sole and exclusive knowledge of Client. Client agrees that it is responsible to insure such items against damage or loss and shall purchase appropriate insurance to cover its Products stored in WuXi Biologics’ facilities. Client further agrees and acknowledges that under no circumstances shall WuXi Biologics be liable for loss or damage to any such items, in an amount that exceeds the aggregate fees paid to WuXi Biologics for storage services of such items. Transportation of Product by WuXi Biologics on behalf of Client shall be made at the sole risk and expense of Client, notwithstanding the use of any INCOTERMS delivery term on any waybill or other documentation relating to the transportation. WuXi Biologics shall not be liable for the actions or omission of any delivery services or carriers or freight forwarders.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69" w:right="459" w:bottom="1440" w:gutter="0" w:footer="0" w:header="0"/>
        </w:sectPr>
      </w:pPr>
    </w:p>
    <w:bookmarkStart w:id="519" w:name="page520"/>
    <w:bookmarkEnd w:id="519"/>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13.5 Requests from and Inspections by Regulatory Authorities</w:t>
      </w:r>
      <w:r>
        <w:rPr>
          <w:rFonts w:ascii="Arial" w:cs="Arial" w:eastAsia="Arial" w:hAnsi="Arial"/>
          <w:sz w:val="18"/>
          <w:szCs w:val="18"/>
          <w:color w:val="auto"/>
        </w:rPr>
        <w:t>. Provisions covering correspondence, interaction with and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to Regulatory Authorities, including inspections, are or will be set forth in the Quality Agreement.</w:t>
      </w:r>
    </w:p>
    <w:p>
      <w:pPr>
        <w:spacing w:after="0" w:line="162"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 xml:space="preserve">13.6 Debarment and Exclusion. </w:t>
      </w:r>
      <w:r>
        <w:rPr>
          <w:rFonts w:ascii="Arial" w:cs="Arial" w:eastAsia="Arial" w:hAnsi="Arial"/>
          <w:sz w:val="18"/>
          <w:szCs w:val="18"/>
          <w:color w:val="auto"/>
        </w:rPr>
        <w:t>Each Party represents and warrants that neither it, its subcontractors (including approved Affiliates), nor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corporation, partnership or association engaged in connection with activities under this Agreement, has ever been, is currently, nor during the Term hereunder, shall become:</w:t>
      </w:r>
    </w:p>
    <w:p>
      <w:pPr>
        <w:spacing w:after="0" w:line="72" w:lineRule="exact"/>
        <w:rPr>
          <w:sz w:val="20"/>
          <w:szCs w:val="20"/>
          <w:color w:val="auto"/>
        </w:rPr>
      </w:pPr>
    </w:p>
    <w:p>
      <w:pPr>
        <w:ind w:right="300" w:firstLine="987"/>
        <w:spacing w:after="0" w:line="308" w:lineRule="auto"/>
        <w:tabs>
          <w:tab w:leader="none" w:pos="12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disqualified or debarred by the FDA or other competent authorities for any purpose pursuant to Applicable Laws (including but not limited to United States law, including but not limited to the statutory debarment provisions at 21 U.S.C. § 335a(a) or (b));</w:t>
      </w:r>
    </w:p>
    <w:p>
      <w:pPr>
        <w:spacing w:after="0" w:line="146" w:lineRule="exact"/>
        <w:rPr>
          <w:rFonts w:ascii="Arial" w:cs="Arial" w:eastAsia="Arial" w:hAnsi="Arial"/>
          <w:sz w:val="17"/>
          <w:szCs w:val="17"/>
          <w:color w:val="auto"/>
        </w:rPr>
      </w:pPr>
    </w:p>
    <w:p>
      <w:pPr>
        <w:ind w:right="560" w:firstLine="987"/>
        <w:spacing w:after="0" w:line="277" w:lineRule="auto"/>
        <w:tabs>
          <w:tab w:leader="none" w:pos="1246" w:val="left"/>
        </w:tabs>
        <w:numPr>
          <w:ilvl w:val="0"/>
          <w:numId w:val="402"/>
        </w:numPr>
        <w:rPr>
          <w:rFonts w:ascii="Arial" w:cs="Arial" w:eastAsia="Arial" w:hAnsi="Arial"/>
          <w:sz w:val="18"/>
          <w:szCs w:val="18"/>
          <w:color w:val="auto"/>
        </w:rPr>
      </w:pPr>
      <w:r>
        <w:rPr>
          <w:rFonts w:ascii="Arial" w:cs="Arial" w:eastAsia="Arial" w:hAnsi="Arial"/>
          <w:sz w:val="18"/>
          <w:szCs w:val="18"/>
          <w:color w:val="auto"/>
        </w:rPr>
        <w:t>charged or convicted for conduct relating to the development or approval of, or otherwise relating to the regulation of, any drug product under any Applicable Laws; or</w:t>
      </w:r>
    </w:p>
    <w:p>
      <w:pPr>
        <w:spacing w:after="0" w:line="170" w:lineRule="exact"/>
        <w:rPr>
          <w:rFonts w:ascii="Arial" w:cs="Arial" w:eastAsia="Arial" w:hAnsi="Arial"/>
          <w:sz w:val="18"/>
          <w:szCs w:val="18"/>
          <w:color w:val="auto"/>
        </w:rPr>
      </w:pPr>
    </w:p>
    <w:p>
      <w:pPr>
        <w:ind w:right="240" w:firstLine="987"/>
        <w:spacing w:after="0" w:line="308" w:lineRule="auto"/>
        <w:tabs>
          <w:tab w:leader="none" w:pos="12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excluded or threatened with exclusion under state or federal laws, including under 42 U.S.C. § 1320a-7 or relevant regulations in 42 C.F.R. Part 1001, or assessed or threatened with assessment of civil money penalties pursuant to 42 U.S.C. Part 1003.</w:t>
      </w:r>
    </w:p>
    <w:p>
      <w:pPr>
        <w:spacing w:after="0" w:line="14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Each Party agrees to notify the other Party immediately, in the event that such Party or any of its officers, directors, employees, agents, or parties under contract to perform and work under this Agreement (i) becomes debarred, excluded or convicted, or (ii) receives notice of action with respect to its debarment, exclusion or conviction during the Term. Each Party hereby certifies that it has not utilized, and shall not utilize, in any capacity the services of any individual, corporation, partnership or association in the development of the Product or performance of activities related to this Agreement that has been (A) debarred, or to its knowledge has received notice of action with respect to debarment, under the Generic Drug Enforcement Act of 1992, 21 United States Code §335a(a) and (b), as amended or any foreign equivalent thereof, (B) excluded pursuant to 42 U.S.C. § 1320a-7 or relevant regulations in 42 C.F.R. Part 1001 or to its knowledge has received notice of exclusion or any foreign equivalent thereof or (C) otherwise convicted pursuant to (ii) above, or to its knowledge has received notice of conviction or any foreign equivalent thereof. In the event that either Party receives any notice of actions set forth in this Section 13.6 (with regard to the Party only, but not including an individual employee, officer, director, agent or subcontractor thereof), without limiting any other rights or remedies of the other Party, the other Party shall have the right to terminate this Agreement immediately pursuant to the provisions of this Agreement. Any termination by a Party pursuant to this Section 13.6 shall be deemed to be a termination by that Party for material breach of this Agreement by the other Party pursuant to Section 19.2.</w:t>
      </w:r>
    </w:p>
    <w:p>
      <w:pPr>
        <w:spacing w:after="0" w:line="16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7"/>
          <w:szCs w:val="17"/>
          <w:b w:val="1"/>
          <w:bCs w:val="1"/>
          <w:color w:val="auto"/>
        </w:rPr>
        <w:t>13.7 Handling of Materials; Wastes</w:t>
      </w:r>
      <w:r>
        <w:rPr>
          <w:rFonts w:ascii="Arial" w:cs="Arial" w:eastAsia="Arial" w:hAnsi="Arial"/>
          <w:sz w:val="17"/>
          <w:szCs w:val="17"/>
          <w:color w:val="auto"/>
        </w:rPr>
        <w:t>. WuXi Biologics shall inform its employees, contractors and other personnel of any known or reasonably</w:t>
      </w:r>
      <w:r>
        <w:rPr>
          <w:rFonts w:ascii="Arial" w:cs="Arial" w:eastAsia="Arial" w:hAnsi="Arial"/>
          <w:sz w:val="17"/>
          <w:szCs w:val="17"/>
          <w:b w:val="1"/>
          <w:bCs w:val="1"/>
          <w:color w:val="auto"/>
        </w:rPr>
        <w:t xml:space="preserve"> </w:t>
      </w:r>
      <w:r>
        <w:rPr>
          <w:rFonts w:ascii="Arial" w:cs="Arial" w:eastAsia="Arial" w:hAnsi="Arial"/>
          <w:sz w:val="17"/>
          <w:szCs w:val="17"/>
          <w:color w:val="auto"/>
        </w:rPr>
        <w:t>ascertainable chemical hazards associated with the Products or any wastes (including, Hazardous Materials) generated through performance of the Manufacturing of the Products, and to provide such persons with reasonable training in the proper methods of handling and disposing of such items. In addition, WuXi Biologics shall handle, accumulate, label, package, ship and dispose of all wastes (including, Hazardous Materials) generated through performance of the Manufacturing of the Products in accordance with all Applicable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69" w:right="479" w:bottom="1440" w:gutter="0" w:footer="0" w:header="0"/>
        </w:sectPr>
      </w:pPr>
    </w:p>
    <w:bookmarkStart w:id="520" w:name="page521"/>
    <w:bookmarkEnd w:id="520"/>
    <w:p>
      <w:pPr>
        <w:ind w:left="4"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13.8 Documentation for Regulatory Authority Requirements</w:t>
      </w:r>
      <w:r>
        <w:rPr>
          <w:rFonts w:ascii="Arial" w:cs="Arial" w:eastAsia="Arial" w:hAnsi="Arial"/>
          <w:sz w:val="18"/>
          <w:szCs w:val="18"/>
          <w:color w:val="auto"/>
        </w:rPr>
        <w:t>. WuXi Biologics shall maintain in accordance with and for the period specified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Quality Agreement (unless cGMP or Applicable Laws require a longer period), complete and accurate records relating to the Manufacture of the Products as it may be required to hold under such Applicable Laws. WuXi Biologics shall provide Client with such documentation promptly upon Client’s request.</w:t>
      </w:r>
    </w:p>
    <w:p>
      <w:pPr>
        <w:spacing w:after="0" w:line="180" w:lineRule="exact"/>
        <w:rPr>
          <w:sz w:val="20"/>
          <w:szCs w:val="20"/>
          <w:color w:val="auto"/>
        </w:rPr>
      </w:pPr>
    </w:p>
    <w:p>
      <w:pPr>
        <w:ind w:left="4" w:right="240" w:firstLine="440"/>
        <w:spacing w:after="0" w:line="266" w:lineRule="auto"/>
        <w:rPr>
          <w:sz w:val="20"/>
          <w:szCs w:val="20"/>
          <w:color w:val="auto"/>
        </w:rPr>
      </w:pPr>
      <w:r>
        <w:rPr>
          <w:rFonts w:ascii="Arial" w:cs="Arial" w:eastAsia="Arial" w:hAnsi="Arial"/>
          <w:sz w:val="18"/>
          <w:szCs w:val="18"/>
          <w:b w:val="1"/>
          <w:bCs w:val="1"/>
          <w:color w:val="auto"/>
        </w:rPr>
        <w:t>13.9 Assistance with Regulatory Filing</w:t>
      </w:r>
      <w:r>
        <w:rPr>
          <w:rFonts w:ascii="Arial" w:cs="Arial" w:eastAsia="Arial" w:hAnsi="Arial"/>
          <w:sz w:val="18"/>
          <w:szCs w:val="18"/>
          <w:color w:val="auto"/>
        </w:rPr>
        <w:t>. WuXi Biologics shall prepare and provide to Client, at agreed upon cost to Client, a report in English</w:t>
      </w:r>
      <w:r>
        <w:rPr>
          <w:rFonts w:ascii="Arial" w:cs="Arial" w:eastAsia="Arial" w:hAnsi="Arial"/>
          <w:sz w:val="18"/>
          <w:szCs w:val="18"/>
          <w:b w:val="1"/>
          <w:bCs w:val="1"/>
          <w:color w:val="auto"/>
        </w:rPr>
        <w:t xml:space="preserve"> </w:t>
      </w:r>
      <w:r>
        <w:rPr>
          <w:rFonts w:ascii="Arial" w:cs="Arial" w:eastAsia="Arial" w:hAnsi="Arial"/>
          <w:sz w:val="18"/>
          <w:szCs w:val="18"/>
          <w:color w:val="auto"/>
        </w:rPr>
        <w:t>describing the Manufacturing processes for the Products (including, without limitation, any changes to the analytical methods) for Client’s use in updating the CMC section of the applicable IND and/or NDA/BLA.</w:t>
      </w: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PRODUCT COMPLAINTS AND ADVERSE EVENTS</w:t>
      </w:r>
    </w:p>
    <w:p>
      <w:pPr>
        <w:spacing w:after="0" w:line="207"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b w:val="1"/>
          <w:bCs w:val="1"/>
          <w:color w:val="auto"/>
        </w:rPr>
        <w:t>14.1 Product Complaints, Adverse Events and Product Events</w:t>
      </w:r>
      <w:r>
        <w:rPr>
          <w:rFonts w:ascii="Arial" w:cs="Arial" w:eastAsia="Arial" w:hAnsi="Arial"/>
          <w:sz w:val="18"/>
          <w:szCs w:val="18"/>
          <w:color w:val="auto"/>
        </w:rPr>
        <w:t>. Provisions covering complaints or Adverse Events are set forth in the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Provisions covering voluntary and involuntary recalls, product withdrawals, field corrections, field alerts, or other related actions (“</w:t>
      </w:r>
      <w:r>
        <w:rPr>
          <w:rFonts w:ascii="Arial" w:cs="Arial" w:eastAsia="Arial" w:hAnsi="Arial"/>
          <w:sz w:val="18"/>
          <w:szCs w:val="18"/>
          <w:b w:val="1"/>
          <w:bCs w:val="1"/>
          <w:color w:val="auto"/>
        </w:rPr>
        <w:t>Product</w:t>
      </w:r>
      <w:r>
        <w:rPr>
          <w:rFonts w:ascii="Arial" w:cs="Arial" w:eastAsia="Arial" w:hAnsi="Arial"/>
          <w:sz w:val="18"/>
          <w:szCs w:val="18"/>
          <w:color w:val="auto"/>
        </w:rPr>
        <w:t xml:space="preserve"> </w:t>
      </w:r>
      <w:r>
        <w:rPr>
          <w:rFonts w:ascii="Arial" w:cs="Arial" w:eastAsia="Arial" w:hAnsi="Arial"/>
          <w:sz w:val="18"/>
          <w:szCs w:val="18"/>
          <w:b w:val="1"/>
          <w:bCs w:val="1"/>
          <w:color w:val="auto"/>
        </w:rPr>
        <w:t>Event</w:t>
      </w:r>
      <w:r>
        <w:rPr>
          <w:rFonts w:ascii="Arial" w:cs="Arial" w:eastAsia="Arial" w:hAnsi="Arial"/>
          <w:sz w:val="18"/>
          <w:szCs w:val="18"/>
          <w:color w:val="auto"/>
        </w:rPr>
        <w:t>”) of the Product are set forth in the Quality Agreement.</w:t>
      </w:r>
    </w:p>
    <w:p>
      <w:pPr>
        <w:spacing w:after="0" w:line="176"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14.2 Expenses Resulting from a Product Event</w:t>
      </w:r>
      <w:r>
        <w:rPr>
          <w:rFonts w:ascii="Arial" w:cs="Arial" w:eastAsia="Arial" w:hAnsi="Arial"/>
          <w:sz w:val="18"/>
          <w:szCs w:val="18"/>
          <w:color w:val="auto"/>
        </w:rPr>
        <w:t>. In the event that a Regulatory Authority requires, or Client decides to, initiate a Product Event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Product manufactured by WuXi Biologics under this Agreement, Client shall promptly notify WuXi Biologics. WuXi Biologics shall use Commercially Reasonable Efforts at Client’s expense to fully cooperate with Client in implementing the foregoing as Client or the Regulatory Authority may require. Notwithstanding the foregoing, to the extent a Product Event is primarily caused by, or otherwise arises primarily from, a Defect, WuXi Biologics shall be responsible for all costs and expenses arising from such Product Event. The Client agrees that it is otherwise responsible for all costs and expenses arising from such Product Event.</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CONFIDENTIALITY AND DATA PROTECTION</w:t>
      </w:r>
    </w:p>
    <w:p>
      <w:pPr>
        <w:spacing w:after="0" w:line="207"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7"/>
          <w:szCs w:val="17"/>
          <w:b w:val="1"/>
          <w:bCs w:val="1"/>
          <w:color w:val="auto"/>
        </w:rPr>
        <w:t>15.1 Non-Use, Non-Disclosure</w:t>
      </w:r>
      <w:r>
        <w:rPr>
          <w:rFonts w:ascii="Arial" w:cs="Arial" w:eastAsia="Arial" w:hAnsi="Arial"/>
          <w:sz w:val="17"/>
          <w:szCs w:val="17"/>
          <w:color w:val="auto"/>
        </w:rPr>
        <w:t>. WuXi Biologics shall use the Confidential Information of Client only for the purpose of Manufacturing the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hereunder. WuXi Biologics shall not, at any time (whether during this Agreement or after its termination) (a) use the Confidential Information of Client for WuXi Biologics’ own or any Third Party’s benefit or purposes, or (b), except as otherwise provided for herein, disclose, publish or make available all or any portion of the Confidential Information of Client to any Third Party, in each case of (a) and (b) without the prior written consent of Client. Client Background IP and Client Arising IP shall be considered the Confidential Information of Client.</w:t>
      </w:r>
    </w:p>
    <w:p>
      <w:pPr>
        <w:spacing w:after="0" w:line="168" w:lineRule="exact"/>
        <w:rPr>
          <w:sz w:val="20"/>
          <w:szCs w:val="20"/>
          <w:color w:val="auto"/>
        </w:rPr>
      </w:pPr>
    </w:p>
    <w:p>
      <w:pPr>
        <w:ind w:left="4" w:right="80" w:firstLine="440"/>
        <w:spacing w:after="0" w:line="284" w:lineRule="auto"/>
        <w:rPr>
          <w:sz w:val="20"/>
          <w:szCs w:val="20"/>
          <w:color w:val="auto"/>
        </w:rPr>
      </w:pPr>
      <w:r>
        <w:rPr>
          <w:rFonts w:ascii="Arial" w:cs="Arial" w:eastAsia="Arial" w:hAnsi="Arial"/>
          <w:sz w:val="16"/>
          <w:szCs w:val="16"/>
          <w:b w:val="1"/>
          <w:bCs w:val="1"/>
          <w:color w:val="auto"/>
        </w:rPr>
        <w:t>15.2 Standard of Care</w:t>
      </w:r>
      <w:r>
        <w:rPr>
          <w:rFonts w:ascii="Arial" w:cs="Arial" w:eastAsia="Arial" w:hAnsi="Arial"/>
          <w:sz w:val="16"/>
          <w:szCs w:val="16"/>
          <w:color w:val="auto"/>
        </w:rPr>
        <w:t>. Manufacturing performed under this Agreement shall take place in a secure area, and access to such area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obtained by key or keycard and access shall be limited on a need-to-access basis. In addition and without limiting the foregoing, WuXi Biologics shall maintain security practices (which include appropriate administrative, physical and technical safeguards, including underlying operating system and network security controls) designed to meet or exceed generally accepted industry practice (meaning those reasonably expected of a diligent provider providing services similar to WuXi Biologics when in possession of highly sensitive information belonging to its clients) and are designed to ensure the security, confidentiality and integrity of Confidential Information of Client). Such security practices shall include: (a) the security systems, computers and technologies, including firewalls and encryption, including the use of encryption and other secure technologies in connection with any and all Confidential Information of Client collected, stored and/or transmitted by WuXi Biologics, (b) physical security procedures, including regular monitoring of all secure areas, (c) all places where Confidential Information of Client is stored shall have restricted keycard, or restricted lock access,</w:t>
      </w:r>
    </w:p>
    <w:p>
      <w:pPr>
        <w:spacing w:after="0" w:line="3" w:lineRule="exact"/>
        <w:rPr>
          <w:sz w:val="20"/>
          <w:szCs w:val="20"/>
          <w:color w:val="auto"/>
        </w:rPr>
      </w:pPr>
    </w:p>
    <w:p>
      <w:pPr>
        <w:ind w:left="5424" w:right="1880" w:hanging="5424"/>
        <w:spacing w:after="0" w:line="433" w:lineRule="auto"/>
        <w:tabs>
          <w:tab w:leader="none" w:pos="261"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restriction of use and copying of Confidential Information of Client on a “need-to-know” basis (i.e., solely for the purposes 19</w:t>
      </w:r>
    </w:p>
    <w:p>
      <w:pPr>
        <w:sectPr>
          <w:pgSz w:w="11900" w:h="16838" w:orient="portrait"/>
          <w:cols w:equalWidth="0" w:num="1">
            <w:col w:w="11004"/>
          </w:cols>
          <w:pgMar w:left="436" w:top="269" w:right="459" w:bottom="1440" w:gutter="0" w:footer="0" w:header="0"/>
        </w:sectPr>
      </w:pPr>
    </w:p>
    <w:bookmarkStart w:id="521" w:name="page522"/>
    <w:bookmarkEnd w:id="521"/>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Services or performing WuXi Biologics’ obligations under this Agreement) will be in effect and permitted only at authorized locations, (e) the transport and storage of Confidential Information of Client are conducted in a secure manner, (f) industry accepted password procedures, (g) regular and random monitoring of WuXi Biologics personnel providing services in connection with this Agreement, and (h) strict control of the access to Confidential Information of Client. WuXi Biologics at all times shall be aware of the location and the number of all copies of Confidential Information of Client under its Control.</w:t>
      </w:r>
    </w:p>
    <w:p>
      <w:pPr>
        <w:spacing w:after="0" w:line="184"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b w:val="1"/>
          <w:bCs w:val="1"/>
          <w:color w:val="auto"/>
        </w:rPr>
        <w:t>15.3 Required Disclosures</w:t>
      </w:r>
      <w:r>
        <w:rPr>
          <w:rFonts w:ascii="Arial" w:cs="Arial" w:eastAsia="Arial" w:hAnsi="Arial"/>
          <w:sz w:val="17"/>
          <w:szCs w:val="17"/>
          <w:color w:val="auto"/>
        </w:rPr>
        <w:t>. The obligations of confidentiality, non-disclosure and non-use hereunder shall continue until the relevant Confidential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falls within the exceptions provided for in Section 15.4 hereof. Notwithstanding the foregoing, each Party shall be entitled to disclose the Confidential Information solely to the extent required by Applicable Law or order of a competent Governmental Authority on the condition that such Party provides the other Party with written notice that the other Party’s Confidential Information is required to be disclosed sufficiently in advance of the disclosure so as to provide the other Party with reasonable opportunity to seek to prevent the disclosure of, to limit the scope of disclosure of, or to obtain a protective order for, the Confidential Information potentially required to be disclosed; and provided further that each Party makes any such required disclosures in consultation with the other Party.</w:t>
      </w:r>
    </w:p>
    <w:p>
      <w:pPr>
        <w:spacing w:after="0" w:line="172" w:lineRule="exact"/>
        <w:rPr>
          <w:sz w:val="20"/>
          <w:szCs w:val="20"/>
          <w:color w:val="auto"/>
        </w:rPr>
      </w:pPr>
    </w:p>
    <w:p>
      <w:pPr>
        <w:ind w:right="180" w:firstLine="440"/>
        <w:spacing w:after="0" w:line="294" w:lineRule="auto"/>
        <w:rPr>
          <w:sz w:val="20"/>
          <w:szCs w:val="20"/>
          <w:color w:val="auto"/>
        </w:rPr>
      </w:pPr>
      <w:r>
        <w:rPr>
          <w:rFonts w:ascii="Arial" w:cs="Arial" w:eastAsia="Arial" w:hAnsi="Arial"/>
          <w:sz w:val="16"/>
          <w:szCs w:val="16"/>
          <w:b w:val="1"/>
          <w:bCs w:val="1"/>
          <w:color w:val="auto"/>
        </w:rPr>
        <w:t>15.4 Exclusions to Confidentiality</w:t>
      </w:r>
      <w:r>
        <w:rPr>
          <w:rFonts w:ascii="Arial" w:cs="Arial" w:eastAsia="Arial" w:hAnsi="Arial"/>
          <w:sz w:val="16"/>
          <w:szCs w:val="16"/>
          <w:color w:val="auto"/>
        </w:rPr>
        <w:t>. Information will not fall within the definition of Confidential Information and will not be confidential, and</w:t>
      </w:r>
      <w:r>
        <w:rPr>
          <w:rFonts w:ascii="Arial" w:cs="Arial" w:eastAsia="Arial" w:hAnsi="Arial"/>
          <w:sz w:val="16"/>
          <w:szCs w:val="16"/>
          <w:b w:val="1"/>
          <w:bCs w:val="1"/>
          <w:color w:val="auto"/>
        </w:rPr>
        <w:t xml:space="preserve"> </w:t>
      </w:r>
      <w:r>
        <w:rPr>
          <w:rFonts w:ascii="Arial" w:cs="Arial" w:eastAsia="Arial" w:hAnsi="Arial"/>
          <w:sz w:val="16"/>
          <w:szCs w:val="16"/>
          <w:color w:val="auto"/>
        </w:rPr>
        <w:t>neither Party shall have any obligation hereunder with respect to any such information that (a) is, at the time of disclosure or becomes after disclosure, general or public knowledge through no breach of this Agreement by the receiving Party; (b) was, at the time of disclosure by the disclosing Party, already known by the receiving Party, as established by written record; (c) is received by the receiving Party from a Third Party having the right to disclose same and who is not bound by a confidentiality agreement in favor of the disclosing Party; or (d) was developed by or on behalf of the receiving Party independent of and without reference to the disclosing Party’s Confidential Information, as established by written record.</w:t>
      </w:r>
    </w:p>
    <w:p>
      <w:pPr>
        <w:spacing w:after="0" w:line="160"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b w:val="1"/>
          <w:bCs w:val="1"/>
          <w:color w:val="auto"/>
        </w:rPr>
        <w:t>15.5 Notification</w:t>
      </w:r>
      <w:r>
        <w:rPr>
          <w:rFonts w:ascii="Arial" w:cs="Arial" w:eastAsia="Arial" w:hAnsi="Arial"/>
          <w:sz w:val="18"/>
          <w:szCs w:val="18"/>
          <w:color w:val="auto"/>
        </w:rPr>
        <w:t>. In the event a Party becomes aware or has knowledge of any unauthorized use or disclosure of Confidential Information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such Party shall promptly notify the other Party of such unauthorized use or disclosure and, thereafter, shall take all reasonable steps to assist the other Party in attempting to regain control of such Confidential Information if possible, and to minimize any potential or actual damages or losses resulting from such unauthorized use or disclosure.</w:t>
      </w:r>
    </w:p>
    <w:p>
      <w:pPr>
        <w:spacing w:after="0" w:line="180"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15.6 Return</w:t>
      </w:r>
      <w:r>
        <w:rPr>
          <w:rFonts w:ascii="Arial" w:cs="Arial" w:eastAsia="Arial" w:hAnsi="Arial"/>
          <w:sz w:val="16"/>
          <w:szCs w:val="16"/>
          <w:color w:val="auto"/>
        </w:rPr>
        <w:t>. Upon receipt of a written request from either Party, or upon expiration or termination of this Agreement, each Party shall promptly</w:t>
      </w:r>
      <w:r>
        <w:rPr>
          <w:rFonts w:ascii="Arial" w:cs="Arial" w:eastAsia="Arial" w:hAnsi="Arial"/>
          <w:sz w:val="16"/>
          <w:szCs w:val="16"/>
          <w:b w:val="1"/>
          <w:bCs w:val="1"/>
          <w:color w:val="auto"/>
        </w:rPr>
        <w:t xml:space="preserve"> </w:t>
      </w:r>
      <w:r>
        <w:rPr>
          <w:rFonts w:ascii="Arial" w:cs="Arial" w:eastAsia="Arial" w:hAnsi="Arial"/>
          <w:sz w:val="16"/>
          <w:szCs w:val="16"/>
          <w:color w:val="auto"/>
        </w:rPr>
        <w:t>return to the other Party all Confidential Information, including all reproductions and copies thereof together with all internal material and documents generated by the receiving Party containing Confidential Information, and all references thereto, of the other Party who disclosed it, and each Party shall delete all such Confidential Information and references thereto stored electronically (provided that neither Party shall be required to delete Confidential Information and references contained in any routine system back-ups, nor to delete any Confidential Information for the duration required for a Party to complete its obligations under Article 20). Notwithstanding the above, each Party may retain a single copy of any Confidential Information of the other Party as is reasonably necessary for regulatory or insurance purposes, subject to each Party’s obligations of confidentiality under this Agreement.</w:t>
      </w:r>
    </w:p>
    <w:p>
      <w:pPr>
        <w:spacing w:after="0" w:line="161"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b w:val="1"/>
          <w:bCs w:val="1"/>
          <w:color w:val="auto"/>
        </w:rPr>
        <w:t>15.7 WuXi Biologics Confidential Information</w:t>
      </w:r>
      <w:r>
        <w:rPr>
          <w:rFonts w:ascii="Arial" w:cs="Arial" w:eastAsia="Arial" w:hAnsi="Arial"/>
          <w:sz w:val="18"/>
          <w:szCs w:val="18"/>
          <w:color w:val="auto"/>
        </w:rPr>
        <w:t>. Client acknowledges it may receive Confidential Information from WuXi Biologics. Client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not use, and shall treat, such Confidential Information of WuXi Biologics in the same confidential manner as WuXi Biologics is obliged to treat Confidential Information of Client, </w:t>
      </w:r>
      <w:r>
        <w:rPr>
          <w:rFonts w:ascii="Arial" w:cs="Arial" w:eastAsia="Arial" w:hAnsi="Arial"/>
          <w:sz w:val="18"/>
          <w:szCs w:val="18"/>
          <w:i w:val="1"/>
          <w:iCs w:val="1"/>
          <w:color w:val="auto"/>
        </w:rPr>
        <w:t>mutatis mutandis</w:t>
      </w:r>
      <w:r>
        <w:rPr>
          <w:rFonts w:ascii="Arial" w:cs="Arial" w:eastAsia="Arial" w:hAnsi="Arial"/>
          <w:sz w:val="18"/>
          <w:szCs w:val="18"/>
          <w:color w:val="auto"/>
        </w:rPr>
        <w:t>, provided that (a) in lieu of Section 15.2, Client shall be obligated to use reasonable care not less than the care used to protect its own Confidential Information and (b) with respect to Section 15.3, Client may additionally disclose Confidential Information of WuXi Biologics as is required by Regulatory Authorities, or as is necessary to be included in regulatory filings or Product Licenses as required by a Regulatory Authority (</w:t>
      </w:r>
      <w:r>
        <w:rPr>
          <w:rFonts w:ascii="Arial" w:cs="Arial" w:eastAsia="Arial" w:hAnsi="Arial"/>
          <w:sz w:val="18"/>
          <w:szCs w:val="18"/>
          <w:i w:val="1"/>
          <w:iCs w:val="1"/>
          <w:color w:val="auto"/>
        </w:rPr>
        <w:t>e.g.</w:t>
      </w:r>
      <w:r>
        <w:rPr>
          <w:rFonts w:ascii="Arial" w:cs="Arial" w:eastAsia="Arial" w:hAnsi="Arial"/>
          <w:sz w:val="18"/>
          <w:szCs w:val="18"/>
          <w:color w:val="auto"/>
        </w:rPr>
        <w:t>, Drug Master Files).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3" w:right="459" w:bottom="1440" w:gutter="0" w:footer="0" w:header="0"/>
        </w:sectPr>
      </w:pPr>
    </w:p>
    <w:bookmarkStart w:id="522" w:name="page523"/>
    <w:bookmarkEnd w:id="522"/>
    <w:p>
      <w:pPr>
        <w:ind w:right="14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15.8 Public Announcements</w:t>
      </w:r>
      <w:r>
        <w:rPr>
          <w:rFonts w:ascii="Arial" w:cs="Arial" w:eastAsia="Arial" w:hAnsi="Arial"/>
          <w:sz w:val="18"/>
          <w:szCs w:val="18"/>
          <w:color w:val="auto"/>
        </w:rPr>
        <w:t>. Neither Party shall make any press or other public announcement concerning any aspect of this Agreement unless</w:t>
      </w:r>
      <w:r>
        <w:rPr>
          <w:rFonts w:ascii="Arial" w:cs="Arial" w:eastAsia="Arial" w:hAnsi="Arial"/>
          <w:sz w:val="18"/>
          <w:szCs w:val="18"/>
          <w:b w:val="1"/>
          <w:bCs w:val="1"/>
          <w:color w:val="auto"/>
        </w:rPr>
        <w:t xml:space="preserve"> </w:t>
      </w:r>
      <w:r>
        <w:rPr>
          <w:rFonts w:ascii="Arial" w:cs="Arial" w:eastAsia="Arial" w:hAnsi="Arial"/>
          <w:sz w:val="18"/>
          <w:szCs w:val="18"/>
          <w:color w:val="auto"/>
        </w:rPr>
        <w:t>the text of such announcement is first approved in writing by the Parties, unless otherwise required by Applicable Law to make such public announcement.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AUDIT AND INSPECTION RIGHTS</w:t>
      </w:r>
    </w:p>
    <w:p>
      <w:pPr>
        <w:spacing w:after="0" w:line="20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16.1 Regulatory Inspections</w:t>
      </w:r>
      <w:r>
        <w:rPr>
          <w:rFonts w:ascii="Arial" w:cs="Arial" w:eastAsia="Arial" w:hAnsi="Arial"/>
          <w:sz w:val="17"/>
          <w:szCs w:val="17"/>
          <w:color w:val="auto"/>
        </w:rPr>
        <w:t>. WuXi Biologics will permit audit and/or inspections by Regulatory Authorities of any applicable country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Manufacturing of the applicable Product, and will permit Client or its agents to be present and participate in any visit or inspection by any Regulatory Authority of the Manufacturing Site (to the extent it relates in any way to any Product) or the Manufacturing process. Each Party agrees to provide the other Party as much advance notice as possible if notified in advance of any such visit or inspection. Each Party will provide the other Party with a copy of any report or other written communication received from such Regulatory Authority in connection with such visit or inspection, and any written communication received from any Regulatory Authority relating to any Product, the Manufacturing Site (if it relates to or affects the development and/or Manufacture of Product) or the Manufacturing process, within [***] after receipt, and will consult with, and require approval from, the other Party before responding to each such communication. Each Party will provide the other Party with a copy of its final responses within [***] after submission. For avoidance of doubt, Client will pay WuXi Biologics a reasonable [***] fee to cover the cost of regulatory inspection or audits exceeding [***] audit per year from Client.</w:t>
      </w:r>
    </w:p>
    <w:p>
      <w:pPr>
        <w:spacing w:after="0" w:line="177" w:lineRule="exact"/>
        <w:rPr>
          <w:sz w:val="20"/>
          <w:szCs w:val="20"/>
          <w:color w:val="auto"/>
        </w:rPr>
      </w:pPr>
    </w:p>
    <w:p>
      <w:pPr>
        <w:ind w:right="1020" w:firstLine="440"/>
        <w:spacing w:after="0" w:line="312" w:lineRule="auto"/>
        <w:rPr>
          <w:sz w:val="20"/>
          <w:szCs w:val="20"/>
          <w:color w:val="auto"/>
        </w:rPr>
      </w:pPr>
      <w:r>
        <w:rPr>
          <w:rFonts w:ascii="Arial" w:cs="Arial" w:eastAsia="Arial" w:hAnsi="Arial"/>
          <w:sz w:val="17"/>
          <w:szCs w:val="17"/>
          <w:b w:val="1"/>
          <w:bCs w:val="1"/>
          <w:color w:val="auto"/>
        </w:rPr>
        <w:t>16.2 Additional Provisions</w:t>
      </w:r>
      <w:r>
        <w:rPr>
          <w:rFonts w:ascii="Arial" w:cs="Arial" w:eastAsia="Arial" w:hAnsi="Arial"/>
          <w:sz w:val="17"/>
          <w:szCs w:val="17"/>
          <w:color w:val="auto"/>
        </w:rPr>
        <w:t>. Additional provisions covering inspections and audits of WuXi Biologics, including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Site, whether by Client or a Regulatory Authority, are or will be set forth in the Quality Agreement.</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WARRANTIES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17.1 Mutual Representations and Warranties</w:t>
      </w:r>
      <w:r>
        <w:rPr>
          <w:rFonts w:ascii="Arial" w:cs="Arial" w:eastAsia="Arial" w:hAnsi="Arial"/>
          <w:sz w:val="18"/>
          <w:szCs w:val="18"/>
          <w:color w:val="auto"/>
        </w:rPr>
        <w:t>. Client and WuXi Biologics each represent and warrant to the other that:</w:t>
      </w:r>
    </w:p>
    <w:p>
      <w:pPr>
        <w:spacing w:after="0" w:line="117" w:lineRule="exact"/>
        <w:rPr>
          <w:sz w:val="20"/>
          <w:szCs w:val="20"/>
          <w:color w:val="auto"/>
        </w:rPr>
      </w:pPr>
    </w:p>
    <w:p>
      <w:pPr>
        <w:ind w:firstLine="987"/>
        <w:spacing w:after="0" w:line="282" w:lineRule="auto"/>
        <w:tabs>
          <w:tab w:leader="none" w:pos="1236"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Organization and Authority</w:t>
      </w:r>
      <w:r>
        <w:rPr>
          <w:rFonts w:ascii="Arial" w:cs="Arial" w:eastAsia="Arial" w:hAnsi="Arial"/>
          <w:sz w:val="18"/>
          <w:szCs w:val="18"/>
          <w:color w:val="auto"/>
        </w:rPr>
        <w:t>. It has full corporate right, power and authority to enter into this Agreement and to perform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this Agreement;</w:t>
      </w:r>
    </w:p>
    <w:p>
      <w:pPr>
        <w:spacing w:after="0" w:line="161" w:lineRule="exact"/>
        <w:rPr>
          <w:rFonts w:ascii="Arial" w:cs="Arial" w:eastAsia="Arial" w:hAnsi="Arial"/>
          <w:sz w:val="18"/>
          <w:szCs w:val="18"/>
          <w:color w:val="auto"/>
        </w:rPr>
      </w:pPr>
    </w:p>
    <w:p>
      <w:pPr>
        <w:ind w:right="40" w:firstLine="987"/>
        <w:spacing w:after="0" w:line="314" w:lineRule="auto"/>
        <w:tabs>
          <w:tab w:leader="none" w:pos="1246" w:val="left"/>
        </w:tabs>
        <w:numPr>
          <w:ilvl w:val="0"/>
          <w:numId w:val="404"/>
        </w:numPr>
        <w:rPr>
          <w:rFonts w:ascii="Arial" w:cs="Arial" w:eastAsia="Arial" w:hAnsi="Arial"/>
          <w:sz w:val="16"/>
          <w:szCs w:val="16"/>
          <w:color w:val="auto"/>
        </w:rPr>
      </w:pPr>
      <w:r>
        <w:rPr>
          <w:rFonts w:ascii="Arial" w:cs="Arial" w:eastAsia="Arial" w:hAnsi="Arial"/>
          <w:sz w:val="16"/>
          <w:szCs w:val="16"/>
          <w:b w:val="1"/>
          <w:bCs w:val="1"/>
          <w:color w:val="auto"/>
        </w:rPr>
        <w:t>No Conflicts or Violations</w:t>
      </w:r>
      <w:r>
        <w:rPr>
          <w:rFonts w:ascii="Arial" w:cs="Arial" w:eastAsia="Arial" w:hAnsi="Arial"/>
          <w:sz w:val="16"/>
          <w:szCs w:val="16"/>
          <w:color w:val="auto"/>
        </w:rPr>
        <w:t>. The execution and delivery of this Agreement and the performance of the obligations hereunder (i) do not</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 with or violate any requirement of Applicable Laws existing as of the Effective Date and applicable to it and (ii) do not conflict with, violate, breach or constitute a default under, and are not prohibited or materially restricted by, any contractual obligations existing as of the Effective Date; and</w:t>
      </w:r>
    </w:p>
    <w:p>
      <w:pPr>
        <w:spacing w:after="0" w:line="141" w:lineRule="exact"/>
        <w:rPr>
          <w:rFonts w:ascii="Arial" w:cs="Arial" w:eastAsia="Arial" w:hAnsi="Arial"/>
          <w:sz w:val="16"/>
          <w:szCs w:val="16"/>
          <w:color w:val="auto"/>
        </w:rPr>
      </w:pPr>
    </w:p>
    <w:p>
      <w:pPr>
        <w:ind w:right="140" w:firstLine="987"/>
        <w:spacing w:after="0" w:line="266" w:lineRule="auto"/>
        <w:tabs>
          <w:tab w:leader="none" w:pos="1236"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Valid Execution</w:t>
      </w:r>
      <w:r>
        <w:rPr>
          <w:rFonts w:ascii="Arial" w:cs="Arial" w:eastAsia="Arial" w:hAnsi="Arial"/>
          <w:sz w:val="18"/>
          <w:szCs w:val="18"/>
          <w:color w:val="auto"/>
        </w:rPr>
        <w:t>. It is duly authorized, by all requisite corporate action, to execute and deliver this Agreement and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and performance of this Agreement does not require any shareholder action or approval or the approval or consent of any Third Party, and the person executing this Agreement on behalf of it is duly authorized to do so by all requisite corporate action.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69" w:right="479" w:bottom="1440" w:gutter="0" w:footer="0" w:header="0"/>
        </w:sectPr>
      </w:pPr>
    </w:p>
    <w:bookmarkStart w:id="523" w:name="page524"/>
    <w:bookmarkEnd w:id="523"/>
    <w:p>
      <w:pPr>
        <w:ind w:left="4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17.2 WuXi Biologics Representations and Warranties for the Product</w:t>
      </w:r>
      <w:r>
        <w:rPr>
          <w:rFonts w:ascii="Arial" w:cs="Arial" w:eastAsia="Arial" w:hAnsi="Arial"/>
          <w:sz w:val="17"/>
          <w:szCs w:val="17"/>
          <w:color w:val="auto"/>
        </w:rPr>
        <w:t>. WuXi Biologics represents and warrants to Client that, as of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99" w:lineRule="exact"/>
        <w:rPr>
          <w:sz w:val="20"/>
          <w:szCs w:val="20"/>
          <w:color w:val="auto"/>
        </w:rPr>
      </w:pPr>
    </w:p>
    <w:p>
      <w:pPr>
        <w:ind w:right="320" w:firstLine="987"/>
        <w:spacing w:after="0" w:line="282" w:lineRule="auto"/>
        <w:tabs>
          <w:tab w:leader="none" w:pos="123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Conformance with Specifications</w:t>
      </w:r>
      <w:r>
        <w:rPr>
          <w:rFonts w:ascii="Arial" w:cs="Arial" w:eastAsia="Arial" w:hAnsi="Arial"/>
          <w:sz w:val="18"/>
          <w:szCs w:val="18"/>
          <w:color w:val="auto"/>
        </w:rPr>
        <w:t>. Except with respect to occurrences that affect or alter the Product after it has been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Delivery Terms, the Product supplied under this Agreement shall conform to the Specifications;</w:t>
      </w:r>
    </w:p>
    <w:p>
      <w:pPr>
        <w:spacing w:after="0" w:line="161" w:lineRule="exact"/>
        <w:rPr>
          <w:rFonts w:ascii="Arial" w:cs="Arial" w:eastAsia="Arial" w:hAnsi="Arial"/>
          <w:sz w:val="18"/>
          <w:szCs w:val="18"/>
          <w:color w:val="auto"/>
        </w:rPr>
      </w:pPr>
    </w:p>
    <w:p>
      <w:pPr>
        <w:ind w:right="260" w:firstLine="987"/>
        <w:spacing w:after="0" w:line="289" w:lineRule="auto"/>
        <w:tabs>
          <w:tab w:leader="none" w:pos="1246"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Conformance with Labeling Instructions and Free from Defects</w:t>
      </w:r>
      <w:r>
        <w:rPr>
          <w:rFonts w:ascii="Arial" w:cs="Arial" w:eastAsia="Arial" w:hAnsi="Arial"/>
          <w:sz w:val="17"/>
          <w:szCs w:val="17"/>
          <w:color w:val="auto"/>
        </w:rPr>
        <w:t>. All Product shall be Manufactured in accordance with Client’s</w:t>
      </w:r>
      <w:r>
        <w:rPr>
          <w:rFonts w:ascii="Arial" w:cs="Arial" w:eastAsia="Arial" w:hAnsi="Arial"/>
          <w:sz w:val="17"/>
          <w:szCs w:val="17"/>
          <w:b w:val="1"/>
          <w:bCs w:val="1"/>
          <w:color w:val="auto"/>
        </w:rPr>
        <w:t xml:space="preserve"> </w:t>
      </w:r>
      <w:r>
        <w:rPr>
          <w:rFonts w:ascii="Arial" w:cs="Arial" w:eastAsia="Arial" w:hAnsi="Arial"/>
          <w:sz w:val="17"/>
          <w:szCs w:val="17"/>
          <w:color w:val="auto"/>
        </w:rPr>
        <w:t>Labeling, shall be free from material defects in the Materials and workmanship of the Product and shall not be adulterated or misbranded within the meaning of the Federal Food, Drug, and Cosmetic Act (the “</w:t>
      </w:r>
      <w:r>
        <w:rPr>
          <w:rFonts w:ascii="Arial" w:cs="Arial" w:eastAsia="Arial" w:hAnsi="Arial"/>
          <w:sz w:val="17"/>
          <w:szCs w:val="17"/>
          <w:b w:val="1"/>
          <w:bCs w:val="1"/>
          <w:color w:val="auto"/>
        </w:rPr>
        <w:t>Act</w:t>
      </w:r>
      <w:r>
        <w:rPr>
          <w:rFonts w:ascii="Arial" w:cs="Arial" w:eastAsia="Arial" w:hAnsi="Arial"/>
          <w:sz w:val="17"/>
          <w:szCs w:val="17"/>
          <w:color w:val="auto"/>
        </w:rPr>
        <w:t>”) or any equivalent law in another jurisdiction;</w:t>
      </w:r>
    </w:p>
    <w:p>
      <w:pPr>
        <w:spacing w:after="0" w:line="157" w:lineRule="exact"/>
        <w:rPr>
          <w:rFonts w:ascii="Arial" w:cs="Arial" w:eastAsia="Arial" w:hAnsi="Arial"/>
          <w:sz w:val="17"/>
          <w:szCs w:val="17"/>
          <w:color w:val="auto"/>
        </w:rPr>
      </w:pPr>
    </w:p>
    <w:p>
      <w:pPr>
        <w:ind w:right="160" w:firstLine="987"/>
        <w:spacing w:after="0" w:line="282" w:lineRule="auto"/>
        <w:tabs>
          <w:tab w:leader="none" w:pos="123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Manufacture of the Product</w:t>
      </w:r>
      <w:r>
        <w:rPr>
          <w:rFonts w:ascii="Arial" w:cs="Arial" w:eastAsia="Arial" w:hAnsi="Arial"/>
          <w:sz w:val="18"/>
          <w:szCs w:val="18"/>
          <w:color w:val="auto"/>
        </w:rPr>
        <w:t>. The Product shall be Manufactured in accordance with cGMP, the Manufacturing License,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the Quality Agreement;</w:t>
      </w:r>
    </w:p>
    <w:p>
      <w:pPr>
        <w:spacing w:after="0" w:line="161" w:lineRule="exact"/>
        <w:rPr>
          <w:rFonts w:ascii="Arial" w:cs="Arial" w:eastAsia="Arial" w:hAnsi="Arial"/>
          <w:sz w:val="18"/>
          <w:szCs w:val="18"/>
          <w:color w:val="auto"/>
        </w:rPr>
      </w:pPr>
    </w:p>
    <w:p>
      <w:pPr>
        <w:ind w:right="640" w:firstLine="987"/>
        <w:spacing w:after="0" w:line="282" w:lineRule="auto"/>
        <w:tabs>
          <w:tab w:leader="none" w:pos="124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Shelf-Life</w:t>
      </w:r>
      <w:r>
        <w:rPr>
          <w:rFonts w:ascii="Arial" w:cs="Arial" w:eastAsia="Arial" w:hAnsi="Arial"/>
          <w:sz w:val="18"/>
          <w:szCs w:val="18"/>
          <w:color w:val="auto"/>
        </w:rPr>
        <w:t>. All Product shipped shall have a shelf-life at the date of release of the Products from the Manufacturing Site under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13.4 of at least the minimum shelf life to be agreed in writing between the Parties;</w:t>
      </w:r>
    </w:p>
    <w:p>
      <w:pPr>
        <w:spacing w:after="0" w:line="161" w:lineRule="exact"/>
        <w:rPr>
          <w:rFonts w:ascii="Arial" w:cs="Arial" w:eastAsia="Arial" w:hAnsi="Arial"/>
          <w:sz w:val="18"/>
          <w:szCs w:val="18"/>
          <w:color w:val="auto"/>
        </w:rPr>
      </w:pPr>
    </w:p>
    <w:p>
      <w:pPr>
        <w:ind w:right="240" w:firstLine="987"/>
        <w:spacing w:after="0" w:line="282" w:lineRule="auto"/>
        <w:tabs>
          <w:tab w:leader="none" w:pos="123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Provision of Information</w:t>
      </w:r>
      <w:r>
        <w:rPr>
          <w:rFonts w:ascii="Arial" w:cs="Arial" w:eastAsia="Arial" w:hAnsi="Arial"/>
          <w:sz w:val="18"/>
          <w:szCs w:val="18"/>
          <w:color w:val="auto"/>
        </w:rPr>
        <w:t>. It has provided and shall provide to Client all pertinent information in its possession relative to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environmental and human health hazards involving the Product;</w:t>
      </w:r>
    </w:p>
    <w:p>
      <w:pPr>
        <w:spacing w:after="0" w:line="161" w:lineRule="exact"/>
        <w:rPr>
          <w:rFonts w:ascii="Arial" w:cs="Arial" w:eastAsia="Arial" w:hAnsi="Arial"/>
          <w:sz w:val="18"/>
          <w:szCs w:val="18"/>
          <w:color w:val="auto"/>
        </w:rPr>
      </w:pPr>
    </w:p>
    <w:p>
      <w:pPr>
        <w:ind w:right="80" w:firstLine="987"/>
        <w:spacing w:after="0" w:line="282" w:lineRule="auto"/>
        <w:tabs>
          <w:tab w:leader="none" w:pos="121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Good Title, No Encumbrances</w:t>
      </w:r>
      <w:r>
        <w:rPr>
          <w:rFonts w:ascii="Arial" w:cs="Arial" w:eastAsia="Arial" w:hAnsi="Arial"/>
          <w:sz w:val="18"/>
          <w:szCs w:val="18"/>
          <w:color w:val="auto"/>
        </w:rPr>
        <w:t>. It will convey good title to the Product supplied under this Agreement, free from any lawful security,</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lien or encumbrances;</w:t>
      </w:r>
    </w:p>
    <w:p>
      <w:pPr>
        <w:spacing w:after="0" w:line="161" w:lineRule="exact"/>
        <w:rPr>
          <w:rFonts w:ascii="Arial" w:cs="Arial" w:eastAsia="Arial" w:hAnsi="Arial"/>
          <w:sz w:val="18"/>
          <w:szCs w:val="18"/>
          <w:color w:val="auto"/>
        </w:rPr>
      </w:pPr>
    </w:p>
    <w:p>
      <w:pPr>
        <w:ind w:right="120" w:firstLine="987"/>
        <w:spacing w:after="0" w:line="261" w:lineRule="auto"/>
        <w:tabs>
          <w:tab w:leader="none" w:pos="1246"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Right to WuXi Biologics Background IP</w:t>
      </w:r>
      <w:r>
        <w:rPr>
          <w:rFonts w:ascii="Arial" w:cs="Arial" w:eastAsia="Arial" w:hAnsi="Arial"/>
          <w:sz w:val="18"/>
          <w:szCs w:val="18"/>
          <w:color w:val="auto"/>
        </w:rPr>
        <w:t>. It has the title and/or right to any and all WuXi Biologics Background IP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Manufacture the Product in accordance with this Agreement; and the Manufacture of the Product by WuXi Biologics or its Affiliates will not infringe the Intellectual Property or any other rights of any Third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any infringement is not due in any way to Materials provided by Client or its Designated Vendors, or any manufacturing process specified by Client;</w:t>
      </w:r>
    </w:p>
    <w:p>
      <w:pPr>
        <w:spacing w:after="0" w:line="179" w:lineRule="exact"/>
        <w:rPr>
          <w:rFonts w:ascii="Arial" w:cs="Arial" w:eastAsia="Arial" w:hAnsi="Arial"/>
          <w:sz w:val="18"/>
          <w:szCs w:val="18"/>
          <w:color w:val="auto"/>
        </w:rPr>
      </w:pPr>
    </w:p>
    <w:p>
      <w:pPr>
        <w:ind w:firstLine="987"/>
        <w:spacing w:after="0" w:line="277" w:lineRule="auto"/>
        <w:tabs>
          <w:tab w:leader="none" w:pos="1246" w:val="left"/>
        </w:tabs>
        <w:numPr>
          <w:ilvl w:val="0"/>
          <w:numId w:val="405"/>
        </w:numPr>
        <w:rPr>
          <w:rFonts w:ascii="Arial" w:cs="Arial" w:eastAsia="Arial" w:hAnsi="Arial"/>
          <w:sz w:val="17"/>
          <w:szCs w:val="17"/>
          <w:color w:val="auto"/>
        </w:rPr>
      </w:pPr>
      <w:r>
        <w:rPr>
          <w:rFonts w:ascii="Arial" w:cs="Arial" w:eastAsia="Arial" w:hAnsi="Arial"/>
          <w:sz w:val="17"/>
          <w:szCs w:val="17"/>
          <w:b w:val="1"/>
          <w:bCs w:val="1"/>
          <w:color w:val="auto"/>
        </w:rPr>
        <w:t>Bribery</w:t>
      </w:r>
      <w:r>
        <w:rPr>
          <w:rFonts w:ascii="Arial" w:cs="Arial" w:eastAsia="Arial" w:hAnsi="Arial"/>
          <w:sz w:val="17"/>
          <w:szCs w:val="17"/>
          <w:color w:val="auto"/>
        </w:rPr>
        <w:t>. It will neither offer to give nor give money or gifts to Client employees or members of their families in exchange for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from Client. In addition, it will not take or permit any action, including paying or transferring anything of value, directly or indirectly, to any official or other person to influence any decision to obtain or retain business or gain an advantage in the conduct of business, or to induce such official or other person to perform a function in violation of any Applicable Laws, that will either constitute a violation under, or cause Client to be in violation of, the provisions of the Foreign Corrupt Practices Act or applicable local bribery and corruption Applicable Laws.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17.3 Client Representations and Warranties</w:t>
      </w:r>
      <w:r>
        <w:rPr>
          <w:rFonts w:ascii="Arial" w:cs="Arial" w:eastAsia="Arial" w:hAnsi="Arial"/>
          <w:sz w:val="18"/>
          <w:szCs w:val="18"/>
          <w:color w:val="auto"/>
        </w:rPr>
        <w:t>. Client represents and warrants to WuXi Biologics that, as of the Effective Date:</w:t>
      </w:r>
    </w:p>
    <w:p>
      <w:pPr>
        <w:spacing w:after="0" w:line="117" w:lineRule="exact"/>
        <w:rPr>
          <w:sz w:val="20"/>
          <w:szCs w:val="20"/>
          <w:color w:val="auto"/>
        </w:rPr>
      </w:pPr>
    </w:p>
    <w:p>
      <w:pPr>
        <w:ind w:left="1240" w:hanging="253"/>
        <w:spacing w:after="0"/>
        <w:tabs>
          <w:tab w:leader="none" w:pos="1240"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Product Licenses</w:t>
      </w:r>
      <w:r>
        <w:rPr>
          <w:rFonts w:ascii="Arial" w:cs="Arial" w:eastAsia="Arial" w:hAnsi="Arial"/>
          <w:sz w:val="18"/>
          <w:szCs w:val="18"/>
          <w:color w:val="auto"/>
        </w:rPr>
        <w:t>. It holds all necessary Product Licenses with respect to the Products.</w:t>
      </w:r>
    </w:p>
    <w:p>
      <w:pPr>
        <w:spacing w:after="0" w:line="225" w:lineRule="exact"/>
        <w:rPr>
          <w:rFonts w:ascii="Arial" w:cs="Arial" w:eastAsia="Arial" w:hAnsi="Arial"/>
          <w:sz w:val="18"/>
          <w:szCs w:val="18"/>
          <w:color w:val="auto"/>
        </w:rPr>
      </w:pPr>
    </w:p>
    <w:p>
      <w:pPr>
        <w:ind w:firstLine="987"/>
        <w:spacing w:after="0" w:line="258" w:lineRule="auto"/>
        <w:tabs>
          <w:tab w:leader="none" w:pos="1246"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Right to Client Background IP</w:t>
      </w:r>
      <w:r>
        <w:rPr>
          <w:rFonts w:ascii="Arial" w:cs="Arial" w:eastAsia="Arial" w:hAnsi="Arial"/>
          <w:sz w:val="18"/>
          <w:szCs w:val="18"/>
          <w:color w:val="auto"/>
        </w:rPr>
        <w:t>. It has the title and/or right to any and all Client Background IP licensed to WuXi Biologics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Agreement for the Manufacture of the Products, and further has the title and/or right to grant WuXi Biologics the right to use such Intellectual Property in accordance with the terms of this Agreement. The use by WuXi Biologics or its Affiliates of Client Background IP in strict accordance with this Agreement (including all Specifications and Materials provided by or on behalf of Client) will not infringe the Intellectual Property or any other rights of any Third Party.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69" w:right="479" w:bottom="1440" w:gutter="0" w:footer="0" w:header="0"/>
        </w:sectPr>
      </w:pPr>
    </w:p>
    <w:bookmarkStart w:id="524" w:name="page525"/>
    <w:bookmarkEnd w:id="524"/>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18</w:t>
      </w:r>
    </w:p>
    <w:p>
      <w:pPr>
        <w:spacing w:after="0" w:line="27" w:lineRule="exact"/>
        <w:rPr>
          <w:sz w:val="20"/>
          <w:szCs w:val="20"/>
          <w:color w:val="auto"/>
        </w:rPr>
      </w:pPr>
    </w:p>
    <w:p>
      <w:pPr>
        <w:ind w:left="4960"/>
        <w:spacing w:after="0"/>
        <w:rPr>
          <w:sz w:val="20"/>
          <w:szCs w:val="20"/>
          <w:color w:val="auto"/>
        </w:rPr>
      </w:pPr>
      <w:r>
        <w:rPr>
          <w:rFonts w:ascii="Arial" w:cs="Arial" w:eastAsia="Arial" w:hAnsi="Arial"/>
          <w:sz w:val="18"/>
          <w:szCs w:val="18"/>
          <w:b w:val="1"/>
          <w:bCs w:val="1"/>
          <w:u w:val="single" w:color="auto"/>
          <w:color w:val="auto"/>
        </w:rPr>
        <w:t>INDEMNITY</w:t>
      </w:r>
    </w:p>
    <w:p>
      <w:pPr>
        <w:spacing w:after="0" w:line="207"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b w:val="1"/>
          <w:bCs w:val="1"/>
          <w:color w:val="auto"/>
        </w:rPr>
        <w:t>18.1 Indemnification by WuXi Biologics</w:t>
      </w:r>
      <w:r>
        <w:rPr>
          <w:rFonts w:ascii="Arial" w:cs="Arial" w:eastAsia="Arial" w:hAnsi="Arial"/>
          <w:sz w:val="18"/>
          <w:szCs w:val="18"/>
          <w:color w:val="auto"/>
        </w:rPr>
        <w:t>. WuXi Biologics shall protect, defend, indemnify and hold harmless Client, its Affiliates and its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directors, officers, shareholders, employees and agents, and their respective successors and permitted assigns, from any and all Losses from any Third Party claims, proceedings, actions or causes of actions (“</w:t>
      </w:r>
      <w:r>
        <w:rPr>
          <w:rFonts w:ascii="Arial" w:cs="Arial" w:eastAsia="Arial" w:hAnsi="Arial"/>
          <w:sz w:val="18"/>
          <w:szCs w:val="18"/>
          <w:b w:val="1"/>
          <w:bCs w:val="1"/>
          <w:color w:val="auto"/>
        </w:rPr>
        <w:t>Third Party Claims</w:t>
      </w:r>
      <w:r>
        <w:rPr>
          <w:rFonts w:ascii="Arial" w:cs="Arial" w:eastAsia="Arial" w:hAnsi="Arial"/>
          <w:sz w:val="18"/>
          <w:szCs w:val="18"/>
          <w:color w:val="auto"/>
        </w:rPr>
        <w:t>”) which directly or indirectly arise out of or relate to (a) the failure of Product to meet the warranties set forth in Section 17.2, (b) any other breach by WuXi Biologics of any of its representations, warranties, covenants, agreements or obligations under this Agreement, or (c) the gross negligence or willful misconduct of WuXi Biologics (or its Affiliates or contractors) in the performance of its obligations hereunder; in each case except to the extent such Losses result from the matters contemplated in Section 18.2(b) or (c) below.</w:t>
      </w:r>
    </w:p>
    <w:p>
      <w:pPr>
        <w:spacing w:after="0" w:line="189"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b w:val="1"/>
          <w:bCs w:val="1"/>
          <w:color w:val="auto"/>
        </w:rPr>
        <w:t>18.2 Indemnification by Client</w:t>
      </w:r>
      <w:r>
        <w:rPr>
          <w:rFonts w:ascii="Arial" w:cs="Arial" w:eastAsia="Arial" w:hAnsi="Arial"/>
          <w:sz w:val="18"/>
          <w:szCs w:val="18"/>
          <w:color w:val="auto"/>
        </w:rPr>
        <w:t>. Client shall protect, defend, indemnify and hold harmless WuXi Biologics, its Affiliates and its and their</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officers, shareholders, employees and agents, and their respective successors and permitted assigns, from any and all Losses from any Third Party Claims which directly or indirectly arise out of or relate to (a) death, injury, or other product liability arising from or related to Products manufactured according to the Specifications, Quality Agreement and cGMP, (b) a breach by Client of any of its representations, warranties, covenants, agreements or obligations under this Agreement, or (c) the gross negligence or willful misconduct of Client (or its Affiliates) in the performance of its obligations hereunder or otherwise in commercializing the Products, in each case, except to the extent such Losses result from matters contemplated in Section 18.1 above.</w:t>
      </w:r>
    </w:p>
    <w:p>
      <w:pPr>
        <w:spacing w:after="0" w:line="189"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b w:val="1"/>
          <w:bCs w:val="1"/>
          <w:color w:val="auto"/>
        </w:rPr>
        <w:t>18.3 No Consequential Damages</w:t>
      </w:r>
      <w:r>
        <w:rPr>
          <w:rFonts w:ascii="Arial" w:cs="Arial" w:eastAsia="Arial" w:hAnsi="Arial"/>
          <w:sz w:val="17"/>
          <w:szCs w:val="17"/>
          <w:color w:val="auto"/>
        </w:rPr>
        <w:t>. EXCEPT WITH RESPECT TO EACH PARTY’S INDEMNIFICATION OBLIGATIONS UNDER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18.1 AND SECTION 18.2, AS APPLICABLE, IN NO EVENT SHALL EITHER PARTY OR ANY OF ITS AFFILIATES BE LIABLE TO THE OTHER PARTY OR ANY OF ITS AFFILIATES FOR SPECIAL, INDIRECT, INCIDENTAL, CONSEQUENTIAL OR PUNITIVE DAMAGES, IN EACH CASE WHETHER OR NOT FORESEEN, INCLUDING LOSS OF PROFITS, WHETHER IN CONTRACT, WARRANTY, TORT, NEGLIGENCE, STRICT LIABILITY OR OTHERWISE ARISING OUT OF OR RELATING TO THIS AGREEMENT, THE TRANSACTIONS CONTEMPLATED HEREIN, OR ANY BREACH HEREOF. NOTWITHSTANDING THE FOREGOING, NOTHING IN THIS AGREEMENT SHALL LIMIT EITHER PARTY FROM SEEKING OR OBTAINING ANY REMEDY AVAILABLE UNDER APPLICABLE LAW, INCLUDING EQUITABLE REMEDIES, FOR ANY BREACH OF ITS CONFIDENTIALITY AND NON-USE OBLIGATIONS UNDER ARTICLE 15.</w:t>
      </w:r>
    </w:p>
    <w:p>
      <w:pPr>
        <w:spacing w:after="0" w:line="17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18.4 Notification of Claims; Conditions to Indemnification Obligations</w:t>
      </w:r>
      <w:r>
        <w:rPr>
          <w:rFonts w:ascii="Arial" w:cs="Arial" w:eastAsia="Arial" w:hAnsi="Arial"/>
          <w:sz w:val="17"/>
          <w:szCs w:val="17"/>
          <w:color w:val="auto"/>
        </w:rPr>
        <w:t>. As a condition to a Party’s right to receive indemnification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Article 18, it shall: (a) promptly notify the other Party as soon as it becomes aware of a claim or suit for which indemnification may be sought pursuant hereto; (b) cooperate, and cause the individual indemnitees to cooperate, with the indemnifying Party in the defense, settlement or compromise of such claim or suit; and (c) permit the indemnifying Party to control the defense, settlement or compromise of such claim or suit, including the right to select defense counsel. In no event, however, may the indemnifying Party compromise or settle any claim or suit in a manner which admits fault or negligence on the part of the indemnified Party or any indemnitee without the prior written consent (which consent will not be unreasonably withheld, delayed, or conditioned) of the indemnified Party. Each Party shall reasonably cooperate with the other Party and its counsel in the course of the defense of any such suit, claim or demand, such cooperation to include without limitation using Commercially Reasonable Efforts to provide or make available documents, information and witnesses. The indemnifying Party shall have no liability under this Article 18 with respect to claims or suits settled or compromised without its prior written consent.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69" w:right="459" w:bottom="1440" w:gutter="0" w:footer="0" w:header="0"/>
        </w:sectPr>
      </w:pPr>
    </w:p>
    <w:bookmarkStart w:id="525" w:name="page526"/>
    <w:bookmarkEnd w:id="525"/>
    <w:p>
      <w:pPr>
        <w:ind w:right="60" w:firstLine="4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18.5 Limitation of Liability</w:t>
      </w:r>
      <w:r>
        <w:rPr>
          <w:rFonts w:ascii="Arial" w:cs="Arial" w:eastAsia="Arial" w:hAnsi="Arial"/>
          <w:sz w:val="18"/>
          <w:szCs w:val="18"/>
          <w:color w:val="auto"/>
        </w:rPr>
        <w:t>. Except with respect to: (a) a Party’s indemnification obligation regarding Third Party Claims under Section 18.1 or</w:t>
      </w:r>
      <w:r>
        <w:rPr>
          <w:rFonts w:ascii="Arial" w:cs="Arial" w:eastAsia="Arial" w:hAnsi="Arial"/>
          <w:sz w:val="18"/>
          <w:szCs w:val="18"/>
          <w:b w:val="1"/>
          <w:bCs w:val="1"/>
          <w:color w:val="auto"/>
        </w:rPr>
        <w:t xml:space="preserve"> </w:t>
      </w:r>
      <w:r>
        <w:rPr>
          <w:rFonts w:ascii="Arial" w:cs="Arial" w:eastAsia="Arial" w:hAnsi="Arial"/>
          <w:sz w:val="18"/>
          <w:szCs w:val="18"/>
          <w:color w:val="auto"/>
        </w:rPr>
        <w:t>18.2 (as applicable), (b) any breach by either Party of its confidentiality and non-use obligations under Article 15, (c) any cases involving personal injury, death, willful misconduct or gross negligence, (d) undisputed invoices under Article 7, or (e) WuXi Biologics’ payment obligations to Client under Section 5.6 and Section 9.4 (as and when applicable) pursuant to WuXi Biologics’ Manufacturing and supply obligations under Section 2.1, in no event shall either Party’s liability under this Agreement exceed the lesser of: (i) [***] of all amounts paid or payable to WuXi Biologics for the Services or Products under the applicable Product Schedule of this Agreement in the [***] period preceding the event or omission giving rise to such claim; or (ii) [***].</w:t>
      </w:r>
    </w:p>
    <w:p>
      <w:pPr>
        <w:spacing w:after="0" w:line="189"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b w:val="1"/>
          <w:bCs w:val="1"/>
          <w:color w:val="auto"/>
        </w:rPr>
        <w:t>18.6 Insurance</w:t>
      </w:r>
      <w:r>
        <w:rPr>
          <w:rFonts w:ascii="Arial" w:cs="Arial" w:eastAsia="Arial" w:hAnsi="Arial"/>
          <w:sz w:val="18"/>
          <w:szCs w:val="18"/>
          <w:color w:val="auto"/>
        </w:rPr>
        <w:t>. During the Term and for a tail duration after the Term, each Party shall obtain and maintain, at its sole cost and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(including any self-insured arrangements) in types and amounts that are reasonable and customary in the pharmaceutical and biotechnology industry for companies engaged in comparable activities in the jurisdiction where such activities are being performed. Without prejudice to the foregoing, each Party shall maintain a minimum product liability insurance coverage of [***] per claim.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Article 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TERM AND TERMINATION</w:t>
      </w:r>
    </w:p>
    <w:p>
      <w:pPr>
        <w:spacing w:after="0" w:line="207"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b w:val="1"/>
          <w:bCs w:val="1"/>
          <w:color w:val="auto"/>
        </w:rPr>
        <w:t>19.1 Term</w:t>
      </w:r>
      <w:r>
        <w:rPr>
          <w:rFonts w:ascii="Arial" w:cs="Arial" w:eastAsia="Arial" w:hAnsi="Arial"/>
          <w:sz w:val="18"/>
          <w:szCs w:val="18"/>
          <w:color w:val="auto"/>
        </w:rPr>
        <w:t>. This Agreement shall enter into effect on the date after both Parties sign this Agreement and will be valid for an initial period of [***]</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Initial Term</w:t>
      </w:r>
      <w:r>
        <w:rPr>
          <w:rFonts w:ascii="Arial" w:cs="Arial" w:eastAsia="Arial" w:hAnsi="Arial"/>
          <w:sz w:val="18"/>
          <w:szCs w:val="18"/>
          <w:color w:val="auto"/>
        </w:rPr>
        <w:t>”), and thereafter shall automatically renew for further successive periods of [***] each (the “</w:t>
      </w:r>
      <w:r>
        <w:rPr>
          <w:rFonts w:ascii="Arial" w:cs="Arial" w:eastAsia="Arial" w:hAnsi="Arial"/>
          <w:sz w:val="18"/>
          <w:szCs w:val="18"/>
          <w:b w:val="1"/>
          <w:bCs w:val="1"/>
          <w:color w:val="auto"/>
        </w:rPr>
        <w:t>Renewal Term</w:t>
      </w:r>
      <w:r>
        <w:rPr>
          <w:rFonts w:ascii="Arial" w:cs="Arial" w:eastAsia="Arial" w:hAnsi="Arial"/>
          <w:sz w:val="18"/>
          <w:szCs w:val="18"/>
          <w:color w:val="auto"/>
        </w:rPr>
        <w:t>” and together with the Initial Term, the “</w:t>
      </w:r>
      <w:r>
        <w:rPr>
          <w:rFonts w:ascii="Arial" w:cs="Arial" w:eastAsia="Arial" w:hAnsi="Arial"/>
          <w:sz w:val="18"/>
          <w:szCs w:val="18"/>
          <w:b w:val="1"/>
          <w:bCs w:val="1"/>
          <w:color w:val="auto"/>
        </w:rPr>
        <w:t>Term</w:t>
      </w:r>
      <w:r>
        <w:rPr>
          <w:rFonts w:ascii="Arial" w:cs="Arial" w:eastAsia="Arial" w:hAnsi="Arial"/>
          <w:sz w:val="18"/>
          <w:szCs w:val="18"/>
          <w:color w:val="auto"/>
        </w:rPr>
        <w:t>”), unless terminated earlier as provided for elsewhere in this Agreement. If either Party does not wish to renew this Agreement, notice must be provided [***] before the Initial Term or a Renewal Term expire (unless otherwise mutually agreed) to account for the binding forecasts provided under this Agreement and to provide for an orderly wind-down.</w:t>
      </w:r>
    </w:p>
    <w:p>
      <w:pPr>
        <w:spacing w:after="0" w:line="183" w:lineRule="exact"/>
        <w:rPr>
          <w:sz w:val="20"/>
          <w:szCs w:val="20"/>
          <w:color w:val="auto"/>
        </w:rPr>
      </w:pPr>
    </w:p>
    <w:p>
      <w:pPr>
        <w:ind w:right="160" w:firstLine="440"/>
        <w:spacing w:after="0" w:line="289" w:lineRule="auto"/>
        <w:rPr>
          <w:sz w:val="20"/>
          <w:szCs w:val="20"/>
          <w:color w:val="auto"/>
        </w:rPr>
      </w:pPr>
      <w:r>
        <w:rPr>
          <w:rFonts w:ascii="Arial" w:cs="Arial" w:eastAsia="Arial" w:hAnsi="Arial"/>
          <w:sz w:val="17"/>
          <w:szCs w:val="17"/>
          <w:b w:val="1"/>
          <w:bCs w:val="1"/>
          <w:color w:val="auto"/>
        </w:rPr>
        <w:t>19.2 Termination for Breach</w:t>
      </w:r>
      <w:r>
        <w:rPr>
          <w:rFonts w:ascii="Arial" w:cs="Arial" w:eastAsia="Arial" w:hAnsi="Arial"/>
          <w:sz w:val="17"/>
          <w:szCs w:val="17"/>
          <w:color w:val="auto"/>
        </w:rPr>
        <w:t>. If either Party to this Agreement shall have breached or defaulted in the performance of any of its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(other than the payment of money) and does not remedy the material breach within [***] of notice from the other Party to do so (if capable of remedy) the non-breaching Party may terminate this Agreement immediately by written notice to the Party in breach.</w:t>
      </w:r>
    </w:p>
    <w:p>
      <w:pPr>
        <w:spacing w:after="0" w:line="158"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b w:val="1"/>
          <w:bCs w:val="1"/>
          <w:color w:val="auto"/>
        </w:rPr>
        <w:t>19.3 Termination for Force Majeure Event</w:t>
      </w:r>
      <w:r>
        <w:rPr>
          <w:rFonts w:ascii="Arial" w:cs="Arial" w:eastAsia="Arial" w:hAnsi="Arial"/>
          <w:sz w:val="17"/>
          <w:szCs w:val="17"/>
          <w:color w:val="auto"/>
        </w:rPr>
        <w:t>. Notwithstanding anything to the contrary contained in this Agreement, in the event a Force Majeure</w:t>
      </w:r>
      <w:r>
        <w:rPr>
          <w:rFonts w:ascii="Arial" w:cs="Arial" w:eastAsia="Arial" w:hAnsi="Arial"/>
          <w:sz w:val="17"/>
          <w:szCs w:val="17"/>
          <w:b w:val="1"/>
          <w:bCs w:val="1"/>
          <w:color w:val="auto"/>
        </w:rPr>
        <w:t xml:space="preserve"> </w:t>
      </w:r>
      <w:r>
        <w:rPr>
          <w:rFonts w:ascii="Arial" w:cs="Arial" w:eastAsia="Arial" w:hAnsi="Arial"/>
          <w:sz w:val="17"/>
          <w:szCs w:val="17"/>
          <w:color w:val="auto"/>
        </w:rPr>
        <w:t>Event shall have occurred and be continuing for [***], the Party not suffering such Force Majeure Event shall be entitled to terminate a Product Schedule or this entire Agreement effective immediately upon written notice to the Party suffering such Force Majeure Event related to the applicable Product Schedule or the entire Agreement. The Parties will discuss in good faith at such time if any reimbursements, credits to other ongoing Product Schedules, or other reimbursements or payments should be made by or between each Party.</w:t>
      </w:r>
    </w:p>
    <w:p>
      <w:pPr>
        <w:spacing w:after="0" w:line="168"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19.4 Termination for Reasons of Insolvency or Termination of Business Activities</w:t>
      </w:r>
      <w:r>
        <w:rPr>
          <w:rFonts w:ascii="Arial" w:cs="Arial" w:eastAsia="Arial" w:hAnsi="Arial"/>
          <w:sz w:val="18"/>
          <w:szCs w:val="18"/>
          <w:color w:val="auto"/>
        </w:rPr>
        <w:t>. Either Party shall be entitled to terminate this Agreement if</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 becomes insolvent or is the subject of a petition in bankruptcy whether voluntary or involuntary or of any other proceeding under bankruptcy, insolvency or similar laws, makes an assignment for the benefit of creditors, is named in such a petition, or its property is subject to a suit for the appointment of a receiver, or is dissolved or liquidated. Such termination right may be exercised without the need for advance written notice, which will be provided no later than [***] following such termination.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69" w:right="459" w:bottom="1440" w:gutter="0" w:footer="0" w:header="0"/>
        </w:sectPr>
      </w:pPr>
    </w:p>
    <w:bookmarkStart w:id="526" w:name="page527"/>
    <w:bookmarkEnd w:id="526"/>
    <w:p>
      <w:pPr>
        <w:ind w:left="4"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19.5 Termination for Payment Default by a Party</w:t>
      </w:r>
      <w:r>
        <w:rPr>
          <w:rFonts w:ascii="Arial" w:cs="Arial" w:eastAsia="Arial" w:hAnsi="Arial"/>
          <w:sz w:val="18"/>
          <w:szCs w:val="18"/>
          <w:color w:val="auto"/>
        </w:rPr>
        <w:t>. If any undisputed payment under this Agreement including Article 7 is overdue, then the</w:t>
      </w:r>
      <w:r>
        <w:rPr>
          <w:rFonts w:ascii="Arial" w:cs="Arial" w:eastAsia="Arial" w:hAnsi="Arial"/>
          <w:sz w:val="18"/>
          <w:szCs w:val="18"/>
          <w:b w:val="1"/>
          <w:bCs w:val="1"/>
          <w:color w:val="auto"/>
        </w:rPr>
        <w:t xml:space="preserve"> </w:t>
      </w:r>
      <w:r>
        <w:rPr>
          <w:rFonts w:ascii="Arial" w:cs="Arial" w:eastAsia="Arial" w:hAnsi="Arial"/>
          <w:sz w:val="18"/>
          <w:szCs w:val="18"/>
          <w:color w:val="auto"/>
        </w:rPr>
        <w:t>non-paying Party owing such payment is in default, which default shall be deemed a material breach under this Agreement, and the other Party will have the right to immediately terminate by written notice to the non-paying Party the applicable Product Schedule or the entire Agreement if the non-paying Party has not remedied the material breach within [***] of notice from the other Party.</w:t>
      </w:r>
    </w:p>
    <w:p>
      <w:pPr>
        <w:spacing w:after="0" w:line="39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20</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EFFECTS OF TERMINATION</w:t>
      </w:r>
    </w:p>
    <w:p>
      <w:pPr>
        <w:spacing w:after="0" w:line="207"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b w:val="1"/>
          <w:bCs w:val="1"/>
          <w:color w:val="auto"/>
        </w:rPr>
        <w:t>20.1 Termination Due to WuXi Biologics Breach or Insolvency</w:t>
      </w:r>
      <w:r>
        <w:rPr>
          <w:rFonts w:ascii="Arial" w:cs="Arial" w:eastAsia="Arial" w:hAnsi="Arial"/>
          <w:sz w:val="18"/>
          <w:szCs w:val="18"/>
          <w:color w:val="auto"/>
        </w:rPr>
        <w:t>. Upon termination of this Agreement by Client pursuant to Section 19.2 or</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19.4, Client shall, by written notice to WuXi Biologics: (a) request WuXi Biologics to execute outstanding Purchase Orders, and provided that the Products delivered to Client comply with the terms of this Agreement, Client shall pay WuXi Biologics in accordance with the terms of this Agreement, or (b) cancel outstanding Purchase Orders without any liability to Client. WuXi Biologics shall promptly provide Client or any Third Parties designated by Client with all Materials paid for by Client, and, if it can be achieved in compliance with cGMP and all Applicable Laws, any work in progress paid for by Client.</w:t>
      </w:r>
    </w:p>
    <w:p>
      <w:pPr>
        <w:spacing w:after="0" w:line="187"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b w:val="1"/>
          <w:bCs w:val="1"/>
          <w:color w:val="auto"/>
        </w:rPr>
        <w:t>20.2 Ongoing Supply Obligations</w:t>
      </w:r>
      <w:r>
        <w:rPr>
          <w:rFonts w:ascii="Arial" w:cs="Arial" w:eastAsia="Arial" w:hAnsi="Arial"/>
          <w:sz w:val="16"/>
          <w:szCs w:val="16"/>
          <w:color w:val="auto"/>
        </w:rPr>
        <w:t>. In the event of expiration or termination of this Agreement pursuant to Article 19 hereunder, except if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terminated by WuXi Biologics pursuant to Section 19.2 or Section 19.4, WuXi Biologics shall continue to supply Client with the Products subject to an accepted Purchase Order after the expiration date or termination date of this Agreement, if Client has not identified and fully registered with the competent Regulatory Authorities a new supplier of the Products. Such obligation of WuXi Biologics shall continue until the earlier of</w:t>
      </w:r>
    </w:p>
    <w:p>
      <w:pPr>
        <w:spacing w:after="0" w:line="2" w:lineRule="exact"/>
        <w:rPr>
          <w:sz w:val="20"/>
          <w:szCs w:val="20"/>
          <w:color w:val="auto"/>
        </w:rPr>
      </w:pPr>
    </w:p>
    <w:p>
      <w:pPr>
        <w:ind w:left="4" w:right="260" w:hanging="4"/>
        <w:spacing w:after="0" w:line="260" w:lineRule="auto"/>
        <w:tabs>
          <w:tab w:leader="none" w:pos="249" w:val="left"/>
        </w:tabs>
        <w:numPr>
          <w:ilvl w:val="0"/>
          <w:numId w:val="407"/>
        </w:numPr>
        <w:rPr>
          <w:rFonts w:ascii="Arial" w:cs="Arial" w:eastAsia="Arial" w:hAnsi="Arial"/>
          <w:sz w:val="18"/>
          <w:szCs w:val="18"/>
          <w:color w:val="auto"/>
        </w:rPr>
      </w:pPr>
      <w:r>
        <w:rPr>
          <w:rFonts w:ascii="Arial" w:cs="Arial" w:eastAsia="Arial" w:hAnsi="Arial"/>
          <w:sz w:val="18"/>
          <w:szCs w:val="18"/>
          <w:color w:val="auto"/>
        </w:rPr>
        <w:t>successful completion of the technical transfer pursuant to Section 20.5, and (b) notification by Client to WuXi Biologics that it has identified and duly registered with the competent Regulatory Authorities a new supplier of the Products.</w:t>
      </w:r>
    </w:p>
    <w:p>
      <w:pPr>
        <w:spacing w:after="0" w:line="181" w:lineRule="exact"/>
        <w:rPr>
          <w:sz w:val="20"/>
          <w:szCs w:val="20"/>
          <w:color w:val="auto"/>
        </w:rPr>
      </w:pPr>
    </w:p>
    <w:p>
      <w:pPr>
        <w:ind w:left="4" w:right="40" w:firstLine="440"/>
        <w:spacing w:after="0" w:line="274" w:lineRule="auto"/>
        <w:rPr>
          <w:sz w:val="20"/>
          <w:szCs w:val="20"/>
          <w:color w:val="auto"/>
        </w:rPr>
      </w:pPr>
      <w:r>
        <w:rPr>
          <w:rFonts w:ascii="Arial" w:cs="Arial" w:eastAsia="Arial" w:hAnsi="Arial"/>
          <w:sz w:val="17"/>
          <w:szCs w:val="17"/>
          <w:b w:val="1"/>
          <w:bCs w:val="1"/>
          <w:color w:val="auto"/>
        </w:rPr>
        <w:t>20.3 Accrued Rights and Surviving Obligations</w:t>
      </w:r>
      <w:r>
        <w:rPr>
          <w:rFonts w:ascii="Arial" w:cs="Arial" w:eastAsia="Arial" w:hAnsi="Arial"/>
          <w:sz w:val="17"/>
          <w:szCs w:val="17"/>
          <w:color w:val="auto"/>
        </w:rPr>
        <w:t>. Termination or expiration of this Agreement for any reason shall be without prejudice to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rights that shall have accrued to the benefit of any Party prior to such termination or expiration. Such termination or expiration shall not relieve any Party from obligations which are expressly or by implication intended to survive termination or expiration of this Agreement and shall not affect or prejudice any provision of this Agreement which is expressly or by implication provided to come into effect on, or continue in effect after, such termination or expiration. For the avoidance of doubt, the following Sections and Articles shall survive any termination or expiration of this Agreement: 1 (to the extent needed for interpretation of other surviving provisions), 3, 6.2, 6.3, 9, 14, 15, 16, 17, 18, 20, 22, and 23.</w:t>
      </w:r>
    </w:p>
    <w:p>
      <w:pPr>
        <w:spacing w:after="0" w:line="173" w:lineRule="exact"/>
        <w:rPr>
          <w:sz w:val="20"/>
          <w:szCs w:val="20"/>
          <w:color w:val="auto"/>
        </w:rPr>
      </w:pPr>
    </w:p>
    <w:p>
      <w:pPr>
        <w:ind w:left="4" w:right="120" w:firstLine="440"/>
        <w:spacing w:after="0" w:line="258" w:lineRule="auto"/>
        <w:rPr>
          <w:sz w:val="20"/>
          <w:szCs w:val="20"/>
          <w:color w:val="auto"/>
        </w:rPr>
      </w:pPr>
      <w:r>
        <w:rPr>
          <w:rFonts w:ascii="Arial" w:cs="Arial" w:eastAsia="Arial" w:hAnsi="Arial"/>
          <w:sz w:val="18"/>
          <w:szCs w:val="18"/>
          <w:b w:val="1"/>
          <w:bCs w:val="1"/>
          <w:color w:val="auto"/>
        </w:rPr>
        <w:t>20.4 Regulatory Assistance</w:t>
      </w:r>
      <w:r>
        <w:rPr>
          <w:rFonts w:ascii="Arial" w:cs="Arial" w:eastAsia="Arial" w:hAnsi="Arial"/>
          <w:sz w:val="18"/>
          <w:szCs w:val="18"/>
          <w:color w:val="auto"/>
        </w:rPr>
        <w:t>. Except in the event that WuXi Biologics terminates this Agreement under Section 19.2 (Termination for Breach) or</w:t>
      </w:r>
      <w:r>
        <w:rPr>
          <w:rFonts w:ascii="Arial" w:cs="Arial" w:eastAsia="Arial" w:hAnsi="Arial"/>
          <w:sz w:val="18"/>
          <w:szCs w:val="18"/>
          <w:b w:val="1"/>
          <w:bCs w:val="1"/>
          <w:color w:val="auto"/>
        </w:rPr>
        <w:t xml:space="preserve"> </w:t>
      </w:r>
      <w:r>
        <w:rPr>
          <w:rFonts w:ascii="Arial" w:cs="Arial" w:eastAsia="Arial" w:hAnsi="Arial"/>
          <w:sz w:val="18"/>
          <w:szCs w:val="18"/>
          <w:color w:val="auto"/>
        </w:rPr>
        <w:t>19.4 (Termination for Reasons of Insolvency or Termination of Business Activities), after expiration or termination of this Agreement, WuXi Biologics agrees to provide Client with reasonable support in relation to any investigation required by any Regulatory Authority with respect to Manufacture of the Products carried out at the Manufacturing Site during the Term, provided that Client shall reimburse WuXi Biologics for its reasonable costs in providing such assistance.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69" w:right="459" w:bottom="1440" w:gutter="0" w:footer="0" w:header="0"/>
        </w:sectPr>
      </w:pPr>
    </w:p>
    <w:bookmarkStart w:id="527" w:name="page528"/>
    <w:bookmarkEnd w:id="527"/>
    <w:p>
      <w:pPr>
        <w:ind w:right="40" w:firstLine="440"/>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20.5 Technical Transfer Assistance</w:t>
      </w:r>
      <w:r>
        <w:rPr>
          <w:rFonts w:ascii="Arial" w:cs="Arial" w:eastAsia="Arial" w:hAnsi="Arial"/>
          <w:sz w:val="17"/>
          <w:szCs w:val="17"/>
          <w:color w:val="auto"/>
        </w:rPr>
        <w:t>. During the Term of this Agreement and for a period of [***] following expiration or termination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upon termination by Client under Section 19.2 or Section 19.4, WuXi Biologics will provide, upon the request of Client, its full support and cooperation in transferring the then-current Manufacturing process to an alternative site, designated by Client. WuXi Biologics shall be entitled to charge Client for its reasonable personnel and out-of-pocket costs in supporting the technical transfer of the Products, at its then-current charge-out rates for similar activities based on a written and accepted quotation. Additionally, in connection with the technical transfer assistance provided pursuant to this Section 20.5, WuXi Biologics shall, upon receiving corresponding payment and licenses, grant to Client and its Affiliates and designees a perpetual, fully-paid, non-exclusive license under any WuXi Biologics Background IP and WuXi Biologics Arising IP which is reasonably necessary for the Manufacture of each Product. WuXi Biologics’ obligations to support a technical transfer shall continue until such time as Client, or its designee, successfully Manufactures [***] cGMP Batches of each Product.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DISASTER RECOVERY AND BUSINESS CONTINUITY</w:t>
      </w:r>
    </w:p>
    <w:p>
      <w:pPr>
        <w:spacing w:after="0" w:line="20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b w:val="1"/>
          <w:bCs w:val="1"/>
          <w:color w:val="auto"/>
        </w:rPr>
        <w:t xml:space="preserve">21.1 Disaster Recovery and Business Continuity. </w:t>
      </w:r>
      <w:r>
        <w:rPr>
          <w:rFonts w:ascii="Arial" w:cs="Arial" w:eastAsia="Arial" w:hAnsi="Arial"/>
          <w:sz w:val="16"/>
          <w:szCs w:val="16"/>
          <w:color w:val="auto"/>
        </w:rPr>
        <w:t>WuXi Biologics shall provide Client with a true, correct and complete copy of WuXi</w:t>
      </w:r>
      <w:r>
        <w:rPr>
          <w:rFonts w:ascii="Arial" w:cs="Arial" w:eastAsia="Arial" w:hAnsi="Arial"/>
          <w:sz w:val="16"/>
          <w:szCs w:val="16"/>
          <w:b w:val="1"/>
          <w:bCs w:val="1"/>
          <w:color w:val="auto"/>
        </w:rPr>
        <w:t xml:space="preserve"> </w:t>
      </w:r>
      <w:r>
        <w:rPr>
          <w:rFonts w:ascii="Arial" w:cs="Arial" w:eastAsia="Arial" w:hAnsi="Arial"/>
          <w:sz w:val="16"/>
          <w:szCs w:val="16"/>
          <w:color w:val="auto"/>
        </w:rPr>
        <w:t>Biologics’ Business Continuity Plan, at the date to be agreed in good faith between the Parties (the “</w:t>
      </w:r>
      <w:r>
        <w:rPr>
          <w:rFonts w:ascii="Arial" w:cs="Arial" w:eastAsia="Arial" w:hAnsi="Arial"/>
          <w:sz w:val="16"/>
          <w:szCs w:val="16"/>
          <w:b w:val="1"/>
          <w:bCs w:val="1"/>
          <w:color w:val="auto"/>
        </w:rPr>
        <w:t>BCP</w:t>
      </w:r>
      <w:r>
        <w:rPr>
          <w:rFonts w:ascii="Arial" w:cs="Arial" w:eastAsia="Arial" w:hAnsi="Arial"/>
          <w:sz w:val="16"/>
          <w:szCs w:val="16"/>
          <w:color w:val="auto"/>
        </w:rPr>
        <w:t>”). The BCP shall be in full force and effect on the date agreed in good faith between the Parties, and shall provide for, among other things, the high level design and processes for disaster recovery and business continuity for WuXi Biologics. The BCP shall be revised and updated by WuXi Biologics from time to time, but in no event less than every [***], and WuXi Biologics shall submit such revised and updated BCP to Client for review and written approval. The Parties shall meet periodically during business hours when reasonably requested by Client, but no more often than quarterly, to discuss and analyze the status of the BCP. WuXi Biologics shall provide a written report to Client for such discussions and analysis which shall analyze the potential effectiveness of the applicable BCP, propose necessary changes, suggest improvements, and provide an updated risk assessment for the activities to which the BCP relates.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DISPUTE RESOLUTION</w:t>
      </w:r>
    </w:p>
    <w:p>
      <w:pPr>
        <w:spacing w:after="0" w:line="207" w:lineRule="exact"/>
        <w:rPr>
          <w:sz w:val="20"/>
          <w:szCs w:val="20"/>
          <w:color w:val="auto"/>
        </w:rPr>
      </w:pPr>
    </w:p>
    <w:p>
      <w:pPr>
        <w:ind w:right="80" w:firstLine="440"/>
        <w:spacing w:after="0" w:line="292" w:lineRule="auto"/>
        <w:rPr>
          <w:sz w:val="20"/>
          <w:szCs w:val="20"/>
          <w:color w:val="auto"/>
        </w:rPr>
      </w:pPr>
      <w:r>
        <w:rPr>
          <w:rFonts w:ascii="Arial" w:cs="Arial" w:eastAsia="Arial" w:hAnsi="Arial"/>
          <w:sz w:val="16"/>
          <w:szCs w:val="16"/>
          <w:b w:val="1"/>
          <w:bCs w:val="1"/>
          <w:color w:val="auto"/>
        </w:rPr>
        <w:t>22.1 Disputes</w:t>
      </w:r>
      <w:r>
        <w:rPr>
          <w:rFonts w:ascii="Arial" w:cs="Arial" w:eastAsia="Arial" w:hAnsi="Arial"/>
          <w:sz w:val="16"/>
          <w:szCs w:val="16"/>
          <w:color w:val="auto"/>
        </w:rPr>
        <w:t>. The Parties recognize that disputes as to certain matters may from time to time arise which relate to either Party’s rights and/or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hereunder. It is the objective of the Parties to establish under this Article 22 procedures to facilitate the resolution of disputes arising under this Agreement (other than any disputes relating to matters which under this Agreement Client has sole decision-making authority and/or discretion regarding (each, a “</w:t>
      </w:r>
      <w:r>
        <w:rPr>
          <w:rFonts w:ascii="Arial" w:cs="Arial" w:eastAsia="Arial" w:hAnsi="Arial"/>
          <w:sz w:val="16"/>
          <w:szCs w:val="16"/>
          <w:b w:val="1"/>
          <w:bCs w:val="1"/>
          <w:color w:val="auto"/>
        </w:rPr>
        <w:t>Non-Escalable Dispute</w:t>
      </w:r>
      <w:r>
        <w:rPr>
          <w:rFonts w:ascii="Arial" w:cs="Arial" w:eastAsia="Arial" w:hAnsi="Arial"/>
          <w:sz w:val="16"/>
          <w:szCs w:val="16"/>
          <w:color w:val="auto"/>
        </w:rPr>
        <w:t>”), in which case, such matter shall be determined by Client and shall not be part of the dispute resolution procedure set forth in this Article 22 in an expedient manner by mutual cooperation and without resort to litigation. In the event that the Parties are unable to resolve such dispute through diligent review and deliberation within [***] from the day that one Party had designated the issue as a dispute in written notice to the other Party, then either Party shall have the right to escalate such matter to the Executive Officers as set forth in Section 22.2.</w:t>
      </w:r>
    </w:p>
    <w:p>
      <w:pPr>
        <w:spacing w:after="0" w:line="161" w:lineRule="exact"/>
        <w:rPr>
          <w:sz w:val="20"/>
          <w:szCs w:val="20"/>
          <w:color w:val="auto"/>
        </w:rPr>
      </w:pPr>
    </w:p>
    <w:p>
      <w:pPr>
        <w:ind w:right="20" w:firstLine="440"/>
        <w:spacing w:after="0" w:line="277" w:lineRule="auto"/>
        <w:rPr>
          <w:sz w:val="20"/>
          <w:szCs w:val="20"/>
          <w:color w:val="auto"/>
        </w:rPr>
      </w:pPr>
      <w:r>
        <w:rPr>
          <w:rFonts w:ascii="Arial" w:cs="Arial" w:eastAsia="Arial" w:hAnsi="Arial"/>
          <w:sz w:val="17"/>
          <w:szCs w:val="17"/>
          <w:b w:val="1"/>
          <w:bCs w:val="1"/>
          <w:color w:val="auto"/>
        </w:rPr>
        <w:t>22.2 Escalation to Executive Officers</w:t>
      </w:r>
      <w:r>
        <w:rPr>
          <w:rFonts w:ascii="Arial" w:cs="Arial" w:eastAsia="Arial" w:hAnsi="Arial"/>
          <w:sz w:val="17"/>
          <w:szCs w:val="17"/>
          <w:color w:val="auto"/>
        </w:rPr>
        <w:t>. Either Party may, by written notice to the other Party, request that a dispute (other than a Non-Escalable</w:t>
      </w:r>
      <w:r>
        <w:rPr>
          <w:rFonts w:ascii="Arial" w:cs="Arial" w:eastAsia="Arial" w:hAnsi="Arial"/>
          <w:sz w:val="17"/>
          <w:szCs w:val="17"/>
          <w:b w:val="1"/>
          <w:bCs w:val="1"/>
          <w:color w:val="auto"/>
        </w:rPr>
        <w:t xml:space="preserve"> </w:t>
      </w:r>
      <w:r>
        <w:rPr>
          <w:rFonts w:ascii="Arial" w:cs="Arial" w:eastAsia="Arial" w:hAnsi="Arial"/>
          <w:sz w:val="17"/>
          <w:szCs w:val="17"/>
          <w:color w:val="auto"/>
        </w:rPr>
        <w:t>Dispute) that remains unresolved for a period of [***] as set forth in Section 22.1 arising between the Parties in connection with this Agreement be resolved by the Executive Officers, within [***] after referral of such dispute to them. If the Executive Officers cannot resolve such dispute within [***] after referral of such dispute to them, then, at any time after such [***] period, either Party may proceed to enforce any and all of its rights with respect to such dispute in accordance with the governing law and jurisdiction set out in Section 23.8.</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69" w:right="459" w:bottom="1440" w:gutter="0" w:footer="0" w:header="0"/>
        </w:sectPr>
      </w:pPr>
    </w:p>
    <w:bookmarkStart w:id="528" w:name="page529"/>
    <w:bookmarkEnd w:id="528"/>
    <w:p>
      <w:pPr>
        <w:ind w:right="36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Injunctive Relief</w:t>
      </w:r>
      <w:r>
        <w:rPr>
          <w:rFonts w:ascii="Arial" w:cs="Arial" w:eastAsia="Arial" w:hAnsi="Arial"/>
          <w:sz w:val="18"/>
          <w:szCs w:val="18"/>
          <w:color w:val="auto"/>
        </w:rPr>
        <w:t>. No provision herein shall be construed as precluding a Party from bringing an action for injunctive relief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relief prior to the initiation or completion of the procedures set out in Section 22.1 and Section 22.2 above regarding the obligations as to Confidential Information under Article 15.</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23</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207" w:lineRule="exact"/>
        <w:rPr>
          <w:sz w:val="20"/>
          <w:szCs w:val="20"/>
          <w:color w:val="auto"/>
        </w:rPr>
      </w:pPr>
    </w:p>
    <w:p>
      <w:pPr>
        <w:ind w:right="600" w:firstLine="440"/>
        <w:spacing w:after="0" w:line="282" w:lineRule="auto"/>
        <w:rPr>
          <w:sz w:val="20"/>
          <w:szCs w:val="20"/>
          <w:color w:val="auto"/>
        </w:rPr>
      </w:pPr>
      <w:r>
        <w:rPr>
          <w:rFonts w:ascii="Arial" w:cs="Arial" w:eastAsia="Arial" w:hAnsi="Arial"/>
          <w:sz w:val="18"/>
          <w:szCs w:val="18"/>
          <w:b w:val="1"/>
          <w:bCs w:val="1"/>
          <w:color w:val="auto"/>
        </w:rPr>
        <w:t>23.1 Relationship of the Parties</w:t>
      </w:r>
      <w:r>
        <w:rPr>
          <w:rFonts w:ascii="Arial" w:cs="Arial" w:eastAsia="Arial" w:hAnsi="Arial"/>
          <w:sz w:val="18"/>
          <w:szCs w:val="18"/>
          <w:color w:val="auto"/>
        </w:rPr>
        <w:t>. Nothing in this Agreement is intended or shall be deemed, for financial, tax, legal or other purposes,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partnership, agency, joint venture or employer-employee relationship between the Parties.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23.2 Assignmen</w:t>
      </w:r>
      <w:r>
        <w:rPr>
          <w:rFonts w:ascii="Arial" w:cs="Arial" w:eastAsia="Arial" w:hAnsi="Arial"/>
          <w:sz w:val="18"/>
          <w:szCs w:val="18"/>
          <w:color w:val="auto"/>
        </w:rPr>
        <w:t>t.</w:t>
      </w:r>
    </w:p>
    <w:p>
      <w:pPr>
        <w:spacing w:after="0" w:line="225" w:lineRule="exact"/>
        <w:rPr>
          <w:sz w:val="20"/>
          <w:szCs w:val="20"/>
          <w:color w:val="auto"/>
        </w:rPr>
      </w:pPr>
    </w:p>
    <w:p>
      <w:pPr>
        <w:ind w:right="360" w:firstLine="987"/>
        <w:spacing w:after="0" w:line="261" w:lineRule="auto"/>
        <w:tabs>
          <w:tab w:leader="none" w:pos="1236"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Assignment by WuXi Biologics</w:t>
      </w:r>
      <w:r>
        <w:rPr>
          <w:rFonts w:ascii="Arial" w:cs="Arial" w:eastAsia="Arial" w:hAnsi="Arial"/>
          <w:sz w:val="18"/>
          <w:szCs w:val="18"/>
          <w:color w:val="auto"/>
        </w:rPr>
        <w:t>. Except as expressly provided herein, neither this Agreement nor any interest hereunder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assignable, nor any other obligation delegable, by WuXi Biologics without the prior written consent of Client (not to be unreasonably withheld or delayed), except to one of WuXi Biologics’ wholly-owned Affiliates, or upon the sale or other transfer to a Third Party of all or substantially all of WuXi Biologics’ assets related to the Services to be provided under this Agreement.</w:t>
      </w:r>
    </w:p>
    <w:p>
      <w:pPr>
        <w:spacing w:after="0" w:line="179" w:lineRule="exact"/>
        <w:rPr>
          <w:rFonts w:ascii="Arial" w:cs="Arial" w:eastAsia="Arial" w:hAnsi="Arial"/>
          <w:sz w:val="18"/>
          <w:szCs w:val="18"/>
          <w:color w:val="auto"/>
        </w:rPr>
      </w:pPr>
    </w:p>
    <w:p>
      <w:pPr>
        <w:ind w:right="180" w:firstLine="987"/>
        <w:spacing w:after="0" w:line="282" w:lineRule="auto"/>
        <w:tabs>
          <w:tab w:leader="none" w:pos="1246"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Assignment by Client</w:t>
      </w:r>
      <w:r>
        <w:rPr>
          <w:rFonts w:ascii="Arial" w:cs="Arial" w:eastAsia="Arial" w:hAnsi="Arial"/>
          <w:sz w:val="18"/>
          <w:szCs w:val="18"/>
          <w:color w:val="auto"/>
        </w:rPr>
        <w:t>. Client may assign this Agreement, in whole or in part, to any Affiliate or Third Party without the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WuXi Biologics. Client shall give written notice to WuXi Biologics promptly following any such assignment.</w:t>
      </w:r>
    </w:p>
    <w:p>
      <w:pPr>
        <w:spacing w:after="0" w:line="161" w:lineRule="exact"/>
        <w:rPr>
          <w:rFonts w:ascii="Arial" w:cs="Arial" w:eastAsia="Arial" w:hAnsi="Arial"/>
          <w:sz w:val="18"/>
          <w:szCs w:val="18"/>
          <w:color w:val="auto"/>
        </w:rPr>
      </w:pPr>
    </w:p>
    <w:p>
      <w:pPr>
        <w:ind w:right="220" w:firstLine="987"/>
        <w:spacing w:after="0" w:line="289" w:lineRule="auto"/>
        <w:tabs>
          <w:tab w:leader="none" w:pos="1236" w:val="left"/>
        </w:tabs>
        <w:numPr>
          <w:ilvl w:val="0"/>
          <w:numId w:val="408"/>
        </w:numPr>
        <w:rPr>
          <w:rFonts w:ascii="Arial" w:cs="Arial" w:eastAsia="Arial" w:hAnsi="Arial"/>
          <w:sz w:val="17"/>
          <w:szCs w:val="17"/>
          <w:color w:val="auto"/>
        </w:rPr>
      </w:pPr>
      <w:r>
        <w:rPr>
          <w:rFonts w:ascii="Arial" w:cs="Arial" w:eastAsia="Arial" w:hAnsi="Arial"/>
          <w:sz w:val="17"/>
          <w:szCs w:val="17"/>
          <w:b w:val="1"/>
          <w:bCs w:val="1"/>
          <w:color w:val="auto"/>
        </w:rPr>
        <w:t>Continuing Obligations</w:t>
      </w:r>
      <w:r>
        <w:rPr>
          <w:rFonts w:ascii="Arial" w:cs="Arial" w:eastAsia="Arial" w:hAnsi="Arial"/>
          <w:sz w:val="17"/>
          <w:szCs w:val="17"/>
          <w:color w:val="auto"/>
        </w:rPr>
        <w:t>. No assignment under this Section 23.2 shall relieve the assigning Party of any of its responsibilities or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hereunder and, as a condition of such assignment, the assignee shall agree in writing to be bound by all obligations of the assigning Party hereunder. This Agreement shall be binding upon the successors and permitted assigns of the Parties.</w:t>
      </w:r>
    </w:p>
    <w:p>
      <w:pPr>
        <w:spacing w:after="0" w:line="157" w:lineRule="exact"/>
        <w:rPr>
          <w:rFonts w:ascii="Arial" w:cs="Arial" w:eastAsia="Arial" w:hAnsi="Arial"/>
          <w:sz w:val="17"/>
          <w:szCs w:val="17"/>
          <w:color w:val="auto"/>
        </w:rPr>
      </w:pPr>
    </w:p>
    <w:p>
      <w:pPr>
        <w:ind w:left="1240" w:hanging="253"/>
        <w:spacing w:after="0"/>
        <w:tabs>
          <w:tab w:leader="none" w:pos="1240" w:val="left"/>
        </w:tabs>
        <w:numPr>
          <w:ilvl w:val="0"/>
          <w:numId w:val="408"/>
        </w:numPr>
        <w:rPr>
          <w:rFonts w:ascii="Arial" w:cs="Arial" w:eastAsia="Arial" w:hAnsi="Arial"/>
          <w:sz w:val="18"/>
          <w:szCs w:val="18"/>
          <w:color w:val="auto"/>
        </w:rPr>
      </w:pPr>
      <w:r>
        <w:rPr>
          <w:rFonts w:ascii="Arial" w:cs="Arial" w:eastAsia="Arial" w:hAnsi="Arial"/>
          <w:sz w:val="18"/>
          <w:szCs w:val="18"/>
          <w:b w:val="1"/>
          <w:bCs w:val="1"/>
          <w:color w:val="auto"/>
        </w:rPr>
        <w:t>Void Assignments</w:t>
      </w:r>
      <w:r>
        <w:rPr>
          <w:rFonts w:ascii="Arial" w:cs="Arial" w:eastAsia="Arial" w:hAnsi="Arial"/>
          <w:sz w:val="18"/>
          <w:szCs w:val="18"/>
          <w:color w:val="auto"/>
        </w:rPr>
        <w:t>. Any assignment not in accordance with this Section 23.2 shall be void.</w:t>
      </w:r>
    </w:p>
    <w:p>
      <w:pPr>
        <w:spacing w:after="0" w:line="225" w:lineRule="exact"/>
        <w:rPr>
          <w:sz w:val="20"/>
          <w:szCs w:val="20"/>
          <w:color w:val="auto"/>
        </w:rPr>
      </w:pPr>
    </w:p>
    <w:p>
      <w:pPr>
        <w:ind w:right="100" w:firstLine="440"/>
        <w:spacing w:after="0" w:line="303" w:lineRule="auto"/>
        <w:rPr>
          <w:sz w:val="20"/>
          <w:szCs w:val="20"/>
          <w:color w:val="auto"/>
        </w:rPr>
      </w:pPr>
      <w:r>
        <w:rPr>
          <w:rFonts w:ascii="Arial" w:cs="Arial" w:eastAsia="Arial" w:hAnsi="Arial"/>
          <w:sz w:val="16"/>
          <w:szCs w:val="16"/>
          <w:b w:val="1"/>
          <w:bCs w:val="1"/>
          <w:color w:val="auto"/>
        </w:rPr>
        <w:t>23.3 Performance and Exercise by Affiliates</w:t>
      </w:r>
      <w:r>
        <w:rPr>
          <w:rFonts w:ascii="Arial" w:cs="Arial" w:eastAsia="Arial" w:hAnsi="Arial"/>
          <w:sz w:val="16"/>
          <w:szCs w:val="16"/>
          <w:color w:val="auto"/>
        </w:rPr>
        <w:t>. Client shall have the right to have any of its obligations hereunder performed, or its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exercised, by, any of its Affiliates and the performance of such obligations by any such Affiliate(s) shall be deemed to be performance by Client; provided, however, that Client shall be responsible for ensuring the performance of its obligations under this Agreement and that any failure of any Affiliate performing obligations of Client hereunder shall be deemed to be a failure by Client to perform such obligations.</w:t>
      </w:r>
    </w:p>
    <w:p>
      <w:pPr>
        <w:spacing w:after="0" w:line="15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23.4 Occurrence of Force Majeure Event</w:t>
      </w:r>
      <w:r>
        <w:rPr>
          <w:rFonts w:ascii="Arial" w:cs="Arial" w:eastAsia="Arial" w:hAnsi="Arial"/>
          <w:sz w:val="17"/>
          <w:szCs w:val="17"/>
          <w:color w:val="auto"/>
        </w:rPr>
        <w:t>. If any Force Majeure Event occurs in relation to either Party which affects or may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any of its material obligations (other than the payment of money) under this Agreement, it shall use all Commercially Reasonable Efforts to mitigate the effects of such delay or prevention upon the performance of its obligations under this Agreement, promptly notify the other Party as to the nature and extent of such Force Majeure Event, and resume performance of its obligations as soon as reasonably possible after the removal of the cause of the delay or prevention. Neither Party shall be deemed to be in breach of this Agreement, or shall be otherwise liable to the other Party, by reason only of any delay in performance, or the non-performance of any of its obligations hereunder, to the extent that the delay or non-performance is due to any Force Majeure Event of which it has duly notified the other Party, and the time for performance of that obligation shall be extended accordingly. Without limiting Client’s right to terminate this Agreement pursuant to Section 19.3, if the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440" w:top="269" w:right="539" w:bottom="1440" w:gutter="0" w:footer="0" w:header="0"/>
        </w:sectPr>
      </w:pPr>
    </w:p>
    <w:bookmarkStart w:id="529" w:name="page530"/>
    <w:bookmarkEnd w:id="529"/>
    <w:p>
      <w:pPr>
        <w:jc w:val="both"/>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by either Party of any of its obligations under this Agreement is prevented or delayed by a Force Majeure Event for a continuous period in excess of [***], the Parties shall enter into bona fide discussions with a view to alleviating its effects, or to agreeing upon such alternative arrangements as may be fair and reasonable in the circumstances.</w:t>
      </w:r>
    </w:p>
    <w:p>
      <w:pPr>
        <w:spacing w:after="0" w:line="180"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23.5 No Trademark Rights</w:t>
      </w:r>
      <w:r>
        <w:rPr>
          <w:rFonts w:ascii="Arial" w:cs="Arial" w:eastAsia="Arial" w:hAnsi="Arial"/>
          <w:sz w:val="18"/>
          <w:szCs w:val="18"/>
          <w:color w:val="auto"/>
        </w:rPr>
        <w:t>. No right, express or implied, is granted by this Agreement to a Party to use in any manner the name or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trade name or trademark of the other Party in connection with the performance of this Agreement or otherwise, unless otherwise expressly provided in writing between the Parties.</w:t>
      </w:r>
    </w:p>
    <w:p>
      <w:pPr>
        <w:spacing w:after="0" w:line="176"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b w:val="1"/>
          <w:bCs w:val="1"/>
          <w:color w:val="auto"/>
        </w:rPr>
        <w:t>23.6 Entire Agreement of the Parties; Amendments</w:t>
      </w:r>
      <w:r>
        <w:rPr>
          <w:rFonts w:ascii="Arial" w:cs="Arial" w:eastAsia="Arial" w:hAnsi="Arial"/>
          <w:sz w:val="18"/>
          <w:szCs w:val="18"/>
          <w:color w:val="auto"/>
        </w:rPr>
        <w:t>. This Agreement and the Schedules hereto constitute and contain the entire understanding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agreement of the Parties respecting the subject matter hereof and cancel and supersede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3"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23.7 Captions</w:t>
      </w:r>
      <w:r>
        <w:rPr>
          <w:rFonts w:ascii="Arial" w:cs="Arial" w:eastAsia="Arial" w:hAnsi="Arial"/>
          <w:sz w:val="18"/>
          <w:szCs w:val="18"/>
          <w:color w:val="auto"/>
        </w:rPr>
        <w:t>. The captions to this Agreement are for convenience only, and are to be of no force or effect in construing or interpreting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this Agreement.</w:t>
      </w:r>
    </w:p>
    <w:p>
      <w:pPr>
        <w:spacing w:after="0" w:line="162"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23.8 Governing Law and Jurisdiction</w:t>
      </w:r>
      <w:r>
        <w:rPr>
          <w:rFonts w:ascii="Arial" w:cs="Arial" w:eastAsia="Arial" w:hAnsi="Arial"/>
          <w:sz w:val="17"/>
          <w:szCs w:val="17"/>
          <w:color w:val="auto"/>
        </w:rPr>
        <w:t>. This Agreement shall be governed by and interpreted in accordance with the laws of the State of New</w:t>
      </w:r>
      <w:r>
        <w:rPr>
          <w:rFonts w:ascii="Arial" w:cs="Arial" w:eastAsia="Arial" w:hAnsi="Arial"/>
          <w:sz w:val="17"/>
          <w:szCs w:val="17"/>
          <w:b w:val="1"/>
          <w:bCs w:val="1"/>
          <w:color w:val="auto"/>
        </w:rPr>
        <w:t xml:space="preserve"> </w:t>
      </w:r>
      <w:r>
        <w:rPr>
          <w:rFonts w:ascii="Arial" w:cs="Arial" w:eastAsia="Arial" w:hAnsi="Arial"/>
          <w:sz w:val="17"/>
          <w:szCs w:val="17"/>
          <w:color w:val="auto"/>
        </w:rPr>
        <w:t>York, USA, without giving effect to principles of conflict of laws, 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Intellectual Property rights. Subject to the prior requirements of Article 22, the Parties agree to resolve all their disputes arising out of or in connection with this Agreement by arbitration administered in accordance with the procedural rules of the International Court of Arbitration of the International Chamber of Commerce (the “</w:t>
      </w:r>
      <w:r>
        <w:rPr>
          <w:rFonts w:ascii="Arial" w:cs="Arial" w:eastAsia="Arial" w:hAnsi="Arial"/>
          <w:sz w:val="17"/>
          <w:szCs w:val="17"/>
          <w:u w:val="single" w:color="auto"/>
          <w:color w:val="auto"/>
        </w:rPr>
        <w:t>ICC</w:t>
      </w:r>
      <w:r>
        <w:rPr>
          <w:rFonts w:ascii="Arial" w:cs="Arial" w:eastAsia="Arial" w:hAnsi="Arial"/>
          <w:sz w:val="17"/>
          <w:szCs w:val="17"/>
          <w:color w:val="auto"/>
        </w:rPr>
        <w:t>”) in effect at the time of submission. The arbitration will be governed by the laws of the State of New York, USA. The place of arbitration will be New York. The official language of the arbitration will be English. The tribunal will consist of one arbitrator having at least ten years of experience in manufacturing in the biopharmaceutical industry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including all Purchase Orders then in effect.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7"/>
          <w:szCs w:val="17"/>
          <w:b w:val="1"/>
          <w:bCs w:val="1"/>
          <w:color w:val="auto"/>
        </w:rPr>
        <w:t xml:space="preserve">23.9 Notice. </w:t>
      </w:r>
      <w:r>
        <w:rPr>
          <w:rFonts w:ascii="Arial" w:cs="Arial" w:eastAsia="Arial" w:hAnsi="Arial"/>
          <w:sz w:val="17"/>
          <w:szCs w:val="17"/>
          <w:color w:val="auto"/>
        </w:rPr>
        <w:t>Any notice to be given by either Party under or in connection with this Agreement to the other Party must be in writing in English</w:t>
      </w:r>
      <w:r>
        <w:rPr>
          <w:rFonts w:ascii="Arial" w:cs="Arial" w:eastAsia="Arial" w:hAnsi="Arial"/>
          <w:sz w:val="17"/>
          <w:szCs w:val="17"/>
          <w:b w:val="1"/>
          <w:bCs w:val="1"/>
          <w:color w:val="auto"/>
        </w:rPr>
        <w:t xml:space="preserve"> </w:t>
      </w:r>
      <w:r>
        <w:rPr>
          <w:rFonts w:ascii="Arial" w:cs="Arial" w:eastAsia="Arial" w:hAnsi="Arial"/>
          <w:sz w:val="17"/>
          <w:szCs w:val="17"/>
          <w:color w:val="auto"/>
        </w:rPr>
        <w:t>and shall be: (a) delivered by hand or by courier; (b) sent by pre-paid recorded (</w:t>
      </w:r>
      <w:r>
        <w:rPr>
          <w:rFonts w:ascii="Arial" w:cs="Arial" w:eastAsia="Arial" w:hAnsi="Arial"/>
          <w:sz w:val="17"/>
          <w:szCs w:val="17"/>
          <w:i w:val="1"/>
          <w:iCs w:val="1"/>
          <w:color w:val="auto"/>
        </w:rPr>
        <w:t>i.e.</w:t>
      </w:r>
      <w:r>
        <w:rPr>
          <w:rFonts w:ascii="Arial" w:cs="Arial" w:eastAsia="Arial" w:hAnsi="Arial"/>
          <w:sz w:val="17"/>
          <w:szCs w:val="17"/>
          <w:color w:val="auto"/>
        </w:rPr>
        <w:t xml:space="preserve"> signed for) post or airmail or express overnight courier; or (c) sent by fax, to the addresses set out below (or such other address or number as may be notified to the other Party from time to time):</w:t>
      </w:r>
    </w:p>
    <w:p>
      <w:pPr>
        <w:spacing w:after="0" w:line="5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WuXi Biologics: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530" w:name="page531"/>
    <w:bookmarkEnd w:id="5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Client: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Unless there is evidence that it was received earlier, notices sent in accordance with this Section 23.9 are to be deemed to have been received: if delivered by hand or by courier, when left at the address referred to above; if sent by post to an address within the country of postage, [***] after posting it; if sent by airmail or overnight express courier to an address outside the country of postage, [***] after posting it; or if sent by fax, when transmitted, provided that if deemed receipt occurs before 9am on a Working Day the notice shall be deemed to have been received at 9am on that day, and if deemed receipt occurs after 5pm on a Working Day, or on a day which is not a Working Day, the notice shall be deemed to have been received at 9am on the next Working Day.</w:t>
      </w:r>
    </w:p>
    <w:p>
      <w:pPr>
        <w:spacing w:after="0" w:line="188"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23.10 Waiver</w:t>
      </w:r>
      <w:r>
        <w:rPr>
          <w:rFonts w:ascii="Arial" w:cs="Arial" w:eastAsia="Arial" w:hAnsi="Arial"/>
          <w:sz w:val="18"/>
          <w:szCs w:val="18"/>
          <w:color w:val="auto"/>
        </w:rPr>
        <w:t>. A waiver by either Party of any of the terms and conditions of this Agreement in any instance shall not be deemed or construed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0" w:lineRule="exact"/>
        <w:rPr>
          <w:sz w:val="20"/>
          <w:szCs w:val="20"/>
          <w:color w:val="auto"/>
        </w:rPr>
      </w:pPr>
    </w:p>
    <w:p>
      <w:pPr>
        <w:ind w:right="200" w:firstLine="440"/>
        <w:spacing w:after="0" w:line="258" w:lineRule="auto"/>
        <w:rPr>
          <w:sz w:val="20"/>
          <w:szCs w:val="20"/>
          <w:color w:val="auto"/>
        </w:rPr>
      </w:pPr>
      <w:r>
        <w:rPr>
          <w:rFonts w:ascii="Arial" w:cs="Arial" w:eastAsia="Arial" w:hAnsi="Arial"/>
          <w:sz w:val="18"/>
          <w:szCs w:val="18"/>
          <w:b w:val="1"/>
          <w:bCs w:val="1"/>
          <w:color w:val="auto"/>
        </w:rPr>
        <w:t>23.11 Severability</w:t>
      </w:r>
      <w:r>
        <w:rPr>
          <w:rFonts w:ascii="Arial" w:cs="Arial" w:eastAsia="Arial" w:hAnsi="Arial"/>
          <w:sz w:val="18"/>
          <w:szCs w:val="18"/>
          <w:color w:val="auto"/>
        </w:rPr>
        <w:t>. When possible, each provision of this Agreement will be interpreted in such manner as to be effective and valid under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but if any provision of this Agreement is held to be prohibited by or invalid under Applicable Law, such provision will be ineffective only to the extent of such prohibition or invalidity, without invalidating the remainder of this Agreement. The Parties shall make a good faith effort to replace the invalid or unenforceable provision with a valid one which in its economic effect is most consistent with the invalid or unenforceable provision.</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b w:val="1"/>
          <w:bCs w:val="1"/>
          <w:color w:val="auto"/>
        </w:rPr>
        <w:t>23.12 No Implied License</w:t>
      </w:r>
      <w:r>
        <w:rPr>
          <w:rFonts w:ascii="Arial" w:cs="Arial" w:eastAsia="Arial" w:hAnsi="Arial"/>
          <w:sz w:val="18"/>
          <w:szCs w:val="18"/>
          <w:color w:val="auto"/>
        </w:rPr>
        <w:t>. Except as set forth in Section 3.3 no right or license is granted to WuXi Biologics or Client hereunder by implication,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estoppel, or otherwise to any know-how, patent or other Intellectual Property right owned or controlled by Client or its Affiliates, or by WuXi Biologics or its Affiliates, respectively.</w:t>
      </w:r>
    </w:p>
    <w:p>
      <w:pPr>
        <w:spacing w:after="0" w:line="176"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23.13 Interpretation; Independent Counsel</w:t>
      </w:r>
      <w:r>
        <w:rPr>
          <w:rFonts w:ascii="Arial" w:cs="Arial" w:eastAsia="Arial" w:hAnsi="Arial"/>
          <w:sz w:val="18"/>
          <w:szCs w:val="18"/>
          <w:color w:val="auto"/>
        </w:rPr>
        <w:t>. The words “include,” “includes” and “including” shall be deemed to be followed by the phrase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limitation.” All references herein to Articles, Sections, and Schedules shall be deemed references to Articles and Sections of, and Schedules to, this Agreement unless the context shall otherwise require. Unless the context otherwise requires, countries shall include territories. Each Party has had the opportunity to consult independent counsel, and as such, this Agreement will not be construed to have been drafted by one Party or the other but will be construed as having been jointly drafted when interpreting its provisions.</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Arial" w:cs="Arial" w:eastAsia="Arial" w:hAnsi="Arial"/>
          <w:sz w:val="18"/>
          <w:szCs w:val="18"/>
          <w:b w:val="1"/>
          <w:bCs w:val="1"/>
          <w:color w:val="auto"/>
        </w:rPr>
        <w:t>23.14 Counterparts</w:t>
      </w:r>
      <w:r>
        <w:rPr>
          <w:rFonts w:ascii="Arial" w:cs="Arial" w:eastAsia="Arial" w:hAnsi="Arial"/>
          <w:sz w:val="18"/>
          <w:szCs w:val="18"/>
          <w:color w:val="auto"/>
        </w:rPr>
        <w:t>. This Agreement may be executed in counterparts, each of which will be deemed an original, and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be one and the same instrument. A facsimile or a portable document format (PDF) copy of this Agreement, including the signature pages, will be deemed an original.</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3" w:right="459" w:bottom="1440" w:gutter="0" w:footer="0" w:header="0"/>
        </w:sectPr>
      </w:pPr>
    </w:p>
    <w:bookmarkStart w:id="531" w:name="page532"/>
    <w:bookmarkEnd w:id="53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duly authorized representatives, as of the Effective Date.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Adagio Therapeutics, Inc.</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WuXi Biologics (Hong Kong) Limited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jc w:val="right"/>
              <w:ind w:right="4030"/>
              <w:spacing w:after="0" w:line="195" w:lineRule="exact"/>
              <w:rPr>
                <w:sz w:val="20"/>
                <w:szCs w:val="20"/>
                <w:color w:val="auto"/>
              </w:rPr>
            </w:pPr>
            <w:r>
              <w:rPr>
                <w:rFonts w:ascii="Arial" w:cs="Arial" w:eastAsia="Arial" w:hAnsi="Arial"/>
                <w:sz w:val="18"/>
                <w:szCs w:val="18"/>
                <w:color w:val="auto"/>
              </w:rPr>
              <w:t>[***]</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jc w:val="right"/>
              <w:ind w:right="4030"/>
              <w:spacing w:after="0" w:line="195" w:lineRule="exact"/>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jc w:val="right"/>
              <w:ind w:right="4030"/>
              <w:spacing w:after="0"/>
              <w:rPr>
                <w:sz w:val="20"/>
                <w:szCs w:val="20"/>
                <w:color w:val="auto"/>
              </w:rPr>
            </w:pPr>
            <w:r>
              <w:rPr>
                <w:rFonts w:ascii="Arial" w:cs="Arial" w:eastAsia="Arial" w:hAnsi="Arial"/>
                <w:sz w:val="18"/>
                <w:szCs w:val="18"/>
                <w:color w:val="auto"/>
              </w:rPr>
              <w:t>[***]</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jc w:val="right"/>
              <w:ind w:right="4030"/>
              <w:spacing w:after="0"/>
              <w:rPr>
                <w:sz w:val="20"/>
                <w:szCs w:val="20"/>
                <w:color w:val="auto"/>
              </w:rPr>
            </w:pPr>
            <w:r>
              <w:rPr>
                <w:rFonts w:ascii="Arial" w:cs="Arial" w:eastAsia="Arial" w:hAnsi="Arial"/>
                <w:sz w:val="18"/>
                <w:szCs w:val="18"/>
                <w:color w:val="auto"/>
              </w:rPr>
              <w:t>[***]</w:t>
            </w:r>
          </w:p>
        </w:tc>
      </w:tr>
      <w:tr>
        <w:trPr>
          <w:trHeight w:val="365"/>
        </w:trPr>
        <w:tc>
          <w:tcPr>
            <w:tcW w:w="5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Arial" w:cs="Arial" w:eastAsia="Arial" w:hAnsi="Arial"/>
                <w:sz w:val="18"/>
                <w:szCs w:val="18"/>
                <w:color w:val="auto"/>
              </w:rPr>
              <w:t>30</w:t>
            </w:r>
          </w:p>
        </w:tc>
        <w:tc>
          <w:tcPr>
            <w:tcW w:w="4620" w:type="dxa"/>
            <w:vAlign w:val="bottom"/>
          </w:tcPr>
          <w:p>
            <w:pPr>
              <w:spacing w:after="0"/>
              <w:rPr>
                <w:sz w:val="24"/>
                <w:szCs w:val="24"/>
                <w:color w:val="auto"/>
              </w:rPr>
            </w:pPr>
          </w:p>
        </w:tc>
      </w:tr>
    </w:tbl>
    <w:p>
      <w:pPr>
        <w:sectPr>
          <w:pgSz w:w="11900" w:h="16838" w:orient="portrait"/>
          <w:cols w:equalWidth="0" w:num="1">
            <w:col w:w="11020"/>
          </w:cols>
          <w:pgMar w:left="440" w:top="273" w:right="439" w:bottom="1440" w:gutter="0" w:footer="0" w:header="0"/>
        </w:sectPr>
      </w:pPr>
    </w:p>
    <w:bookmarkStart w:id="532" w:name="page533"/>
    <w:bookmarkEnd w:id="532"/>
    <w:p>
      <w:pPr>
        <w:jc w:val="center"/>
        <w:ind w:right="1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 – PRODUCT AND PRICE</w:t>
      </w:r>
    </w:p>
    <w:p>
      <w:pPr>
        <w:sectPr>
          <w:pgSz w:w="11900" w:h="16838" w:orient="portrait"/>
          <w:cols w:equalWidth="0" w:num="1">
            <w:col w:w="9019"/>
          </w:cols>
          <w:pgMar w:left="1440" w:top="269"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9019"/>
          </w:cols>
          <w:pgMar w:left="1440" w:top="269" w:right="1440" w:bottom="1440" w:gutter="0" w:footer="0" w:header="0"/>
          <w:type w:val="continuous"/>
        </w:sectPr>
      </w:pPr>
    </w:p>
    <w:bookmarkStart w:id="533" w:name="page534"/>
    <w:bookmarkEnd w:id="533"/>
    <w:p>
      <w:pPr>
        <w:jc w:val="right"/>
        <w:ind w:right="28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 – QUALITY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440" w:top="269" w:right="1440" w:bottom="1440" w:gutter="0" w:footer="0" w:header="0"/>
        </w:sectPr>
      </w:pPr>
    </w:p>
    <w:bookmarkStart w:id="534" w:name="page535"/>
    <w:bookmarkEnd w:id="534"/>
    <w:p>
      <w:pPr>
        <w:jc w:val="right"/>
        <w:ind w:right="3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 – KPIs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019"/>
          </w:cols>
          <w:pgMar w:left="440" w:top="269" w:right="1440" w:bottom="1440" w:gutter="0" w:footer="0" w:header="0"/>
        </w:sectPr>
      </w:pPr>
    </w:p>
    <w:bookmarkStart w:id="535" w:name="page536"/>
    <w:bookmarkEnd w:id="535"/>
    <w:p>
      <w:pPr>
        <w:jc w:val="right"/>
        <w:ind w:right="1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 –WuXi Biologics’ Affiliate Subcontractors and Scope of Work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019"/>
          </w:cols>
          <w:pgMar w:left="440" w:top="269" w:right="1440" w:bottom="1440" w:gutter="0" w:footer="0" w:header="0"/>
        </w:sectPr>
      </w:pPr>
    </w:p>
    <w:bookmarkStart w:id="536" w:name="page537"/>
    <w:bookmarkEnd w:id="536"/>
    <w:p>
      <w:pPr>
        <w:ind w:left="10124"/>
        <w:spacing w:after="0"/>
        <w:rPr>
          <w:sz w:val="20"/>
          <w:szCs w:val="20"/>
          <w:color w:val="auto"/>
        </w:rPr>
      </w:pPr>
      <w:r>
        <w:rPr>
          <w:rFonts w:ascii="Arial" w:cs="Arial" w:eastAsia="Arial" w:hAnsi="Arial"/>
          <w:sz w:val="17"/>
          <w:szCs w:val="17"/>
          <w:color w:val="auto"/>
        </w:rPr>
        <w:t>Exhibit 10.8</w:t>
      </w:r>
    </w:p>
    <w:p>
      <w:pPr>
        <w:spacing w:after="0" w:line="237"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Certain information has been excluded from this agreement (indicated by “[***]”) because such information is both not material and the type that the registrant treats as private or confidential.</w:t>
      </w:r>
    </w:p>
    <w:p>
      <w:pPr>
        <w:spacing w:after="0" w:line="3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CELL LINE LICENSE AGREEMENT</w:t>
      </w:r>
    </w:p>
    <w:p>
      <w:pPr>
        <w:spacing w:after="0" w:line="225"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color w:val="auto"/>
        </w:rPr>
        <w:t>This Cell Line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effective as of December 2, 2020 (“</w:t>
      </w:r>
      <w:r>
        <w:rPr>
          <w:rFonts w:ascii="Arial" w:cs="Arial" w:eastAsia="Arial" w:hAnsi="Arial"/>
          <w:sz w:val="18"/>
          <w:szCs w:val="18"/>
          <w:b w:val="1"/>
          <w:bCs w:val="1"/>
          <w:color w:val="auto"/>
        </w:rPr>
        <w:t>Effective Date</w:t>
      </w:r>
      <w:r>
        <w:rPr>
          <w:rFonts w:ascii="Arial" w:cs="Arial" w:eastAsia="Arial" w:hAnsi="Arial"/>
          <w:sz w:val="18"/>
          <w:szCs w:val="18"/>
          <w:color w:val="auto"/>
        </w:rPr>
        <w:t>”), is entered and made by and between WuXi Biologics (Hong Kong) Limited, having an address at Flat/RM826, 8/F Ocean Centre Harbour City, 5 Canton Road TST, Hong Kong (“</w:t>
      </w:r>
      <w:r>
        <w:rPr>
          <w:rFonts w:ascii="Arial" w:cs="Arial" w:eastAsia="Arial" w:hAnsi="Arial"/>
          <w:sz w:val="18"/>
          <w:szCs w:val="18"/>
          <w:b w:val="1"/>
          <w:bCs w:val="1"/>
          <w:color w:val="auto"/>
        </w:rPr>
        <w:t>WuXi</w:t>
      </w:r>
      <w:r>
        <w:rPr>
          <w:rFonts w:ascii="Arial" w:cs="Arial" w:eastAsia="Arial" w:hAnsi="Arial"/>
          <w:sz w:val="18"/>
          <w:szCs w:val="18"/>
          <w:color w:val="auto"/>
        </w:rPr>
        <w:t xml:space="preserve"> </w:t>
      </w:r>
      <w:r>
        <w:rPr>
          <w:rFonts w:ascii="Arial" w:cs="Arial" w:eastAsia="Arial" w:hAnsi="Arial"/>
          <w:sz w:val="18"/>
          <w:szCs w:val="18"/>
          <w:b w:val="1"/>
          <w:bCs w:val="1"/>
          <w:color w:val="auto"/>
        </w:rPr>
        <w:t>Biologics</w:t>
      </w:r>
      <w:r>
        <w:rPr>
          <w:rFonts w:ascii="Arial" w:cs="Arial" w:eastAsia="Arial" w:hAnsi="Arial"/>
          <w:sz w:val="18"/>
          <w:szCs w:val="18"/>
          <w:color w:val="auto"/>
        </w:rPr>
        <w:t>”) and Adagio Therapeutics, Inc., having an address at 303 Wyman Street, Suite 300, Waltham, MA 02451 (“</w:t>
      </w:r>
      <w:r>
        <w:rPr>
          <w:rFonts w:ascii="Arial" w:cs="Arial" w:eastAsia="Arial" w:hAnsi="Arial"/>
          <w:sz w:val="18"/>
          <w:szCs w:val="18"/>
          <w:b w:val="1"/>
          <w:bCs w:val="1"/>
          <w:color w:val="auto"/>
        </w:rPr>
        <w:t>Licensee</w:t>
      </w:r>
      <w:r>
        <w:rPr>
          <w:rFonts w:ascii="Arial" w:cs="Arial" w:eastAsia="Arial" w:hAnsi="Arial"/>
          <w:sz w:val="18"/>
          <w:szCs w:val="18"/>
          <w:color w:val="auto"/>
        </w:rPr>
        <w:t>”). WuXi Biologics and</w:t>
      </w:r>
      <w:r>
        <w:rPr>
          <w:rFonts w:ascii="Arial" w:cs="Arial" w:eastAsia="Arial" w:hAnsi="Arial"/>
          <w:sz w:val="18"/>
          <w:szCs w:val="18"/>
          <w:b w:val="1"/>
          <w:bCs w:val="1"/>
          <w:color w:val="auto"/>
        </w:rPr>
        <w:t xml:space="preserve"> </w:t>
      </w:r>
      <w:r>
        <w:rPr>
          <w:rFonts w:ascii="Arial" w:cs="Arial" w:eastAsia="Arial" w:hAnsi="Arial"/>
          <w:sz w:val="18"/>
          <w:szCs w:val="18"/>
          <w:color w:val="auto"/>
        </w:rPr>
        <w:t>Licensee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329" w:lineRule="exact"/>
        <w:rPr>
          <w:sz w:val="20"/>
          <w:szCs w:val="20"/>
          <w:color w:val="auto"/>
        </w:rPr>
      </w:pPr>
    </w:p>
    <w:p>
      <w:pPr>
        <w:ind w:left="184" w:hanging="184"/>
        <w:spacing w:after="0"/>
        <w:tabs>
          <w:tab w:leader="none" w:pos="184" w:val="left"/>
        </w:tabs>
        <w:numPr>
          <w:ilvl w:val="0"/>
          <w:numId w:val="40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121"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Terms defined elsewhere in this Agreement will have the meanings set forth therein for all purposes of this Agreement unless otherwise specified to the contrary. The following terms will have the meaning set forth below in this Article 1.</w:t>
      </w:r>
    </w:p>
    <w:p>
      <w:pPr>
        <w:spacing w:after="0" w:line="58"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of a person means any other person that directly or indirectly Controls, is Controlled by, or is under common Control with, the person.</w:t>
      </w:r>
    </w:p>
    <w:p>
      <w:pPr>
        <w:spacing w:after="0" w:line="54" w:lineRule="exact"/>
        <w:rPr>
          <w:sz w:val="20"/>
          <w:szCs w:val="20"/>
          <w:color w:val="auto"/>
        </w:rPr>
      </w:pPr>
    </w:p>
    <w:p>
      <w:pPr>
        <w:ind w:left="444" w:right="20"/>
        <w:spacing w:after="0" w:line="287" w:lineRule="auto"/>
        <w:rPr>
          <w:sz w:val="20"/>
          <w:szCs w:val="20"/>
          <w:color w:val="auto"/>
        </w:rPr>
      </w:pPr>
      <w:r>
        <w:rPr>
          <w:rFonts w:ascii="Arial" w:cs="Arial" w:eastAsia="Arial" w:hAnsi="Arial"/>
          <w:sz w:val="16"/>
          <w:szCs w:val="16"/>
          <w:color w:val="auto"/>
        </w:rPr>
        <w:t>1.2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of a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means all information and materials disclosed by or on behalf of the Party to the other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or its Personnel in connection with this Agreement, including all confidential, non-public, proprietary and/or trade secret information or materials owned or controlled by a Party, including technical, scientific and other know-how and information, trade secrets, knowledge, technology, means, methods, processes, practices, formulas, instructions, skills, techniques, procedures, specifications, data, results and other material, pre-clinical and clinical trial results, manufacturing procedures, test procedures and purification and isolation techniques, other procedures related to the license granted hereunder, and any tangible embodiments of any of the foregoing, and any scientific, manufacturing, marketing and business plans, any financial, pricing, and personnel matters relating to a Party or its present or future products, sales, suppliers, customers, employees, investors or business. The Confidential Information of both Parties includes the existence, terms and objectives of this Agreement, and the nature of any dispute and the outcome of any arbitration proceedings arising out of or in connection with this Agreement. For the avoidance of doubt, (a) any information relating to Licensee Product, including but not limited to any gene proprietary to Licensee inserted into WuXi Biologics’ Construct(s) used for the purpose of creating a Licensed Cell Line (but excluding the Licensed Know-How, the Host Cell Line and the Construct(s)), and each Licensee Product is Licensee’s Confidential Information, as to which Licensee will be deemed the Disclosing Party and WuXi Biologics will be deemed the Receiving Party in all circumstances and regardless of</w:t>
      </w:r>
    </w:p>
    <w:p>
      <w:pPr>
        <w:sectPr>
          <w:pgSz w:w="11900" w:h="16838" w:orient="portrait"/>
          <w:cols w:equalWidth="0" w:num="1">
            <w:col w:w="11024"/>
          </w:cols>
          <w:pgMar w:left="436" w:top="125" w:right="439" w:bottom="1440" w:gutter="0" w:footer="0" w:header="0"/>
        </w:sectPr>
      </w:pPr>
    </w:p>
    <w:bookmarkStart w:id="537" w:name="page538"/>
    <w:bookmarkEnd w:id="537"/>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Party initially disclosing the same and (b) the Licensed Know-How, the Host Cell Line and the Construct(s) will be deemed WuXi Biologics’ Confidential Information. As between the Parties, Licensee shall solely own all of Licensee’s Confidential Information and WuXi Biologics shall own all WuXi Biologics’ Confidential Information.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Confidential Information excludes information that:</w:t>
      </w:r>
    </w:p>
    <w:p>
      <w:pPr>
        <w:spacing w:after="0" w:line="131" w:lineRule="exact"/>
        <w:rPr>
          <w:sz w:val="20"/>
          <w:szCs w:val="20"/>
          <w:color w:val="auto"/>
        </w:rPr>
      </w:pPr>
    </w:p>
    <w:p>
      <w:pPr>
        <w:ind w:left="1300" w:right="660" w:hanging="539"/>
        <w:spacing w:after="0" w:line="308" w:lineRule="auto"/>
        <w:tabs>
          <w:tab w:leader="none" w:pos="12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at the time of disclosure to Receiving Party is in the public domain, other than as a result of a breach of an obligation of confidentiality or non-use or other misappropriation (including act or omission of Receiving Party);</w:t>
      </w:r>
    </w:p>
    <w:p>
      <w:pPr>
        <w:spacing w:after="0" w:line="52" w:lineRule="exact"/>
        <w:rPr>
          <w:sz w:val="20"/>
          <w:szCs w:val="20"/>
          <w:color w:val="auto"/>
        </w:rPr>
      </w:pPr>
    </w:p>
    <w:p>
      <w:pPr>
        <w:ind w:left="1300" w:right="80" w:hanging="539"/>
        <w:spacing w:after="0" w:line="277" w:lineRule="auto"/>
        <w:tabs>
          <w:tab w:leader="none" w:pos="1280" w:val="left"/>
        </w:tabs>
        <w:rPr>
          <w:sz w:val="20"/>
          <w:szCs w:val="20"/>
          <w:color w:val="auto"/>
        </w:rPr>
      </w:pPr>
      <w:r>
        <w:rPr>
          <w:rFonts w:ascii="Arial" w:cs="Arial" w:eastAsia="Arial" w:hAnsi="Arial"/>
          <w:sz w:val="18"/>
          <w:szCs w:val="18"/>
          <w:color w:val="auto"/>
        </w:rPr>
        <w:t>1.2.2</w:t>
        <w:tab/>
        <w:t>was known by Receiving Party prior to receipt from Disclosing Party, without restriction to confidentiality or use (as proven by Receiving Party’s written records);</w:t>
      </w:r>
    </w:p>
    <w:p>
      <w:pPr>
        <w:spacing w:after="0" w:line="76" w:lineRule="exact"/>
        <w:rPr>
          <w:sz w:val="20"/>
          <w:szCs w:val="20"/>
          <w:color w:val="auto"/>
        </w:rPr>
      </w:pPr>
    </w:p>
    <w:p>
      <w:pPr>
        <w:ind w:left="1300" w:right="200" w:hanging="539"/>
        <w:spacing w:after="0" w:line="277" w:lineRule="auto"/>
        <w:tabs>
          <w:tab w:leader="none" w:pos="1280" w:val="left"/>
        </w:tabs>
        <w:rPr>
          <w:sz w:val="20"/>
          <w:szCs w:val="20"/>
          <w:color w:val="auto"/>
        </w:rPr>
      </w:pPr>
      <w:r>
        <w:rPr>
          <w:rFonts w:ascii="Arial" w:cs="Arial" w:eastAsia="Arial" w:hAnsi="Arial"/>
          <w:sz w:val="18"/>
          <w:szCs w:val="18"/>
          <w:color w:val="auto"/>
        </w:rPr>
        <w:t>1.2.3</w:t>
        <w:tab/>
        <w:t>is disclosed to Receiving Party by a Third Party without an obligation of confidentiality and having the legal right to do so (as proven by Receiving Party’s written records); or</w:t>
      </w:r>
    </w:p>
    <w:p>
      <w:pPr>
        <w:spacing w:after="0" w:line="76" w:lineRule="exact"/>
        <w:rPr>
          <w:sz w:val="20"/>
          <w:szCs w:val="20"/>
          <w:color w:val="auto"/>
        </w:rPr>
      </w:pPr>
    </w:p>
    <w:p>
      <w:pPr>
        <w:ind w:left="1300" w:right="320" w:hanging="539"/>
        <w:spacing w:after="0" w:line="277" w:lineRule="auto"/>
        <w:tabs>
          <w:tab w:leader="none" w:pos="1280" w:val="left"/>
        </w:tabs>
        <w:rPr>
          <w:sz w:val="20"/>
          <w:szCs w:val="20"/>
          <w:color w:val="auto"/>
        </w:rPr>
      </w:pPr>
      <w:r>
        <w:rPr>
          <w:rFonts w:ascii="Arial" w:cs="Arial" w:eastAsia="Arial" w:hAnsi="Arial"/>
          <w:sz w:val="18"/>
          <w:szCs w:val="18"/>
          <w:color w:val="auto"/>
        </w:rPr>
        <w:t>1.2.4</w:t>
        <w:tab/>
        <w:t>is independently developed by Receiving Party without any benefit of or reference to, and not being derived or arising from, Confidential Information of the Disclosing Party (as proven by Receiving Party’s written records).</w:t>
      </w:r>
    </w:p>
    <w:p>
      <w:pPr>
        <w:spacing w:after="0" w:line="58"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Construct</w:t>
      </w:r>
      <w:r>
        <w:rPr>
          <w:rFonts w:ascii="Arial" w:cs="Arial" w:eastAsia="Arial" w:hAnsi="Arial"/>
          <w:sz w:val="18"/>
          <w:szCs w:val="18"/>
          <w:color w:val="auto"/>
        </w:rPr>
        <w:t>” means a proprietary [***] developed by WuXi Biologics that is used for delivering genetic code and for transfecting and/or transforming the Host Cell Line for purposes of creating the applicable Licensed Cell Line.</w:t>
      </w:r>
    </w:p>
    <w:p>
      <w:pPr>
        <w:spacing w:after="0" w:line="54"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“Control</w:t>
      </w:r>
      <w:r>
        <w:rPr>
          <w:rFonts w:ascii="Arial" w:cs="Arial" w:eastAsia="Arial" w:hAnsi="Arial"/>
          <w:sz w:val="18"/>
          <w:szCs w:val="18"/>
          <w:color w:val="auto"/>
        </w:rPr>
        <w:t>” over an entity means (a) owning fifty percent (50%) or more of the voting securities or other ownership interests of such entity or (b) having the power to direct the management or policies of such entity.</w:t>
      </w:r>
    </w:p>
    <w:p>
      <w:pPr>
        <w:spacing w:after="0" w:line="54"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b w:val="1"/>
          <w:bCs w:val="1"/>
          <w:color w:val="auto"/>
        </w:rPr>
        <w:t>“Drug Product”</w:t>
      </w:r>
      <w:r>
        <w:rPr>
          <w:rFonts w:ascii="Arial" w:cs="Arial" w:eastAsia="Arial" w:hAnsi="Arial"/>
          <w:sz w:val="16"/>
          <w:szCs w:val="16"/>
          <w:color w:val="auto"/>
        </w:rPr>
        <w:t xml:space="preserve"> means the applicable final dosage form product (including all formulations, presentations and dosage strengths thereof) which contains Licensee Product produced by the applicable Licensed Cell Line, in association with other active or inactive ingredients.</w:t>
      </w:r>
    </w:p>
    <w:p>
      <w:pPr>
        <w:spacing w:after="0" w:line="8"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color w:val="auto"/>
        </w:rPr>
        <w:t>“Drug Substance”</w:t>
      </w:r>
      <w:r>
        <w:rPr>
          <w:rFonts w:ascii="Arial" w:cs="Arial" w:eastAsia="Arial" w:hAnsi="Arial"/>
          <w:sz w:val="18"/>
          <w:szCs w:val="18"/>
          <w:color w:val="auto"/>
        </w:rPr>
        <w:t xml:space="preserve"> means bulk Licensee Product produced by the applicable Licensed Cell Line, which has not yet been packaged into its final dosage form.</w:t>
      </w:r>
    </w:p>
    <w:p>
      <w:pPr>
        <w:spacing w:after="0" w:line="5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Global Sales”</w:t>
      </w:r>
      <w:r>
        <w:rPr>
          <w:rFonts w:ascii="Arial" w:cs="Arial" w:eastAsia="Arial" w:hAnsi="Arial"/>
          <w:sz w:val="18"/>
          <w:szCs w:val="18"/>
          <w:color w:val="auto"/>
        </w:rPr>
        <w:t xml:space="preserve"> means the gross invoice price by Licensee or its Affiliates or sublicensees, as the case may be, for all Drug Products sold by Licensee or its Affiliates or sublicensees (“</w:t>
      </w:r>
      <w:r>
        <w:rPr>
          <w:rFonts w:ascii="Arial" w:cs="Arial" w:eastAsia="Arial" w:hAnsi="Arial"/>
          <w:sz w:val="18"/>
          <w:szCs w:val="18"/>
          <w:b w:val="1"/>
          <w:bCs w:val="1"/>
          <w:color w:val="auto"/>
        </w:rPr>
        <w:t>Selling Party</w:t>
      </w:r>
      <w:r>
        <w:rPr>
          <w:rFonts w:ascii="Arial" w:cs="Arial" w:eastAsia="Arial" w:hAnsi="Arial"/>
          <w:sz w:val="18"/>
          <w:szCs w:val="18"/>
          <w:color w:val="auto"/>
        </w:rPr>
        <w:t>”), under this Agreement in arm’s length sales to Third Parties less deductions allowed to the Third Party customer by the Selling Party on such sales for: (a) trade, quantity, and cash discounts; (b) credits, billing errors, rebates (including those to</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 of 17</w:t>
      </w:r>
    </w:p>
    <w:p>
      <w:pPr>
        <w:sectPr>
          <w:pgSz w:w="11900" w:h="16838" w:orient="portrait"/>
          <w:cols w:equalWidth="0" w:num="1">
            <w:col w:w="10560"/>
          </w:cols>
          <w:pgMar w:left="880" w:top="273" w:right="459" w:bottom="1440" w:gutter="0" w:footer="0" w:header="0"/>
        </w:sectPr>
      </w:pPr>
    </w:p>
    <w:bookmarkStart w:id="538" w:name="page539"/>
    <w:bookmarkEnd w:id="53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managed-care entities and government agencies), allowances, charge-backs, reimbursements, credits or similar payments to customers on account of rejection, damage or returns (including, but not limited to, wholesaler and retailer returns) or on account of retroactive price reductions affecting such Drug Product; (c) freight, postage, duties, insurance or other transportation costs; (d) sales and excise taxes, other consumption taxes, tariffs, customs duties and compulsory payments to governmental authorities and any other governmental charges imposed upon the sale of such Drug Product to Third Parties; (e) any payment in respect of sales, which payment is made to the United States government any state government or any foreign government, or any other governmental authority, or with respect to any government subsidized program or managed care organization or deductions for Health Care Reform fees; or any other any deductions to gross invoice price imposed by any regulatory authority or other governmental entities, including fees on prescription drug manufacturers imposed by the Patient Protection and Affordable Care Act, Pub. L. No. 111-148 (as amended); and (f) any other specifically identifiable amounts included in gross sales that were or ultimately will be credited and that are substantially similar to those listed above. Global Sales shall not include sales of a Drug Product for use in clinical trials or expanded access or samples given free of charge. In addition, the Selling Party may exclude from Global Sales a reasonable provision not to exceed [***] for any given calendar quarter for uncollectible accounts (provided that any amount written off that is subsequently collected will be treated as Global Sales in the calendar quarter in which it is collected), to the extent such reserve is determined in accordance with generally accepted accounting standards, consistently applied across all product lines of the particular Party. Notwithstanding the foregoing, Global Sales shall not include sales among Licensee, its Affiliates and sublicensees for resale, provided that such resale shall be included within Global Sales.</w:t>
      </w:r>
    </w:p>
    <w:p>
      <w:pPr>
        <w:spacing w:after="0" w:line="5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If Drug Product is sold as part of a Combination Product (where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pharmaceutical product or regimen which comprises Drug Product and other active compounds(s) and/or active ingredients and is sold at a single offering price), Global Sales shall be calculated by multiplying the Global Sales of the Combination Product by the fraction A/(A+B), where A is the weighted average sale price of Drug Product when sold separately in finished form and B is the weighted average sale price of the other product(s) sold separately in finished form.</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that the weighted average sale price of Drug Product can be determined but the weighted average sale price of the other product(s) cannot be determined, Global Sales shall be calculated by multiplying the Global Sales of the Combination Product by the fraction A / C where A is the weighted average sale price of Drug Product when sold separately in finished form and C is the weighted average sale price of the Combination Product.</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 of 17</w:t>
      </w:r>
    </w:p>
    <w:p>
      <w:pPr>
        <w:sectPr>
          <w:pgSz w:w="11900" w:h="16838" w:orient="portrait"/>
          <w:cols w:equalWidth="0" w:num="1">
            <w:col w:w="10540"/>
          </w:cols>
          <w:pgMar w:left="880" w:top="273" w:right="479" w:bottom="1440" w:gutter="0" w:footer="0" w:header="0"/>
        </w:sectPr>
      </w:pPr>
    </w:p>
    <w:bookmarkStart w:id="539" w:name="page540"/>
    <w:bookmarkEnd w:id="539"/>
    <w:p>
      <w:pPr>
        <w:ind w:left="4"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the weighted average sale price of the other product(s) can be determined but the weighted average sale price of Drug Product cannot be determined, Global Sales shall be calculated by multiplying the Global Sales of the Combination Product by the following formula: one</w:t>
      </w:r>
    </w:p>
    <w:p>
      <w:pPr>
        <w:ind w:left="4" w:right="180" w:hanging="4"/>
        <w:spacing w:after="0" w:line="260" w:lineRule="auto"/>
        <w:tabs>
          <w:tab w:leader="none" w:pos="258" w:val="left"/>
        </w:tabs>
        <w:numPr>
          <w:ilvl w:val="0"/>
          <w:numId w:val="410"/>
        </w:numPr>
        <w:rPr>
          <w:rFonts w:ascii="Arial" w:cs="Arial" w:eastAsia="Arial" w:hAnsi="Arial"/>
          <w:sz w:val="18"/>
          <w:szCs w:val="18"/>
          <w:color w:val="auto"/>
        </w:rPr>
      </w:pPr>
      <w:r>
        <w:rPr>
          <w:rFonts w:ascii="Arial" w:cs="Arial" w:eastAsia="Arial" w:hAnsi="Arial"/>
          <w:sz w:val="18"/>
          <w:szCs w:val="18"/>
          <w:color w:val="auto"/>
        </w:rPr>
        <w:t>minus (B / C) where B is the weighted average sale price of the other product(s) when sold separately in finished form and C is the weighted average sale price of the Combination Product.</w:t>
      </w:r>
    </w:p>
    <w:p>
      <w:pPr>
        <w:spacing w:after="0" w:line="77"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In the event that the weighted average sale price of both Drug Product and the other products(s) in the Combination Product cannot be determined, the Global Sales of Drug Product shall be negotiated by the Parties in good faith.</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color w:val="auto"/>
        </w:rPr>
        <w:t>“Host Cell Line”</w:t>
      </w:r>
      <w:r>
        <w:rPr>
          <w:rFonts w:ascii="Arial" w:cs="Arial" w:eastAsia="Arial" w:hAnsi="Arial"/>
          <w:sz w:val="18"/>
          <w:szCs w:val="18"/>
          <w:color w:val="auto"/>
        </w:rPr>
        <w:t xml:space="preserve"> means the proprietary cell line developed by WuXi Biologics, and designated by WuXi Biologics as the [***].</w:t>
      </w:r>
    </w:p>
    <w:p>
      <w:pPr>
        <w:spacing w:after="0" w:line="117" w:lineRule="exact"/>
        <w:rPr>
          <w:sz w:val="20"/>
          <w:szCs w:val="20"/>
          <w:color w:val="auto"/>
        </w:rPr>
      </w:pPr>
    </w:p>
    <w:p>
      <w:pPr>
        <w:ind w:left="4" w:right="200"/>
        <w:spacing w:after="0" w:line="289" w:lineRule="auto"/>
        <w:rPr>
          <w:sz w:val="20"/>
          <w:szCs w:val="20"/>
          <w:color w:val="auto"/>
        </w:rPr>
      </w:pPr>
      <w:r>
        <w:rPr>
          <w:rFonts w:ascii="Arial" w:cs="Arial" w:eastAsia="Arial" w:hAnsi="Arial"/>
          <w:sz w:val="17"/>
          <w:szCs w:val="17"/>
          <w:color w:val="auto"/>
        </w:rPr>
        <w:t xml:space="preserve">1.9 </w:t>
      </w:r>
      <w:r>
        <w:rPr>
          <w:rFonts w:ascii="Arial" w:cs="Arial" w:eastAsia="Arial" w:hAnsi="Arial"/>
          <w:sz w:val="17"/>
          <w:szCs w:val="17"/>
          <w:b w:val="1"/>
          <w:bCs w:val="1"/>
          <w:color w:val="auto"/>
        </w:rPr>
        <w:t>“Licensed Cell Line”</w:t>
      </w:r>
      <w:r>
        <w:rPr>
          <w:rFonts w:ascii="Arial" w:cs="Arial" w:eastAsia="Arial" w:hAnsi="Arial"/>
          <w:sz w:val="17"/>
          <w:szCs w:val="17"/>
          <w:color w:val="auto"/>
        </w:rPr>
        <w:t xml:space="preserve"> means a transformed or transfected (using WuXi Biologics’ Construct(s)) version of the Host Cell Line that produces the applicable Licensee Product. Each applicable Licensed Cell Line covered under this Agreement shall be specified in Appendix I once such Licensed Cell Line is identified. An amendment to Appendix I is required for each new Licensed Cell Line.</w:t>
      </w:r>
    </w:p>
    <w:p>
      <w:pPr>
        <w:spacing w:after="0" w:line="50" w:lineRule="exact"/>
        <w:rPr>
          <w:sz w:val="20"/>
          <w:szCs w:val="20"/>
          <w:color w:val="auto"/>
        </w:rPr>
      </w:pPr>
    </w:p>
    <w:p>
      <w:pPr>
        <w:ind w:left="4" w:right="100"/>
        <w:spacing w:after="0" w:line="292"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color w:val="auto"/>
        </w:rPr>
        <w:t>“Licensed Know-How”</w:t>
      </w:r>
      <w:r>
        <w:rPr>
          <w:rFonts w:ascii="Arial" w:cs="Arial" w:eastAsia="Arial" w:hAnsi="Arial"/>
          <w:sz w:val="16"/>
          <w:szCs w:val="16"/>
          <w:color w:val="auto"/>
        </w:rPr>
        <w:t xml:space="preserve"> means any know-how, technical and other non-public information, data and results, confidential or otherwise, owned or controlled by WuXi Biologics that is used or incorporated in the Process in connection with the applicable Licensed Cell Line or that is necessary or reasonably useful to operate the Process or to manufacture or use the applicable Licensed Cell Line or to develop, manufacture, use, sell or otherwise exploit Licensee Product, in each case, as may be described in the Technology Transfer Package. The word “control” when used in connection with Licensed Know-How includes both exclusively and non-exclusively licensed know-how, technical and other non-public information, data and results, confidential or otherwise, as well as a right of WuXi Biologics to license (or otherwise transfer) such know-how, technical and other non-public information, data and results, confidential or otherwise, to Licensee to the extent set forth in this Agreement.</w:t>
      </w:r>
    </w:p>
    <w:p>
      <w:pPr>
        <w:spacing w:after="0" w:line="53" w:lineRule="exact"/>
        <w:rPr>
          <w:sz w:val="20"/>
          <w:szCs w:val="20"/>
          <w:color w:val="auto"/>
        </w:rPr>
      </w:pPr>
    </w:p>
    <w:p>
      <w:pPr>
        <w:ind w:left="4" w:right="120"/>
        <w:spacing w:after="0" w:line="26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“Licensee Product”</w:t>
      </w:r>
      <w:r>
        <w:rPr>
          <w:rFonts w:ascii="Arial" w:cs="Arial" w:eastAsia="Arial" w:hAnsi="Arial"/>
          <w:sz w:val="18"/>
          <w:szCs w:val="18"/>
          <w:color w:val="auto"/>
        </w:rPr>
        <w:t xml:space="preserve"> means the applicable recombinant protein product of interest to Licensee which is designated by Licensee to be produced by the applicable Licensed Cell Line. Each applicable Licensee Product covered under this Agreement shall be specified in Appendix I once such Licensee Product is identified. An amendment to Appendix I is required for each new Licensee Product produced by a Licensed Cell Line.</w:t>
      </w:r>
    </w:p>
    <w:p>
      <w:pPr>
        <w:spacing w:after="0" w:line="72" w:lineRule="exact"/>
        <w:rPr>
          <w:sz w:val="20"/>
          <w:szCs w:val="20"/>
          <w:color w:val="auto"/>
        </w:rPr>
      </w:pPr>
    </w:p>
    <w:p>
      <w:pPr>
        <w:ind w:left="4" w:right="560"/>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“Materials”</w:t>
      </w:r>
      <w:r>
        <w:rPr>
          <w:rFonts w:ascii="Arial" w:cs="Arial" w:eastAsia="Arial" w:hAnsi="Arial"/>
          <w:sz w:val="18"/>
          <w:szCs w:val="18"/>
          <w:color w:val="auto"/>
        </w:rPr>
        <w:t xml:space="preserve"> means the biological materials, including the applicable Licensed Cell Line, provided to Licensee pursuant to the license granted under this Agreement.</w:t>
      </w:r>
    </w:p>
    <w:p>
      <w:pPr>
        <w:spacing w:after="0" w:line="54" w:lineRule="exact"/>
        <w:rPr>
          <w:sz w:val="20"/>
          <w:szCs w:val="20"/>
          <w:color w:val="auto"/>
        </w:rPr>
      </w:pPr>
    </w:p>
    <w:p>
      <w:pPr>
        <w:ind w:left="4" w:right="60"/>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Media and Feeds</w:t>
      </w:r>
      <w:r>
        <w:rPr>
          <w:rFonts w:ascii="Arial" w:cs="Arial" w:eastAsia="Arial" w:hAnsi="Arial"/>
          <w:sz w:val="18"/>
          <w:szCs w:val="18"/>
          <w:color w:val="auto"/>
        </w:rPr>
        <w:t>” means any proprietary media and feeds used in the Process that are commercially available and not proprietary to WuXi Biologics.</w:t>
      </w:r>
    </w:p>
    <w:p>
      <w:pPr>
        <w:spacing w:after="0" w:line="98"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4 of 17</w:t>
      </w:r>
    </w:p>
    <w:p>
      <w:pPr>
        <w:sectPr>
          <w:pgSz w:w="11900" w:h="16838" w:orient="portrait"/>
          <w:cols w:equalWidth="0" w:num="1">
            <w:col w:w="10564"/>
          </w:cols>
          <w:pgMar w:left="876" w:top="273" w:right="459" w:bottom="1440" w:gutter="0" w:footer="0" w:header="0"/>
        </w:sectPr>
      </w:pPr>
    </w:p>
    <w:bookmarkStart w:id="540" w:name="page541"/>
    <w:bookmarkEnd w:id="540"/>
    <w:p>
      <w:pPr>
        <w:ind w:left="444"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 “</w:t>
      </w:r>
      <w:r>
        <w:rPr>
          <w:rFonts w:ascii="Arial" w:cs="Arial" w:eastAsia="Arial" w:hAnsi="Arial"/>
          <w:sz w:val="18"/>
          <w:szCs w:val="18"/>
          <w:b w:val="1"/>
          <w:bCs w:val="1"/>
          <w:color w:val="auto"/>
        </w:rPr>
        <w:t>Patent Rights</w:t>
      </w:r>
      <w:r>
        <w:rPr>
          <w:rFonts w:ascii="Arial" w:cs="Arial" w:eastAsia="Arial" w:hAnsi="Arial"/>
          <w:sz w:val="18"/>
          <w:szCs w:val="18"/>
          <w:color w:val="auto"/>
        </w:rPr>
        <w:t>” means (i) patents and patent applications of any kind throughout the world whether national or regional, (ii) author certificates, inventor certificates, improvement patents, utility certificates and models and certificates of addition, (iii) divisions, renewals, continuations, continuations in part, reissues, patent disclosures, improvements, substitutions, confirmations, registrations, validations, re-examinations, additions and extensions of reissue thereof, and (iv) any foreign counterparts of any of the foregoing. Patent Rights in connection with the Licensed Cell Line existing as of the Effective Date and necessary for Licensee’s use of the license granted in Article 2.1 are set out in Appendix II hereto.</w:t>
      </w:r>
    </w:p>
    <w:p>
      <w:pPr>
        <w:spacing w:after="0" w:line="79" w:lineRule="exact"/>
        <w:rPr>
          <w:sz w:val="20"/>
          <w:szCs w:val="20"/>
          <w:color w:val="auto"/>
        </w:rPr>
      </w:pPr>
    </w:p>
    <w:p>
      <w:pPr>
        <w:ind w:left="444" w:right="360"/>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“Personnel”</w:t>
      </w:r>
      <w:r>
        <w:rPr>
          <w:rFonts w:ascii="Arial" w:cs="Arial" w:eastAsia="Arial" w:hAnsi="Arial"/>
          <w:sz w:val="18"/>
          <w:szCs w:val="18"/>
          <w:color w:val="auto"/>
        </w:rPr>
        <w:t xml:space="preserve"> with respect to a Party, such Party’s Affiliates and the sublicensee of such Party and its Affiliates, their respective directors, officers, employees and agents.</w:t>
      </w:r>
    </w:p>
    <w:p>
      <w:pPr>
        <w:spacing w:after="0" w:line="54" w:lineRule="exact"/>
        <w:rPr>
          <w:sz w:val="20"/>
          <w:szCs w:val="20"/>
          <w:color w:val="auto"/>
        </w:rPr>
      </w:pPr>
    </w:p>
    <w:p>
      <w:pPr>
        <w:ind w:left="444"/>
        <w:spacing w:after="0" w:line="282"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“Process”</w:t>
      </w:r>
      <w:r>
        <w:rPr>
          <w:rFonts w:ascii="Arial" w:cs="Arial" w:eastAsia="Arial" w:hAnsi="Arial"/>
          <w:sz w:val="18"/>
          <w:szCs w:val="18"/>
          <w:color w:val="auto"/>
        </w:rPr>
        <w:t xml:space="preserve"> means a process for manufacture of Licensee Product utilizing Licensed Know-How, Patent Rights, Materials, Media and Feeds as described in the Technology Transfer Package.</w:t>
      </w:r>
    </w:p>
    <w:p>
      <w:pPr>
        <w:spacing w:after="0" w:line="54" w:lineRule="exact"/>
        <w:rPr>
          <w:sz w:val="20"/>
          <w:szCs w:val="20"/>
          <w:color w:val="auto"/>
        </w:rPr>
      </w:pPr>
    </w:p>
    <w:p>
      <w:pPr>
        <w:ind w:left="444" w:right="60"/>
        <w:spacing w:after="0" w:line="261"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“Regulatory Approval”</w:t>
      </w:r>
      <w:r>
        <w:rPr>
          <w:rFonts w:ascii="Arial" w:cs="Arial" w:eastAsia="Arial" w:hAnsi="Arial"/>
          <w:sz w:val="18"/>
          <w:szCs w:val="18"/>
          <w:color w:val="auto"/>
        </w:rPr>
        <w:t xml:space="preserve"> means any and all approvals (including pricing and reimbursement approvals), product and establishment licenses, registrations or authorizations of any kind of a regulatory authority necessary for the development, clinical testing, manufacture, quality testing, supply, use, storage, importation, export, transport, marketing and sale of a Licensee Product (or any component thereof) for use in any country or other jurisdiction.</w:t>
      </w:r>
    </w:p>
    <w:p>
      <w:pPr>
        <w:spacing w:after="0" w:line="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Research Cell Bank</w:t>
      </w:r>
      <w:r>
        <w:rPr>
          <w:rFonts w:ascii="Arial" w:cs="Arial" w:eastAsia="Arial" w:hAnsi="Arial"/>
          <w:sz w:val="18"/>
          <w:szCs w:val="18"/>
          <w:color w:val="auto"/>
        </w:rPr>
        <w:t>” is a [***].</w:t>
      </w:r>
    </w:p>
    <w:p>
      <w:pPr>
        <w:spacing w:after="0" w:line="117" w:lineRule="exact"/>
        <w:rPr>
          <w:sz w:val="20"/>
          <w:szCs w:val="20"/>
          <w:color w:val="auto"/>
        </w:rPr>
      </w:pPr>
    </w:p>
    <w:p>
      <w:pPr>
        <w:ind w:left="444" w:right="20"/>
        <w:spacing w:after="0" w:line="282"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Technology Transfer Package</w:t>
      </w:r>
      <w:r>
        <w:rPr>
          <w:rFonts w:ascii="Arial" w:cs="Arial" w:eastAsia="Arial" w:hAnsi="Arial"/>
          <w:sz w:val="18"/>
          <w:szCs w:val="18"/>
          <w:color w:val="auto"/>
        </w:rPr>
        <w:t>” means the information and data to be provided to Licensee describing [***] that are necessary for Licensee to manufacture Licensee Product by using the applicable Licensed Cell Line and/or the Process.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b w:val="1"/>
          <w:bCs w:val="1"/>
          <w:color w:val="auto"/>
        </w:rPr>
        <w:t>“Third Party”</w:t>
      </w:r>
      <w:r>
        <w:rPr>
          <w:rFonts w:ascii="Arial" w:cs="Arial" w:eastAsia="Arial" w:hAnsi="Arial"/>
          <w:sz w:val="18"/>
          <w:szCs w:val="18"/>
          <w:color w:val="auto"/>
        </w:rPr>
        <w:t xml:space="preserve"> means any person other than the Parties to this Agreement.</w:t>
      </w:r>
    </w:p>
    <w:p>
      <w:pPr>
        <w:spacing w:after="0" w:line="117" w:lineRule="exact"/>
        <w:rPr>
          <w:sz w:val="20"/>
          <w:szCs w:val="20"/>
          <w:color w:val="auto"/>
        </w:rPr>
      </w:pPr>
    </w:p>
    <w:p>
      <w:pPr>
        <w:jc w:val="both"/>
        <w:ind w:left="444" w:right="320"/>
        <w:spacing w:after="0" w:line="26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“Third Party Manufacturer”</w:t>
      </w:r>
      <w:r>
        <w:rPr>
          <w:rFonts w:ascii="Arial" w:cs="Arial" w:eastAsia="Arial" w:hAnsi="Arial"/>
          <w:sz w:val="18"/>
          <w:szCs w:val="18"/>
          <w:color w:val="auto"/>
        </w:rPr>
        <w:t xml:space="preserve"> means (a) a Third Party whose primary business is contract manufacturing or (b) a Third Party who has a contractual arrangement with Licensee, its Affiliates or sublicensees that includes manufacturing of Licensee Product, Drug Substance, and/or Drug Product by such Third Party for Licensee, its Affiliate or such sublicensee.</w:t>
      </w:r>
    </w:p>
    <w:p>
      <w:pPr>
        <w:spacing w:after="0" w:line="324" w:lineRule="exact"/>
        <w:rPr>
          <w:sz w:val="20"/>
          <w:szCs w:val="20"/>
          <w:color w:val="auto"/>
        </w:rPr>
      </w:pPr>
    </w:p>
    <w:p>
      <w:pPr>
        <w:ind w:left="424" w:hanging="424"/>
        <w:spacing w:after="0"/>
        <w:tabs>
          <w:tab w:leader="none" w:pos="424" w:val="left"/>
        </w:tabs>
        <w:numPr>
          <w:ilvl w:val="0"/>
          <w:numId w:val="411"/>
        </w:numPr>
        <w:rPr>
          <w:rFonts w:ascii="Arial" w:cs="Arial" w:eastAsia="Arial" w:hAnsi="Arial"/>
          <w:sz w:val="18"/>
          <w:szCs w:val="18"/>
          <w:color w:val="auto"/>
        </w:rPr>
      </w:pPr>
      <w:r>
        <w:rPr>
          <w:rFonts w:ascii="Arial" w:cs="Arial" w:eastAsia="Arial" w:hAnsi="Arial"/>
          <w:sz w:val="18"/>
          <w:szCs w:val="18"/>
          <w:b w:val="1"/>
          <w:bCs w:val="1"/>
          <w:u w:val="single" w:color="auto"/>
          <w:color w:val="auto"/>
        </w:rPr>
        <w:t>License</w:t>
      </w:r>
    </w:p>
    <w:p>
      <w:pPr>
        <w:spacing w:after="0" w:line="121" w:lineRule="exact"/>
        <w:rPr>
          <w:rFonts w:ascii="Arial" w:cs="Arial" w:eastAsia="Arial" w:hAnsi="Arial"/>
          <w:sz w:val="18"/>
          <w:szCs w:val="18"/>
          <w:color w:val="auto"/>
        </w:rPr>
      </w:pPr>
    </w:p>
    <w:p>
      <w:pPr>
        <w:jc w:val="both"/>
        <w:ind w:left="444" w:right="1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License Grant</w:t>
      </w:r>
      <w:r>
        <w:rPr>
          <w:rFonts w:ascii="Arial" w:cs="Arial" w:eastAsia="Arial" w:hAnsi="Arial"/>
          <w:sz w:val="18"/>
          <w:szCs w:val="18"/>
          <w:color w:val="auto"/>
        </w:rPr>
        <w:t>. WuXi Biologics hereby grants to Licensee and its Affiliates a [***], license, with the right to grant sublicenses as provided in Article 2.3, under the Licensed Know-How, Patent Rights, to use the Materials (including each applicable Licensed Cell Line), Media and Feeds, and to operate the Process for the manufacture of the Licensee Product, in each case, owned or controlled by WuXi Biologics (or its Affiliates) in order 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 of 17</w:t>
      </w:r>
    </w:p>
    <w:p>
      <w:pPr>
        <w:sectPr>
          <w:pgSz w:w="11900" w:h="16838" w:orient="portrait"/>
          <w:cols w:equalWidth="0" w:num="1">
            <w:col w:w="11004"/>
          </w:cols>
          <w:pgMar w:left="436" w:top="269" w:right="459" w:bottom="1440" w:gutter="0" w:footer="0" w:header="0"/>
        </w:sectPr>
      </w:pPr>
    </w:p>
    <w:bookmarkStart w:id="541" w:name="page542"/>
    <w:bookmarkEnd w:id="541"/>
    <w:p>
      <w:pPr>
        <w:ind w:left="664" w:hanging="224"/>
        <w:spacing w:after="0"/>
        <w:tabs>
          <w:tab w:leader="none" w:pos="664" w:val="left"/>
        </w:tabs>
        <w:numPr>
          <w:ilvl w:val="0"/>
          <w:numId w:val="4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develop, practice, make, have made, import, use, have used, sell, offer for sale, have sold and otherwise exploit Licensee Product</w:t>
      </w:r>
    </w:p>
    <w:p>
      <w:pPr>
        <w:spacing w:after="0" w:line="46" w:lineRule="exact"/>
        <w:rPr>
          <w:rFonts w:ascii="Arial" w:cs="Arial" w:eastAsia="Arial" w:hAnsi="Arial"/>
          <w:sz w:val="16"/>
          <w:szCs w:val="16"/>
          <w:color w:val="auto"/>
        </w:rPr>
      </w:pPr>
    </w:p>
    <w:p>
      <w:pPr>
        <w:ind w:left="444" w:right="80" w:hanging="4"/>
        <w:spacing w:after="0" w:line="260" w:lineRule="auto"/>
        <w:tabs>
          <w:tab w:leader="none" w:pos="709"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research, develop, practice, make, have made, import, use, have used, sell, offer for sale, have sold and otherwise exploit Drug Substance and Drug Product for any and all purposes and (iii) to create master cell banks and working cell banks.</w:t>
      </w:r>
    </w:p>
    <w:p>
      <w:pPr>
        <w:spacing w:after="0" w:line="77" w:lineRule="exact"/>
        <w:rPr>
          <w:sz w:val="20"/>
          <w:szCs w:val="20"/>
          <w:color w:val="auto"/>
        </w:rPr>
      </w:pPr>
    </w:p>
    <w:p>
      <w:pPr>
        <w:ind w:left="444"/>
        <w:spacing w:after="0" w:line="273"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Third Party Manufacturer</w:t>
      </w:r>
      <w:r>
        <w:rPr>
          <w:rFonts w:ascii="Arial" w:cs="Arial" w:eastAsia="Arial" w:hAnsi="Arial"/>
          <w:sz w:val="17"/>
          <w:szCs w:val="17"/>
          <w:color w:val="auto"/>
        </w:rPr>
        <w:t>. The Licensee, its Affiliates or its or their sublicensees may contract with a Third Party Manufacturer for the limited purpose of using the Licensed Know-How, and Patent Rights to operate the Process and/or use Materials or each Licensed Cell Line in order to develop and manufacture Licensee Product on behalf of the Licensee or its Affiliates, provided that, such Third Party Manufactures are contractually bound to comply with the terms of this Agreement, and that the Licensee will remain liable for any Third Party Manufacturers’ breach of this Agreement. For the avoidance of doubt, a Third Party Manufacturer cannot manufacture Licensee Product utilizing the license granted hereunder without first being contracted with Licensee or its Affiliates or sublicensees.</w:t>
      </w:r>
    </w:p>
    <w:p>
      <w:pPr>
        <w:spacing w:after="0" w:line="70" w:lineRule="exact"/>
        <w:rPr>
          <w:sz w:val="20"/>
          <w:szCs w:val="20"/>
          <w:color w:val="auto"/>
        </w:rPr>
      </w:pPr>
    </w:p>
    <w:p>
      <w:pPr>
        <w:ind w:left="444" w:right="40"/>
        <w:spacing w:after="0" w:line="301"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Sublicensing</w:t>
      </w:r>
      <w:r>
        <w:rPr>
          <w:rFonts w:ascii="Arial" w:cs="Arial" w:eastAsia="Arial" w:hAnsi="Arial"/>
          <w:sz w:val="16"/>
          <w:szCs w:val="16"/>
          <w:color w:val="auto"/>
        </w:rPr>
        <w:t>. Subject to the terms and conditions of this Agreement, Licensee shall have the right to grant sublicenses to a Third Party for the rights granted to Licensee under this Agreement. Each sublicense agreement shall be in writing and provide that the applicable sublicensee is bound by all applicable terms and conditions of this Agreement, and Licensee shall remain liable for any sublicensee’s breach of this Agreement. Licensee shall inform WuXi Biologics in writing within [***] from the date of execution of any and all such sublicenses.</w:t>
      </w:r>
    </w:p>
    <w:p>
      <w:pPr>
        <w:spacing w:after="0" w:line="49"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This license granted under this Article 2 starts on the date WuXi Biologics completes transfection of the Host Cell Line to generate the applicable Licensed Cell Line (the “</w:t>
      </w:r>
      <w:r>
        <w:rPr>
          <w:rFonts w:ascii="Arial" w:cs="Arial" w:eastAsia="Arial" w:hAnsi="Arial"/>
          <w:sz w:val="18"/>
          <w:szCs w:val="18"/>
          <w:b w:val="1"/>
          <w:bCs w:val="1"/>
          <w:color w:val="auto"/>
        </w:rPr>
        <w:t>Commencement Date</w:t>
      </w:r>
      <w:r>
        <w:rPr>
          <w:rFonts w:ascii="Arial" w:cs="Arial" w:eastAsia="Arial" w:hAnsi="Arial"/>
          <w:sz w:val="18"/>
          <w:szCs w:val="18"/>
          <w:color w:val="auto"/>
        </w:rPr>
        <w:t>”).</w:t>
      </w:r>
    </w:p>
    <w:p>
      <w:pPr>
        <w:spacing w:after="0" w:line="315" w:lineRule="exact"/>
        <w:rPr>
          <w:sz w:val="20"/>
          <w:szCs w:val="20"/>
          <w:color w:val="auto"/>
        </w:rPr>
      </w:pPr>
    </w:p>
    <w:p>
      <w:pPr>
        <w:ind w:left="424" w:hanging="424"/>
        <w:spacing w:after="0"/>
        <w:tabs>
          <w:tab w:leader="none" w:pos="424" w:val="left"/>
        </w:tabs>
        <w:numPr>
          <w:ilvl w:val="0"/>
          <w:numId w:val="413"/>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Transfer of Materials and Licensed Know-How</w:t>
      </w:r>
    </w:p>
    <w:p>
      <w:pPr>
        <w:spacing w:after="0" w:line="121" w:lineRule="exact"/>
        <w:rPr>
          <w:sz w:val="20"/>
          <w:szCs w:val="20"/>
          <w:color w:val="auto"/>
        </w:rPr>
      </w:pPr>
    </w:p>
    <w:p>
      <w:pPr>
        <w:ind w:left="4" w:right="40" w:firstLine="440"/>
        <w:spacing w:after="0" w:line="272" w:lineRule="auto"/>
        <w:rPr>
          <w:sz w:val="20"/>
          <w:szCs w:val="20"/>
          <w:color w:val="auto"/>
        </w:rPr>
      </w:pPr>
      <w:r>
        <w:rPr>
          <w:rFonts w:ascii="Arial" w:cs="Arial" w:eastAsia="Arial" w:hAnsi="Arial"/>
          <w:sz w:val="17"/>
          <w:szCs w:val="17"/>
          <w:color w:val="auto"/>
        </w:rPr>
        <w:t>WuXi Biologics shall disclose and make available, and shall cause its Affiliates to disclose and make available, to Licensee, its Affiliates, or any one or more of its Third Party Manufacturers designated by Licensee, the Process, Licensed Know-How, and Materials owned or controlled by WuXi Biologics as of the Commencement Date, that are necessary or reasonably useful for Licensee, its Affiliates, sublicensees and/or any one or more Third Party Manufacturer to independently operate the Process (as described in the Technology Transfer Package), use each Licensed Cell Line and/or manufacture Licensee Product. The Parties shall agree to a schedule for such transfer of the foregoing; provided that Licensee has paid the License Fee. WuXi Biologics will provide relevant data and documentation in connection with the Licensed Cell Line as required by the regulatory authority for the support of any filing by Licensee in connections with Licensee Product.</w:t>
      </w:r>
    </w:p>
    <w:p>
      <w:pPr>
        <w:spacing w:after="0" w:line="11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 of 17</w:t>
      </w:r>
    </w:p>
    <w:p>
      <w:pPr>
        <w:sectPr>
          <w:pgSz w:w="11900" w:h="16838" w:orient="portrait"/>
          <w:cols w:equalWidth="0" w:num="1">
            <w:col w:w="10964"/>
          </w:cols>
          <w:pgMar w:left="436" w:top="273" w:right="499" w:bottom="1440" w:gutter="0" w:footer="0" w:header="0"/>
        </w:sectPr>
      </w:pPr>
    </w:p>
    <w:bookmarkStart w:id="542" w:name="page543"/>
    <w:bookmarkEnd w:id="542"/>
    <w:p>
      <w:pPr>
        <w:ind w:left="424" w:hanging="424"/>
        <w:spacing w:after="0"/>
        <w:tabs>
          <w:tab w:leader="none" w:pos="424" w:val="left"/>
        </w:tabs>
        <w:numPr>
          <w:ilvl w:val="0"/>
          <w:numId w:val="4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 Fee</w:t>
      </w:r>
    </w:p>
    <w:p>
      <w:pPr>
        <w:spacing w:after="0" w:line="121"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As consideration for the license granted in Article 2 of this Agreement, Licensee agrees to pay WuXi Biologics a fixed non-creditable, non-refundable product development and license fee of one hundred fifty thousand ($150,000) USD (“</w:t>
      </w:r>
      <w:r>
        <w:rPr>
          <w:rFonts w:ascii="Arial" w:cs="Arial" w:eastAsia="Arial" w:hAnsi="Arial"/>
          <w:sz w:val="18"/>
          <w:szCs w:val="18"/>
          <w:b w:val="1"/>
          <w:bCs w:val="1"/>
          <w:color w:val="auto"/>
        </w:rPr>
        <w:t>License Fee</w:t>
      </w:r>
      <w:r>
        <w:rPr>
          <w:rFonts w:ascii="Arial" w:cs="Arial" w:eastAsia="Arial" w:hAnsi="Arial"/>
          <w:sz w:val="18"/>
          <w:szCs w:val="18"/>
          <w:color w:val="auto"/>
        </w:rPr>
        <w:t>”). WuXi Biologics shall invoice Licensee for the License Fee on the date WuXi Biologics completes [***].</w:t>
      </w:r>
    </w:p>
    <w:p>
      <w:pPr>
        <w:spacing w:after="0" w:line="328" w:lineRule="exact"/>
        <w:rPr>
          <w:sz w:val="20"/>
          <w:szCs w:val="20"/>
          <w:color w:val="auto"/>
        </w:rPr>
      </w:pPr>
    </w:p>
    <w:p>
      <w:pPr>
        <w:ind w:left="424" w:hanging="424"/>
        <w:spacing w:after="0"/>
        <w:tabs>
          <w:tab w:leader="none" w:pos="424" w:val="left"/>
        </w:tabs>
        <w:numPr>
          <w:ilvl w:val="0"/>
          <w:numId w:val="415"/>
        </w:numPr>
        <w:rPr>
          <w:rFonts w:ascii="Arial" w:cs="Arial" w:eastAsia="Arial" w:hAnsi="Arial"/>
          <w:sz w:val="18"/>
          <w:szCs w:val="18"/>
          <w:color w:val="auto"/>
        </w:rPr>
      </w:pPr>
      <w:r>
        <w:rPr>
          <w:rFonts w:ascii="Arial" w:cs="Arial" w:eastAsia="Arial" w:hAnsi="Arial"/>
          <w:sz w:val="18"/>
          <w:szCs w:val="18"/>
          <w:b w:val="1"/>
          <w:bCs w:val="1"/>
          <w:u w:val="single" w:color="auto"/>
          <w:color w:val="auto"/>
        </w:rPr>
        <w:t>Cell Line Royalties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Royalty</w:t>
      </w:r>
      <w:r>
        <w:rPr>
          <w:rFonts w:ascii="Arial" w:cs="Arial" w:eastAsia="Arial" w:hAnsi="Arial"/>
          <w:sz w:val="18"/>
          <w:szCs w:val="18"/>
          <w:color w:val="auto"/>
        </w:rPr>
        <w:t>. On a quarterly basis, commencing on the date of first commercial sale of the applicable Drug Product, Licensee shall pay a royalty on the Global Sales of such Drug Product (“</w:t>
      </w:r>
      <w:r>
        <w:rPr>
          <w:rFonts w:ascii="Arial" w:cs="Arial" w:eastAsia="Arial" w:hAnsi="Arial"/>
          <w:sz w:val="18"/>
          <w:szCs w:val="18"/>
          <w:b w:val="1"/>
          <w:bCs w:val="1"/>
          <w:color w:val="auto"/>
        </w:rPr>
        <w:t>Royalty</w:t>
      </w:r>
      <w:r>
        <w:rPr>
          <w:rFonts w:ascii="Arial" w:cs="Arial" w:eastAsia="Arial" w:hAnsi="Arial"/>
          <w:sz w:val="18"/>
          <w:szCs w:val="18"/>
          <w:color w:val="auto"/>
        </w:rPr>
        <w:t>”) in accordance with this Article 5.1.</w:t>
      </w:r>
    </w:p>
    <w:p>
      <w:pPr>
        <w:spacing w:after="0" w:line="62" w:lineRule="exact"/>
        <w:rPr>
          <w:rFonts w:ascii="Arial" w:cs="Arial" w:eastAsia="Arial" w:hAnsi="Arial"/>
          <w:sz w:val="18"/>
          <w:szCs w:val="18"/>
          <w:color w:val="auto"/>
        </w:rPr>
      </w:pPr>
    </w:p>
    <w:p>
      <w:pPr>
        <w:ind w:left="444" w:right="40" w:hanging="4"/>
        <w:spacing w:after="0" w:line="342" w:lineRule="auto"/>
        <w:tabs>
          <w:tab w:leader="none" w:pos="689" w:val="left"/>
        </w:tabs>
        <w:numPr>
          <w:ilvl w:val="1"/>
          <w:numId w:val="415"/>
        </w:numPr>
        <w:rPr>
          <w:rFonts w:ascii="Arial" w:cs="Arial" w:eastAsia="Arial" w:hAnsi="Arial"/>
          <w:sz w:val="16"/>
          <w:szCs w:val="16"/>
          <w:color w:val="auto"/>
        </w:rPr>
      </w:pPr>
      <w:r>
        <w:rPr>
          <w:rFonts w:ascii="Arial" w:cs="Arial" w:eastAsia="Arial" w:hAnsi="Arial"/>
          <w:sz w:val="16"/>
          <w:szCs w:val="16"/>
          <w:u w:val="single" w:color="auto"/>
          <w:color w:val="auto"/>
        </w:rPr>
        <w:t>Third Party Manufacturing</w:t>
      </w:r>
      <w:r>
        <w:rPr>
          <w:rFonts w:ascii="Arial" w:cs="Arial" w:eastAsia="Arial" w:hAnsi="Arial"/>
          <w:sz w:val="16"/>
          <w:szCs w:val="16"/>
          <w:color w:val="auto"/>
        </w:rPr>
        <w:t>. Subject to Article 5.1(e), if Licensee manufactures its commercial supplies of the applicable Drug Substance using a Third Party Manufacturer, Licensee shall pay to WuXi Biologics a Royalty of [***] on the Global Sales of the applicable Drug Product.</w:t>
      </w:r>
    </w:p>
    <w:p>
      <w:pPr>
        <w:spacing w:after="0" w:line="15" w:lineRule="exact"/>
        <w:rPr>
          <w:rFonts w:ascii="Arial" w:cs="Arial" w:eastAsia="Arial" w:hAnsi="Arial"/>
          <w:sz w:val="16"/>
          <w:szCs w:val="16"/>
          <w:color w:val="auto"/>
        </w:rPr>
      </w:pPr>
    </w:p>
    <w:p>
      <w:pPr>
        <w:ind w:left="444" w:right="240" w:hanging="4"/>
        <w:spacing w:after="0" w:line="263" w:lineRule="auto"/>
        <w:tabs>
          <w:tab w:leader="none" w:pos="699"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Sole Manufacturing</w:t>
      </w:r>
      <w:r>
        <w:rPr>
          <w:rFonts w:ascii="Arial" w:cs="Arial" w:eastAsia="Arial" w:hAnsi="Arial"/>
          <w:sz w:val="18"/>
          <w:szCs w:val="18"/>
          <w:color w:val="auto"/>
        </w:rPr>
        <w:t>. Subject to Article 5.1(e), if Licensee, its Affiliates or its or their sublicensees’ manufactures Licensee’s commercial supplies of the applicable Drug Substance, Licensee shall pay to WuXi Biologics a Royalty of [***] on the Global Sales of the applicable Drug Product.</w:t>
      </w:r>
    </w:p>
    <w:p>
      <w:pPr>
        <w:spacing w:after="0" w:line="75" w:lineRule="exact"/>
        <w:rPr>
          <w:rFonts w:ascii="Arial" w:cs="Arial" w:eastAsia="Arial" w:hAnsi="Arial"/>
          <w:sz w:val="18"/>
          <w:szCs w:val="18"/>
          <w:color w:val="auto"/>
        </w:rPr>
      </w:pPr>
    </w:p>
    <w:p>
      <w:pPr>
        <w:ind w:left="444" w:right="20" w:hanging="4"/>
        <w:spacing w:after="0" w:line="277" w:lineRule="auto"/>
        <w:tabs>
          <w:tab w:leader="none" w:pos="689"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t>WuXi Biologics Manufacturing</w:t>
      </w:r>
      <w:r>
        <w:rPr>
          <w:rFonts w:ascii="Arial" w:cs="Arial" w:eastAsia="Arial" w:hAnsi="Arial"/>
          <w:sz w:val="18"/>
          <w:szCs w:val="18"/>
          <w:color w:val="auto"/>
        </w:rPr>
        <w:t>. If Licensee manufactures all its commercial supplies of the applicable Drug Substance using WuXi Biologics’ or its Affiliates’ manufacturing facilities, no Royalty shall be due on the Global Sales of the applicable Drug Product.</w:t>
      </w:r>
    </w:p>
    <w:p>
      <w:pPr>
        <w:spacing w:after="0" w:line="62" w:lineRule="exact"/>
        <w:rPr>
          <w:rFonts w:ascii="Arial" w:cs="Arial" w:eastAsia="Arial" w:hAnsi="Arial"/>
          <w:sz w:val="18"/>
          <w:szCs w:val="18"/>
          <w:color w:val="auto"/>
        </w:rPr>
      </w:pPr>
    </w:p>
    <w:p>
      <w:pPr>
        <w:ind w:left="444" w:right="220" w:hanging="4"/>
        <w:spacing w:after="0" w:line="308" w:lineRule="auto"/>
        <w:tabs>
          <w:tab w:leader="none" w:pos="699"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Joint Manufacturing</w:t>
      </w:r>
      <w:r>
        <w:rPr>
          <w:rFonts w:ascii="Arial" w:cs="Arial" w:eastAsia="Arial" w:hAnsi="Arial"/>
          <w:sz w:val="17"/>
          <w:szCs w:val="17"/>
          <w:color w:val="auto"/>
        </w:rPr>
        <w:t>. Subject to Article 5.1(e), if Licensee manufactures its commercial supplies of the applicable Drug Substance through a combination of Articles 5.1(a), 5.1(b) and/or 5.1(c), Licensee shall pay to WuXi Biologics a Royalty equal to [***].</w:t>
      </w:r>
    </w:p>
    <w:p>
      <w:pPr>
        <w:spacing w:after="0" w:line="38" w:lineRule="exact"/>
        <w:rPr>
          <w:rFonts w:ascii="Arial" w:cs="Arial" w:eastAsia="Arial" w:hAnsi="Arial"/>
          <w:sz w:val="17"/>
          <w:szCs w:val="17"/>
          <w:color w:val="auto"/>
        </w:rPr>
      </w:pPr>
    </w:p>
    <w:p>
      <w:pPr>
        <w:ind w:left="684" w:hanging="244"/>
        <w:spacing w:after="0"/>
        <w:tabs>
          <w:tab w:leader="none" w:pos="684"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Failure to Manufacture</w:t>
      </w:r>
      <w:r>
        <w:rPr>
          <w:rFonts w:ascii="Arial" w:cs="Arial" w:eastAsia="Arial" w:hAnsi="Arial"/>
          <w:sz w:val="17"/>
          <w:szCs w:val="17"/>
          <w:color w:val="auto"/>
        </w:rPr>
        <w:t>. Notwithstanding any of the foregoing, if Licensee, its Affiliates or sublicensees or a Third Party Manufacturer is</w:t>
      </w:r>
    </w:p>
    <w:p>
      <w:pPr>
        <w:spacing w:after="0" w:line="34" w:lineRule="exact"/>
        <w:rPr>
          <w:rFonts w:ascii="Arial" w:cs="Arial" w:eastAsia="Arial" w:hAnsi="Arial"/>
          <w:sz w:val="17"/>
          <w:szCs w:val="17"/>
          <w:color w:val="auto"/>
        </w:rPr>
      </w:pPr>
    </w:p>
    <w:p>
      <w:pPr>
        <w:ind w:left="444" w:right="220"/>
        <w:spacing w:after="0" w:line="290" w:lineRule="auto"/>
        <w:rPr>
          <w:rFonts w:ascii="Arial" w:cs="Arial" w:eastAsia="Arial" w:hAnsi="Arial"/>
          <w:sz w:val="17"/>
          <w:szCs w:val="17"/>
          <w:color w:val="auto"/>
        </w:rPr>
      </w:pPr>
      <w:r>
        <w:rPr>
          <w:rFonts w:ascii="Arial" w:cs="Arial" w:eastAsia="Arial" w:hAnsi="Arial"/>
          <w:sz w:val="17"/>
          <w:szCs w:val="17"/>
          <w:color w:val="auto"/>
        </w:rPr>
        <w:t>manufacturing Drug Substance pursuant to Articles 5.1(a), 5.1(b) or 5.1(d), because WuXi Biologics or its Affiliates’ are unable or unwilling to manufacture the applicable Drug Substance, no Royalty shall be due on the Global Sales of the applicable Drug Product.</w:t>
      </w:r>
    </w:p>
    <w:p>
      <w:pPr>
        <w:spacing w:after="0" w:line="53"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Payment in Lieu of Royalty</w:t>
      </w:r>
      <w:r>
        <w:rPr>
          <w:rFonts w:ascii="Arial" w:cs="Arial" w:eastAsia="Arial" w:hAnsi="Arial"/>
          <w:sz w:val="18"/>
          <w:szCs w:val="18"/>
          <w:color w:val="auto"/>
        </w:rPr>
        <w:t>. Notwithstanding the foregoing, during the Term of this Agreement, upon written notice to WuXi Biologics, on a Licensed Cell Line-by-Licensed Cell Line basis, Licensee may exercise the buyout right (“</w:t>
      </w:r>
      <w:r>
        <w:rPr>
          <w:rFonts w:ascii="Arial" w:cs="Arial" w:eastAsia="Arial" w:hAnsi="Arial"/>
          <w:sz w:val="18"/>
          <w:szCs w:val="18"/>
          <w:b w:val="1"/>
          <w:bCs w:val="1"/>
          <w:color w:val="auto"/>
        </w:rPr>
        <w:t>Buyout Right</w:t>
      </w:r>
      <w:r>
        <w:rPr>
          <w:rFonts w:ascii="Arial" w:cs="Arial" w:eastAsia="Arial" w:hAnsi="Arial"/>
          <w:sz w:val="18"/>
          <w:szCs w:val="18"/>
          <w:color w:val="auto"/>
        </w:rPr>
        <w:t>”) for each Licensee Product by choosing to make a one-time lump sum payment in the amount of [***] (“</w:t>
      </w:r>
      <w:r>
        <w:rPr>
          <w:rFonts w:ascii="Arial" w:cs="Arial" w:eastAsia="Arial" w:hAnsi="Arial"/>
          <w:sz w:val="18"/>
          <w:szCs w:val="18"/>
          <w:b w:val="1"/>
          <w:bCs w:val="1"/>
          <w:color w:val="auto"/>
        </w:rPr>
        <w:t>Buyout Fee</w:t>
      </w:r>
      <w:r>
        <w:rPr>
          <w:rFonts w:ascii="Arial" w:cs="Arial" w:eastAsia="Arial" w:hAnsi="Arial"/>
          <w:sz w:val="18"/>
          <w:szCs w:val="18"/>
          <w:color w:val="auto"/>
        </w:rPr>
        <w:t>”) which shall be payable within [***] after first receipt by or on behalf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 of 17</w:t>
      </w:r>
    </w:p>
    <w:p>
      <w:pPr>
        <w:sectPr>
          <w:pgSz w:w="11900" w:h="16838" w:orient="portrait"/>
          <w:cols w:equalWidth="0" w:num="1">
            <w:col w:w="11004"/>
          </w:cols>
          <w:pgMar w:left="436" w:top="269" w:right="459" w:bottom="1440" w:gutter="0" w:footer="0" w:header="0"/>
        </w:sectPr>
      </w:pPr>
    </w:p>
    <w:bookmarkStart w:id="543" w:name="page544"/>
    <w:bookmarkEnd w:id="543"/>
    <w:p>
      <w:pPr>
        <w:ind w:left="44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Licensee or an Affiliate or sublicensee of the [***] of such Licensee Product, which payment shall satisfy all of Licensee’s Royalty payment obligations pursuant to this Agreement with respect to such Licensed Cell Line. Following such payment, Licensee shall have no further payment obligations with respect to any Royalty for Global Sales (including, for clarity, sales by Licensee, its Affiliates or sublicensees) of the applicable Drug Product produced (or otherwise derived from) from such applicable Licensed Cell Line. Further, the license granted from WuXi Biologics to Licensee under Article 2 with respect to the applicable Licensee Product, Drug Substance and Drug Product produced (or otherwise derived from) from such applicable Licensed Cell Line shall automatically (i.e. without an obligation to formally amend this Agreement) become fully paid-up, royalty-free, irrevocable and continue in perpetuity notwithstanding any termination or expiration of this Agreement. For clarity, and without limiting the foregoing, unless Licensee chooses to pay a Buyout Fee as described in this Article 5.2 with respect to the applicable Licensed Cell Line, Licensee shall pay the Royalty with respect to applicable Drug Products produced (or otherwise derived from) from such Licensed Cell Line as set forth in this Article 5.</w:t>
      </w:r>
    </w:p>
    <w:p>
      <w:pPr>
        <w:spacing w:after="0" w:line="330" w:lineRule="exact"/>
        <w:rPr>
          <w:sz w:val="20"/>
          <w:szCs w:val="20"/>
          <w:color w:val="auto"/>
        </w:rPr>
      </w:pPr>
    </w:p>
    <w:p>
      <w:pPr>
        <w:ind w:left="424" w:hanging="424"/>
        <w:spacing w:after="0"/>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Terms</w:t>
      </w:r>
    </w:p>
    <w:p>
      <w:pPr>
        <w:spacing w:after="0" w:line="121" w:lineRule="exact"/>
        <w:rPr>
          <w:rFonts w:ascii="Arial" w:cs="Arial" w:eastAsia="Arial" w:hAnsi="Arial"/>
          <w:sz w:val="18"/>
          <w:szCs w:val="18"/>
          <w:color w:val="auto"/>
        </w:rPr>
      </w:pPr>
    </w:p>
    <w:p>
      <w:pPr>
        <w:ind w:left="444"/>
        <w:spacing w:after="0" w:line="342" w:lineRule="auto"/>
        <w:rPr>
          <w:rFonts w:ascii="Arial" w:cs="Arial" w:eastAsia="Arial" w:hAnsi="Arial"/>
          <w:sz w:val="18"/>
          <w:szCs w:val="18"/>
          <w:color w:val="auto"/>
        </w:rPr>
      </w:pPr>
      <w:r>
        <w:rPr>
          <w:rFonts w:ascii="Arial" w:cs="Arial" w:eastAsia="Arial" w:hAnsi="Arial"/>
          <w:sz w:val="16"/>
          <w:szCs w:val="16"/>
          <w:color w:val="auto"/>
        </w:rPr>
        <w:t>Licensee shall pay WuXi Biologics’ undisputed invoice(s) within [***] of receipt by Licensee. Such payments will be made by wire transfer to the account designated by WuXi Biologics. Invoices must be submitted, and payment must be made, without set-off or other deduction of any nature.</w:t>
      </w:r>
    </w:p>
    <w:p>
      <w:pPr>
        <w:spacing w:after="0" w:line="268" w:lineRule="exact"/>
        <w:rPr>
          <w:rFonts w:ascii="Arial" w:cs="Arial" w:eastAsia="Arial" w:hAnsi="Arial"/>
          <w:sz w:val="18"/>
          <w:szCs w:val="18"/>
          <w:color w:val="auto"/>
        </w:rPr>
      </w:pPr>
    </w:p>
    <w:p>
      <w:pPr>
        <w:ind w:left="424" w:hanging="424"/>
        <w:spacing w:after="0"/>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b w:val="1"/>
          <w:bCs w:val="1"/>
          <w:u w:val="single" w:color="auto"/>
          <w:color w:val="auto"/>
        </w:rPr>
        <w:t>Bank Account Details</w:t>
      </w:r>
    </w:p>
    <w:p>
      <w:pPr>
        <w:spacing w:after="0" w:line="121" w:lineRule="exact"/>
        <w:rPr>
          <w:rFonts w:ascii="Arial" w:cs="Arial" w:eastAsia="Arial" w:hAnsi="Arial"/>
          <w:sz w:val="18"/>
          <w:szCs w:val="18"/>
          <w:color w:val="auto"/>
        </w:rPr>
      </w:pPr>
    </w:p>
    <w:p>
      <w:pPr>
        <w:ind w:left="444" w:right="380"/>
        <w:spacing w:after="0" w:line="277" w:lineRule="auto"/>
        <w:rPr>
          <w:rFonts w:ascii="Arial" w:cs="Arial" w:eastAsia="Arial" w:hAnsi="Arial"/>
          <w:sz w:val="18"/>
          <w:szCs w:val="18"/>
          <w:color w:val="auto"/>
        </w:rPr>
      </w:pPr>
      <w:r>
        <w:rPr>
          <w:rFonts w:ascii="Arial" w:cs="Arial" w:eastAsia="Arial" w:hAnsi="Arial"/>
          <w:sz w:val="18"/>
          <w:szCs w:val="18"/>
          <w:color w:val="auto"/>
        </w:rPr>
        <w:t>Unless the Parties otherwise mutually agree in writing, and such mutual agreement is set forth in a particular invoice, Licensee shall pay each undisputed invoice in USD by wire transfer to the account designated by WuXi Biologics.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Restriction</w:t>
      </w:r>
    </w:p>
    <w:p>
      <w:pPr>
        <w:spacing w:after="0" w:line="121" w:lineRule="exact"/>
        <w:rPr>
          <w:rFonts w:ascii="Arial" w:cs="Arial" w:eastAsia="Arial" w:hAnsi="Arial"/>
          <w:sz w:val="18"/>
          <w:szCs w:val="18"/>
          <w:color w:val="auto"/>
        </w:rPr>
      </w:pPr>
    </w:p>
    <w:p>
      <w:pPr>
        <w:ind w:left="444" w:right="60"/>
        <w:spacing w:after="0" w:line="271" w:lineRule="auto"/>
        <w:rPr>
          <w:rFonts w:ascii="Arial" w:cs="Arial" w:eastAsia="Arial" w:hAnsi="Arial"/>
          <w:sz w:val="18"/>
          <w:szCs w:val="18"/>
          <w:color w:val="auto"/>
        </w:rPr>
      </w:pPr>
      <w:r>
        <w:rPr>
          <w:rFonts w:ascii="Arial" w:cs="Arial" w:eastAsia="Arial" w:hAnsi="Arial"/>
          <w:sz w:val="17"/>
          <w:szCs w:val="17"/>
          <w:color w:val="auto"/>
        </w:rPr>
        <w:t>Licensee agrees that no attempt will be made by or on behalf of Licensee to modify or reverse engineer any Licensed Cell Line or attempt to reverse engineer, recreate or assemble the Construct(s). Licensee shall only use the applicable Licensed Cell Line in the way as permitted by this Agreement and shall not use or have used the applicable Licensed Cell Line for any purpose other than operating the Process, the manufacture of Licensee Product, Drug Substance and Drug Product, and for other purposes reasonably related to securing Regulatory Approval for Licensee Product, Drug Substance and Drug Product; provided that WuXi Biologics will provide relevant data and documentation in connection with the applicable Licensed Cell Line as required by the regulatory authority for the support of any filing in connection with Licensee Product, Drug Substance and Drug Product by Licensee. Licensee shall not transfer any Licensed Cell Line to any Third Party except to a permitted sublicensee, or Third Party Manufacturer as described in Articles 2.2 and 2.3, respectively.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 of 17</w:t>
      </w:r>
    </w:p>
    <w:p>
      <w:pPr>
        <w:sectPr>
          <w:pgSz w:w="11900" w:h="16838" w:orient="portrait"/>
          <w:cols w:equalWidth="0" w:num="1">
            <w:col w:w="11004"/>
          </w:cols>
          <w:pgMar w:left="436" w:top="273" w:right="459" w:bottom="1440" w:gutter="0" w:footer="0" w:header="0"/>
        </w:sectPr>
      </w:pPr>
    </w:p>
    <w:bookmarkStart w:id="544" w:name="page545"/>
    <w:bookmarkEnd w:id="544"/>
    <w:p>
      <w:pPr>
        <w:ind w:left="424" w:hanging="424"/>
        <w:spacing w:after="0"/>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p>
    <w:p>
      <w:pPr>
        <w:spacing w:after="0" w:line="121" w:lineRule="exact"/>
        <w:rPr>
          <w:rFonts w:ascii="Arial" w:cs="Arial" w:eastAsia="Arial" w:hAnsi="Arial"/>
          <w:sz w:val="18"/>
          <w:szCs w:val="18"/>
          <w:color w:val="auto"/>
        </w:rPr>
      </w:pPr>
    </w:p>
    <w:p>
      <w:pPr>
        <w:ind w:left="444" w:right="20"/>
        <w:spacing w:after="0" w:line="271" w:lineRule="auto"/>
        <w:rPr>
          <w:rFonts w:ascii="Arial" w:cs="Arial" w:eastAsia="Arial" w:hAnsi="Arial"/>
          <w:sz w:val="18"/>
          <w:szCs w:val="18"/>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Licensee Indemnification</w:t>
      </w:r>
      <w:r>
        <w:rPr>
          <w:rFonts w:ascii="Arial" w:cs="Arial" w:eastAsia="Arial" w:hAnsi="Arial"/>
          <w:sz w:val="17"/>
          <w:szCs w:val="17"/>
          <w:color w:val="auto"/>
        </w:rPr>
        <w:t>. Licensee agrees to indemnify, hold harmless and defend WuXi Biologics, its Affiliates, and their respective directors, officers, employees and agents harmless from and against any and all liabilities and damages (including reasonable attorneys’ fees) payable to a Third Party resulting from any and all claims from any Third Party (“</w:t>
      </w:r>
      <w:r>
        <w:rPr>
          <w:rFonts w:ascii="Arial" w:cs="Arial" w:eastAsia="Arial" w:hAnsi="Arial"/>
          <w:sz w:val="17"/>
          <w:szCs w:val="17"/>
          <w:b w:val="1"/>
          <w:bCs w:val="1"/>
          <w:color w:val="auto"/>
        </w:rPr>
        <w:t>Claims</w:t>
      </w:r>
      <w:r>
        <w:rPr>
          <w:rFonts w:ascii="Arial" w:cs="Arial" w:eastAsia="Arial" w:hAnsi="Arial"/>
          <w:sz w:val="17"/>
          <w:szCs w:val="17"/>
          <w:color w:val="auto"/>
        </w:rPr>
        <w:t>”) to the extent arising from the use of the applicable Licensed Cell Line, Licensee Product, Drug Substance or Drug Product by Licensee; provided that Licensee shall have no obligation to indemnify any such Claims that arise from (i) WuXi Biologics’ negligence or willful misconduct in connection with its performance of this Agreement (including any activities with respect to the applicable Licensed Cell Line); (ii) WuXi Biologics’ breach of this Agreement (including the representations and warranties set forth in Article 10); (iii) Host Cell Line components of the applicable Licensed Cell Line; or (iv) the Process, Licensed Cell Line or Licensed Know- How infringing intellectual property of a Third Party.</w:t>
      </w:r>
    </w:p>
    <w:p>
      <w:pPr>
        <w:spacing w:after="0" w:line="70" w:lineRule="exact"/>
        <w:rPr>
          <w:rFonts w:ascii="Arial" w:cs="Arial" w:eastAsia="Arial" w:hAnsi="Arial"/>
          <w:sz w:val="18"/>
          <w:szCs w:val="18"/>
          <w:color w:val="auto"/>
        </w:rPr>
      </w:pPr>
    </w:p>
    <w:p>
      <w:pPr>
        <w:ind w:left="444"/>
        <w:spacing w:after="0" w:line="275" w:lineRule="auto"/>
        <w:rPr>
          <w:rFonts w:ascii="Arial" w:cs="Arial" w:eastAsia="Arial" w:hAnsi="Arial"/>
          <w:sz w:val="18"/>
          <w:szCs w:val="18"/>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WuXi Biologics Indemnification</w:t>
      </w:r>
      <w:r>
        <w:rPr>
          <w:rFonts w:ascii="Arial" w:cs="Arial" w:eastAsia="Arial" w:hAnsi="Arial"/>
          <w:sz w:val="17"/>
          <w:szCs w:val="17"/>
          <w:color w:val="auto"/>
        </w:rPr>
        <w:t>. WuXi Biologics agrees to indemnify, hold harmless and defend Licensee, its Affiliates, and their respective directors, officers, employees and agents harmless from and against any and all liabilities and damages (including reasonable attorneys’ fees) payable to a Third Party resulting from any and all Claims to the extent arising out of the negligence or willful misconduct of WuXi Biologics or a claim from a Third Party that the Host Cell Line components of the applicable Licensed Cell Line (including, for clarity, the Construct(s)), [***] WuXi Biologics incorporated into the applicable Licensed Cell Line infringes any Third Party rights.</w:t>
      </w:r>
    </w:p>
    <w:p>
      <w:pPr>
        <w:spacing w:after="0" w:line="320" w:lineRule="exact"/>
        <w:rPr>
          <w:rFonts w:ascii="Arial" w:cs="Arial" w:eastAsia="Arial" w:hAnsi="Arial"/>
          <w:sz w:val="18"/>
          <w:szCs w:val="18"/>
          <w:color w:val="auto"/>
        </w:rPr>
      </w:pPr>
    </w:p>
    <w:p>
      <w:pPr>
        <w:ind w:left="424" w:hanging="424"/>
        <w:spacing w:after="0"/>
        <w:tabs>
          <w:tab w:leader="none" w:pos="424" w:val="left"/>
        </w:tabs>
        <w:numPr>
          <w:ilvl w:val="0"/>
          <w:numId w:val="417"/>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color w:val="auto"/>
        </w:rPr>
      </w:pPr>
    </w:p>
    <w:p>
      <w:pPr>
        <w:ind w:left="444" w:right="14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WuXi Biologics Representations and Warranties</w:t>
      </w:r>
      <w:r>
        <w:rPr>
          <w:rFonts w:ascii="Arial" w:cs="Arial" w:eastAsia="Arial" w:hAnsi="Arial"/>
          <w:sz w:val="18"/>
          <w:szCs w:val="18"/>
          <w:color w:val="auto"/>
        </w:rPr>
        <w:t>. WuXi Biologics represents and warrants that: (i) it is a corporation duly organized validly existing and in good standing under the laws of Hong Kong, People’s Republic of China; (ii) the execution, delivery and performance of this Agreement have been duly authorized by all necessary corporate action on the part of WuXi Biologics; (iii) the performance of WuXi Biologics’ obligations under this Agreement will not conflict with its charter documents or result in a material breach of any agreements, contracts or other arrangements to which it is a party; (iv) WuXi Biologics will not, before termination of this Agreement, enter into any agreements, contracts or other arrangements that would be materially inconsistent with its obligations under this Agreement; (v) WuXi Biologics has sufficient facilities, experienced personnel and other</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 of 17</w:t>
      </w:r>
    </w:p>
    <w:p>
      <w:pPr>
        <w:sectPr>
          <w:pgSz w:w="11900" w:h="16838" w:orient="portrait"/>
          <w:cols w:equalWidth="0" w:num="1">
            <w:col w:w="10984"/>
          </w:cols>
          <w:pgMar w:left="436" w:top="269" w:right="479" w:bottom="1440" w:gutter="0" w:footer="0" w:header="0"/>
        </w:sectPr>
      </w:pPr>
    </w:p>
    <w:bookmarkStart w:id="545" w:name="page546"/>
    <w:bookmarkEnd w:id="545"/>
    <w:p>
      <w:pPr>
        <w:ind w:left="44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capabilities reasonably suited to enable it to perform its obligations under this Agreement; (vi) WuXi Biologics has the right to grant the licenses or sublicenses, as the case may be, granted under this Agreement free of any lien, mortgage, security interest or other encumbrances; and (vii) the Process and Licensed Know-How (including use thereof in accordance with this Agreement and the applicable Technology Transfer Package) do not infringe or misappropriate any intellectual property of a Third Party and, to its knowledge, there is no pending litigation asserting that use of any of the foregoing constitutes an infringement or misappropriation of any intellectual property of a Third Party.</w:t>
      </w:r>
    </w:p>
    <w:p>
      <w:pPr>
        <w:spacing w:after="0" w:line="53" w:lineRule="exact"/>
        <w:rPr>
          <w:sz w:val="20"/>
          <w:szCs w:val="20"/>
          <w:color w:val="auto"/>
        </w:rPr>
      </w:pPr>
    </w:p>
    <w:p>
      <w:pPr>
        <w:ind w:left="444" w:right="40"/>
        <w:spacing w:after="0" w:line="286"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Licensee Representations and Warranties</w:t>
      </w:r>
      <w:r>
        <w:rPr>
          <w:rFonts w:ascii="Arial" w:cs="Arial" w:eastAsia="Arial" w:hAnsi="Arial"/>
          <w:sz w:val="16"/>
          <w:szCs w:val="16"/>
          <w:color w:val="auto"/>
        </w:rPr>
        <w:t>. Licensee represents and warrants that: (i) it is a corporation duly organized validly existing and in good standing under the laws of the State of Delaware, USA; (ii) the execution, delivery and performance of this Agreement have been duly authorized by all necessary corporate action on the part of Licensee; (iii) the performance of Licensee’s obligations under this Agreement will not conflict with its charter documents or result in a material breach of any agreements, contracts or other arrangements to which it is a party; and</w:t>
      </w:r>
    </w:p>
    <w:p>
      <w:pPr>
        <w:spacing w:after="0" w:line="1" w:lineRule="exact"/>
        <w:rPr>
          <w:sz w:val="20"/>
          <w:szCs w:val="20"/>
          <w:color w:val="auto"/>
        </w:rPr>
      </w:pPr>
    </w:p>
    <w:p>
      <w:pPr>
        <w:ind w:left="444" w:right="100"/>
        <w:spacing w:after="0" w:line="260" w:lineRule="auto"/>
        <w:rPr>
          <w:sz w:val="20"/>
          <w:szCs w:val="20"/>
          <w:color w:val="auto"/>
        </w:rPr>
      </w:pPr>
      <w:r>
        <w:rPr>
          <w:rFonts w:ascii="Arial" w:cs="Arial" w:eastAsia="Arial" w:hAnsi="Arial"/>
          <w:sz w:val="18"/>
          <w:szCs w:val="18"/>
          <w:color w:val="auto"/>
        </w:rPr>
        <w:t>(iv) Licensee will not, before termination of this Agreement, enter into any agreements, contracts or other arrangements that would be materially inconsistent with its obligations under this Agreement.</w:t>
      </w:r>
    </w:p>
    <w:p>
      <w:pPr>
        <w:spacing w:after="0" w:line="329" w:lineRule="exact"/>
        <w:rPr>
          <w:sz w:val="20"/>
          <w:szCs w:val="20"/>
          <w:color w:val="auto"/>
        </w:rPr>
      </w:pPr>
    </w:p>
    <w:p>
      <w:pPr>
        <w:ind w:left="424" w:hanging="424"/>
        <w:spacing w:after="0"/>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Disclaimer of Warranties</w:t>
      </w:r>
    </w:p>
    <w:p>
      <w:pPr>
        <w:spacing w:after="0" w:line="121" w:lineRule="exact"/>
        <w:rPr>
          <w:sz w:val="20"/>
          <w:szCs w:val="20"/>
          <w:color w:val="auto"/>
        </w:rPr>
      </w:pPr>
    </w:p>
    <w:p>
      <w:pPr>
        <w:ind w:left="4"/>
        <w:spacing w:after="0" w:line="253" w:lineRule="auto"/>
        <w:rPr>
          <w:sz w:val="20"/>
          <w:szCs w:val="20"/>
          <w:color w:val="auto"/>
        </w:rPr>
      </w:pPr>
      <w:r>
        <w:rPr>
          <w:rFonts w:ascii="Arial" w:cs="Arial" w:eastAsia="Arial" w:hAnsi="Arial"/>
          <w:sz w:val="18"/>
          <w:szCs w:val="18"/>
          <w:color w:val="auto"/>
        </w:rPr>
        <w:t>EXCEPT AS EXPRESSLY PROVIDED IN THIS AGREEMENT, THE LICENSED KNOW-HOW AND LICENSED CELL LINES ARE PROVIDED AND LICENSED TO LICENSEE “AS IS”, AND WUXI BIOLOGICS AND ITS RESPECTIVE AFFILIATES MAKE NO REPRESENTATIONS AND EXTEND NO WARRANTIES OR CONDITIONS OF ANY KIND, EITHER EXPRESS OR IMPLIED, WITH RESPECT THERETO, INCLUDING, BUT NOT LIMITED TO, WARRANTIES OF MERCHANTABILITY, FITNESS FOR A PARTICULAR PURPOSE, VALIDITY OF THE RIGHTS LICENSED HEREUNDER, OR NONINFRINGEMENT OF THE INTELLECTUAL PROPERTY RIGHTS OF THIRD PARTIES. WITHOUT LIMITING THE FOREGOING, EXCEPT AS EXPRESSLY PROVIDED IN THIS AGREEMENT, NEITHER PARTY MAKES ANY REPRESENTATION, WARRANTIES OR CONDITIONS OF ANY KIND, EITHER EXPRESS OR IMPLIED, CONCERNING THE MATERIALS OR LICENSEE PRODUCT, INCLUDING, BUT NOT LIMITED TO, WARRANTIES OF MERCHANTABILITY, FITNESS FOR A PARTICULAR PURPOSE, VALIDITY OF THE RIGHTS LICENSED HEREUNDER, OR NONINFRINGEMENT OF THE PROPRIETARY RIGHTS OF THIRD PARTIES.</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 of 17</w:t>
      </w:r>
    </w:p>
    <w:p>
      <w:pPr>
        <w:sectPr>
          <w:pgSz w:w="11900" w:h="16838" w:orient="portrait"/>
          <w:cols w:equalWidth="0" w:num="1">
            <w:col w:w="10964"/>
          </w:cols>
          <w:pgMar w:left="436" w:top="273" w:right="499" w:bottom="1440" w:gutter="0" w:footer="0" w:header="0"/>
        </w:sectPr>
      </w:pPr>
    </w:p>
    <w:bookmarkStart w:id="546" w:name="page547"/>
    <w:bookmarkEnd w:id="546"/>
    <w:p>
      <w:pPr>
        <w:ind w:left="424" w:hanging="424"/>
        <w:spacing w:after="0"/>
        <w:tabs>
          <w:tab w:leader="none" w:pos="424" w:val="left"/>
        </w:tabs>
        <w:numPr>
          <w:ilvl w:val="0"/>
          <w:numId w:val="41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p>
    <w:p>
      <w:pPr>
        <w:spacing w:after="0" w:line="121" w:lineRule="exact"/>
        <w:rPr>
          <w:rFonts w:ascii="Arial" w:cs="Arial" w:eastAsia="Arial" w:hAnsi="Arial"/>
          <w:sz w:val="18"/>
          <w:szCs w:val="18"/>
          <w:color w:val="auto"/>
        </w:rPr>
      </w:pPr>
    </w:p>
    <w:p>
      <w:pPr>
        <w:ind w:left="444" w:right="20"/>
        <w:spacing w:after="0" w:line="269" w:lineRule="auto"/>
        <w:rPr>
          <w:rFonts w:ascii="Arial" w:cs="Arial" w:eastAsia="Arial" w:hAnsi="Arial"/>
          <w:sz w:val="18"/>
          <w:szCs w:val="18"/>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Confidentiality; Disclosure and Use Restrictions.</w:t>
      </w:r>
      <w:r>
        <w:rPr>
          <w:rFonts w:ascii="Arial" w:cs="Arial" w:eastAsia="Arial" w:hAnsi="Arial"/>
          <w:sz w:val="17"/>
          <w:szCs w:val="17"/>
          <w:color w:val="auto"/>
        </w:rPr>
        <w:t xml:space="preserve"> The Receiving Party shall, and shall ensure that it and its Personnel (a) maintain the Confidential Information of the Disclosing Party in confidence and (b) not disclose, transfer or use the Confidential Information of the Disclosing Party for any purpose other than in connection with and as expressly permitted under this Agreement. Each Receiving Party agrees to (i) institute and maintain reasonable and customary security procedures to identify, protect and account for all copies of Confidential Information of the Disclosing Party, and (ii) limit disclosure of the Disclosing Party’s Confidential Information to its Personnel that have a need to know such Confidential Information for purposes of the Receiving Party exercising its rights and performing its obligations under this Agreement; provided that such Personnel are informed of the confidential nature of the information, and are subject to obligations of confidentiality, non-disclosure, non-use and inventions similar to and at least as restrictive as those set forth in this Agreement. The Receiving Party shall notify the owning Party as promptly as practicable of any unauthorized use or disclosure of the Confidential Information, but in any event no later than [***] thereafter; provided, that, for clarity, such notification shall not excuse the Receiving Party from any liability in connection with such unauthorized use or disclosure.</w:t>
      </w:r>
    </w:p>
    <w:p>
      <w:pPr>
        <w:spacing w:after="0" w:line="73" w:lineRule="exact"/>
        <w:rPr>
          <w:rFonts w:ascii="Arial" w:cs="Arial" w:eastAsia="Arial" w:hAnsi="Arial"/>
          <w:sz w:val="18"/>
          <w:szCs w:val="18"/>
          <w:color w:val="auto"/>
        </w:rPr>
      </w:pPr>
    </w:p>
    <w:p>
      <w:pPr>
        <w:ind w:left="444" w:right="140"/>
        <w:spacing w:after="0" w:line="291" w:lineRule="auto"/>
        <w:rPr>
          <w:rFonts w:ascii="Arial" w:cs="Arial" w:eastAsia="Arial" w:hAnsi="Arial"/>
          <w:sz w:val="18"/>
          <w:szCs w:val="18"/>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Required Disclosures</w:t>
      </w:r>
      <w:r>
        <w:rPr>
          <w:rFonts w:ascii="Arial" w:cs="Arial" w:eastAsia="Arial" w:hAnsi="Arial"/>
          <w:sz w:val="16"/>
          <w:szCs w:val="16"/>
          <w:color w:val="auto"/>
        </w:rPr>
        <w:t>. If a duly constituted government authority, court or regulatory agency orders that a Party hereto disclose information with respect to which it is subject to an obligation of confidentiality under this Agreement, such Party shall comply with the order, but shall</w:t>
      </w:r>
    </w:p>
    <w:p>
      <w:pPr>
        <w:ind w:left="444" w:right="40"/>
        <w:spacing w:after="0" w:line="268" w:lineRule="auto"/>
        <w:rPr>
          <w:rFonts w:ascii="Arial" w:cs="Arial" w:eastAsia="Arial" w:hAnsi="Arial"/>
          <w:sz w:val="18"/>
          <w:szCs w:val="18"/>
          <w:color w:val="auto"/>
        </w:rPr>
      </w:pPr>
      <w:r>
        <w:rPr>
          <w:rFonts w:ascii="Arial" w:cs="Arial" w:eastAsia="Arial" w:hAnsi="Arial"/>
          <w:sz w:val="17"/>
          <w:szCs w:val="17"/>
          <w:color w:val="auto"/>
        </w:rPr>
        <w:t>(a) give prompt written notice to the Disclosing Party of the proposed disclosure, and allow the Disclosing Party at least [***] to object to all or any portion of the disclosure before it is disclosed; (b) if advance notice is not possible, provide written notice of disclosure immediately thereafter; (c) to the extent possible, narrow the scope of the required disclosure; and (d) use reasonable efforts to secure confidential treatment of such information prior to its disclosure (whether through protective orders or otherwise), it being understood that any information so disclosed shall otherwise remain subject to the limitations on use and disclosure hereunder. The Party permitted to disclose any Confidential Information under this Article 12.2 shall take into consideration all comments and objections raised by the other Party. The Party permitted to disclose any Confidential Information under this Article 12.2 shall further cooperate with and provide the other Party with the opportunity to seek any protective order reasonably deemed necessary by such Party.</w:t>
      </w:r>
    </w:p>
    <w:p>
      <w:pPr>
        <w:spacing w:after="0" w:line="71" w:lineRule="exact"/>
        <w:rPr>
          <w:sz w:val="20"/>
          <w:szCs w:val="20"/>
          <w:color w:val="auto"/>
        </w:rPr>
      </w:pPr>
    </w:p>
    <w:p>
      <w:pPr>
        <w:ind w:left="444"/>
        <w:spacing w:after="0" w:line="303"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Return of Confidential Information</w:t>
      </w:r>
      <w:r>
        <w:rPr>
          <w:rFonts w:ascii="Arial" w:cs="Arial" w:eastAsia="Arial" w:hAnsi="Arial"/>
          <w:sz w:val="16"/>
          <w:szCs w:val="16"/>
          <w:b w:val="1"/>
          <w:bCs w:val="1"/>
          <w:color w:val="auto"/>
        </w:rPr>
        <w:t>.</w:t>
      </w:r>
      <w:r>
        <w:rPr>
          <w:rFonts w:ascii="Arial" w:cs="Arial" w:eastAsia="Arial" w:hAnsi="Arial"/>
          <w:sz w:val="16"/>
          <w:szCs w:val="16"/>
          <w:color w:val="auto"/>
        </w:rPr>
        <w:t xml:space="preserve"> Upon termination of this Agreement, or upon earlier request by the Disclosing Party, Receiving Party shall cause all Confidential Information of the Disclosing Party to be promptly destroyed or returned to the Disclosing Party (at Disclosing Party’s request); provided, however, that the Receiving Party may retain (a) a single secure copy of any Confidential Information for legal archival purposes, and (b) electronic back-up files that have been created by routine archiving and back-up procedures need not be deleted.</w:t>
      </w:r>
    </w:p>
    <w:p>
      <w:pPr>
        <w:spacing w:after="0" w:line="8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 of 17</w:t>
      </w:r>
    </w:p>
    <w:p>
      <w:pPr>
        <w:sectPr>
          <w:pgSz w:w="11900" w:h="16838" w:orient="portrait"/>
          <w:cols w:equalWidth="0" w:num="1">
            <w:col w:w="10964"/>
          </w:cols>
          <w:pgMar w:left="436" w:top="269" w:right="499" w:bottom="1440" w:gutter="0" w:footer="0" w:header="0"/>
        </w:sectPr>
      </w:pPr>
    </w:p>
    <w:bookmarkStart w:id="547" w:name="page548"/>
    <w:bookmarkEnd w:id="547"/>
    <w:p>
      <w:pPr>
        <w:ind w:left="424" w:hanging="424"/>
        <w:spacing w:after="0"/>
        <w:tabs>
          <w:tab w:leader="none" w:pos="424" w:val="left"/>
        </w:tabs>
        <w:numPr>
          <w:ilvl w:val="0"/>
          <w:numId w:val="42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Voluntary Termination by Licensee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right="380"/>
        <w:spacing w:after="0" w:line="277" w:lineRule="auto"/>
        <w:rPr>
          <w:rFonts w:ascii="Arial" w:cs="Arial" w:eastAsia="Arial" w:hAnsi="Arial"/>
          <w:sz w:val="18"/>
          <w:szCs w:val="18"/>
          <w:color w:val="auto"/>
        </w:rPr>
      </w:pPr>
      <w:r>
        <w:rPr>
          <w:rFonts w:ascii="Arial" w:cs="Arial" w:eastAsia="Arial" w:hAnsi="Arial"/>
          <w:sz w:val="18"/>
          <w:szCs w:val="18"/>
          <w:color w:val="auto"/>
        </w:rPr>
        <w:t>Licensee shall have the right to terminate this Agreement upon at least [***] prior written notice to WuXi Biologics, and upon payment of all amount due to WuXi Biologics through such termination effective date.</w:t>
      </w:r>
    </w:p>
    <w:p>
      <w:pPr>
        <w:spacing w:after="0" w:line="62"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Termination for Default</w:t>
      </w:r>
    </w:p>
    <w:p>
      <w:pPr>
        <w:spacing w:after="0" w:line="117" w:lineRule="exact"/>
        <w:rPr>
          <w:rFonts w:ascii="Arial" w:cs="Arial" w:eastAsia="Arial" w:hAnsi="Arial"/>
          <w:sz w:val="18"/>
          <w:szCs w:val="18"/>
          <w:color w:val="auto"/>
        </w:rPr>
      </w:pPr>
    </w:p>
    <w:p>
      <w:pPr>
        <w:jc w:val="both"/>
        <w:ind w:left="444" w:right="60" w:hanging="4"/>
        <w:spacing w:after="0" w:line="263" w:lineRule="auto"/>
        <w:tabs>
          <w:tab w:leader="none" w:pos="689" w:val="left"/>
        </w:tabs>
        <w:numPr>
          <w:ilvl w:val="1"/>
          <w:numId w:val="420"/>
        </w:numPr>
        <w:rPr>
          <w:rFonts w:ascii="Arial" w:cs="Arial" w:eastAsia="Arial" w:hAnsi="Arial"/>
          <w:sz w:val="18"/>
          <w:szCs w:val="18"/>
          <w:color w:val="auto"/>
        </w:rPr>
      </w:pPr>
      <w:r>
        <w:rPr>
          <w:rFonts w:ascii="Arial" w:cs="Arial" w:eastAsia="Arial" w:hAnsi="Arial"/>
          <w:sz w:val="18"/>
          <w:szCs w:val="18"/>
          <w:u w:val="single" w:color="auto"/>
          <w:color w:val="auto"/>
        </w:rPr>
        <w:t>Nonpayment</w:t>
      </w:r>
      <w:r>
        <w:rPr>
          <w:rFonts w:ascii="Arial" w:cs="Arial" w:eastAsia="Arial" w:hAnsi="Arial"/>
          <w:sz w:val="18"/>
          <w:szCs w:val="18"/>
          <w:color w:val="auto"/>
        </w:rPr>
        <w:t>. In the event Licensee fails to pay any undisputed amounts due and payable to WuXi Biologics hereunder, and fails to make such undisputed payments within [***] after receiving written notice of such failure, WuXi Biologics may terminate this Agreement immediately upon written notice to Licensee.</w:t>
      </w:r>
    </w:p>
    <w:p>
      <w:pPr>
        <w:spacing w:after="0" w:line="75" w:lineRule="exact"/>
        <w:rPr>
          <w:rFonts w:ascii="Arial" w:cs="Arial" w:eastAsia="Arial" w:hAnsi="Arial"/>
          <w:sz w:val="18"/>
          <w:szCs w:val="18"/>
          <w:color w:val="auto"/>
        </w:rPr>
      </w:pPr>
    </w:p>
    <w:p>
      <w:pPr>
        <w:ind w:left="444" w:right="60" w:hanging="4"/>
        <w:spacing w:after="0" w:line="342" w:lineRule="auto"/>
        <w:tabs>
          <w:tab w:leader="none" w:pos="699" w:val="left"/>
        </w:tabs>
        <w:numPr>
          <w:ilvl w:val="1"/>
          <w:numId w:val="420"/>
        </w:numPr>
        <w:rPr>
          <w:rFonts w:ascii="Arial" w:cs="Arial" w:eastAsia="Arial" w:hAnsi="Arial"/>
          <w:sz w:val="16"/>
          <w:szCs w:val="16"/>
          <w:color w:val="auto"/>
        </w:rPr>
      </w:pPr>
      <w:r>
        <w:rPr>
          <w:rFonts w:ascii="Arial" w:cs="Arial" w:eastAsia="Arial" w:hAnsi="Arial"/>
          <w:sz w:val="16"/>
          <w:szCs w:val="16"/>
          <w:u w:val="single" w:color="auto"/>
          <w:color w:val="auto"/>
        </w:rPr>
        <w:t>Material Breach</w:t>
      </w:r>
      <w:r>
        <w:rPr>
          <w:rFonts w:ascii="Arial" w:cs="Arial" w:eastAsia="Arial" w:hAnsi="Arial"/>
          <w:sz w:val="16"/>
          <w:szCs w:val="16"/>
          <w:color w:val="auto"/>
        </w:rPr>
        <w:t>. In the event a Party commits a material breach of its obligation under this Agreement and fails to cure that breach within [***] after receiving written notice thereof, the other Party may terminate this Agreement immediately upon written notice to the breaching Party.</w:t>
      </w:r>
    </w:p>
    <w:p>
      <w:pPr>
        <w:spacing w:after="0" w:line="16" w:lineRule="exact"/>
        <w:rPr>
          <w:sz w:val="20"/>
          <w:szCs w:val="20"/>
          <w:color w:val="auto"/>
        </w:rPr>
      </w:pPr>
    </w:p>
    <w:p>
      <w:pPr>
        <w:jc w:val="both"/>
        <w:ind w:left="444" w:right="520"/>
        <w:spacing w:after="0" w:line="263"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Articles 1 (to the extent needed to interpret surviving provisions), 2 (to the extent necessary to exercise the license set forth in Article 2.1 as described in Article 13.4), 5, 8, 9, 10, 11, 12, 13.3, 13.4 and 14, shall survive termination or expiry of this Agreement.</w:t>
      </w:r>
    </w:p>
    <w:p>
      <w:pPr>
        <w:spacing w:after="0" w:line="76"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Continuation of License</w:t>
      </w:r>
      <w:r>
        <w:rPr>
          <w:rFonts w:ascii="Arial" w:cs="Arial" w:eastAsia="Arial" w:hAnsi="Arial"/>
          <w:sz w:val="18"/>
          <w:szCs w:val="18"/>
          <w:color w:val="auto"/>
        </w:rPr>
        <w:t>. Without limiting Article 5.2 or Article 13.3, upon termination of this Agreement for any reason, the license set forth in Article 2.1 shall continue in full force and effect with respect to all Licensee Product, Drug Substance and Drug Product manufactured using the Licensed Cell Line already generated during the Term, provided that Licensee shall continue to pay Royalties in accordance with Article 5, as applicable.</w:t>
      </w:r>
    </w:p>
    <w:p>
      <w:pPr>
        <w:spacing w:after="0" w:line="331" w:lineRule="exact"/>
        <w:rPr>
          <w:sz w:val="20"/>
          <w:szCs w:val="20"/>
          <w:color w:val="auto"/>
        </w:rPr>
      </w:pPr>
    </w:p>
    <w:p>
      <w:pPr>
        <w:ind w:left="424" w:hanging="424"/>
        <w:spacing w:after="0"/>
        <w:tabs>
          <w:tab w:leader="none" w:pos="424" w:val="left"/>
        </w:tabs>
        <w:numPr>
          <w:ilvl w:val="0"/>
          <w:numId w:val="421"/>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444" w:right="180"/>
        <w:spacing w:after="0" w:line="301" w:lineRule="auto"/>
        <w:rPr>
          <w:rFonts w:ascii="Arial" w:cs="Arial" w:eastAsia="Arial" w:hAnsi="Arial"/>
          <w:sz w:val="18"/>
          <w:szCs w:val="18"/>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Assignment</w:t>
      </w:r>
      <w:r>
        <w:rPr>
          <w:rFonts w:ascii="Arial" w:cs="Arial" w:eastAsia="Arial" w:hAnsi="Arial"/>
          <w:sz w:val="16"/>
          <w:szCs w:val="16"/>
          <w:color w:val="auto"/>
        </w:rPr>
        <w:t>. This Agreement may not be assigned by a Party without the prior written consent of the other Party; provided, however, that a Party may assign this Agreement to an Affiliate with a net worth or insurance commensurate with the obligations, and sufficient capacity and personnel, to be assumed or to any company with which such assigning Party may merge or to any company to which such assigning Party may transfer its assets to which this Agreement relates. Any attempted assignment or transfer in violation of this Article 14.1 shall be void.</w:t>
      </w:r>
    </w:p>
    <w:p>
      <w:pPr>
        <w:spacing w:after="0" w:line="49" w:lineRule="exact"/>
        <w:rPr>
          <w:rFonts w:ascii="Arial" w:cs="Arial" w:eastAsia="Arial" w:hAnsi="Arial"/>
          <w:sz w:val="18"/>
          <w:szCs w:val="18"/>
          <w:color w:val="auto"/>
        </w:rPr>
      </w:pPr>
    </w:p>
    <w:p>
      <w:pPr>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14.2 </w:t>
      </w:r>
      <w:r>
        <w:rPr>
          <w:rFonts w:ascii="Arial" w:cs="Arial" w:eastAsia="Arial" w:hAnsi="Arial"/>
          <w:sz w:val="18"/>
          <w:szCs w:val="18"/>
          <w:u w:val="single" w:color="auto"/>
          <w:color w:val="auto"/>
        </w:rPr>
        <w:t>Regulatory Assistance</w:t>
      </w:r>
      <w:r>
        <w:rPr>
          <w:rFonts w:ascii="Arial" w:cs="Arial" w:eastAsia="Arial" w:hAnsi="Arial"/>
          <w:sz w:val="18"/>
          <w:szCs w:val="18"/>
          <w:color w:val="auto"/>
        </w:rPr>
        <w:t>. WuXi Biologics will provide assistance relating to the Licensed Cell Line to Licensee, its Affiliates and any sublicensee, in respect of Licensee’s or such Affiliate or sublicensees’ regulatory filing activities for Licensee Product, Drug Substance and Drug Product, subject to agreement of reasonable commercial terms for provision of such assistance.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 of 17</w:t>
      </w:r>
    </w:p>
    <w:p>
      <w:pPr>
        <w:sectPr>
          <w:pgSz w:w="11900" w:h="16838" w:orient="portrait"/>
          <w:cols w:equalWidth="0" w:num="1">
            <w:col w:w="11004"/>
          </w:cols>
          <w:pgMar w:left="436" w:top="269" w:right="459" w:bottom="1440" w:gutter="0" w:footer="0" w:header="0"/>
        </w:sectPr>
      </w:pPr>
    </w:p>
    <w:bookmarkStart w:id="548" w:name="page549"/>
    <w:bookmarkEnd w:id="548"/>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required under this Agreement must be in writing and will be deemed to have been given or made and sufficient in all respects when delivered by reputable international courier to the following addresses: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Licensee: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WuXi Biologics: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Independent Contractor</w:t>
      </w:r>
      <w:r>
        <w:rPr>
          <w:rFonts w:ascii="Arial" w:cs="Arial" w:eastAsia="Arial" w:hAnsi="Arial"/>
          <w:sz w:val="17"/>
          <w:szCs w:val="17"/>
          <w:color w:val="auto"/>
        </w:rPr>
        <w:t>. The Parties are independent contractors, and nothing contained in this Agreement may be deemed or construed to create a partnership, joint venture, employment, franchise, agency, fiduciary or other relationship between the Parties.</w:t>
      </w:r>
    </w:p>
    <w:p>
      <w:pPr>
        <w:spacing w:after="0" w:line="3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Governing Law</w:t>
      </w:r>
      <w:r>
        <w:rPr>
          <w:rFonts w:ascii="Arial" w:cs="Arial" w:eastAsia="Arial" w:hAnsi="Arial"/>
          <w:sz w:val="17"/>
          <w:szCs w:val="17"/>
          <w:color w:val="auto"/>
        </w:rPr>
        <w:t>. The laws of the State of New York, USA, without giving effect to principles of conflict of laws, govern all matters relating to this Agreement and the enforcement and interpretation thereof. The United Nations Convention on Contracts for the International Sale of Goods will not apply to this Agreement. This provision shall operate without prejudice to either Party’s ability to seek injunctive or other interlocutory relief in any United States court accepting jurisdiction in order to protect and enforce its Patent Rights.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14.6 </w:t>
      </w:r>
      <w:r>
        <w:rPr>
          <w:rFonts w:ascii="Arial" w:cs="Arial" w:eastAsia="Arial" w:hAnsi="Arial"/>
          <w:sz w:val="17"/>
          <w:szCs w:val="17"/>
          <w:u w:val="single" w:color="auto"/>
          <w:color w:val="auto"/>
        </w:rPr>
        <w:t>Arbitration</w:t>
      </w:r>
      <w:r>
        <w:rPr>
          <w:rFonts w:ascii="Arial" w:cs="Arial" w:eastAsia="Arial" w:hAnsi="Arial"/>
          <w:sz w:val="17"/>
          <w:szCs w:val="17"/>
          <w:color w:val="auto"/>
        </w:rPr>
        <w:t>. The Parties shall engage in good faith consultation to resolve any dispute arising out of or in connection with this Agreement. Such consultation will begin immediately after one Party has delivered to the other Party a request for consultation. If the dispute cannot be resolved within [***] following the date on which the request for consultation is delivered, then either Party may submit the dispute to be finally settled by arbitration administered in accordance with the procedural rules of the International Court of Arbitration of the International Chamber of Commerce (the “</w:t>
      </w:r>
      <w:r>
        <w:rPr>
          <w:rFonts w:ascii="Arial" w:cs="Arial" w:eastAsia="Arial" w:hAnsi="Arial"/>
          <w:sz w:val="17"/>
          <w:szCs w:val="17"/>
          <w:b w:val="1"/>
          <w:bCs w:val="1"/>
          <w:color w:val="auto"/>
        </w:rPr>
        <w:t>ICC</w:t>
      </w:r>
      <w:r>
        <w:rPr>
          <w:rFonts w:ascii="Arial" w:cs="Arial" w:eastAsia="Arial" w:hAnsi="Arial"/>
          <w:sz w:val="17"/>
          <w:szCs w:val="17"/>
          <w:color w:val="auto"/>
        </w:rPr>
        <w:t>”) in effect at the time of submission. The arbitration will be governed by the laws of the State of New York, USA. The place of arbitration will be New York. The official language of the arbitration will be English. The tribunal will consist of one arbitrator to be appointed by the ICC. The arbitration proceedings will be confidential, and the arbitrator may issue appropriate protective orders to safeguard each Party’s Confidential Information. During the course of arbitration, the Parties shall continue to implement the terms of this Agreement. The arbitral award will be final and binding upon the Parties, and the Party to the award may apply to a court of competent jurisdiction for enforcement of the award. Notwithstanding the foregoing, each Party has the right to institute an action in a court of proper jurisdiction in the United States for injunctive or other equitable relief pending a final decision by the arbitrator.</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 of 17</w:t>
      </w:r>
    </w:p>
    <w:p>
      <w:pPr>
        <w:sectPr>
          <w:pgSz w:w="11900" w:h="16838" w:orient="portrait"/>
          <w:cols w:equalWidth="0" w:num="1">
            <w:col w:w="10560"/>
          </w:cols>
          <w:pgMar w:left="880" w:top="273" w:right="459" w:bottom="1440" w:gutter="0" w:footer="0" w:header="0"/>
        </w:sectPr>
      </w:pPr>
    </w:p>
    <w:bookmarkStart w:id="549" w:name="page550"/>
    <w:bookmarkEnd w:id="549"/>
    <w:p>
      <w:pPr>
        <w:ind w:left="440"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14.7 </w:t>
      </w:r>
      <w:r>
        <w:rPr>
          <w:rFonts w:ascii="Arial" w:cs="Arial" w:eastAsia="Arial" w:hAnsi="Arial"/>
          <w:sz w:val="16"/>
          <w:szCs w:val="16"/>
          <w:u w:val="single" w:color="auto"/>
          <w:color w:val="auto"/>
        </w:rPr>
        <w:t>Entire Agreement; Non-Reliance</w:t>
      </w:r>
      <w:r>
        <w:rPr>
          <w:rFonts w:ascii="Arial" w:cs="Arial" w:eastAsia="Arial" w:hAnsi="Arial"/>
          <w:sz w:val="16"/>
          <w:szCs w:val="16"/>
          <w:color w:val="auto"/>
        </w:rPr>
        <w:t>. This Agreement contains the entire agreement between the Parties with respect to the subject matter of this Agreement. Prior agreements are hereby superseded. For the avoidance of doubt, this Agreement shall supersede that certain Confidentiality Agreement, dated as of [***]; provided, however, that all “Confidential Information” disclosed or received by the Parties thereunder will be deemed “Confidential Information” hereunder and will be subject to the terms and conditions of this Agreement. Each Party disclaims that it is relying on any representations or warranties other than those set forth in this Agreement, and irrevocably waives any rights that it might otherwise have to extra-contractual remedies, including claims in tort relating to communications outside of this Agreement.</w:t>
      </w:r>
    </w:p>
    <w:p>
      <w:pPr>
        <w:spacing w:after="0" w:line="56" w:lineRule="exact"/>
        <w:rPr>
          <w:sz w:val="20"/>
          <w:szCs w:val="20"/>
          <w:color w:val="auto"/>
        </w:rPr>
      </w:pPr>
    </w:p>
    <w:p>
      <w:pPr>
        <w:ind w:left="440"/>
        <w:spacing w:after="0" w:line="263"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u w:val="single" w:color="auto"/>
          <w:color w:val="auto"/>
        </w:rPr>
        <w:t>Amendment</w:t>
      </w:r>
      <w:r>
        <w:rPr>
          <w:rFonts w:ascii="Arial" w:cs="Arial" w:eastAsia="Arial" w:hAnsi="Arial"/>
          <w:sz w:val="18"/>
          <w:szCs w:val="18"/>
          <w:color w:val="auto"/>
        </w:rPr>
        <w:t>. No modification or waiver of any term of this Agreement or any other form of amendment to this Agreement will be binding unless made expressly in writing and signed by both Parties. An amendment to this Agreement will only be incorporated into Work Orders entered into after the date of the amendment.</w:t>
      </w:r>
    </w:p>
    <w:p>
      <w:pPr>
        <w:spacing w:after="0" w:line="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The provisions of this Agreement are for the sole benefit of the Parties.</w:t>
      </w:r>
    </w:p>
    <w:p>
      <w:pPr>
        <w:spacing w:after="0" w:line="117"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 xml:space="preserve">14.10 </w:t>
      </w:r>
      <w:r>
        <w:rPr>
          <w:rFonts w:ascii="Arial" w:cs="Arial" w:eastAsia="Arial" w:hAnsi="Arial"/>
          <w:sz w:val="18"/>
          <w:szCs w:val="18"/>
          <w:u w:val="single" w:color="auto"/>
          <w:color w:val="auto"/>
        </w:rPr>
        <w:t>Waiver</w:t>
      </w:r>
      <w:r>
        <w:rPr>
          <w:rFonts w:ascii="Arial" w:cs="Arial" w:eastAsia="Arial" w:hAnsi="Arial"/>
          <w:sz w:val="18"/>
          <w:szCs w:val="18"/>
          <w:color w:val="auto"/>
        </w:rPr>
        <w:t>. The waiver by either Party of any breach of any term of this Agreement will not constitute a waiver of any other breach of the same or any other term. Failure or delay on the part of either Party to fully exercise any right under this Agreement will not constitute a waiver or otherwise affect in any way the same or any other right.</w:t>
      </w:r>
    </w:p>
    <w:p>
      <w:pPr>
        <w:spacing w:after="0" w:line="76" w:lineRule="exact"/>
        <w:rPr>
          <w:sz w:val="20"/>
          <w:szCs w:val="20"/>
          <w:color w:val="auto"/>
        </w:rPr>
      </w:pPr>
    </w:p>
    <w:p>
      <w:pPr>
        <w:ind w:left="440" w:right="200"/>
        <w:spacing w:after="0" w:line="259" w:lineRule="auto"/>
        <w:rPr>
          <w:sz w:val="20"/>
          <w:szCs w:val="20"/>
          <w:color w:val="auto"/>
        </w:rPr>
      </w:pPr>
      <w:r>
        <w:rPr>
          <w:rFonts w:ascii="Arial" w:cs="Arial" w:eastAsia="Arial" w:hAnsi="Arial"/>
          <w:sz w:val="18"/>
          <w:szCs w:val="18"/>
          <w:color w:val="auto"/>
        </w:rPr>
        <w:t xml:space="preserve">14.11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in this Agreement is held to be invalid, illegal or unenforceable in any respect, then (a) the provision will be replaced by a valid and enforceable provision that achieves as far as possible the intention of the Parties and (b) all other provisions of this Agreement will remain in full force and effect as if the original agreement had been executed without the invalidated, illegal or unenforceable provision.</w:t>
      </w:r>
    </w:p>
    <w:p>
      <w:pPr>
        <w:spacing w:after="0" w:line="79" w:lineRule="exact"/>
        <w:rPr>
          <w:sz w:val="20"/>
          <w:szCs w:val="20"/>
          <w:color w:val="auto"/>
        </w:rPr>
      </w:pPr>
    </w:p>
    <w:p>
      <w:pPr>
        <w:jc w:val="both"/>
        <w:ind w:left="440" w:right="360"/>
        <w:spacing w:after="0" w:line="26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will be deemed an original, but all of which together constitute one and the same instrument. Executed counterparts may be exchanged by facsimile or e-mail in PDF or similar electronic format.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Effective Date set forth above.</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14 of 17</w:t>
      </w:r>
    </w:p>
    <w:p>
      <w:pPr>
        <w:sectPr>
          <w:pgSz w:w="11900" w:h="16838" w:orient="portrait"/>
          <w:cols w:equalWidth="0" w:num="1">
            <w:col w:w="11000"/>
          </w:cols>
          <w:pgMar w:left="440" w:top="273" w:right="459" w:bottom="1440" w:gutter="0" w:footer="0" w:header="0"/>
        </w:sectPr>
      </w:pPr>
    </w:p>
    <w:bookmarkStart w:id="550" w:name="page551"/>
    <w:bookmarkEnd w:id="550"/>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WuXi Biologics (Hong Kong) Limited</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b w:val="1"/>
                <w:bCs w:val="1"/>
                <w:color w:val="auto"/>
              </w:rPr>
              <w:t>Adagio Therapeutics, Inc.</w:t>
            </w:r>
          </w:p>
        </w:tc>
      </w:tr>
      <w:tr>
        <w:trPr>
          <w:trHeight w:val="432"/>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By:</w:t>
            </w:r>
          </w:p>
        </w:tc>
        <w:tc>
          <w:tcPr>
            <w:tcW w:w="560" w:type="dxa"/>
            <w:vAlign w:val="bottom"/>
          </w:tcPr>
          <w:p>
            <w:pPr>
              <w:spacing w:after="0"/>
              <w:rPr>
                <w:sz w:val="24"/>
                <w:szCs w:val="24"/>
                <w:color w:val="auto"/>
              </w:rPr>
            </w:pPr>
          </w:p>
        </w:tc>
        <w:tc>
          <w:tcPr>
            <w:tcW w:w="52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By:</w:t>
            </w:r>
          </w:p>
        </w:tc>
      </w:tr>
      <w:tr>
        <w:trPr>
          <w:trHeight w:val="195"/>
        </w:trPr>
        <w:tc>
          <w:tcPr>
            <w:tcW w:w="5180" w:type="dxa"/>
            <w:vAlign w:val="bottom"/>
          </w:tcPr>
          <w:p>
            <w:pPr>
              <w:spacing w:after="0" w:line="195" w:lineRule="exact"/>
              <w:rPr>
                <w:sz w:val="20"/>
                <w:szCs w:val="20"/>
                <w:color w:val="auto"/>
              </w:rPr>
            </w:pPr>
            <w:r>
              <w:rPr>
                <w:rFonts w:ascii="Arial" w:cs="Arial" w:eastAsia="Arial" w:hAnsi="Arial"/>
                <w:sz w:val="18"/>
                <w:szCs w:val="18"/>
                <w:color w:val="auto"/>
              </w:rPr>
              <w:t>Print Name: [***]</w:t>
            </w:r>
          </w:p>
        </w:tc>
        <w:tc>
          <w:tcPr>
            <w:tcW w:w="560" w:type="dxa"/>
            <w:vAlign w:val="bottom"/>
          </w:tcPr>
          <w:p>
            <w:pPr>
              <w:spacing w:after="0"/>
              <w:rPr>
                <w:sz w:val="16"/>
                <w:szCs w:val="16"/>
                <w:color w:val="auto"/>
              </w:rPr>
            </w:pPr>
          </w:p>
        </w:tc>
        <w:tc>
          <w:tcPr>
            <w:tcW w:w="5280" w:type="dxa"/>
            <w:vAlign w:val="bottom"/>
          </w:tcPr>
          <w:p>
            <w:pPr>
              <w:ind w:left="100"/>
              <w:spacing w:after="0" w:line="195" w:lineRule="exact"/>
              <w:rPr>
                <w:sz w:val="20"/>
                <w:szCs w:val="20"/>
                <w:color w:val="auto"/>
              </w:rPr>
            </w:pPr>
            <w:r>
              <w:rPr>
                <w:rFonts w:ascii="Arial" w:cs="Arial" w:eastAsia="Arial" w:hAnsi="Arial"/>
                <w:sz w:val="18"/>
                <w:szCs w:val="18"/>
                <w:color w:val="auto"/>
              </w:rPr>
              <w:t>Name: [***]</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Title: [***]</w:t>
            </w:r>
          </w:p>
        </w:tc>
        <w:tc>
          <w:tcPr>
            <w:tcW w:w="560" w:type="dxa"/>
            <w:vAlign w:val="bottom"/>
          </w:tcPr>
          <w:p>
            <w:pPr>
              <w:spacing w:after="0"/>
              <w:rPr>
                <w:sz w:val="20"/>
                <w:szCs w:val="20"/>
                <w:color w:val="auto"/>
              </w:rPr>
            </w:pPr>
          </w:p>
        </w:tc>
        <w:tc>
          <w:tcPr>
            <w:tcW w:w="5280" w:type="dxa"/>
            <w:vAlign w:val="bottom"/>
          </w:tcPr>
          <w:p>
            <w:pPr>
              <w:ind w:left="100"/>
              <w:spacing w:after="0"/>
              <w:rPr>
                <w:sz w:val="20"/>
                <w:szCs w:val="20"/>
                <w:color w:val="auto"/>
              </w:rPr>
            </w:pPr>
            <w:r>
              <w:rPr>
                <w:rFonts w:ascii="Arial" w:cs="Arial" w:eastAsia="Arial" w:hAnsi="Arial"/>
                <w:sz w:val="18"/>
                <w:szCs w:val="18"/>
                <w:color w:val="auto"/>
              </w:rPr>
              <w:t>Title: [***]</w:t>
            </w:r>
          </w:p>
        </w:tc>
      </w:tr>
      <w:tr>
        <w:trPr>
          <w:trHeight w:val="365"/>
        </w:trPr>
        <w:tc>
          <w:tcPr>
            <w:tcW w:w="5180" w:type="dxa"/>
            <w:vAlign w:val="bottom"/>
          </w:tcPr>
          <w:p>
            <w:pPr>
              <w:spacing w:after="0"/>
              <w:rPr>
                <w:sz w:val="24"/>
                <w:szCs w:val="24"/>
                <w:color w:val="auto"/>
              </w:rPr>
            </w:pPr>
          </w:p>
        </w:tc>
        <w:tc>
          <w:tcPr>
            <w:tcW w:w="5840" w:type="dxa"/>
            <w:vAlign w:val="bottom"/>
            <w:gridSpan w:val="2"/>
          </w:tcPr>
          <w:p>
            <w:pPr>
              <w:ind w:left="20"/>
              <w:spacing w:after="0"/>
              <w:rPr>
                <w:sz w:val="20"/>
                <w:szCs w:val="20"/>
                <w:color w:val="auto"/>
              </w:rPr>
            </w:pPr>
            <w:r>
              <w:rPr>
                <w:rFonts w:ascii="Arial" w:cs="Arial" w:eastAsia="Arial" w:hAnsi="Arial"/>
                <w:sz w:val="18"/>
                <w:szCs w:val="18"/>
                <w:color w:val="auto"/>
              </w:rPr>
              <w:t>15 of 17</w:t>
            </w:r>
          </w:p>
        </w:tc>
      </w:tr>
    </w:tbl>
    <w:p>
      <w:pPr>
        <w:ind w:left="20"/>
        <w:spacing w:after="0"/>
        <w:rPr>
          <w:sz w:val="20"/>
          <w:szCs w:val="20"/>
          <w:color w:val="auto"/>
        </w:rPr>
        <w:sectPr>
          <w:pgSz w:w="11900" w:h="16838" w:orient="portrait"/>
          <w:cols w:equalWidth="0" w:num="1">
            <w:col w:w="11020"/>
          </w:cols>
          <w:pgMar w:left="440" w:top="269"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51" w:name="page552"/>
    <w:bookmarkEnd w:id="551"/>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5"/>
          <w:szCs w:val="15"/>
          <w:b w:val="1"/>
          <w:bCs w:val="1"/>
          <w:color w:val="auto"/>
        </w:rPr>
        <w:t>Licensed Cell Lines and Licensee Products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6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16 of 17</w:t>
      </w:r>
    </w:p>
    <w:p>
      <w:pPr>
        <w:sectPr>
          <w:pgSz w:w="11900" w:h="16838" w:orient="portrait"/>
          <w:cols w:equalWidth="0" w:num="1">
            <w:col w:w="10019"/>
          </w:cols>
          <w:pgMar w:left="440" w:top="269" w:right="1440" w:bottom="1440" w:gutter="0" w:footer="0" w:header="0"/>
        </w:sectPr>
      </w:pPr>
    </w:p>
    <w:bookmarkStart w:id="552" w:name="page553"/>
    <w:bookmarkEnd w:id="552"/>
    <w:p>
      <w:pPr>
        <w:ind w:left="50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II</w:t>
      </w:r>
    </w:p>
    <w:p>
      <w:pPr>
        <w:spacing w:after="0" w:line="27" w:lineRule="exact"/>
        <w:rPr>
          <w:sz w:val="20"/>
          <w:szCs w:val="20"/>
          <w:color w:val="auto"/>
        </w:rPr>
      </w:pPr>
    </w:p>
    <w:p>
      <w:pPr>
        <w:jc w:val="right"/>
        <w:ind w:right="3999"/>
        <w:spacing w:after="0"/>
        <w:rPr>
          <w:sz w:val="20"/>
          <w:szCs w:val="20"/>
          <w:color w:val="auto"/>
        </w:rPr>
      </w:pPr>
      <w:r>
        <w:rPr>
          <w:rFonts w:ascii="Arial" w:cs="Arial" w:eastAsia="Arial" w:hAnsi="Arial"/>
          <w:sz w:val="18"/>
          <w:szCs w:val="18"/>
          <w:b w:val="1"/>
          <w:bCs w:val="1"/>
          <w:color w:val="auto"/>
        </w:rPr>
        <w:t>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17 of 17</w:t>
      </w:r>
    </w:p>
    <w:p>
      <w:pPr>
        <w:sectPr>
          <w:pgSz w:w="11900" w:h="16838" w:orient="portrait"/>
          <w:cols w:equalWidth="0" w:num="1">
            <w:col w:w="10019"/>
          </w:cols>
          <w:pgMar w:left="440" w:top="269" w:right="1440" w:bottom="1440" w:gutter="0" w:footer="0" w:header="0"/>
        </w:sectPr>
      </w:pPr>
    </w:p>
    <w:bookmarkStart w:id="553" w:name="page554"/>
    <w:bookmarkEnd w:id="553"/>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DAGIO</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UBSIDIARIES</w:t>
      </w:r>
    </w:p>
    <w:p>
      <w:pPr>
        <w:spacing w:after="0" w:line="238" w:lineRule="exact"/>
        <w:rPr>
          <w:sz w:val="20"/>
          <w:szCs w:val="20"/>
          <w:color w:val="auto"/>
        </w:rPr>
      </w:pPr>
    </w:p>
    <w:p>
      <w:pPr>
        <w:ind w:left="424" w:hanging="424"/>
        <w:spacing w:after="0"/>
        <w:tabs>
          <w:tab w:leader="none" w:pos="42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Adagio Therapeutics Security Corporation.</w:t>
      </w:r>
    </w:p>
    <w:p>
      <w:pPr>
        <w:sectPr>
          <w:pgSz w:w="11900" w:h="16838" w:orient="portrait"/>
          <w:cols w:equalWidth="0" w:num="1">
            <w:col w:w="11024"/>
          </w:cols>
          <w:pgMar w:left="436" w:top="121" w:right="439" w:bottom="1440" w:gutter="0" w:footer="0" w:header="0"/>
        </w:sectPr>
      </w:pPr>
    </w:p>
    <w:bookmarkStart w:id="554" w:name="page555"/>
    <w:bookmarkEnd w:id="55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Adagio Therapeutics, Inc. of our report dated May 21, 2021 relating to the financial statements of Adagio Therapeutics,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D3947C"/>
    <w:multiLevelType w:val="hybridMultilevel"/>
    <w:lvl w:ilvl="0">
      <w:lvlJc w:val="left"/>
      <w:lvlText w:val="(%1)"/>
      <w:numFmt w:val="decimal"/>
      <w:start w:val="1"/>
    </w:lvl>
  </w:abstractNum>
  <w:abstractNum w:abstractNumId="1">
    <w:nsid w:val="2539DFA5"/>
    <w:multiLevelType w:val="hybridMultilevel"/>
    <w:lvl w:ilvl="0">
      <w:lvlJc w:val="left"/>
      <w:lvlText w:val="(%1)"/>
      <w:numFmt w:val="decimal"/>
      <w:start w:val="1"/>
    </w:lvl>
  </w:abstractNum>
  <w:abstractNum w:abstractNumId="2">
    <w:nsid w:val="2DB88089"/>
    <w:multiLevelType w:val="hybridMultilevel"/>
    <w:lvl w:ilvl="0">
      <w:lvlJc w:val="left"/>
      <w:lvlText w:val="(%1)"/>
      <w:numFmt w:val="decimal"/>
      <w:start w:val="5"/>
    </w:lvl>
  </w:abstractNum>
  <w:abstractNum w:abstractNumId="3">
    <w:nsid w:val="706B674E"/>
    <w:multiLevelType w:val="hybridMultilevel"/>
    <w:lvl w:ilvl="0">
      <w:lvlJc w:val="left"/>
      <w:lvlText w:val="•"/>
      <w:numFmt w:val="bullet"/>
      <w:start w:val="1"/>
    </w:lvl>
  </w:abstractNum>
  <w:abstractNum w:abstractNumId="4">
    <w:nsid w:val="2C106A57"/>
    <w:multiLevelType w:val="hybridMultilevel"/>
    <w:lvl w:ilvl="0">
      <w:lvlJc w:val="left"/>
      <w:lvlText w:val="•"/>
      <w:numFmt w:val="bullet"/>
      <w:start w:val="1"/>
    </w:lvl>
  </w:abstractNum>
  <w:abstractNum w:abstractNumId="5">
    <w:nsid w:val="684EED59"/>
    <w:multiLevelType w:val="hybridMultilevel"/>
    <w:lvl w:ilvl="0">
      <w:lvlJc w:val="left"/>
      <w:lvlText w:val="•"/>
      <w:numFmt w:val="bullet"/>
      <w:start w:val="1"/>
    </w:lvl>
  </w:abstractNum>
  <w:abstractNum w:abstractNumId="6">
    <w:nsid w:val="545EE5D3"/>
    <w:multiLevelType w:val="hybridMultilevel"/>
    <w:lvl w:ilvl="0">
      <w:lvlJc w:val="left"/>
      <w:lvlText w:val="•"/>
      <w:numFmt w:val="bullet"/>
      <w:start w:val="1"/>
    </w:lvl>
  </w:abstractNum>
  <w:abstractNum w:abstractNumId="7">
    <w:nsid w:val="4A66051"/>
    <w:multiLevelType w:val="hybridMultilevel"/>
    <w:lvl w:ilvl="0">
      <w:lvlJc w:val="left"/>
      <w:lvlText w:val="•"/>
      <w:numFmt w:val="bullet"/>
      <w:start w:val="1"/>
    </w:lvl>
  </w:abstractNum>
  <w:abstractNum w:abstractNumId="8">
    <w:nsid w:val="20F4BDAD"/>
    <w:multiLevelType w:val="hybridMultilevel"/>
    <w:lvl w:ilvl="0">
      <w:lvlJc w:val="left"/>
      <w:lvlText w:val="•"/>
      <w:numFmt w:val="bullet"/>
      <w:start w:val="1"/>
    </w:lvl>
  </w:abstractNum>
  <w:abstractNum w:abstractNumId="9">
    <w:nsid w:val="639DEFAC"/>
    <w:multiLevelType w:val="hybridMultilevel"/>
    <w:lvl w:ilvl="0">
      <w:lvlJc w:val="left"/>
      <w:lvlText w:val="•"/>
      <w:numFmt w:val="bullet"/>
      <w:start w:val="1"/>
    </w:lvl>
  </w:abstractNum>
  <w:abstractNum w:abstractNumId="10">
    <w:nsid w:val="501F9786"/>
    <w:multiLevelType w:val="hybridMultilevel"/>
    <w:lvl w:ilvl="0">
      <w:lvlJc w:val="left"/>
      <w:lvlText w:val="•"/>
      <w:numFmt w:val="bullet"/>
      <w:start w:val="1"/>
    </w:lvl>
  </w:abstractNum>
  <w:abstractNum w:abstractNumId="11">
    <w:nsid w:val="6B057295"/>
    <w:multiLevelType w:val="hybridMultilevel"/>
    <w:lvl w:ilvl="0">
      <w:lvlJc w:val="left"/>
      <w:lvlText w:val="(%1)"/>
      <w:numFmt w:val="lowerLetter"/>
      <w:start w:val="2"/>
    </w:lvl>
  </w:abstractNum>
  <w:abstractNum w:abstractNumId="12">
    <w:nsid w:val="2771AC80"/>
    <w:multiLevelType w:val="hybridMultilevel"/>
    <w:lvl w:ilvl="0">
      <w:lvlJc w:val="left"/>
      <w:lvlText w:val="•"/>
      <w:numFmt w:val="bullet"/>
      <w:start w:val="1"/>
    </w:lvl>
  </w:abstractNum>
  <w:abstractNum w:abstractNumId="13">
    <w:nsid w:val="1C4A08EC"/>
    <w:multiLevelType w:val="hybridMultilevel"/>
    <w:lvl w:ilvl="0">
      <w:lvlJc w:val="left"/>
      <w:lvlText w:val="•"/>
      <w:numFmt w:val="bullet"/>
      <w:start w:val="1"/>
    </w:lvl>
  </w:abstractNum>
  <w:abstractNum w:abstractNumId="14">
    <w:nsid w:val="1958BD17"/>
    <w:multiLevelType w:val="hybridMultilevel"/>
    <w:lvl w:ilvl="0">
      <w:lvlJc w:val="left"/>
      <w:lvlText w:val="•"/>
      <w:numFmt w:val="bullet"/>
      <w:start w:val="1"/>
    </w:lvl>
  </w:abstractNum>
  <w:abstractNum w:abstractNumId="15">
    <w:nsid w:val="4E647FE4"/>
    <w:multiLevelType w:val="hybridMultilevel"/>
    <w:lvl w:ilvl="0">
      <w:lvlJc w:val="left"/>
      <w:lvlText w:val="•"/>
      <w:numFmt w:val="bullet"/>
      <w:start w:val="1"/>
    </w:lvl>
  </w:abstractNum>
  <w:abstractNum w:abstractNumId="16">
    <w:nsid w:val="E0BB885"/>
    <w:multiLevelType w:val="hybridMultilevel"/>
    <w:lvl w:ilvl="0">
      <w:lvlJc w:val="left"/>
      <w:lvlText w:val="(%1)"/>
      <w:numFmt w:val="decimal"/>
      <w:start w:val="1"/>
    </w:lvl>
  </w:abstractNum>
  <w:abstractNum w:abstractNumId="17">
    <w:nsid w:val="565976F1"/>
    <w:multiLevelType w:val="hybridMultilevel"/>
    <w:lvl w:ilvl="0">
      <w:lvlJc w:val="left"/>
      <w:lvlText w:val="(%1)"/>
      <w:numFmt w:val="decimal"/>
      <w:start w:val="1"/>
    </w:lvl>
  </w:abstractNum>
  <w:abstractNum w:abstractNumId="18">
    <w:nsid w:val="64212B8C"/>
    <w:multiLevelType w:val="hybridMultilevel"/>
    <w:lvl w:ilvl="0">
      <w:lvlJc w:val="left"/>
      <w:lvlText w:val="•"/>
      <w:numFmt w:val="bullet"/>
      <w:start w:val="1"/>
    </w:lvl>
  </w:abstractNum>
  <w:abstractNum w:abstractNumId="19">
    <w:nsid w:val="5C17530C"/>
    <w:multiLevelType w:val="hybridMultilevel"/>
    <w:lvl w:ilvl="0">
      <w:lvlJc w:val="left"/>
      <w:lvlText w:val="•"/>
      <w:numFmt w:val="bullet"/>
      <w:start w:val="1"/>
    </w:lvl>
  </w:abstractNum>
  <w:abstractNum w:abstractNumId="20">
    <w:nsid w:val="19A52566"/>
    <w:multiLevelType w:val="hybridMultilevel"/>
    <w:lvl w:ilvl="0">
      <w:lvlJc w:val="left"/>
      <w:lvlText w:val="•"/>
      <w:numFmt w:val="bullet"/>
      <w:start w:val="1"/>
    </w:lvl>
  </w:abstractNum>
  <w:abstractNum w:abstractNumId="21">
    <w:nsid w:val="335A1DF1"/>
    <w:multiLevelType w:val="hybridMultilevel"/>
    <w:lvl w:ilvl="0">
      <w:lvlJc w:val="left"/>
      <w:lvlText w:val="•"/>
      <w:numFmt w:val="bullet"/>
      <w:start w:val="1"/>
    </w:lvl>
  </w:abstractNum>
  <w:abstractNum w:abstractNumId="22">
    <w:nsid w:val="28677B7C"/>
    <w:multiLevelType w:val="hybridMultilevel"/>
    <w:lvl w:ilvl="0">
      <w:lvlJc w:val="left"/>
      <w:lvlText w:val="•"/>
      <w:numFmt w:val="bullet"/>
      <w:start w:val="1"/>
    </w:lvl>
  </w:abstractNum>
  <w:abstractNum w:abstractNumId="23">
    <w:nsid w:val="378D97C0"/>
    <w:multiLevelType w:val="hybridMultilevel"/>
    <w:lvl w:ilvl="0">
      <w:lvlJc w:val="left"/>
      <w:lvlText w:val="•"/>
      <w:numFmt w:val="bullet"/>
      <w:start w:val="1"/>
    </w:lvl>
  </w:abstractNum>
  <w:abstractNum w:abstractNumId="24">
    <w:nsid w:val="1D91467C"/>
    <w:multiLevelType w:val="hybridMultilevel"/>
    <w:lvl w:ilvl="0">
      <w:lvlJc w:val="left"/>
      <w:lvlText w:val="•"/>
      <w:numFmt w:val="bullet"/>
      <w:start w:val="1"/>
    </w:lvl>
  </w:abstractNum>
  <w:abstractNum w:abstractNumId="25">
    <w:nsid w:val="316032BB"/>
    <w:multiLevelType w:val="hybridMultilevel"/>
    <w:lvl w:ilvl="0">
      <w:lvlJc w:val="left"/>
      <w:lvlText w:val="•"/>
      <w:numFmt w:val="bullet"/>
      <w:start w:val="1"/>
    </w:lvl>
  </w:abstractNum>
  <w:abstractNum w:abstractNumId="26">
    <w:nsid w:val="44344C22"/>
    <w:multiLevelType w:val="hybridMultilevel"/>
    <w:lvl w:ilvl="0">
      <w:lvlJc w:val="left"/>
      <w:lvlText w:val="•"/>
      <w:numFmt w:val="bullet"/>
      <w:start w:val="1"/>
    </w:lvl>
  </w:abstractNum>
  <w:abstractNum w:abstractNumId="27">
    <w:nsid w:val="13CDFCFC"/>
    <w:multiLevelType w:val="hybridMultilevel"/>
    <w:lvl w:ilvl="0">
      <w:lvlJc w:val="left"/>
      <w:lvlText w:val="•"/>
      <w:numFmt w:val="bullet"/>
      <w:start w:val="1"/>
    </w:lvl>
  </w:abstractNum>
  <w:abstractNum w:abstractNumId="28">
    <w:nsid w:val="471745E4"/>
    <w:multiLevelType w:val="hybridMultilevel"/>
    <w:lvl w:ilvl="0">
      <w:lvlJc w:val="left"/>
      <w:lvlText w:val="•"/>
      <w:numFmt w:val="bullet"/>
      <w:start w:val="1"/>
    </w:lvl>
  </w:abstractNum>
  <w:abstractNum w:abstractNumId="29">
    <w:nsid w:val="1DDBC66"/>
    <w:multiLevelType w:val="hybridMultilevel"/>
    <w:lvl w:ilvl="0">
      <w:lvlJc w:val="left"/>
      <w:lvlText w:val="•"/>
      <w:numFmt w:val="bullet"/>
      <w:start w:val="1"/>
    </w:lvl>
  </w:abstractNum>
  <w:abstractNum w:abstractNumId="30">
    <w:nsid w:val="30AADFDA"/>
    <w:multiLevelType w:val="hybridMultilevel"/>
    <w:lvl w:ilvl="0">
      <w:lvlJc w:val="left"/>
      <w:lvlText w:val="•"/>
      <w:numFmt w:val="bullet"/>
      <w:start w:val="1"/>
    </w:lvl>
  </w:abstractNum>
  <w:abstractNum w:abstractNumId="31">
    <w:nsid w:val="30EADA61"/>
    <w:multiLevelType w:val="hybridMultilevel"/>
    <w:lvl w:ilvl="0">
      <w:lvlJc w:val="left"/>
      <w:lvlText w:val="•"/>
      <w:numFmt w:val="bullet"/>
      <w:start w:val="1"/>
    </w:lvl>
  </w:abstractNum>
  <w:abstractNum w:abstractNumId="32">
    <w:nsid w:val="27179C0B"/>
    <w:multiLevelType w:val="hybridMultilevel"/>
    <w:lvl w:ilvl="0">
      <w:lvlJc w:val="left"/>
      <w:lvlText w:val="•"/>
      <w:numFmt w:val="bullet"/>
      <w:start w:val="1"/>
    </w:lvl>
  </w:abstractNum>
  <w:abstractNum w:abstractNumId="33">
    <w:nsid w:val="5E636063"/>
    <w:multiLevelType w:val="hybridMultilevel"/>
    <w:lvl w:ilvl="0">
      <w:lvlJc w:val="left"/>
      <w:lvlText w:val="•"/>
      <w:numFmt w:val="bullet"/>
      <w:start w:val="1"/>
    </w:lvl>
  </w:abstractNum>
  <w:abstractNum w:abstractNumId="34">
    <w:nsid w:val="215641AF"/>
    <w:multiLevelType w:val="hybridMultilevel"/>
    <w:lvl w:ilvl="0">
      <w:lvlJc w:val="left"/>
      <w:lvlText w:val="•"/>
      <w:numFmt w:val="bullet"/>
      <w:start w:val="1"/>
    </w:lvl>
  </w:abstractNum>
  <w:abstractNum w:abstractNumId="35">
    <w:nsid w:val="53280662"/>
    <w:multiLevelType w:val="hybridMultilevel"/>
    <w:lvl w:ilvl="0">
      <w:lvlJc w:val="left"/>
      <w:lvlText w:val="•"/>
      <w:numFmt w:val="bullet"/>
      <w:start w:val="1"/>
    </w:lvl>
  </w:abstractNum>
  <w:abstractNum w:abstractNumId="36">
    <w:nsid w:val="46B24DBC"/>
    <w:multiLevelType w:val="hybridMultilevel"/>
    <w:lvl w:ilvl="0">
      <w:lvlJc w:val="left"/>
      <w:lvlText w:val="•"/>
      <w:numFmt w:val="bullet"/>
      <w:start w:val="1"/>
    </w:lvl>
  </w:abstractNum>
  <w:abstractNum w:abstractNumId="37">
    <w:nsid w:val="75B52783"/>
    <w:multiLevelType w:val="hybridMultilevel"/>
    <w:lvl w:ilvl="0">
      <w:lvlJc w:val="left"/>
      <w:lvlText w:val="•"/>
      <w:numFmt w:val="bullet"/>
      <w:start w:val="1"/>
    </w:lvl>
  </w:abstractNum>
  <w:abstractNum w:abstractNumId="38">
    <w:nsid w:val="57CE66B4"/>
    <w:multiLevelType w:val="hybridMultilevel"/>
    <w:lvl w:ilvl="0">
      <w:lvlJc w:val="left"/>
      <w:lvlText w:val="•"/>
      <w:numFmt w:val="bullet"/>
      <w:start w:val="1"/>
    </w:lvl>
  </w:abstractNum>
  <w:abstractNum w:abstractNumId="39">
    <w:nsid w:val="67A70B69"/>
    <w:multiLevelType w:val="hybridMultilevel"/>
    <w:lvl w:ilvl="0">
      <w:lvlJc w:val="left"/>
      <w:lvlText w:val="(%1)"/>
      <w:numFmt w:val="lowerRoman"/>
      <w:start w:val="1"/>
    </w:lvl>
  </w:abstractNum>
  <w:abstractNum w:abstractNumId="40">
    <w:nsid w:val="5953172F"/>
    <w:multiLevelType w:val="hybridMultilevel"/>
    <w:lvl w:ilvl="0">
      <w:lvlJc w:val="left"/>
      <w:lvlText w:val="•"/>
      <w:numFmt w:val="bullet"/>
      <w:start w:val="1"/>
    </w:lvl>
  </w:abstractNum>
  <w:abstractNum w:abstractNumId="41">
    <w:nsid w:val="27EDFE3A"/>
    <w:multiLevelType w:val="hybridMultilevel"/>
    <w:lvl w:ilvl="0">
      <w:lvlJc w:val="left"/>
      <w:lvlText w:val="•"/>
      <w:numFmt w:val="bullet"/>
      <w:start w:val="1"/>
    </w:lvl>
  </w:abstractNum>
  <w:abstractNum w:abstractNumId="42">
    <w:nsid w:val="52AC7DFF"/>
    <w:multiLevelType w:val="hybridMultilevel"/>
    <w:lvl w:ilvl="0">
      <w:lvlJc w:val="left"/>
      <w:lvlText w:val="•"/>
      <w:numFmt w:val="bullet"/>
      <w:start w:val="1"/>
    </w:lvl>
  </w:abstractNum>
  <w:abstractNum w:abstractNumId="43">
    <w:nsid w:val="C4C3AF"/>
    <w:multiLevelType w:val="hybridMultilevel"/>
    <w:lvl w:ilvl="0">
      <w:lvlJc w:val="left"/>
      <w:lvlText w:val="•"/>
      <w:numFmt w:val="bullet"/>
      <w:start w:val="1"/>
    </w:lvl>
  </w:abstractNum>
  <w:abstractNum w:abstractNumId="44">
    <w:nsid w:val="44380727"/>
    <w:multiLevelType w:val="hybridMultilevel"/>
    <w:lvl w:ilvl="0">
      <w:lvlJc w:val="left"/>
      <w:lvlText w:val="•"/>
      <w:numFmt w:val="bullet"/>
      <w:start w:val="1"/>
    </w:lvl>
  </w:abstractNum>
  <w:abstractNum w:abstractNumId="45">
    <w:nsid w:val="6C053B16"/>
    <w:multiLevelType w:val="hybridMultilevel"/>
    <w:lvl w:ilvl="0">
      <w:lvlJc w:val="left"/>
      <w:lvlText w:val="•"/>
      <w:numFmt w:val="bullet"/>
      <w:start w:val="1"/>
    </w:lvl>
  </w:abstractNum>
  <w:abstractNum w:abstractNumId="46">
    <w:nsid w:val="4F294393"/>
    <w:multiLevelType w:val="hybridMultilevel"/>
    <w:lvl w:ilvl="0">
      <w:lvlJc w:val="left"/>
      <w:lvlText w:val="•"/>
      <w:numFmt w:val="bullet"/>
      <w:start w:val="1"/>
    </w:lvl>
  </w:abstractNum>
  <w:abstractNum w:abstractNumId="47">
    <w:nsid w:val="5243BFAC"/>
    <w:multiLevelType w:val="hybridMultilevel"/>
    <w:lvl w:ilvl="0">
      <w:lvlJc w:val="left"/>
      <w:lvlText w:val="•"/>
      <w:numFmt w:val="bullet"/>
      <w:start w:val="1"/>
    </w:lvl>
  </w:abstractNum>
  <w:abstractNum w:abstractNumId="48">
    <w:nsid w:val="425EB207"/>
    <w:multiLevelType w:val="hybridMultilevel"/>
    <w:lvl w:ilvl="0">
      <w:lvlJc w:val="left"/>
      <w:lvlText w:val="•"/>
      <w:numFmt w:val="bullet"/>
      <w:start w:val="1"/>
    </w:lvl>
  </w:abstractNum>
  <w:abstractNum w:abstractNumId="49">
    <w:nsid w:val="334A6F1F"/>
    <w:multiLevelType w:val="hybridMultilevel"/>
    <w:lvl w:ilvl="0">
      <w:lvlJc w:val="left"/>
      <w:lvlText w:val="•"/>
      <w:numFmt w:val="bullet"/>
      <w:start w:val="1"/>
    </w:lvl>
  </w:abstractNum>
  <w:abstractNum w:abstractNumId="50">
    <w:nsid w:val="2E5B12B8"/>
    <w:multiLevelType w:val="hybridMultilevel"/>
    <w:lvl w:ilvl="0">
      <w:lvlJc w:val="left"/>
      <w:lvlText w:val="•"/>
      <w:numFmt w:val="bullet"/>
      <w:start w:val="1"/>
    </w:lvl>
  </w:abstractNum>
  <w:abstractNum w:abstractNumId="51">
    <w:nsid w:val="5C03D76D"/>
    <w:multiLevelType w:val="hybridMultilevel"/>
    <w:lvl w:ilvl="0">
      <w:lvlJc w:val="left"/>
      <w:lvlText w:val="$"/>
      <w:numFmt w:val="bullet"/>
      <w:start w:val="1"/>
    </w:lvl>
  </w:abstractNum>
  <w:abstractNum w:abstractNumId="52">
    <w:nsid w:val="66A48D11"/>
    <w:multiLevelType w:val="hybridMultilevel"/>
    <w:lvl w:ilvl="0">
      <w:lvlJc w:val="left"/>
      <w:lvlText w:val="•"/>
      <w:numFmt w:val="bullet"/>
      <w:start w:val="1"/>
    </w:lvl>
  </w:abstractNum>
  <w:abstractNum w:abstractNumId="53">
    <w:nsid w:val="56C28E34"/>
    <w:multiLevelType w:val="hybridMultilevel"/>
    <w:lvl w:ilvl="0">
      <w:lvlJc w:val="left"/>
      <w:lvlText w:val="•"/>
      <w:numFmt w:val="bullet"/>
      <w:start w:val="1"/>
    </w:lvl>
  </w:abstractNum>
  <w:abstractNum w:abstractNumId="54">
    <w:nsid w:val="13916F2D"/>
    <w:multiLevelType w:val="hybridMultilevel"/>
    <w:lvl w:ilvl="0">
      <w:lvlJc w:val="left"/>
      <w:lvlText w:val="•"/>
      <w:numFmt w:val="bullet"/>
      <w:start w:val="1"/>
    </w:lvl>
  </w:abstractNum>
  <w:abstractNum w:abstractNumId="55">
    <w:nsid w:val="435D38D"/>
    <w:multiLevelType w:val="hybridMultilevel"/>
    <w:lvl w:ilvl="0">
      <w:lvlJc w:val="left"/>
      <w:lvlText w:val="•"/>
      <w:numFmt w:val="bullet"/>
      <w:start w:val="1"/>
    </w:lvl>
  </w:abstractNum>
  <w:abstractNum w:abstractNumId="56">
    <w:nsid w:val="822C0EF"/>
    <w:multiLevelType w:val="hybridMultilevel"/>
    <w:lvl w:ilvl="0">
      <w:lvlJc w:val="left"/>
      <w:lvlText w:val="•"/>
      <w:numFmt w:val="bullet"/>
      <w:start w:val="1"/>
    </w:lvl>
  </w:abstractNum>
  <w:abstractNum w:abstractNumId="57">
    <w:nsid w:val="57C5BB4F"/>
    <w:multiLevelType w:val="hybridMultilevel"/>
    <w:lvl w:ilvl="0">
      <w:lvlJc w:val="left"/>
      <w:lvlText w:val="•"/>
      <w:numFmt w:val="bullet"/>
      <w:start w:val="1"/>
    </w:lvl>
  </w:abstractNum>
  <w:abstractNum w:abstractNumId="58">
    <w:nsid w:val="1803D089"/>
    <w:multiLevelType w:val="hybridMultilevel"/>
    <w:lvl w:ilvl="0">
      <w:lvlJc w:val="left"/>
      <w:lvlText w:val="•"/>
      <w:numFmt w:val="bullet"/>
      <w:start w:val="1"/>
    </w:lvl>
  </w:abstractNum>
  <w:abstractNum w:abstractNumId="59">
    <w:nsid w:val="4F3A06D4"/>
    <w:multiLevelType w:val="hybridMultilevel"/>
    <w:lvl w:ilvl="0">
      <w:lvlJc w:val="left"/>
      <w:lvlText w:val="•"/>
      <w:numFmt w:val="bullet"/>
      <w:start w:val="1"/>
    </w:lvl>
  </w:abstractNum>
  <w:abstractNum w:abstractNumId="60">
    <w:nsid w:val="59A377B6"/>
    <w:multiLevelType w:val="hybridMultilevel"/>
    <w:lvl w:ilvl="0">
      <w:lvlJc w:val="left"/>
      <w:lvlText w:val="$"/>
      <w:numFmt w:val="bullet"/>
      <w:start w:val="1"/>
    </w:lvl>
  </w:abstractNum>
  <w:abstractNum w:abstractNumId="61">
    <w:nsid w:val="48AEB063"/>
    <w:multiLevelType w:val="hybridMultilevel"/>
    <w:lvl w:ilvl="0">
      <w:lvlJc w:val="left"/>
      <w:lvlText w:val="•"/>
      <w:numFmt w:val="bullet"/>
      <w:start w:val="1"/>
    </w:lvl>
  </w:abstractNum>
  <w:abstractNum w:abstractNumId="62">
    <w:nsid w:val="24E135"/>
    <w:multiLevelType w:val="hybridMultilevel"/>
    <w:lvl w:ilvl="0">
      <w:lvlJc w:val="left"/>
      <w:lvlText w:val="(%1)"/>
      <w:numFmt w:val="decimal"/>
      <w:start w:val="1"/>
    </w:lvl>
  </w:abstractNum>
  <w:abstractNum w:abstractNumId="63">
    <w:nsid w:val="BB13C1"/>
    <w:multiLevelType w:val="hybridMultilevel"/>
    <w:lvl w:ilvl="0">
      <w:lvlJc w:val="left"/>
      <w:lvlText w:val="(%1)"/>
      <w:numFmt w:val="decimal"/>
      <w:start w:val="1"/>
    </w:lvl>
  </w:abstractNum>
  <w:abstractNum w:abstractNumId="64">
    <w:nsid w:val="271210C7"/>
    <w:multiLevelType w:val="hybridMultilevel"/>
    <w:lvl w:ilvl="0">
      <w:lvlJc w:val="left"/>
      <w:lvlText w:val="•"/>
      <w:numFmt w:val="bullet"/>
      <w:start w:val="1"/>
    </w:lvl>
  </w:abstractNum>
  <w:abstractNum w:abstractNumId="65">
    <w:nsid w:val="217B22E4"/>
    <w:multiLevelType w:val="hybridMultilevel"/>
    <w:lvl w:ilvl="0">
      <w:lvlJc w:val="left"/>
      <w:lvlText w:val="•"/>
      <w:numFmt w:val="bullet"/>
      <w:start w:val="1"/>
    </w:lvl>
  </w:abstractNum>
  <w:abstractNum w:abstractNumId="66">
    <w:nsid w:val="53E31A24"/>
    <w:multiLevelType w:val="hybridMultilevel"/>
    <w:lvl w:ilvl="0">
      <w:lvlJc w:val="left"/>
      <w:lvlText w:val="•"/>
      <w:numFmt w:val="bullet"/>
      <w:start w:val="1"/>
    </w:lvl>
  </w:abstractNum>
  <w:abstractNum w:abstractNumId="67">
    <w:nsid w:val="6DC45E83"/>
    <w:multiLevelType w:val="hybridMultilevel"/>
    <w:lvl w:ilvl="0">
      <w:lvlJc w:val="left"/>
      <w:lvlText w:val="•"/>
      <w:numFmt w:val="bullet"/>
      <w:start w:val="1"/>
    </w:lvl>
  </w:abstractNum>
  <w:abstractNum w:abstractNumId="68">
    <w:nsid w:val="17304A67"/>
    <w:multiLevelType w:val="hybridMultilevel"/>
    <w:lvl w:ilvl="0">
      <w:lvlJc w:val="left"/>
      <w:lvlText w:val="•"/>
      <w:numFmt w:val="bullet"/>
      <w:start w:val="1"/>
    </w:lvl>
  </w:abstractNum>
  <w:abstractNum w:abstractNumId="69">
    <w:nsid w:val="2BB180D8"/>
    <w:multiLevelType w:val="hybridMultilevel"/>
    <w:lvl w:ilvl="0">
      <w:lvlJc w:val="left"/>
      <w:lvlText w:val="•"/>
      <w:numFmt w:val="bullet"/>
      <w:start w:val="1"/>
    </w:lvl>
  </w:abstractNum>
  <w:abstractNum w:abstractNumId="70">
    <w:nsid w:val="556B69ED"/>
    <w:multiLevelType w:val="hybridMultilevel"/>
    <w:lvl w:ilvl="0">
      <w:lvlJc w:val="left"/>
      <w:lvlText w:val="•"/>
      <w:numFmt w:val="bullet"/>
      <w:start w:val="1"/>
    </w:lvl>
  </w:abstractNum>
  <w:abstractNum w:abstractNumId="71">
    <w:nsid w:val="70836196"/>
    <w:multiLevelType w:val="hybridMultilevel"/>
    <w:lvl w:ilvl="0">
      <w:lvlJc w:val="left"/>
      <w:lvlText w:val="•"/>
      <w:numFmt w:val="bullet"/>
      <w:start w:val="1"/>
    </w:lvl>
  </w:abstractNum>
  <w:abstractNum w:abstractNumId="72">
    <w:nsid w:val="539F7F12"/>
    <w:multiLevelType w:val="hybridMultilevel"/>
    <w:lvl w:ilvl="0">
      <w:lvlJc w:val="left"/>
      <w:lvlText w:val="•"/>
      <w:numFmt w:val="bullet"/>
      <w:start w:val="1"/>
    </w:lvl>
  </w:abstractNum>
  <w:abstractNum w:abstractNumId="73">
    <w:nsid w:val="2817E7EC"/>
    <w:multiLevelType w:val="hybridMultilevel"/>
    <w:lvl w:ilvl="0">
      <w:lvlJc w:val="left"/>
      <w:lvlText w:val="•"/>
      <w:numFmt w:val="bullet"/>
      <w:start w:val="1"/>
    </w:lvl>
  </w:abstractNum>
  <w:abstractNum w:abstractNumId="74">
    <w:nsid w:val="71482545"/>
    <w:multiLevelType w:val="hybridMultilevel"/>
    <w:lvl w:ilvl="0">
      <w:lvlJc w:val="left"/>
      <w:lvlText w:val="•"/>
      <w:numFmt w:val="bullet"/>
      <w:start w:val="1"/>
    </w:lvl>
  </w:abstractNum>
  <w:abstractNum w:abstractNumId="75">
    <w:nsid w:val="17D78639"/>
    <w:multiLevelType w:val="hybridMultilevel"/>
    <w:lvl w:ilvl="0">
      <w:lvlJc w:val="left"/>
      <w:lvlText w:val="•"/>
      <w:numFmt w:val="bullet"/>
      <w:start w:val="1"/>
    </w:lvl>
  </w:abstractNum>
  <w:abstractNum w:abstractNumId="76">
    <w:nsid w:val="141D2302"/>
    <w:multiLevelType w:val="hybridMultilevel"/>
    <w:lvl w:ilvl="0">
      <w:lvlJc w:val="left"/>
      <w:lvlText w:val="•"/>
      <w:numFmt w:val="bullet"/>
      <w:start w:val="1"/>
    </w:lvl>
  </w:abstractNum>
  <w:abstractNum w:abstractNumId="77">
    <w:nsid w:val="407168D8"/>
    <w:multiLevelType w:val="hybridMultilevel"/>
    <w:lvl w:ilvl="0">
      <w:lvlJc w:val="left"/>
      <w:lvlText w:val="•"/>
      <w:numFmt w:val="bullet"/>
      <w:start w:val="1"/>
    </w:lvl>
  </w:abstractNum>
  <w:abstractNum w:abstractNumId="78">
    <w:nsid w:val="6A1B45E5"/>
    <w:multiLevelType w:val="hybridMultilevel"/>
    <w:lvl w:ilvl="0">
      <w:lvlJc w:val="left"/>
      <w:lvlText w:val="(%1)"/>
      <w:numFmt w:val="decimal"/>
      <w:start w:val="1"/>
    </w:lvl>
  </w:abstractNum>
  <w:abstractNum w:abstractNumId="79">
    <w:nsid w:val="567BD50A"/>
    <w:multiLevelType w:val="hybridMultilevel"/>
    <w:lvl w:ilvl="0">
      <w:lvlJc w:val="left"/>
      <w:lvlText w:val="•"/>
      <w:numFmt w:val="bullet"/>
      <w:start w:val="1"/>
    </w:lvl>
  </w:abstractNum>
  <w:abstractNum w:abstractNumId="80">
    <w:nsid w:val="73BBD7F8"/>
    <w:multiLevelType w:val="hybridMultilevel"/>
    <w:lvl w:ilvl="0">
      <w:lvlJc w:val="left"/>
      <w:lvlText w:val="•"/>
      <w:numFmt w:val="bullet"/>
      <w:start w:val="1"/>
    </w:lvl>
  </w:abstractNum>
  <w:abstractNum w:abstractNumId="81">
    <w:nsid w:val="1876589D"/>
    <w:multiLevelType w:val="hybridMultilevel"/>
    <w:lvl w:ilvl="0">
      <w:lvlJc w:val="left"/>
      <w:lvlText w:val="•"/>
      <w:numFmt w:val="bullet"/>
      <w:start w:val="1"/>
    </w:lvl>
  </w:abstractNum>
  <w:abstractNum w:abstractNumId="82">
    <w:nsid w:val="327FAC77"/>
    <w:multiLevelType w:val="hybridMultilevel"/>
    <w:lvl w:ilvl="0">
      <w:lvlJc w:val="left"/>
      <w:lvlText w:val="(%1)"/>
      <w:numFmt w:val="decimal"/>
      <w:start w:val="1"/>
    </w:lvl>
  </w:abstractNum>
  <w:abstractNum w:abstractNumId="83">
    <w:nsid w:val="5A606509"/>
    <w:multiLevelType w:val="hybridMultilevel"/>
    <w:lvl w:ilvl="0">
      <w:lvlJc w:val="left"/>
      <w:lvlText w:val="(%1)"/>
      <w:numFmt w:val="decimal"/>
      <w:start w:val="1"/>
    </w:lvl>
  </w:abstractNum>
  <w:abstractNum w:abstractNumId="84">
    <w:nsid w:val="6F38E6D1"/>
    <w:multiLevelType w:val="hybridMultilevel"/>
    <w:lvl w:ilvl="0">
      <w:lvlJc w:val="left"/>
      <w:lvlText w:val="(%1)"/>
      <w:numFmt w:val="decimal"/>
      <w:start w:val="3"/>
    </w:lvl>
  </w:abstractNum>
  <w:abstractNum w:abstractNumId="85">
    <w:nsid w:val="46111BA5"/>
    <w:multiLevelType w:val="hybridMultilevel"/>
    <w:lvl w:ilvl="0">
      <w:lvlJc w:val="left"/>
      <w:lvlText w:val="•"/>
      <w:numFmt w:val="bullet"/>
      <w:start w:val="1"/>
    </w:lvl>
  </w:abstractNum>
  <w:abstractNum w:abstractNumId="86">
    <w:nsid w:val="5E963896"/>
    <w:multiLevelType w:val="hybridMultilevel"/>
    <w:lvl w:ilvl="0">
      <w:lvlJc w:val="left"/>
      <w:lvlText w:val="•"/>
      <w:numFmt w:val="bullet"/>
      <w:start w:val="1"/>
    </w:lvl>
  </w:abstractNum>
  <w:abstractNum w:abstractNumId="87">
    <w:nsid w:val="775BA7C1"/>
    <w:multiLevelType w:val="hybridMultilevel"/>
    <w:lvl w:ilvl="0">
      <w:lvlJc w:val="left"/>
      <w:lvlText w:val="•"/>
      <w:numFmt w:val="bullet"/>
      <w:start w:val="1"/>
    </w:lvl>
  </w:abstractNum>
  <w:abstractNum w:abstractNumId="88">
    <w:nsid w:val="1DD6D6F4"/>
    <w:multiLevelType w:val="hybridMultilevel"/>
    <w:lvl w:ilvl="0">
      <w:lvlJc w:val="left"/>
      <w:lvlText w:val="•"/>
      <w:numFmt w:val="bullet"/>
      <w:start w:val="1"/>
    </w:lvl>
  </w:abstractNum>
  <w:abstractNum w:abstractNumId="89">
    <w:nsid w:val="769A091F"/>
    <w:multiLevelType w:val="hybridMultilevel"/>
    <w:lvl w:ilvl="0">
      <w:lvlJc w:val="left"/>
      <w:lvlText w:val="•"/>
      <w:numFmt w:val="bullet"/>
      <w:start w:val="1"/>
    </w:lvl>
  </w:abstractNum>
  <w:abstractNum w:abstractNumId="90">
    <w:nsid w:val="4695AE95"/>
    <w:multiLevelType w:val="hybridMultilevel"/>
    <w:lvl w:ilvl="0">
      <w:lvlJc w:val="left"/>
      <w:lvlText w:val="•"/>
      <w:numFmt w:val="bullet"/>
      <w:start w:val="1"/>
    </w:lvl>
  </w:abstractNum>
  <w:abstractNum w:abstractNumId="91">
    <w:nsid w:val="777A4EAA"/>
    <w:multiLevelType w:val="hybridMultilevel"/>
    <w:lvl w:ilvl="0">
      <w:lvlJc w:val="left"/>
      <w:lvlText w:val="•"/>
      <w:numFmt w:val="bullet"/>
      <w:start w:val="1"/>
    </w:lvl>
  </w:abstractNum>
  <w:abstractNum w:abstractNumId="92">
    <w:nsid w:val="3F48B982"/>
    <w:multiLevelType w:val="hybridMultilevel"/>
    <w:lvl w:ilvl="0">
      <w:lvlJc w:val="left"/>
      <w:lvlText w:val="•"/>
      <w:numFmt w:val="bullet"/>
      <w:start w:val="1"/>
    </w:lvl>
  </w:abstractNum>
  <w:abstractNum w:abstractNumId="93">
    <w:nsid w:val="46BA8FCA"/>
    <w:multiLevelType w:val="hybridMultilevel"/>
    <w:lvl w:ilvl="0">
      <w:lvlJc w:val="left"/>
      <w:lvlText w:val="•"/>
      <w:numFmt w:val="bullet"/>
      <w:start w:val="1"/>
    </w:lvl>
  </w:abstractNum>
  <w:abstractNum w:abstractNumId="94">
    <w:nsid w:val="7835626C"/>
    <w:multiLevelType w:val="hybridMultilevel"/>
    <w:lvl w:ilvl="0">
      <w:lvlJc w:val="left"/>
      <w:lvlText w:val="(%1)"/>
      <w:numFmt w:val="lowerRoman"/>
      <w:start w:val="2"/>
    </w:lvl>
  </w:abstractNum>
  <w:abstractNum w:abstractNumId="95">
    <w:nsid w:val="665ACA49"/>
    <w:multiLevelType w:val="hybridMultilevel"/>
    <w:lvl w:ilvl="0">
      <w:lvlJc w:val="left"/>
      <w:lvlText w:val="(%1)"/>
      <w:numFmt w:val="lowerRoman"/>
      <w:start w:val="2"/>
    </w:lvl>
  </w:abstractNum>
  <w:abstractNum w:abstractNumId="96">
    <w:nsid w:val="6835B2AE"/>
    <w:multiLevelType w:val="hybridMultilevel"/>
    <w:lvl w:ilvl="0">
      <w:lvlJc w:val="left"/>
      <w:lvlText w:val="•"/>
      <w:numFmt w:val="bullet"/>
      <w:start w:val="1"/>
    </w:lvl>
  </w:abstractNum>
  <w:abstractNum w:abstractNumId="97">
    <w:nsid w:val="4C187C90"/>
    <w:multiLevelType w:val="hybridMultilevel"/>
    <w:lvl w:ilvl="0">
      <w:lvlJc w:val="left"/>
      <w:lvlText w:val="•"/>
      <w:numFmt w:val="bullet"/>
      <w:start w:val="1"/>
    </w:lvl>
  </w:abstractNum>
  <w:abstractNum w:abstractNumId="98">
    <w:nsid w:val="541F28CD"/>
    <w:multiLevelType w:val="hybridMultilevel"/>
    <w:lvl w:ilvl="0">
      <w:lvlJc w:val="left"/>
      <w:lvlText w:val="•"/>
      <w:numFmt w:val="bullet"/>
      <w:start w:val="1"/>
    </w:lvl>
  </w:abstractNum>
  <w:abstractNum w:abstractNumId="99">
    <w:nsid w:val="7F65FD16"/>
    <w:multiLevelType w:val="hybridMultilevel"/>
    <w:lvl w:ilvl="0">
      <w:lvlJc w:val="left"/>
      <w:lvlText w:val="•"/>
      <w:numFmt w:val="bullet"/>
      <w:start w:val="1"/>
    </w:lvl>
  </w:abstractNum>
  <w:abstractNum w:abstractNumId="100">
    <w:nsid w:val="77C9FD68"/>
    <w:multiLevelType w:val="hybridMultilevel"/>
    <w:lvl w:ilvl="0">
      <w:lvlJc w:val="left"/>
      <w:lvlText w:val="•"/>
      <w:numFmt w:val="bullet"/>
      <w:start w:val="1"/>
    </w:lvl>
  </w:abstractNum>
  <w:abstractNum w:abstractNumId="101">
    <w:nsid w:val="298A92BA"/>
    <w:multiLevelType w:val="hybridMultilevel"/>
    <w:lvl w:ilvl="0">
      <w:lvlJc w:val="left"/>
      <w:lvlText w:val="•"/>
      <w:numFmt w:val="bullet"/>
      <w:start w:val="1"/>
    </w:lvl>
  </w:abstractNum>
  <w:abstractNum w:abstractNumId="102">
    <w:nsid w:val="6FE95EAC"/>
    <w:multiLevelType w:val="hybridMultilevel"/>
    <w:lvl w:ilvl="0">
      <w:lvlJc w:val="left"/>
      <w:lvlText w:val="•"/>
      <w:numFmt w:val="bullet"/>
      <w:start w:val="1"/>
    </w:lvl>
  </w:abstractNum>
  <w:abstractNum w:abstractNumId="103">
    <w:nsid w:val="4B697C7A"/>
    <w:multiLevelType w:val="hybridMultilevel"/>
    <w:lvl w:ilvl="0">
      <w:lvlJc w:val="left"/>
      <w:lvlText w:val="•"/>
      <w:numFmt w:val="bullet"/>
      <w:start w:val="1"/>
    </w:lvl>
  </w:abstractNum>
  <w:abstractNum w:abstractNumId="104">
    <w:nsid w:val="51A27AA6"/>
    <w:multiLevelType w:val="hybridMultilevel"/>
    <w:lvl w:ilvl="0">
      <w:lvlJc w:val="left"/>
      <w:lvlText w:val="•"/>
      <w:numFmt w:val="bullet"/>
      <w:start w:val="1"/>
    </w:lvl>
  </w:abstractNum>
  <w:abstractNum w:abstractNumId="105">
    <w:nsid w:val="613183F2"/>
    <w:multiLevelType w:val="hybridMultilevel"/>
    <w:lvl w:ilvl="0">
      <w:lvlJc w:val="left"/>
      <w:lvlText w:val="•"/>
      <w:numFmt w:val="bullet"/>
      <w:start w:val="1"/>
    </w:lvl>
  </w:abstractNum>
  <w:abstractNum w:abstractNumId="106">
    <w:nsid w:val="634102B4"/>
    <w:multiLevelType w:val="hybridMultilevel"/>
    <w:lvl w:ilvl="0">
      <w:lvlJc w:val="left"/>
      <w:lvlText w:val="•"/>
      <w:numFmt w:val="bullet"/>
      <w:start w:val="1"/>
    </w:lvl>
  </w:abstractNum>
  <w:abstractNum w:abstractNumId="107">
    <w:nsid w:val="65BF9DA8"/>
    <w:multiLevelType w:val="hybridMultilevel"/>
    <w:lvl w:ilvl="0">
      <w:lvlJc w:val="left"/>
      <w:lvlText w:val="(%1)"/>
      <w:numFmt w:val="decimal"/>
      <w:start w:val="1"/>
    </w:lvl>
  </w:abstractNum>
  <w:abstractNum w:abstractNumId="108">
    <w:nsid w:val="21A2ECCA"/>
    <w:multiLevelType w:val="hybridMultilevel"/>
    <w:lvl w:ilvl="0">
      <w:lvlJc w:val="left"/>
      <w:lvlText w:val="•"/>
      <w:numFmt w:val="bullet"/>
      <w:start w:val="1"/>
    </w:lvl>
  </w:abstractNum>
  <w:abstractNum w:abstractNumId="109">
    <w:nsid w:val="4D5C4899"/>
    <w:multiLevelType w:val="hybridMultilevel"/>
    <w:lvl w:ilvl="0">
      <w:lvlJc w:val="left"/>
      <w:lvlText w:val="(%1)"/>
      <w:numFmt w:val="decimal"/>
      <w:start w:val="1"/>
    </w:lvl>
  </w:abstractNum>
  <w:abstractNum w:abstractNumId="110">
    <w:nsid w:val="3C3B72B2"/>
    <w:multiLevelType w:val="hybridMultilevel"/>
    <w:lvl w:ilvl="0">
      <w:lvlJc w:val="left"/>
      <w:lvlText w:val="(%1)"/>
      <w:numFmt w:val="decimal"/>
      <w:start w:val="1"/>
    </w:lvl>
  </w:abstractNum>
  <w:abstractNum w:abstractNumId="111">
    <w:nsid w:val="155EC4C2"/>
    <w:multiLevelType w:val="hybridMultilevel"/>
    <w:lvl w:ilvl="0">
      <w:lvlJc w:val="left"/>
      <w:lvlText w:val="•"/>
      <w:numFmt w:val="bullet"/>
      <w:start w:val="1"/>
    </w:lvl>
  </w:abstractNum>
  <w:abstractNum w:abstractNumId="112">
    <w:nsid w:val="65D2A137"/>
    <w:multiLevelType w:val="hybridMultilevel"/>
    <w:lvl w:ilvl="0">
      <w:lvlJc w:val="left"/>
      <w:lvlText w:val="•"/>
      <w:numFmt w:val="bullet"/>
      <w:start w:val="1"/>
    </w:lvl>
  </w:abstractNum>
  <w:abstractNum w:abstractNumId="113">
    <w:nsid w:val="6EBB1F2A"/>
    <w:multiLevelType w:val="hybridMultilevel"/>
    <w:lvl w:ilvl="0">
      <w:lvlJc w:val="left"/>
      <w:lvlText w:val="•"/>
      <w:numFmt w:val="bullet"/>
      <w:start w:val="1"/>
    </w:lvl>
  </w:abstractNum>
  <w:abstractNum w:abstractNumId="114">
    <w:nsid w:val="6FBF29CB"/>
    <w:multiLevelType w:val="hybridMultilevel"/>
    <w:lvl w:ilvl="0">
      <w:lvlJc w:val="left"/>
      <w:lvlText w:val="(%1)"/>
      <w:numFmt w:val="decimal"/>
      <w:start w:val="3"/>
    </w:lvl>
  </w:abstractNum>
  <w:abstractNum w:abstractNumId="115">
    <w:nsid w:val="550B8808"/>
    <w:multiLevelType w:val="hybridMultilevel"/>
    <w:lvl w:ilvl="0">
      <w:lvlJc w:val="left"/>
      <w:lvlText w:val="(%1)"/>
      <w:numFmt w:val="decimal"/>
      <w:start w:val="12"/>
    </w:lvl>
  </w:abstractNum>
  <w:abstractNum w:abstractNumId="116">
    <w:nsid w:val="34CC3ACF"/>
    <w:multiLevelType w:val="hybridMultilevel"/>
    <w:lvl w:ilvl="0">
      <w:lvlJc w:val="left"/>
      <w:lvlText w:val="(%1)"/>
      <w:numFmt w:val="lowerRoman"/>
      <w:start w:val="1"/>
    </w:lvl>
  </w:abstractNum>
  <w:abstractNum w:abstractNumId="117">
    <w:nsid w:val="4E556261"/>
    <w:multiLevelType w:val="hybridMultilevel"/>
    <w:lvl w:ilvl="0">
      <w:lvlJc w:val="left"/>
      <w:lvlText w:val="(%1)"/>
      <w:numFmt w:val="lowerRoman"/>
      <w:start w:val="4"/>
    </w:lvl>
  </w:abstractNum>
  <w:abstractNum w:abstractNumId="118">
    <w:nsid w:val="4C672FC9"/>
    <w:multiLevelType w:val="hybridMultilevel"/>
    <w:lvl w:ilvl="0">
      <w:lvlJc w:val="left"/>
      <w:lvlText w:val="•"/>
      <w:numFmt w:val="bullet"/>
      <w:start w:val="1"/>
    </w:lvl>
  </w:abstractNum>
  <w:abstractNum w:abstractNumId="119">
    <w:nsid w:val="52A311C3"/>
    <w:multiLevelType w:val="hybridMultilevel"/>
    <w:lvl w:ilvl="0">
      <w:lvlJc w:val="left"/>
      <w:lvlText w:val="•"/>
      <w:numFmt w:val="bullet"/>
      <w:start w:val="1"/>
    </w:lvl>
  </w:abstractNum>
  <w:abstractNum w:abstractNumId="120">
    <w:nsid w:val="44EF6B80"/>
    <w:multiLevelType w:val="hybridMultilevel"/>
    <w:lvl w:ilvl="0">
      <w:lvlJc w:val="left"/>
      <w:lvlText w:val="(%1)"/>
      <w:numFmt w:val="lowerRoman"/>
      <w:start w:val="2"/>
    </w:lvl>
  </w:abstractNum>
  <w:abstractNum w:abstractNumId="121">
    <w:nsid w:val="12FCDE5E"/>
    <w:multiLevelType w:val="hybridMultilevel"/>
    <w:lvl w:ilvl="0">
      <w:lvlJc w:val="left"/>
      <w:lvlText w:val="•"/>
      <w:numFmt w:val="bullet"/>
      <w:start w:val="1"/>
    </w:lvl>
  </w:abstractNum>
  <w:abstractNum w:abstractNumId="122">
    <w:nsid w:val="4A1D606E"/>
    <w:multiLevelType w:val="hybridMultilevel"/>
    <w:lvl w:ilvl="0">
      <w:lvlJc w:val="left"/>
      <w:lvlText w:val="(%1)"/>
      <w:numFmt w:val="decimal"/>
      <w:start w:val="1"/>
    </w:lvl>
  </w:abstractNum>
  <w:abstractNum w:abstractNumId="123">
    <w:nsid w:val="4382503"/>
    <w:multiLevelType w:val="hybridMultilevel"/>
    <w:lvl w:ilvl="0">
      <w:lvlJc w:val="left"/>
      <w:lvlText w:val="(%1)"/>
      <w:numFmt w:val="decimal"/>
      <w:start w:val="1"/>
    </w:lvl>
  </w:abstractNum>
  <w:abstractNum w:abstractNumId="124">
    <w:nsid w:val="59B76E28"/>
    <w:multiLevelType w:val="hybridMultilevel"/>
    <w:lvl w:ilvl="0">
      <w:lvlJc w:val="left"/>
      <w:lvlText w:val="(%1)"/>
      <w:numFmt w:val="decimal"/>
      <w:start w:val="1"/>
    </w:lvl>
  </w:abstractNum>
  <w:abstractNum w:abstractNumId="125">
    <w:nsid w:val="4252C2DA"/>
    <w:multiLevelType w:val="hybridMultilevel"/>
    <w:lvl w:ilvl="0">
      <w:lvlJc w:val="left"/>
      <w:lvlText w:val="•"/>
      <w:numFmt w:val="bullet"/>
      <w:start w:val="1"/>
    </w:lvl>
  </w:abstractNum>
  <w:abstractNum w:abstractNumId="126">
    <w:nsid w:val="6A92EF4C"/>
    <w:multiLevelType w:val="hybridMultilevel"/>
    <w:lvl w:ilvl="0">
      <w:lvlJc w:val="left"/>
      <w:lvlText w:val="•"/>
      <w:numFmt w:val="bullet"/>
      <w:start w:val="1"/>
    </w:lvl>
  </w:abstractNum>
  <w:abstractNum w:abstractNumId="127">
    <w:nsid w:val="41ED20D7"/>
    <w:multiLevelType w:val="hybridMultilevel"/>
    <w:lvl w:ilvl="0">
      <w:lvlJc w:val="left"/>
      <w:lvlText w:val="(%1)"/>
      <w:numFmt w:val="decimal"/>
      <w:start w:val="1"/>
    </w:lvl>
  </w:abstractNum>
  <w:abstractNum w:abstractNumId="128">
    <w:nsid w:val="E6B3F6A"/>
    <w:multiLevelType w:val="hybridMultilevel"/>
    <w:lvl w:ilvl="0">
      <w:lvlJc w:val="left"/>
      <w:lvlText w:val="(%1)"/>
      <w:numFmt w:val="decimal"/>
      <w:start w:val="4"/>
    </w:lvl>
    <w:lvl w:ilvl="1">
      <w:lvlJc w:val="left"/>
      <w:lvlText w:val="(%2)"/>
      <w:numFmt w:val="lowerRoman"/>
      <w:start w:val="2"/>
    </w:lvl>
  </w:abstractNum>
  <w:abstractNum w:abstractNumId="129">
    <w:nsid w:val="3EB21819"/>
    <w:multiLevelType w:val="hybridMultilevel"/>
    <w:lvl w:ilvl="0">
      <w:lvlJc w:val="left"/>
      <w:lvlText w:val="(%1)"/>
      <w:numFmt w:val="decimal"/>
      <w:start w:val="5"/>
    </w:lvl>
  </w:abstractNum>
  <w:abstractNum w:abstractNumId="130">
    <w:nsid w:val="41531DED"/>
    <w:multiLevelType w:val="hybridMultilevel"/>
    <w:lvl w:ilvl="0">
      <w:lvlJc w:val="left"/>
      <w:lvlText w:val="(%1)"/>
      <w:numFmt w:val="decimal"/>
      <w:start w:val="6"/>
    </w:lvl>
  </w:abstractNum>
  <w:abstractNum w:abstractNumId="131">
    <w:nsid w:val="6353CD2"/>
    <w:multiLevelType w:val="hybridMultilevel"/>
    <w:lvl w:ilvl="0">
      <w:lvlJc w:val="left"/>
      <w:lvlText w:val="(%1)"/>
      <w:numFmt w:val="decimal"/>
      <w:start w:val="12"/>
    </w:lvl>
  </w:abstractNum>
  <w:abstractNum w:abstractNumId="132">
    <w:nsid w:val="683CAAD3"/>
    <w:multiLevelType w:val="hybridMultilevel"/>
    <w:lvl w:ilvl="0">
      <w:lvlJc w:val="left"/>
      <w:lvlText w:val="(%1)"/>
      <w:numFmt w:val="lowerLetter"/>
      <w:start w:val="1"/>
    </w:lvl>
  </w:abstractNum>
  <w:abstractNum w:abstractNumId="133">
    <w:nsid w:val="313C7C99"/>
    <w:multiLevelType w:val="hybridMultilevel"/>
    <w:lvl w:ilvl="0">
      <w:lvlJc w:val="left"/>
      <w:lvlText w:val="•"/>
      <w:numFmt w:val="bullet"/>
      <w:start w:val="1"/>
    </w:lvl>
  </w:abstractNum>
  <w:abstractNum w:abstractNumId="134">
    <w:nsid w:val="519EB94C"/>
    <w:multiLevelType w:val="hybridMultilevel"/>
    <w:lvl w:ilvl="0">
      <w:lvlJc w:val="left"/>
      <w:lvlText w:val="•"/>
      <w:numFmt w:val="bullet"/>
      <w:start w:val="1"/>
    </w:lvl>
  </w:abstractNum>
  <w:abstractNum w:abstractNumId="135">
    <w:nsid w:val="39DF2579"/>
    <w:multiLevelType w:val="hybridMultilevel"/>
    <w:lvl w:ilvl="0">
      <w:lvlJc w:val="left"/>
      <w:lvlText w:val="•"/>
      <w:numFmt w:val="bullet"/>
      <w:start w:val="1"/>
    </w:lvl>
  </w:abstractNum>
  <w:abstractNum w:abstractNumId="136">
    <w:nsid w:val="126E008B"/>
    <w:multiLevelType w:val="hybridMultilevel"/>
    <w:lvl w:ilvl="0">
      <w:lvlJc w:val="left"/>
      <w:lvlText w:val="•"/>
      <w:numFmt w:val="bullet"/>
      <w:start w:val="1"/>
    </w:lvl>
  </w:abstractNum>
  <w:abstractNum w:abstractNumId="137">
    <w:nsid w:val="34DFBC00"/>
    <w:multiLevelType w:val="hybridMultilevel"/>
    <w:lvl w:ilvl="0">
      <w:lvlJc w:val="left"/>
      <w:lvlText w:val="•"/>
      <w:numFmt w:val="bullet"/>
      <w:start w:val="1"/>
    </w:lvl>
  </w:abstractNum>
  <w:abstractNum w:abstractNumId="138">
    <w:nsid w:val="1F9EC322"/>
    <w:multiLevelType w:val="hybridMultilevel"/>
    <w:lvl w:ilvl="0">
      <w:lvlJc w:val="left"/>
      <w:lvlText w:val="•"/>
      <w:numFmt w:val="bullet"/>
      <w:start w:val="1"/>
    </w:lvl>
  </w:abstractNum>
  <w:abstractNum w:abstractNumId="139">
    <w:nsid w:val="3410ED56"/>
    <w:multiLevelType w:val="hybridMultilevel"/>
    <w:lvl w:ilvl="0">
      <w:lvlJc w:val="left"/>
      <w:lvlText w:val="•"/>
      <w:numFmt w:val="bullet"/>
      <w:start w:val="1"/>
    </w:lvl>
  </w:abstractNum>
  <w:abstractNum w:abstractNumId="140">
    <w:nsid w:val="23C049A"/>
    <w:multiLevelType w:val="hybridMultilevel"/>
    <w:lvl w:ilvl="0">
      <w:lvlJc w:val="left"/>
      <w:lvlText w:val="•"/>
      <w:numFmt w:val="bullet"/>
      <w:start w:val="1"/>
    </w:lvl>
  </w:abstractNum>
  <w:abstractNum w:abstractNumId="141">
    <w:nsid w:val="5BDA35D4"/>
    <w:multiLevelType w:val="hybridMultilevel"/>
    <w:lvl w:ilvl="0">
      <w:lvlJc w:val="left"/>
      <w:lvlText w:val="•"/>
      <w:numFmt w:val="bullet"/>
      <w:start w:val="1"/>
    </w:lvl>
  </w:abstractNum>
  <w:abstractNum w:abstractNumId="142">
    <w:nsid w:val="496FB218"/>
    <w:multiLevelType w:val="hybridMultilevel"/>
    <w:lvl w:ilvl="0">
      <w:lvlJc w:val="left"/>
      <w:lvlText w:val="•"/>
      <w:numFmt w:val="bullet"/>
      <w:start w:val="1"/>
    </w:lvl>
  </w:abstractNum>
  <w:abstractNum w:abstractNumId="143">
    <w:nsid w:val="680EA5D1"/>
    <w:multiLevelType w:val="hybridMultilevel"/>
    <w:lvl w:ilvl="0">
      <w:lvlJc w:val="left"/>
      <w:lvlText w:val="•"/>
      <w:numFmt w:val="bullet"/>
      <w:start w:val="1"/>
    </w:lvl>
  </w:abstractNum>
  <w:abstractNum w:abstractNumId="144">
    <w:nsid w:val="4A9554FE"/>
    <w:multiLevelType w:val="hybridMultilevel"/>
    <w:lvl w:ilvl="0">
      <w:lvlJc w:val="left"/>
      <w:lvlText w:val="•"/>
      <w:numFmt w:val="bullet"/>
      <w:start w:val="1"/>
    </w:lvl>
  </w:abstractNum>
  <w:abstractNum w:abstractNumId="145">
    <w:nsid w:val="392EDBE4"/>
    <w:multiLevelType w:val="hybridMultilevel"/>
    <w:lvl w:ilvl="0">
      <w:lvlJc w:val="left"/>
      <w:lvlText w:val="•"/>
      <w:numFmt w:val="bullet"/>
      <w:start w:val="1"/>
    </w:lvl>
  </w:abstractNum>
  <w:abstractNum w:abstractNumId="146">
    <w:nsid w:val="3D1A2DD9"/>
    <w:multiLevelType w:val="hybridMultilevel"/>
    <w:lvl w:ilvl="0">
      <w:lvlJc w:val="left"/>
      <w:lvlText w:val="•"/>
      <w:numFmt w:val="bullet"/>
      <w:start w:val="1"/>
    </w:lvl>
  </w:abstractNum>
  <w:abstractNum w:abstractNumId="147">
    <w:nsid w:val="7F618FCD"/>
    <w:multiLevelType w:val="hybridMultilevel"/>
    <w:lvl w:ilvl="0">
      <w:lvlJc w:val="left"/>
      <w:lvlText w:val="(%1)"/>
      <w:numFmt w:val="lowerLetter"/>
      <w:start w:val="1"/>
    </w:lvl>
  </w:abstractNum>
  <w:abstractNum w:abstractNumId="148">
    <w:nsid w:val="7843E45"/>
    <w:multiLevelType w:val="hybridMultilevel"/>
    <w:lvl w:ilvl="0">
      <w:lvlJc w:val="left"/>
      <w:lvlText w:val="(%1)"/>
      <w:numFmt w:val="lowerLetter"/>
      <w:start w:val="1"/>
    </w:lvl>
  </w:abstractNum>
  <w:abstractNum w:abstractNumId="149">
    <w:nsid w:val="9815DA3"/>
    <w:multiLevelType w:val="hybridMultilevel"/>
    <w:lvl w:ilvl="0">
      <w:lvlJc w:val="left"/>
      <w:lvlText w:val="(%1)"/>
      <w:numFmt w:val="lowerLetter"/>
      <w:start w:val="1"/>
    </w:lvl>
  </w:abstractNum>
  <w:abstractNum w:abstractNumId="150">
    <w:nsid w:val="5204A191"/>
    <w:multiLevelType w:val="hybridMultilevel"/>
    <w:lvl w:ilvl="0">
      <w:lvlJc w:val="left"/>
      <w:lvlText w:val="(%1)"/>
      <w:numFmt w:val="decimal"/>
      <w:start w:val="3"/>
    </w:lvl>
  </w:abstractNum>
  <w:abstractNum w:abstractNumId="151">
    <w:nsid w:val="4C73A9C6"/>
    <w:multiLevelType w:val="hybridMultilevel"/>
    <w:lvl w:ilvl="0">
      <w:lvlJc w:val="left"/>
      <w:lvlText w:val="(%1)"/>
      <w:numFmt w:val="decimal"/>
      <w:start w:val="1"/>
    </w:lvl>
  </w:abstractNum>
  <w:abstractNum w:abstractNumId="152">
    <w:nsid w:val="1C7E3C01"/>
    <w:multiLevelType w:val="hybridMultilevel"/>
    <w:lvl w:ilvl="0">
      <w:lvlJc w:val="left"/>
      <w:lvlText w:val="%1."/>
      <w:numFmt w:val="decimal"/>
      <w:start w:val="2"/>
    </w:lvl>
  </w:abstractNum>
  <w:abstractNum w:abstractNumId="153">
    <w:nsid w:val="1C2201FF"/>
    <w:multiLevelType w:val="hybridMultilevel"/>
    <w:lvl w:ilvl="0">
      <w:lvlJc w:val="left"/>
      <w:lvlText w:val="•"/>
      <w:numFmt w:val="bullet"/>
      <w:start w:val="1"/>
    </w:lvl>
  </w:abstractNum>
  <w:abstractNum w:abstractNumId="154">
    <w:nsid w:val="50ABCEC9"/>
    <w:multiLevelType w:val="hybridMultilevel"/>
    <w:lvl w:ilvl="0">
      <w:lvlJc w:val="left"/>
      <w:lvlText w:val="%1."/>
      <w:numFmt w:val="decimal"/>
      <w:start w:val="7"/>
    </w:lvl>
  </w:abstractNum>
  <w:abstractNum w:abstractNumId="155">
    <w:nsid w:val="7635AA2A"/>
    <w:multiLevelType w:val="hybridMultilevel"/>
    <w:lvl w:ilvl="0">
      <w:lvlJc w:val="left"/>
      <w:lvlText w:val="%1."/>
      <w:numFmt w:val="decimal"/>
      <w:start w:val="10"/>
    </w:lvl>
  </w:abstractNum>
  <w:abstractNum w:abstractNumId="156">
    <w:nsid w:val="5E74C4D9"/>
    <w:multiLevelType w:val="hybridMultilevel"/>
    <w:lvl w:ilvl="0">
      <w:lvlJc w:val="left"/>
      <w:lvlText w:val="+"/>
      <w:numFmt w:val="bullet"/>
      <w:start w:val="1"/>
    </w:lvl>
  </w:abstractNum>
  <w:abstractNum w:abstractNumId="157">
    <w:nsid w:val="3B3EBE15"/>
    <w:multiLevelType w:val="hybridMultilevel"/>
    <w:lvl w:ilvl="0">
      <w:lvlJc w:val="left"/>
      <w:lvlText w:val="†"/>
      <w:numFmt w:val="bullet"/>
      <w:start w:val="1"/>
    </w:lvl>
  </w:abstractNum>
  <w:abstractNum w:abstractNumId="158">
    <w:nsid w:val="3822CB01"/>
    <w:multiLevelType w:val="hybridMultilevel"/>
    <w:lvl w:ilvl="0">
      <w:lvlJc w:val="left"/>
      <w:lvlText w:val="*"/>
      <w:numFmt w:val="bullet"/>
      <w:start w:val="1"/>
    </w:lvl>
  </w:abstractNum>
  <w:abstractNum w:abstractNumId="159">
    <w:nsid w:val="6CE00443"/>
    <w:multiLevelType w:val="hybridMultilevel"/>
    <w:lvl w:ilvl="0">
      <w:lvlJc w:val="left"/>
      <w:lvlText w:val="#"/>
      <w:numFmt w:val="bullet"/>
      <w:start w:val="1"/>
    </w:lvl>
  </w:abstractNum>
  <w:abstractNum w:abstractNumId="160">
    <w:nsid w:val="79F0D62F"/>
    <w:multiLevelType w:val="hybridMultilevel"/>
    <w:lvl w:ilvl="0">
      <w:lvlJc w:val="left"/>
      <w:lvlText w:val="(%1)"/>
      <w:numFmt w:val="decimal"/>
      <w:start w:val="1"/>
    </w:lvl>
    <w:lvl w:ilvl="1">
      <w:lvlJc w:val="left"/>
      <w:lvlText w:val="(%2)"/>
      <w:numFmt w:val="decimal"/>
      <w:start w:val="1"/>
    </w:lvl>
  </w:abstractNum>
  <w:abstractNum w:abstractNumId="161">
    <w:nsid w:val="7975E8EE"/>
    <w:multiLevelType w:val="hybridMultilevel"/>
    <w:lvl w:ilvl="0">
      <w:lvlJc w:val="left"/>
      <w:lvlText w:val="%1."/>
      <w:numFmt w:val="decimal"/>
      <w:start w:val="1"/>
    </w:lvl>
  </w:abstractNum>
  <w:abstractNum w:abstractNumId="162">
    <w:nsid w:val="73154115"/>
    <w:multiLevelType w:val="hybridMultilevel"/>
    <w:lvl w:ilvl="0">
      <w:lvlJc w:val="left"/>
      <w:lvlText w:val="%1"/>
      <w:numFmt w:val="upperLetter"/>
      <w:start w:val="1"/>
    </w:lvl>
    <w:lvl w:ilvl="1">
      <w:lvlJc w:val="left"/>
      <w:lvlText w:val="%2."/>
      <w:numFmt w:val="decimal"/>
      <w:start w:val="1"/>
    </w:lvl>
  </w:abstractNum>
  <w:abstractNum w:abstractNumId="163">
    <w:nsid w:val="622D8102"/>
    <w:multiLevelType w:val="hybridMultilevel"/>
    <w:lvl w:ilvl="0">
      <w:lvlJc w:val="left"/>
      <w:lvlText w:val="%1."/>
      <w:numFmt w:val="upperLetter"/>
      <w:start w:val="2"/>
    </w:lvl>
    <w:lvl w:ilvl="1">
      <w:lvlJc w:val="left"/>
      <w:lvlText w:val="%2"/>
      <w:numFmt w:val="decimal"/>
      <w:start w:val="1"/>
    </w:lvl>
  </w:abstractNum>
  <w:abstractNum w:abstractNumId="164">
    <w:nsid w:val="2AB26587"/>
    <w:multiLevelType w:val="hybridMultilevel"/>
    <w:lvl w:ilvl="0">
      <w:lvlJc w:val="left"/>
      <w:lvlText w:val="%1."/>
      <w:numFmt w:val="decimal"/>
      <w:start w:val="1"/>
    </w:lvl>
    <w:lvl w:ilvl="1">
      <w:lvlJc w:val="left"/>
      <w:lvlText w:val="-"/>
      <w:numFmt w:val="bullet"/>
      <w:start w:val="1"/>
    </w:lvl>
  </w:abstractNum>
  <w:abstractNum w:abstractNumId="165">
    <w:nsid w:val="44B3FA61"/>
    <w:multiLevelType w:val="hybridMultilevel"/>
    <w:lvl w:ilvl="0">
      <w:lvlJc w:val="left"/>
      <w:lvlText w:val="%1."/>
      <w:numFmt w:val="decimal"/>
      <w:start w:val="2"/>
    </w:lvl>
  </w:abstractNum>
  <w:abstractNum w:abstractNumId="166">
    <w:nsid w:val="1C0CA67C"/>
    <w:multiLevelType w:val="hybridMultilevel"/>
    <w:lvl w:ilvl="0">
      <w:lvlJc w:val="left"/>
      <w:lvlText w:val="(%1)"/>
      <w:numFmt w:val="lowerLetter"/>
      <w:start w:val="1"/>
    </w:lvl>
    <w:lvl w:ilvl="1">
      <w:lvlJc w:val="left"/>
      <w:lvlText w:val="(%2)"/>
      <w:numFmt w:val="lowerRoman"/>
      <w:start w:val="1"/>
    </w:lvl>
  </w:abstractNum>
  <w:abstractNum w:abstractNumId="167">
    <w:nsid w:val="3D206613"/>
    <w:multiLevelType w:val="hybridMultilevel"/>
    <w:lvl w:ilvl="0">
      <w:lvlJc w:val="left"/>
      <w:lvlText w:val="(%1)"/>
      <w:numFmt w:val="decimal"/>
      <w:start w:val="2"/>
    </w:lvl>
    <w:lvl w:ilvl="1">
      <w:lvlJc w:val="left"/>
      <w:lvlText w:val="(%2)"/>
      <w:numFmt w:val="lowerLetter"/>
      <w:start w:val="2"/>
    </w:lvl>
  </w:abstractNum>
  <w:abstractNum w:abstractNumId="168">
    <w:nsid w:val="7993B662"/>
    <w:multiLevelType w:val="hybridMultilevel"/>
    <w:lvl w:ilvl="0">
      <w:lvlJc w:val="left"/>
      <w:lvlText w:val="(%1)"/>
      <w:numFmt w:val="decimal"/>
      <w:start w:val="2"/>
    </w:lvl>
    <w:lvl w:ilvl="1">
      <w:lvlJc w:val="left"/>
      <w:lvlText w:val="%2"/>
      <w:numFmt w:val="lowerLetter"/>
      <w:start w:val="1"/>
    </w:lvl>
  </w:abstractNum>
  <w:abstractNum w:abstractNumId="169">
    <w:nsid w:val="3BAB699E"/>
    <w:multiLevelType w:val="hybridMultilevel"/>
    <w:lvl w:ilvl="0">
      <w:lvlJc w:val="left"/>
      <w:lvlText w:val="(%1)"/>
      <w:numFmt w:val="lowerLetter"/>
      <w:start w:val="1"/>
    </w:lvl>
    <w:lvl w:ilvl="1">
      <w:lvlJc w:val="left"/>
      <w:lvlText w:val="-"/>
      <w:numFmt w:val="bullet"/>
      <w:start w:val="1"/>
    </w:lvl>
  </w:abstractNum>
  <w:abstractNum w:abstractNumId="170">
    <w:nsid w:val="71315369"/>
    <w:multiLevelType w:val="hybridMultilevel"/>
    <w:lvl w:ilvl="0">
      <w:lvlJc w:val="left"/>
      <w:lvlText w:val="(%1)"/>
      <w:numFmt w:val="lowerLetter"/>
      <w:start w:val="2"/>
    </w:lvl>
    <w:lvl w:ilvl="1">
      <w:lvlJc w:val="left"/>
      <w:lvlText w:val="-"/>
      <w:numFmt w:val="bullet"/>
      <w:start w:val="1"/>
    </w:lvl>
  </w:abstractNum>
  <w:abstractNum w:abstractNumId="171">
    <w:nsid w:val="7BCFBAFC"/>
    <w:multiLevelType w:val="hybridMultilevel"/>
    <w:lvl w:ilvl="0">
      <w:lvlJc w:val="left"/>
      <w:lvlText w:val="%1."/>
      <w:numFmt w:val="decimal"/>
      <w:start w:val="3"/>
    </w:lvl>
  </w:abstractNum>
  <w:abstractNum w:abstractNumId="172">
    <w:nsid w:val="17859F72"/>
    <w:multiLevelType w:val="hybridMultilevel"/>
    <w:lvl w:ilvl="0">
      <w:lvlJc w:val="left"/>
      <w:lvlText w:val="(%1)"/>
      <w:numFmt w:val="lowerRoman"/>
      <w:start w:val="3"/>
    </w:lvl>
  </w:abstractNum>
  <w:abstractNum w:abstractNumId="173">
    <w:nsid w:val="3AA10581"/>
    <w:multiLevelType w:val="hybridMultilevel"/>
    <w:lvl w:ilvl="0">
      <w:lvlJc w:val="left"/>
      <w:lvlText w:val="%1."/>
      <w:numFmt w:val="decimal"/>
      <w:start w:val="4"/>
    </w:lvl>
  </w:abstractNum>
  <w:abstractNum w:abstractNumId="174">
    <w:nsid w:val="63DE60C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75">
    <w:nsid w:val="621AF471"/>
    <w:multiLevelType w:val="hybridMultilevel"/>
    <w:lvl w:ilvl="0">
      <w:lvlJc w:val="left"/>
      <w:lvlText w:val="(%1)"/>
      <w:numFmt w:val="lowerRoman"/>
      <w:start w:val="2"/>
    </w:lvl>
  </w:abstractNum>
  <w:abstractNum w:abstractNumId="176">
    <w:nsid w:val="73CFE165"/>
    <w:multiLevelType w:val="hybridMultilevel"/>
    <w:lvl w:ilvl="0">
      <w:lvlJc w:val="left"/>
      <w:lvlText w:val="(%1)"/>
      <w:numFmt w:val="lowerLetter"/>
      <w:start w:val="1"/>
    </w:lvl>
    <w:lvl w:ilvl="1">
      <w:lvlJc w:val="left"/>
      <w:lvlText w:val="-"/>
      <w:numFmt w:val="bullet"/>
      <w:start w:val="1"/>
    </w:lvl>
  </w:abstractNum>
  <w:abstractNum w:abstractNumId="177">
    <w:nsid w:val="20F88EA6"/>
    <w:multiLevelType w:val="hybridMultilevel"/>
    <w:lvl w:ilvl="0">
      <w:lvlJc w:val="left"/>
      <w:lvlText w:val="(%1)"/>
      <w:numFmt w:val="lowerLetter"/>
      <w:start w:val="4"/>
    </w:lvl>
  </w:abstractNum>
  <w:abstractNum w:abstractNumId="178">
    <w:nsid w:val="617C843E"/>
    <w:multiLevelType w:val="hybridMultilevel"/>
    <w:lvl w:ilvl="0">
      <w:lvlJc w:val="left"/>
      <w:lvlText w:val="(%1)"/>
      <w:numFmt w:val="lowerLetter"/>
      <w:start w:val="1"/>
    </w:lvl>
    <w:lvl w:ilvl="1">
      <w:lvlJc w:val="left"/>
      <w:lvlText w:val="-"/>
      <w:numFmt w:val="bullet"/>
      <w:start w:val="1"/>
    </w:lvl>
  </w:abstractNum>
  <w:abstractNum w:abstractNumId="179">
    <w:nsid w:val="7B541FAB"/>
    <w:multiLevelType w:val="hybridMultilevel"/>
    <w:lvl w:ilvl="0">
      <w:lvlJc w:val="left"/>
      <w:lvlText w:val="(%1)"/>
      <w:numFmt w:val="lowerLetter"/>
      <w:start w:val="2"/>
    </w:lvl>
  </w:abstractNum>
  <w:abstractNum w:abstractNumId="180">
    <w:nsid w:val="2A79EC4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81">
    <w:nsid w:val="338125CF"/>
    <w:multiLevelType w:val="hybridMultilevel"/>
    <w:lvl w:ilvl="0">
      <w:lvlJc w:val="left"/>
      <w:lvlText w:val="(%1)"/>
      <w:numFmt w:val="lowerRoman"/>
      <w:start w:val="2"/>
    </w:lvl>
  </w:abstractNum>
  <w:abstractNum w:abstractNumId="182">
    <w:nsid w:val="47C7C971"/>
    <w:multiLevelType w:val="hybridMultilevel"/>
    <w:lvl w:ilvl="0">
      <w:lvlJc w:val="left"/>
      <w:lvlText w:val="(%1)"/>
      <w:numFmt w:val="decimal"/>
      <w:start w:val="1"/>
    </w:lvl>
    <w:lvl w:ilvl="1">
      <w:lvlJc w:val="left"/>
      <w:lvlText w:val="-"/>
      <w:numFmt w:val="bullet"/>
      <w:start w:val="1"/>
    </w:lvl>
  </w:abstractNum>
  <w:abstractNum w:abstractNumId="183">
    <w:nsid w:val="46F8284B"/>
    <w:multiLevelType w:val="hybridMultilevel"/>
    <w:lvl w:ilvl="0">
      <w:lvlJc w:val="left"/>
      <w:lvlText w:val="(%1)"/>
      <w:numFmt w:val="decimal"/>
      <w:start w:val="2"/>
    </w:lvl>
  </w:abstractNum>
  <w:abstractNum w:abstractNumId="184">
    <w:nsid w:val="4FA327CE"/>
    <w:multiLevelType w:val="hybridMultilevel"/>
    <w:lvl w:ilvl="0">
      <w:lvlJc w:val="left"/>
      <w:lvlText w:val="(%1)"/>
      <w:numFmt w:val="lowerLetter"/>
      <w:start w:val="1"/>
    </w:lvl>
    <w:lvl w:ilvl="1">
      <w:lvlJc w:val="left"/>
      <w:lvlText w:val="-"/>
      <w:numFmt w:val="bullet"/>
      <w:start w:val="1"/>
    </w:lvl>
  </w:abstractNum>
  <w:abstractNum w:abstractNumId="185">
    <w:nsid w:val="1873983A"/>
    <w:multiLevelType w:val="hybridMultilevel"/>
    <w:lvl w:ilvl="0">
      <w:lvlJc w:val="left"/>
      <w:lvlText w:val="%1."/>
      <w:numFmt w:val="decimal"/>
      <w:start w:val="5"/>
    </w:lvl>
  </w:abstractNum>
  <w:abstractNum w:abstractNumId="186">
    <w:nsid w:val="3D2DD275"/>
    <w:multiLevelType w:val="hybridMultilevel"/>
    <w:lvl w:ilvl="0">
      <w:lvlJc w:val="left"/>
      <w:lvlText w:val="(%1)"/>
      <w:numFmt w:val="lowerLetter"/>
      <w:start w:val="25"/>
    </w:lvl>
    <w:lvl w:ilvl="1">
      <w:lvlJc w:val="left"/>
      <w:lvlText w:val="%2."/>
      <w:numFmt w:val="decimal"/>
      <w:start w:val="6"/>
    </w:lvl>
    <w:lvl w:ilvl="2">
      <w:lvlJc w:val="left"/>
      <w:lvlText w:val="-"/>
      <w:numFmt w:val="bullet"/>
      <w:start w:val="1"/>
    </w:lvl>
  </w:abstractNum>
  <w:abstractNum w:abstractNumId="187">
    <w:nsid w:val="2E17ECA7"/>
    <w:multiLevelType w:val="hybridMultilevel"/>
    <w:lvl w:ilvl="0">
      <w:lvlJc w:val="left"/>
      <w:lvlText w:val="%1."/>
      <w:numFmt w:val="decimal"/>
      <w:start w:val="8"/>
    </w:lvl>
  </w:abstractNum>
  <w:abstractNum w:abstractNumId="188">
    <w:nsid w:val="53B2564F"/>
    <w:multiLevelType w:val="hybridMultilevel"/>
    <w:lvl w:ilvl="0">
      <w:lvlJc w:val="left"/>
      <w:lvlText w:val="(%1)"/>
      <w:numFmt w:val="lowerLetter"/>
      <w:start w:val="1"/>
    </w:lvl>
  </w:abstractNum>
  <w:abstractNum w:abstractNumId="189">
    <w:nsid w:val="75509D76"/>
    <w:multiLevelType w:val="hybridMultilevel"/>
    <w:lvl w:ilvl="0">
      <w:lvlJc w:val="left"/>
      <w:lvlText w:val="(%1)"/>
      <w:numFmt w:val="lowerRoman"/>
      <w:start w:val="1"/>
    </w:lvl>
    <w:lvl w:ilvl="1">
      <w:lvlJc w:val="left"/>
      <w:lvlText w:val="-"/>
      <w:numFmt w:val="bullet"/>
      <w:start w:val="1"/>
    </w:lvl>
  </w:abstractNum>
  <w:abstractNum w:abstractNumId="190">
    <w:nsid w:val="1AF7F0EA"/>
    <w:multiLevelType w:val="hybridMultilevel"/>
    <w:lvl w:ilvl="0">
      <w:lvlJc w:val="left"/>
      <w:lvlText w:val="%1."/>
      <w:numFmt w:val="decimal"/>
      <w:start w:val="1"/>
    </w:lvl>
    <w:lvl w:ilvl="1">
      <w:lvlJc w:val="left"/>
      <w:lvlText w:val="-"/>
      <w:numFmt w:val="bullet"/>
      <w:start w:val="1"/>
    </w:lvl>
  </w:abstractNum>
  <w:abstractNum w:abstractNumId="191">
    <w:nsid w:val="4DA32C7E"/>
    <w:multiLevelType w:val="hybridMultilevel"/>
    <w:lvl w:ilvl="0">
      <w:lvlJc w:val="left"/>
      <w:lvlText w:val="%1."/>
      <w:numFmt w:val="decimal"/>
      <w:start w:val="4"/>
    </w:lvl>
    <w:lvl w:ilvl="1">
      <w:lvlJc w:val="left"/>
      <w:lvlText w:val="*"/>
      <w:numFmt w:val="bullet"/>
      <w:start w:val="1"/>
    </w:lvl>
    <w:lvl w:ilvl="2">
      <w:lvlJc w:val="left"/>
      <w:lvlText w:val="-"/>
      <w:numFmt w:val="bullet"/>
      <w:start w:val="1"/>
    </w:lvl>
  </w:abstractNum>
  <w:abstractNum w:abstractNumId="192">
    <w:nsid w:val="6EC68664"/>
    <w:multiLevelType w:val="hybridMultilevel"/>
    <w:lvl w:ilvl="0">
      <w:lvlJc w:val="left"/>
      <w:lvlText w:val="%1."/>
      <w:numFmt w:val="decimal"/>
      <w:start w:val="3"/>
    </w:lvl>
  </w:abstractNum>
  <w:abstractNum w:abstractNumId="193">
    <w:nsid w:val="E0D31FF"/>
    <w:multiLevelType w:val="hybridMultilevel"/>
    <w:lvl w:ilvl="0">
      <w:lvlJc w:val="left"/>
      <w:lvlText w:val="(%1)"/>
      <w:numFmt w:val="lowerLetter"/>
      <w:start w:val="1"/>
    </w:lvl>
  </w:abstractNum>
  <w:abstractNum w:abstractNumId="194">
    <w:nsid w:val="2FD0AD81"/>
    <w:multiLevelType w:val="hybridMultilevel"/>
    <w:lvl w:ilvl="0">
      <w:lvlJc w:val="left"/>
      <w:lvlText w:val="%1"/>
      <w:numFmt w:val="lowerRoman"/>
      <w:start w:val="1"/>
    </w:lvl>
    <w:lvl w:ilvl="1">
      <w:lvlJc w:val="left"/>
      <w:lvlText w:val="(%2)"/>
      <w:numFmt w:val="lowerLetter"/>
      <w:start w:val="1"/>
    </w:lvl>
  </w:abstractNum>
  <w:abstractNum w:abstractNumId="195">
    <w:nsid w:val="1978EBEB"/>
    <w:multiLevelType w:val="hybridMultilevel"/>
    <w:lvl w:ilvl="0">
      <w:lvlJc w:val="left"/>
      <w:lvlText w:val="(%1)"/>
      <w:numFmt w:val="lowerRoman"/>
      <w:start w:val="4"/>
    </w:lvl>
    <w:lvl w:ilvl="1">
      <w:lvlJc w:val="left"/>
      <w:lvlText w:val="%2"/>
      <w:numFmt w:val="lowerLetter"/>
      <w:start w:val="1"/>
    </w:lvl>
  </w:abstractNum>
  <w:abstractNum w:abstractNumId="196">
    <w:nsid w:val="52C12C61"/>
    <w:multiLevelType w:val="hybridMultilevel"/>
    <w:lvl w:ilvl="0">
      <w:lvlJc w:val="left"/>
      <w:lvlText w:val="(%1)"/>
      <w:numFmt w:val="lowerLetter"/>
      <w:start w:val="1"/>
    </w:lvl>
  </w:abstractNum>
  <w:abstractNum w:abstractNumId="197">
    <w:nsid w:val="4BDD53FD"/>
    <w:multiLevelType w:val="hybridMultilevel"/>
    <w:lvl w:ilvl="0">
      <w:lvlJc w:val="left"/>
      <w:lvlText w:val="%1"/>
      <w:numFmt w:val="lowerLetter"/>
      <w:start w:val="1"/>
    </w:lvl>
    <w:lvl w:ilvl="1">
      <w:lvlJc w:val="left"/>
      <w:lvlText w:val="(%2)"/>
      <w:numFmt w:val="lowerLetter"/>
      <w:start w:val="3"/>
    </w:lvl>
  </w:abstractNum>
  <w:abstractNum w:abstractNumId="198">
    <w:nsid w:val="569951FE"/>
    <w:multiLevelType w:val="hybridMultilevel"/>
    <w:lvl w:ilvl="0">
      <w:lvlJc w:val="left"/>
      <w:lvlText w:val="(%1)"/>
      <w:numFmt w:val="lowerLetter"/>
      <w:start w:val="35"/>
    </w:lvl>
    <w:lvl w:ilvl="1">
      <w:lvlJc w:val="left"/>
      <w:lvlText w:val="%2"/>
      <w:numFmt w:val="lowerLetter"/>
      <w:start w:val="1"/>
    </w:lvl>
  </w:abstractNum>
  <w:abstractNum w:abstractNumId="199">
    <w:nsid w:val="4C54E2C3"/>
    <w:multiLevelType w:val="hybridMultilevel"/>
    <w:lvl w:ilvl="0">
      <w:lvlJc w:val="left"/>
      <w:lvlText w:val="(%1)"/>
      <w:numFmt w:val="lowerLetter"/>
      <w:start w:val="1"/>
    </w:lvl>
  </w:abstractNum>
  <w:abstractNum w:abstractNumId="200">
    <w:nsid w:val="788BD9B"/>
    <w:multiLevelType w:val="hybridMultilevel"/>
    <w:lvl w:ilvl="0">
      <w:lvlJc w:val="left"/>
      <w:lvlText w:val="(%1)"/>
      <w:numFmt w:val="lowerLetter"/>
      <w:start w:val="2"/>
    </w:lvl>
  </w:abstractNum>
  <w:abstractNum w:abstractNumId="201">
    <w:nsid w:val="47CAA567"/>
    <w:multiLevelType w:val="hybridMultilevel"/>
    <w:lvl w:ilvl="0">
      <w:lvlJc w:val="left"/>
      <w:lvlText w:val="(%1)"/>
      <w:numFmt w:val="lowerLetter"/>
      <w:start w:val="1"/>
    </w:lvl>
  </w:abstractNum>
  <w:abstractNum w:abstractNumId="202">
    <w:nsid w:val="48249DBF"/>
    <w:multiLevelType w:val="hybridMultilevel"/>
    <w:lvl w:ilvl="0">
      <w:lvlJc w:val="left"/>
      <w:lvlText w:val="(%1)"/>
      <w:numFmt w:val="lowerLetter"/>
      <w:start w:val="3"/>
    </w:lvl>
  </w:abstractNum>
  <w:abstractNum w:abstractNumId="203">
    <w:nsid w:val="1F0E5D0D"/>
    <w:multiLevelType w:val="hybridMultilevel"/>
    <w:lvl w:ilvl="0">
      <w:lvlJc w:val="left"/>
      <w:lvlText w:val="(%1)"/>
      <w:numFmt w:val="lowerLetter"/>
      <w:start w:val="1"/>
    </w:lvl>
    <w:lvl w:ilvl="1">
      <w:lvlJc w:val="left"/>
      <w:lvlText w:val="(%2)"/>
      <w:numFmt w:val="upperLetter"/>
      <w:start w:val="1"/>
    </w:lvl>
  </w:abstractNum>
  <w:abstractNum w:abstractNumId="204">
    <w:nsid w:val="26BAAE9"/>
    <w:multiLevelType w:val="hybridMultilevel"/>
    <w:lvl w:ilvl="0">
      <w:lvlJc w:val="left"/>
      <w:lvlText w:val="%1"/>
      <w:numFmt w:val="lowerLetter"/>
      <w:start w:val="1"/>
    </w:lvl>
    <w:lvl w:ilvl="1">
      <w:lvlJc w:val="left"/>
      <w:lvlText w:val="(%2)"/>
      <w:numFmt w:val="upperLetter"/>
      <w:start w:val="5"/>
    </w:lvl>
  </w:abstractNum>
  <w:abstractNum w:abstractNumId="205">
    <w:nsid w:val="2C02FE8C"/>
    <w:multiLevelType w:val="hybridMultilevel"/>
    <w:lvl w:ilvl="0">
      <w:lvlJc w:val="left"/>
      <w:lvlText w:val="(%1)"/>
      <w:numFmt w:val="lowerLetter"/>
      <w:start w:val="3"/>
    </w:lvl>
    <w:lvl w:ilvl="1">
      <w:lvlJc w:val="left"/>
      <w:lvlText w:val="%2"/>
      <w:numFmt w:val="upperLetter"/>
      <w:start w:val="1"/>
    </w:lvl>
  </w:abstractNum>
  <w:abstractNum w:abstractNumId="206">
    <w:nsid w:val="129517E"/>
    <w:multiLevelType w:val="hybridMultilevel"/>
    <w:lvl w:ilvl="0">
      <w:lvlJc w:val="left"/>
      <w:lvlText w:val="%1"/>
      <w:numFmt w:val="upperLetter"/>
      <w:start w:val="1"/>
    </w:lvl>
    <w:lvl w:ilvl="1">
      <w:lvlJc w:val="left"/>
      <w:lvlText w:val="(%2)"/>
      <w:numFmt w:val="lowerLetter"/>
      <w:start w:val="1"/>
    </w:lvl>
  </w:abstractNum>
  <w:abstractNum w:abstractNumId="207">
    <w:nsid w:val="763B8C4E"/>
    <w:multiLevelType w:val="hybridMultilevel"/>
    <w:lvl w:ilvl="0">
      <w:lvlJc w:val="left"/>
      <w:lvlText w:val="(%1)"/>
      <w:numFmt w:val="upperLetter"/>
      <w:start w:val="1"/>
    </w:lvl>
    <w:lvl w:ilvl="1">
      <w:lvlJc w:val="left"/>
      <w:lvlText w:val="(%2)"/>
      <w:numFmt w:val="lowerLetter"/>
      <w:start w:val="3"/>
    </w:lvl>
  </w:abstractNum>
  <w:abstractNum w:abstractNumId="208">
    <w:nsid w:val="4CFB8D32"/>
    <w:multiLevelType w:val="hybridMultilevel"/>
    <w:lvl w:ilvl="0">
      <w:lvlJc w:val="left"/>
      <w:lvlText w:val="(%1)"/>
      <w:numFmt w:val="lowerRoman"/>
      <w:start w:val="2"/>
    </w:lvl>
  </w:abstractNum>
  <w:abstractNum w:abstractNumId="209">
    <w:nsid w:val="62A5D5BD"/>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210">
    <w:nsid w:val="718FABF9"/>
    <w:multiLevelType w:val="hybridMultilevel"/>
    <w:lvl w:ilvl="0">
      <w:lvlJc w:val="left"/>
      <w:lvlText w:val="(%1)"/>
      <w:numFmt w:val="decimal"/>
      <w:start w:val="180"/>
    </w:lvl>
    <w:lvl w:ilvl="1">
      <w:lvlJc w:val="left"/>
      <w:lvlText w:val="%2"/>
      <w:numFmt w:val="decimal"/>
      <w:start w:val="1"/>
    </w:lvl>
    <w:lvl w:ilvl="2">
      <w:lvlJc w:val="left"/>
      <w:lvlText w:val="(%3)"/>
      <w:numFmt w:val="lowerLetter"/>
      <w:start w:val="2"/>
    </w:lvl>
  </w:abstractNum>
  <w:abstractNum w:abstractNumId="211">
    <w:nsid w:val="7775797C"/>
    <w:multiLevelType w:val="hybridMultilevel"/>
    <w:lvl w:ilvl="0">
      <w:lvlJc w:val="left"/>
      <w:lvlText w:val="%1"/>
      <w:numFmt w:val="decimal"/>
      <w:start w:val="1"/>
    </w:lvl>
    <w:lvl w:ilvl="1">
      <w:lvlJc w:val="left"/>
      <w:lvlText w:val="(%2)"/>
      <w:numFmt w:val="lowerLetter"/>
      <w:start w:val="4"/>
    </w:lvl>
  </w:abstractNum>
  <w:abstractNum w:abstractNumId="212">
    <w:nsid w:val="1626FB8C"/>
    <w:multiLevelType w:val="hybridMultilevel"/>
    <w:lvl w:ilvl="0">
      <w:lvlJc w:val="left"/>
      <w:lvlText w:val="(%1)"/>
      <w:numFmt w:val="decimal"/>
      <w:start w:val="180"/>
    </w:lvl>
    <w:lvl w:ilvl="1">
      <w:lvlJc w:val="left"/>
      <w:lvlText w:val="%2"/>
      <w:numFmt w:val="lowerLetter"/>
      <w:start w:val="1"/>
    </w:lvl>
  </w:abstractNum>
  <w:abstractNum w:abstractNumId="213">
    <w:nsid w:val="3957756A"/>
    <w:multiLevelType w:val="hybridMultilevel"/>
    <w:lvl w:ilvl="0">
      <w:lvlJc w:val="left"/>
      <w:lvlText w:val="(%1)"/>
      <w:numFmt w:val="lowerLetter"/>
      <w:start w:val="1"/>
    </w:lvl>
  </w:abstractNum>
  <w:abstractNum w:abstractNumId="214">
    <w:nsid w:val="3E6DA1C7"/>
    <w:multiLevelType w:val="hybridMultilevel"/>
    <w:lvl w:ilvl="0">
      <w:lvlJc w:val="left"/>
      <w:lvlText w:val="(%1)"/>
      <w:numFmt w:val="lowerLetter"/>
      <w:start w:val="2"/>
    </w:lvl>
  </w:abstractNum>
  <w:abstractNum w:abstractNumId="215">
    <w:nsid w:val="65CA235B"/>
    <w:multiLevelType w:val="hybridMultilevel"/>
    <w:lvl w:ilvl="0">
      <w:lvlJc w:val="left"/>
      <w:lvlText w:val="(%1)"/>
      <w:numFmt w:val="lowerLetter"/>
      <w:start w:val="3"/>
    </w:lvl>
  </w:abstractNum>
  <w:abstractNum w:abstractNumId="216">
    <w:nsid w:val="51CB0DA4"/>
    <w:multiLevelType w:val="hybridMultilevel"/>
    <w:lvl w:ilvl="0">
      <w:lvlJc w:val="left"/>
      <w:lvlText w:val="(%1)"/>
      <w:numFmt w:val="lowerLetter"/>
      <w:start w:val="1"/>
    </w:lvl>
  </w:abstractNum>
  <w:abstractNum w:abstractNumId="217">
    <w:nsid w:val="7B9B743C"/>
    <w:multiLevelType w:val="hybridMultilevel"/>
    <w:lvl w:ilvl="0">
      <w:lvlJc w:val="left"/>
      <w:lvlText w:val="(%1)"/>
      <w:numFmt w:val="lowerLetter"/>
      <w:start w:val="6"/>
    </w:lvl>
  </w:abstractNum>
  <w:abstractNum w:abstractNumId="218">
    <w:nsid w:val="13E21002"/>
    <w:multiLevelType w:val="hybridMultilevel"/>
    <w:lvl w:ilvl="0">
      <w:lvlJc w:val="left"/>
      <w:lvlText w:val="(%1)"/>
      <w:numFmt w:val="lowerLetter"/>
      <w:start w:val="1"/>
    </w:lvl>
  </w:abstractNum>
  <w:abstractNum w:abstractNumId="219">
    <w:nsid w:val="257D63F4"/>
    <w:multiLevelType w:val="hybridMultilevel"/>
    <w:lvl w:ilvl="0">
      <w:lvlJc w:val="left"/>
      <w:lvlText w:val="%1"/>
      <w:numFmt w:val="lowerLetter"/>
      <w:start w:val="1"/>
    </w:lvl>
    <w:lvl w:ilvl="1">
      <w:lvlJc w:val="left"/>
      <w:lvlText w:val="(%2)"/>
      <w:numFmt w:val="lowerLetter"/>
      <w:start w:val="3"/>
    </w:lvl>
  </w:abstractNum>
  <w:abstractNum w:abstractNumId="220">
    <w:nsid w:val="70EC11B2"/>
    <w:multiLevelType w:val="hybridMultilevel"/>
    <w:lvl w:ilvl="0">
      <w:lvlJc w:val="left"/>
      <w:lvlText w:val="(%1)"/>
      <w:numFmt w:val="lowerLetter"/>
      <w:start w:val="35"/>
    </w:lvl>
    <w:lvl w:ilvl="1">
      <w:lvlJc w:val="left"/>
      <w:lvlText w:val="%2"/>
      <w:numFmt w:val="lowerLetter"/>
      <w:start w:val="1"/>
    </w:lvl>
  </w:abstractNum>
  <w:abstractNum w:abstractNumId="221">
    <w:nsid w:val="2EDA00ED"/>
    <w:multiLevelType w:val="hybridMultilevel"/>
    <w:lvl w:ilvl="0">
      <w:lvlJc w:val="left"/>
      <w:lvlText w:val="(%1)"/>
      <w:numFmt w:val="lowerLetter"/>
      <w:start w:val="5"/>
    </w:lvl>
  </w:abstractNum>
  <w:abstractNum w:abstractNumId="222">
    <w:nsid w:val="73209072"/>
    <w:multiLevelType w:val="hybridMultilevel"/>
    <w:lvl w:ilvl="0">
      <w:lvlJc w:val="left"/>
      <w:lvlText w:val="(%1)"/>
      <w:numFmt w:val="lowerLetter"/>
      <w:start w:val="1"/>
    </w:lvl>
  </w:abstractNum>
  <w:abstractNum w:abstractNumId="223">
    <w:nsid w:val="5FB29816"/>
    <w:multiLevelType w:val="hybridMultilevel"/>
    <w:lvl w:ilvl="0">
      <w:lvlJc w:val="left"/>
      <w:lvlText w:val="(%1)"/>
      <w:numFmt w:val="lowerRoman"/>
      <w:start w:val="2"/>
    </w:lvl>
  </w:abstractNum>
  <w:abstractNum w:abstractNumId="224">
    <w:nsid w:val="3CE732EC"/>
    <w:multiLevelType w:val="hybridMultilevel"/>
    <w:lvl w:ilvl="0">
      <w:lvlJc w:val="left"/>
      <w:lvlText w:val="(%1)"/>
      <w:numFmt w:val="lowerLetter"/>
      <w:start w:val="1"/>
    </w:lvl>
  </w:abstractNum>
  <w:abstractNum w:abstractNumId="225">
    <w:nsid w:val="22F13DF3"/>
    <w:multiLevelType w:val="hybridMultilevel"/>
    <w:lvl w:ilvl="0">
      <w:lvlJc w:val="left"/>
      <w:lvlText w:val="(%1)"/>
      <w:numFmt w:val="lowerLetter"/>
      <w:start w:val="3"/>
    </w:lvl>
  </w:abstractNum>
  <w:abstractNum w:abstractNumId="226">
    <w:nsid w:val="792B8401"/>
    <w:multiLevelType w:val="hybridMultilevel"/>
    <w:lvl w:ilvl="0">
      <w:lvlJc w:val="left"/>
      <w:lvlText w:val="(%1)"/>
      <w:numFmt w:val="lowerRoman"/>
      <w:start w:val="3"/>
    </w:lvl>
  </w:abstractNum>
  <w:abstractNum w:abstractNumId="227">
    <w:nsid w:val="FA85F4D"/>
    <w:multiLevelType w:val="hybridMultilevel"/>
    <w:lvl w:ilvl="0">
      <w:lvlJc w:val="left"/>
      <w:lvlText w:val="%1"/>
      <w:numFmt w:val="decimal"/>
      <w:start w:val="1"/>
    </w:lvl>
    <w:lvl w:ilvl="1">
      <w:lvlJc w:val="left"/>
      <w:lvlText w:val="(%2)"/>
      <w:numFmt w:val="lowerLetter"/>
      <w:start w:val="1"/>
    </w:lvl>
  </w:abstractNum>
  <w:abstractNum w:abstractNumId="228">
    <w:nsid w:val="6ECE91F0"/>
    <w:multiLevelType w:val="hybridMultilevel"/>
    <w:lvl w:ilvl="0">
      <w:lvlJc w:val="left"/>
      <w:lvlText w:val="%1."/>
      <w:numFmt w:val="decimal"/>
      <w:start w:val="3"/>
    </w:lvl>
    <w:lvl w:ilvl="1">
      <w:lvlJc w:val="left"/>
      <w:lvlText w:val="%2"/>
      <w:numFmt w:val="lowerLetter"/>
      <w:start w:val="1"/>
    </w:lvl>
  </w:abstractNum>
  <w:abstractNum w:abstractNumId="229">
    <w:nsid w:val="4FC4D600"/>
    <w:multiLevelType w:val="hybridMultilevel"/>
    <w:lvl w:ilvl="0">
      <w:lvlJc w:val="left"/>
      <w:lvlText w:val="%1"/>
      <w:numFmt w:val="lowerLetter"/>
      <w:start w:val="1"/>
    </w:lvl>
    <w:lvl w:ilvl="1">
      <w:lvlJc w:val="left"/>
      <w:lvlText w:val="(%2)"/>
      <w:numFmt w:val="lowerLetter"/>
      <w:start w:val="1"/>
    </w:lvl>
  </w:abstractNum>
  <w:abstractNum w:abstractNumId="230">
    <w:nsid w:val="5BFD4210"/>
    <w:multiLevelType w:val="hybridMultilevel"/>
    <w:lvl w:ilvl="0">
      <w:lvlJc w:val="left"/>
      <w:lvlText w:val="(%1)"/>
      <w:numFmt w:val="lowerLetter"/>
      <w:start w:val="9"/>
    </w:lvl>
    <w:lvl w:ilvl="1">
      <w:lvlJc w:val="left"/>
      <w:lvlText w:val="%2"/>
      <w:numFmt w:val="lowerLetter"/>
      <w:start w:val="1"/>
    </w:lvl>
  </w:abstractNum>
  <w:abstractNum w:abstractNumId="231">
    <w:nsid w:val="76574F8B"/>
    <w:multiLevelType w:val="hybridMultilevel"/>
    <w:lvl w:ilvl="0">
      <w:lvlJc w:val="left"/>
      <w:lvlText w:val="%1."/>
      <w:numFmt w:val="decimal"/>
      <w:start w:val="4"/>
    </w:lvl>
  </w:abstractNum>
  <w:abstractNum w:abstractNumId="232">
    <w:nsid w:val="178F7B67"/>
    <w:multiLevelType w:val="hybridMultilevel"/>
    <w:lvl w:ilvl="0">
      <w:lvlJc w:val="left"/>
      <w:lvlText w:val="(%1)"/>
      <w:numFmt w:val="lowerLetter"/>
      <w:start w:val="1"/>
    </w:lvl>
  </w:abstractNum>
  <w:abstractNum w:abstractNumId="233">
    <w:nsid w:val="2421DFCF"/>
    <w:multiLevelType w:val="hybridMultilevel"/>
    <w:lvl w:ilvl="0">
      <w:lvlJc w:val="left"/>
      <w:lvlText w:val="%1."/>
      <w:numFmt w:val="decimal"/>
      <w:start w:val="5"/>
    </w:lvl>
  </w:abstractNum>
  <w:abstractNum w:abstractNumId="234">
    <w:nsid w:val="1565AC99"/>
    <w:multiLevelType w:val="hybridMultilevel"/>
    <w:lvl w:ilvl="0">
      <w:lvlJc w:val="left"/>
      <w:lvlText w:val="(%1)"/>
      <w:numFmt w:val="lowerLetter"/>
      <w:start w:val="1"/>
    </w:lvl>
  </w:abstractNum>
  <w:abstractNum w:abstractNumId="235">
    <w:nsid w:val="19FB2650"/>
    <w:multiLevelType w:val="hybridMultilevel"/>
    <w:lvl w:ilvl="0">
      <w:lvlJc w:val="left"/>
      <w:lvlText w:val="(%1)"/>
      <w:numFmt w:val="lowerRoman"/>
      <w:start w:val="10"/>
    </w:lvl>
  </w:abstractNum>
  <w:abstractNum w:abstractNumId="236">
    <w:nsid w:val="5024DE5B"/>
    <w:multiLevelType w:val="hybridMultilevel"/>
    <w:lvl w:ilvl="0">
      <w:lvlJc w:val="left"/>
      <w:lvlText w:val="%1."/>
      <w:numFmt w:val="decimal"/>
      <w:start w:val="6"/>
    </w:lvl>
  </w:abstractNum>
  <w:abstractNum w:abstractNumId="237">
    <w:nsid w:val="168EFE17"/>
    <w:multiLevelType w:val="hybridMultilevel"/>
    <w:lvl w:ilvl="0">
      <w:lvlJc w:val="left"/>
      <w:lvlText w:val="(%1)"/>
      <w:numFmt w:val="lowerLetter"/>
      <w:start w:val="1"/>
    </w:lvl>
  </w:abstractNum>
  <w:abstractNum w:abstractNumId="238">
    <w:nsid w:val="1036B29F"/>
    <w:multiLevelType w:val="hybridMultilevel"/>
    <w:lvl w:ilvl="0">
      <w:lvlJc w:val="left"/>
      <w:lvlText w:val="(%1)"/>
      <w:numFmt w:val="lowerLetter"/>
      <w:start w:val="2"/>
    </w:lvl>
  </w:abstractNum>
  <w:abstractNum w:abstractNumId="239">
    <w:nsid w:val="1D206B8E"/>
    <w:multiLevelType w:val="hybridMultilevel"/>
    <w:lvl w:ilvl="0">
      <w:lvlJc w:val="left"/>
      <w:lvlText w:val="(%1)"/>
      <w:numFmt w:val="lowerLetter"/>
      <w:start w:val="1"/>
    </w:lvl>
  </w:abstractNum>
  <w:abstractNum w:abstractNumId="240">
    <w:nsid w:val="7934D3D4"/>
    <w:multiLevelType w:val="hybridMultilevel"/>
    <w:lvl w:ilvl="0">
      <w:lvlJc w:val="left"/>
      <w:lvlText w:val="(%1)"/>
      <w:numFmt w:val="lowerLetter"/>
      <w:start w:val="1"/>
    </w:lvl>
  </w:abstractNum>
  <w:abstractNum w:abstractNumId="241">
    <w:nsid w:val="1C65E98"/>
    <w:multiLevelType w:val="hybridMultilevel"/>
    <w:lvl w:ilvl="0">
      <w:lvlJc w:val="left"/>
      <w:lvlText w:val="(%1)"/>
      <w:numFmt w:val="lowerLetter"/>
      <w:start w:val="1"/>
    </w:lvl>
  </w:abstractNum>
  <w:abstractNum w:abstractNumId="242">
    <w:nsid w:val="1495E50A"/>
    <w:multiLevelType w:val="hybridMultilevel"/>
    <w:lvl w:ilvl="0">
      <w:lvlJc w:val="left"/>
      <w:lvlText w:val="(%1)"/>
      <w:numFmt w:val="lowerLetter"/>
      <w:start w:val="2"/>
    </w:lvl>
  </w:abstractNum>
  <w:abstractNum w:abstractNumId="243">
    <w:nsid w:val="F5BCF61"/>
    <w:multiLevelType w:val="hybridMultilevel"/>
    <w:lvl w:ilvl="0">
      <w:lvlJc w:val="left"/>
      <w:lvlText w:val="(%1)"/>
      <w:numFmt w:val="lowerLetter"/>
      <w:start w:val="1"/>
    </w:lvl>
  </w:abstractNum>
  <w:abstractNum w:abstractNumId="244">
    <w:nsid w:val="3B1DD403"/>
    <w:multiLevelType w:val="hybridMultilevel"/>
    <w:lvl w:ilvl="0">
      <w:lvlJc w:val="left"/>
      <w:lvlText w:val="(%1)"/>
      <w:numFmt w:val="lowerLetter"/>
      <w:start w:val="1"/>
    </w:lvl>
  </w:abstractNum>
  <w:abstractNum w:abstractNumId="245">
    <w:nsid w:val="530386D1"/>
    <w:multiLevelType w:val="hybridMultilevel"/>
    <w:lvl w:ilvl="0">
      <w:lvlJc w:val="left"/>
      <w:lvlText w:val="(%1)"/>
      <w:numFmt w:val="upperLetter"/>
      <w:start w:val="2"/>
    </w:lvl>
  </w:abstractNum>
  <w:abstractNum w:abstractNumId="246">
    <w:nsid w:val="7525F2BC"/>
    <w:multiLevelType w:val="hybridMultilevel"/>
    <w:lvl w:ilvl="0">
      <w:lvlJc w:val="left"/>
      <w:lvlText w:val="(%1)"/>
      <w:numFmt w:val="lowerRoman"/>
      <w:start w:val="3"/>
    </w:lvl>
  </w:abstractNum>
  <w:abstractNum w:abstractNumId="247">
    <w:nsid w:val="CE8E1A7"/>
    <w:multiLevelType w:val="hybridMultilevel"/>
    <w:lvl w:ilvl="0">
      <w:lvlJc w:val="left"/>
      <w:lvlText w:val="%1"/>
      <w:numFmt w:val="upperLetter"/>
      <w:start w:val="1"/>
    </w:lvl>
    <w:lvl w:ilvl="1">
      <w:lvlJc w:val="left"/>
      <w:lvlText w:val="(%2)"/>
      <w:numFmt w:val="lowerLetter"/>
      <w:start w:val="1"/>
    </w:lvl>
  </w:abstractNum>
  <w:abstractNum w:abstractNumId="248">
    <w:nsid w:val="4E9EFB0D"/>
    <w:multiLevelType w:val="hybridMultilevel"/>
    <w:lvl w:ilvl="0">
      <w:lvlJc w:val="left"/>
      <w:lvlText w:val="(%1)"/>
      <w:numFmt w:val="upperLetter"/>
      <w:start w:val="1"/>
    </w:lvl>
    <w:lvl w:ilvl="1">
      <w:lvlJc w:val="left"/>
      <w:lvlText w:val="(%2)"/>
      <w:numFmt w:val="lowerLetter"/>
      <w:start w:val="2"/>
    </w:lvl>
  </w:abstractNum>
  <w:abstractNum w:abstractNumId="249">
    <w:nsid w:val="90802BE"/>
    <w:multiLevelType w:val="hybridMultilevel"/>
    <w:lvl w:ilvl="0">
      <w:lvlJc w:val="left"/>
      <w:lvlText w:val="(%1)"/>
      <w:numFmt w:val="lowerLetter"/>
      <w:start w:val="3"/>
    </w:lvl>
  </w:abstractNum>
  <w:abstractNum w:abstractNumId="250">
    <w:nsid w:val="3266459B"/>
    <w:multiLevelType w:val="hybridMultilevel"/>
    <w:lvl w:ilvl="0">
      <w:lvlJc w:val="left"/>
      <w:lvlText w:val="(%1)"/>
      <w:numFmt w:val="lowerLetter"/>
      <w:start w:val="1"/>
    </w:lvl>
  </w:abstractNum>
  <w:abstractNum w:abstractNumId="251">
    <w:nsid w:val="3F8B0CBF"/>
    <w:multiLevelType w:val="hybridMultilevel"/>
    <w:lvl w:ilvl="0">
      <w:lvlJc w:val="left"/>
      <w:lvlText w:val="(%1)"/>
      <w:numFmt w:val="upperLetter"/>
      <w:start w:val="4"/>
    </w:lvl>
    <w:lvl w:ilvl="1">
      <w:lvlJc w:val="left"/>
      <w:lvlText w:val="(%2)"/>
      <w:numFmt w:val="lowerLetter"/>
      <w:start w:val="3"/>
    </w:lvl>
  </w:abstractNum>
  <w:abstractNum w:abstractNumId="252">
    <w:nsid w:val="37E203AB"/>
    <w:multiLevelType w:val="hybridMultilevel"/>
    <w:lvl w:ilvl="0">
      <w:lvlJc w:val="left"/>
      <w:lvlText w:val="(%1)"/>
      <w:numFmt w:val="lowerLetter"/>
      <w:start w:val="7"/>
    </w:lvl>
  </w:abstractNum>
  <w:abstractNum w:abstractNumId="253">
    <w:nsid w:val="2586D60E"/>
    <w:multiLevelType w:val="hybridMultilevel"/>
    <w:lvl w:ilvl="0">
      <w:lvlJc w:val="left"/>
      <w:lvlText w:val="%1."/>
      <w:numFmt w:val="decimal"/>
      <w:start w:val="1"/>
    </w:lvl>
    <w:lvl w:ilvl="1">
      <w:lvlJc w:val="left"/>
      <w:lvlText w:val="*"/>
      <w:numFmt w:val="bullet"/>
      <w:start w:val="1"/>
    </w:lvl>
  </w:abstractNum>
  <w:abstractNum w:abstractNumId="254">
    <w:nsid w:val="1F3DA4D5"/>
    <w:multiLevelType w:val="hybridMultilevel"/>
    <w:lvl w:ilvl="0">
      <w:lvlJc w:val="left"/>
      <w:lvlText w:val="(%1)"/>
      <w:numFmt w:val="lowerLetter"/>
      <w:start w:val="1"/>
    </w:lvl>
  </w:abstractNum>
  <w:abstractNum w:abstractNumId="255">
    <w:nsid w:val="74C93698"/>
    <w:multiLevelType w:val="hybridMultilevel"/>
    <w:lvl w:ilvl="0">
      <w:lvlJc w:val="left"/>
      <w:lvlText w:val="(%1)"/>
      <w:numFmt w:val="lowerLetter"/>
      <w:start w:val="3"/>
    </w:lvl>
  </w:abstractNum>
  <w:abstractNum w:abstractNumId="256">
    <w:nsid w:val="48781401"/>
    <w:multiLevelType w:val="hybridMultilevel"/>
    <w:lvl w:ilvl="0">
      <w:lvlJc w:val="left"/>
      <w:lvlText w:val="(%1)"/>
      <w:numFmt w:val="lowerLetter"/>
      <w:start w:val="1"/>
    </w:lvl>
  </w:abstractNum>
  <w:abstractNum w:abstractNumId="257">
    <w:nsid w:val="186928D6"/>
    <w:multiLevelType w:val="hybridMultilevel"/>
    <w:lvl w:ilvl="0">
      <w:lvlJc w:val="left"/>
      <w:lvlText w:val="(%1)"/>
      <w:numFmt w:val="lowerLetter"/>
      <w:start w:val="1"/>
    </w:lvl>
    <w:lvl w:ilvl="1">
      <w:lvlJc w:val="left"/>
      <w:lvlText w:val="(%2)"/>
      <w:numFmt w:val="lowerRoman"/>
      <w:start w:val="1"/>
    </w:lvl>
  </w:abstractNum>
  <w:abstractNum w:abstractNumId="258">
    <w:nsid w:val="47195E5"/>
    <w:multiLevelType w:val="hybridMultilevel"/>
    <w:lvl w:ilvl="0">
      <w:lvlJc w:val="left"/>
      <w:lvlText w:val="(%1)"/>
      <w:numFmt w:val="lowerRoman"/>
      <w:start w:val="3"/>
    </w:lvl>
  </w:abstractNum>
  <w:abstractNum w:abstractNumId="259">
    <w:nsid w:val="3746A5F2"/>
    <w:multiLevelType w:val="hybridMultilevel"/>
    <w:lvl w:ilvl="0">
      <w:lvlJc w:val="left"/>
      <w:lvlText w:val="(%1)"/>
      <w:numFmt w:val="lowerLetter"/>
      <w:start w:val="1"/>
    </w:lvl>
  </w:abstractNum>
  <w:abstractNum w:abstractNumId="260">
    <w:nsid w:val="682DFED6"/>
    <w:multiLevelType w:val="hybridMultilevel"/>
    <w:lvl w:ilvl="0">
      <w:lvlJc w:val="left"/>
      <w:lvlText w:val="(%1)"/>
      <w:numFmt w:val="lowerLetter"/>
      <w:start w:val="1"/>
    </w:lvl>
  </w:abstractNum>
  <w:abstractNum w:abstractNumId="261">
    <w:nsid w:val="606ED7F6"/>
    <w:multiLevelType w:val="hybridMultilevel"/>
    <w:lvl w:ilvl="0">
      <w:lvlJc w:val="left"/>
      <w:lvlText w:val="(%1)"/>
      <w:numFmt w:val="decimal"/>
      <w:start w:val="30"/>
    </w:lvl>
  </w:abstractNum>
  <w:abstractNum w:abstractNumId="262">
    <w:nsid w:val="2D9DF57D"/>
    <w:multiLevelType w:val="hybridMultilevel"/>
    <w:lvl w:ilvl="0">
      <w:lvlJc w:val="left"/>
      <w:lvlText w:val="(%1)"/>
      <w:numFmt w:val="lowerLetter"/>
      <w:start w:val="1"/>
    </w:lvl>
  </w:abstractNum>
  <w:abstractNum w:abstractNumId="263">
    <w:nsid w:val="7FBD7A3E"/>
    <w:multiLevelType w:val="hybridMultilevel"/>
    <w:lvl w:ilvl="0">
      <w:lvlJc w:val="left"/>
      <w:lvlText w:val="(%1)"/>
      <w:numFmt w:val="lowerRoman"/>
      <w:start w:val="2"/>
    </w:lvl>
  </w:abstractNum>
  <w:abstractNum w:abstractNumId="264">
    <w:nsid w:val="490B7C5"/>
    <w:multiLevelType w:val="hybridMultilevel"/>
    <w:lvl w:ilvl="0">
      <w:lvlJc w:val="left"/>
      <w:lvlText w:val="%1."/>
      <w:numFmt w:val="decimal"/>
      <w:start w:val="1"/>
    </w:lvl>
    <w:lvl w:ilvl="1">
      <w:lvlJc w:val="left"/>
      <w:lvlText w:val="(%2)"/>
      <w:numFmt w:val="lowerLetter"/>
      <w:start w:val="1"/>
    </w:lvl>
  </w:abstractNum>
  <w:abstractNum w:abstractNumId="265">
    <w:nsid w:val="4303A216"/>
    <w:multiLevelType w:val="hybridMultilevel"/>
    <w:lvl w:ilvl="0">
      <w:lvlJc w:val="left"/>
      <w:lvlText w:val="%1"/>
      <w:numFmt w:val="decimal"/>
      <w:start w:val="1"/>
    </w:lvl>
    <w:lvl w:ilvl="1">
      <w:lvlJc w:val="left"/>
      <w:lvlText w:val="(%2)"/>
      <w:numFmt w:val="lowerLetter"/>
      <w:start w:val="6"/>
    </w:lvl>
  </w:abstractNum>
  <w:abstractNum w:abstractNumId="266">
    <w:nsid w:val="19B8A08E"/>
    <w:multiLevelType w:val="hybridMultilevel"/>
    <w:lvl w:ilvl="0">
      <w:lvlJc w:val="left"/>
      <w:lvlText w:val="%1."/>
      <w:numFmt w:val="decimal"/>
      <w:start w:val="2"/>
    </w:lvl>
    <w:lvl w:ilvl="1">
      <w:lvlJc w:val="left"/>
      <w:lvlText w:val="(%2)"/>
      <w:numFmt w:val="lowerLetter"/>
      <w:start w:val="1"/>
    </w:lvl>
  </w:abstractNum>
  <w:abstractNum w:abstractNumId="267">
    <w:nsid w:val="54B59621"/>
    <w:multiLevelType w:val="hybridMultilevel"/>
    <w:lvl w:ilvl="0">
      <w:lvlJc w:val="left"/>
      <w:lvlText w:val="(%1)"/>
      <w:numFmt w:val="lowerLetter"/>
      <w:start w:val="2"/>
    </w:lvl>
  </w:abstractNum>
  <w:abstractNum w:abstractNumId="268">
    <w:nsid w:val="5992A02E"/>
    <w:multiLevelType w:val="hybridMultilevel"/>
    <w:lvl w:ilvl="0">
      <w:lvlJc w:val="left"/>
      <w:lvlText w:val="%1"/>
      <w:numFmt w:val="decimal"/>
      <w:start w:val="1"/>
    </w:lvl>
    <w:lvl w:ilvl="1">
      <w:lvlJc w:val="left"/>
      <w:lvlText w:val="(%2)"/>
      <w:numFmt w:val="lowerLetter"/>
      <w:start w:val="3"/>
    </w:lvl>
  </w:abstractNum>
  <w:abstractNum w:abstractNumId="269">
    <w:nsid w:val="29EF532D"/>
    <w:multiLevelType w:val="hybridMultilevel"/>
    <w:lvl w:ilvl="0">
      <w:lvlJc w:val="left"/>
      <w:lvlText w:val="%1."/>
      <w:numFmt w:val="decimal"/>
      <w:start w:val="4"/>
    </w:lvl>
    <w:lvl w:ilvl="1">
      <w:lvlJc w:val="left"/>
      <w:lvlText w:val="%2"/>
      <w:numFmt w:val="lowerLetter"/>
      <w:start w:val="1"/>
    </w:lvl>
  </w:abstractNum>
  <w:abstractNum w:abstractNumId="270">
    <w:nsid w:val="71D601AF"/>
    <w:multiLevelType w:val="hybridMultilevel"/>
    <w:lvl w:ilvl="0">
      <w:lvlJc w:val="left"/>
      <w:lvlText w:val="%1."/>
      <w:numFmt w:val="decimal"/>
      <w:start w:val="1"/>
    </w:lvl>
  </w:abstractNum>
  <w:abstractNum w:abstractNumId="271">
    <w:nsid w:val="52C77402"/>
    <w:multiLevelType w:val="hybridMultilevel"/>
    <w:lvl w:ilvl="0">
      <w:lvlJc w:val="left"/>
      <w:lvlText w:val="%1."/>
      <w:numFmt w:val="decimal"/>
      <w:start w:val="5"/>
    </w:lvl>
  </w:abstractNum>
  <w:abstractNum w:abstractNumId="272">
    <w:nsid w:val="2BB5B1C6"/>
    <w:multiLevelType w:val="hybridMultilevel"/>
    <w:lvl w:ilvl="0">
      <w:lvlJc w:val="left"/>
      <w:lvlText w:val="%1."/>
      <w:numFmt w:val="decimal"/>
      <w:start w:val="15"/>
    </w:lvl>
  </w:abstractNum>
  <w:abstractNum w:abstractNumId="273">
    <w:nsid w:val="66BE6B9"/>
    <w:multiLevelType w:val="hybridMultilevel"/>
    <w:lvl w:ilvl="0">
      <w:lvlJc w:val="left"/>
      <w:lvlText w:val="%1:"/>
      <w:numFmt w:val="lowerLetter"/>
      <w:start w:val="29"/>
    </w:lvl>
  </w:abstractNum>
  <w:abstractNum w:abstractNumId="274">
    <w:nsid w:val="62234363"/>
    <w:multiLevelType w:val="hybridMultilevel"/>
    <w:lvl w:ilvl="0">
      <w:lvlJc w:val="left"/>
      <w:lvlText w:val="(%1)"/>
      <w:numFmt w:val="lowerLetter"/>
      <w:start w:val="1"/>
    </w:lvl>
  </w:abstractNum>
  <w:abstractNum w:abstractNumId="275">
    <w:nsid w:val="66D385C9"/>
    <w:multiLevelType w:val="hybridMultilevel"/>
    <w:lvl w:ilvl="0">
      <w:lvlJc w:val="left"/>
      <w:lvlText w:val="(%1)"/>
      <w:numFmt w:val="lowerLetter"/>
      <w:start w:val="1"/>
    </w:lvl>
  </w:abstractNum>
  <w:abstractNum w:abstractNumId="276">
    <w:nsid w:val="596F6D8A"/>
    <w:multiLevelType w:val="hybridMultilevel"/>
    <w:lvl w:ilvl="0">
      <w:lvlJc w:val="left"/>
      <w:lvlText w:val="(%1)"/>
      <w:numFmt w:val="lowerLetter"/>
      <w:start w:val="1"/>
    </w:lvl>
  </w:abstractNum>
  <w:abstractNum w:abstractNumId="277">
    <w:nsid w:val="5749361F"/>
    <w:multiLevelType w:val="hybridMultilevel"/>
    <w:lvl w:ilvl="0">
      <w:lvlJc w:val="left"/>
      <w:lvlText w:val="(%1)"/>
      <w:numFmt w:val="lowerLetter"/>
      <w:start w:val="1"/>
    </w:lvl>
  </w:abstractNum>
  <w:abstractNum w:abstractNumId="278">
    <w:nsid w:val="73BC6770"/>
    <w:multiLevelType w:val="hybridMultilevel"/>
    <w:lvl w:ilvl="0">
      <w:lvlJc w:val="left"/>
      <w:lvlText w:val="(%1)"/>
      <w:numFmt w:val="decimal"/>
      <w:start w:val="2"/>
    </w:lvl>
  </w:abstractNum>
  <w:abstractNum w:abstractNumId="279">
    <w:nsid w:val="280E6897"/>
    <w:multiLevelType w:val="hybridMultilevel"/>
    <w:lvl w:ilvl="0">
      <w:lvlJc w:val="left"/>
      <w:lvlText w:val="%1."/>
      <w:numFmt w:val="decimal"/>
      <w:start w:val="1"/>
    </w:lvl>
    <w:lvl w:ilvl="1">
      <w:lvlJc w:val="left"/>
      <w:lvlText w:val="(%2)"/>
      <w:numFmt w:val="lowerLetter"/>
      <w:start w:val="1"/>
    </w:lvl>
  </w:abstractNum>
  <w:abstractNum w:abstractNumId="280">
    <w:nsid w:val="605138DE"/>
    <w:multiLevelType w:val="hybridMultilevel"/>
    <w:lvl w:ilvl="0">
      <w:lvlJc w:val="left"/>
      <w:lvlText w:val="%1."/>
      <w:numFmt w:val="decimal"/>
      <w:start w:val="2"/>
    </w:lvl>
    <w:lvl w:ilvl="1">
      <w:lvlJc w:val="left"/>
      <w:lvlText w:val="(%2)"/>
      <w:numFmt w:val="lowerLetter"/>
      <w:start w:val="1"/>
    </w:lvl>
  </w:abstractNum>
  <w:abstractNum w:abstractNumId="281">
    <w:nsid w:val="2622AD0C"/>
    <w:multiLevelType w:val="hybridMultilevel"/>
    <w:lvl w:ilvl="0">
      <w:lvlJc w:val="left"/>
      <w:lvlText w:val="(%1)"/>
      <w:numFmt w:val="lowerLetter"/>
      <w:start w:val="2"/>
    </w:lvl>
  </w:abstractNum>
  <w:abstractNum w:abstractNumId="282">
    <w:nsid w:val="67997556"/>
    <w:multiLevelType w:val="hybridMultilevel"/>
    <w:lvl w:ilvl="0">
      <w:lvlJc w:val="left"/>
      <w:lvlText w:val="%1"/>
      <w:numFmt w:val="decimal"/>
      <w:start w:val="1"/>
    </w:lvl>
    <w:lvl w:ilvl="1">
      <w:lvlJc w:val="left"/>
      <w:lvlText w:val="(%2)"/>
      <w:numFmt w:val="lowerLetter"/>
      <w:start w:val="3"/>
    </w:lvl>
  </w:abstractNum>
  <w:abstractNum w:abstractNumId="283">
    <w:nsid w:val="18333C89"/>
    <w:multiLevelType w:val="hybridMultilevel"/>
    <w:lvl w:ilvl="0">
      <w:lvlJc w:val="left"/>
      <w:lvlText w:val="%1."/>
      <w:numFmt w:val="decimal"/>
      <w:start w:val="4"/>
    </w:lvl>
    <w:lvl w:ilvl="1">
      <w:lvlJc w:val="left"/>
      <w:lvlText w:val="%2"/>
      <w:numFmt w:val="lowerLetter"/>
      <w:start w:val="1"/>
    </w:lvl>
  </w:abstractNum>
  <w:abstractNum w:abstractNumId="284">
    <w:nsid w:val="4BA9831A"/>
    <w:multiLevelType w:val="hybridMultilevel"/>
    <w:lvl w:ilvl="0">
      <w:lvlJc w:val="left"/>
      <w:lvlText w:val="(%1)"/>
      <w:numFmt w:val="lowerLetter"/>
      <w:start w:val="1"/>
    </w:lvl>
  </w:abstractNum>
  <w:abstractNum w:abstractNumId="285">
    <w:nsid w:val="6D71A2B"/>
    <w:multiLevelType w:val="hybridMultilevel"/>
    <w:lvl w:ilvl="0">
      <w:lvlJc w:val="left"/>
      <w:lvlText w:val="(%1)"/>
      <w:numFmt w:val="lowerLetter"/>
      <w:start w:val="4"/>
    </w:lvl>
  </w:abstractNum>
  <w:abstractNum w:abstractNumId="286">
    <w:nsid w:val="CFC7321"/>
    <w:multiLevelType w:val="hybridMultilevel"/>
    <w:lvl w:ilvl="0">
      <w:lvlJc w:val="left"/>
      <w:lvlText w:val="(%1)"/>
      <w:numFmt w:val="lowerRoman"/>
      <w:start w:val="2"/>
    </w:lvl>
  </w:abstractNum>
  <w:abstractNum w:abstractNumId="287">
    <w:nsid w:val="1421971B"/>
    <w:multiLevelType w:val="hybridMultilevel"/>
    <w:lvl w:ilvl="0">
      <w:lvlJc w:val="left"/>
      <w:lvlText w:val="(%1)"/>
      <w:numFmt w:val="lowerLetter"/>
      <w:start w:val="1"/>
    </w:lvl>
  </w:abstractNum>
  <w:abstractNum w:abstractNumId="288">
    <w:nsid w:val="1F404301"/>
    <w:multiLevelType w:val="hybridMultilevel"/>
    <w:lvl w:ilvl="0">
      <w:lvlJc w:val="left"/>
      <w:lvlText w:val="(%1)"/>
      <w:numFmt w:val="lowerLetter"/>
      <w:start w:val="6"/>
    </w:lvl>
  </w:abstractNum>
  <w:abstractNum w:abstractNumId="289">
    <w:nsid w:val="116E0907"/>
    <w:multiLevelType w:val="hybridMultilevel"/>
    <w:lvl w:ilvl="0">
      <w:lvlJc w:val="left"/>
      <w:lvlText w:val="(%1)"/>
      <w:numFmt w:val="lowerLetter"/>
      <w:start w:val="1"/>
    </w:lvl>
  </w:abstractNum>
  <w:abstractNum w:abstractNumId="290">
    <w:nsid w:val="4B683D0D"/>
    <w:multiLevelType w:val="hybridMultilevel"/>
    <w:lvl w:ilvl="0">
      <w:lvlJc w:val="left"/>
      <w:lvlText w:val="(%1)"/>
      <w:numFmt w:val="lowerLetter"/>
      <w:start w:val="7"/>
    </w:lvl>
  </w:abstractNum>
  <w:abstractNum w:abstractNumId="291">
    <w:nsid w:val="76E41D8"/>
    <w:multiLevelType w:val="hybridMultilevel"/>
    <w:lvl w:ilvl="0">
      <w:lvlJc w:val="left"/>
      <w:lvlText w:val="(%1)"/>
      <w:numFmt w:val="lowerRoman"/>
      <w:start w:val="1"/>
    </w:lvl>
  </w:abstractNum>
  <w:abstractNum w:abstractNumId="292">
    <w:nsid w:val="71DCE0FD"/>
    <w:multiLevelType w:val="hybridMultilevel"/>
    <w:lvl w:ilvl="0">
      <w:lvlJc w:val="left"/>
      <w:lvlText w:val="(%1)"/>
      <w:numFmt w:val="lowerRoman"/>
      <w:start w:val="3"/>
    </w:lvl>
  </w:abstractNum>
  <w:abstractNum w:abstractNumId="293">
    <w:nsid w:val="7906328B"/>
    <w:multiLevelType w:val="hybridMultilevel"/>
    <w:lvl w:ilvl="0">
      <w:lvlJc w:val="left"/>
      <w:lvlText w:val="(%1)"/>
      <w:numFmt w:val="lowerLetter"/>
      <w:start w:val="1"/>
    </w:lvl>
  </w:abstractNum>
  <w:abstractNum w:abstractNumId="294">
    <w:nsid w:val="72BBC16"/>
    <w:multiLevelType w:val="hybridMultilevel"/>
    <w:lvl w:ilvl="0">
      <w:lvlJc w:val="left"/>
      <w:lvlText w:val="(%1)"/>
      <w:numFmt w:val="lowerLetter"/>
      <w:start w:val="1"/>
    </w:lvl>
  </w:abstractNum>
  <w:abstractNum w:abstractNumId="295">
    <w:nsid w:val="766D98C2"/>
    <w:multiLevelType w:val="hybridMultilevel"/>
    <w:lvl w:ilvl="0">
      <w:lvlJc w:val="left"/>
      <w:lvlText w:val="(%1)"/>
      <w:numFmt w:val="lowerLetter"/>
      <w:start w:val="1"/>
    </w:lvl>
  </w:abstractNum>
  <w:abstractNum w:abstractNumId="296">
    <w:nsid w:val="3C09D4A1"/>
    <w:multiLevelType w:val="hybridMultilevel"/>
    <w:lvl w:ilvl="0">
      <w:lvlJc w:val="left"/>
      <w:lvlText w:val="%1"/>
      <w:numFmt w:val="lowerRoman"/>
      <w:start w:val="1"/>
    </w:lvl>
    <w:lvl w:ilvl="1">
      <w:lvlJc w:val="left"/>
      <w:lvlText w:val="(%2)"/>
      <w:numFmt w:val="lowerLetter"/>
      <w:start w:val="2"/>
    </w:lvl>
  </w:abstractNum>
  <w:abstractNum w:abstractNumId="297">
    <w:nsid w:val="20E45CA4"/>
    <w:multiLevelType w:val="hybridMultilevel"/>
    <w:lvl w:ilvl="0">
      <w:lvlJc w:val="left"/>
      <w:lvlText w:val="(%1)"/>
      <w:numFmt w:val="lowerRoman"/>
      <w:start w:val="4"/>
    </w:lvl>
    <w:lvl w:ilvl="1">
      <w:lvlJc w:val="left"/>
      <w:lvlText w:val="(%2)"/>
      <w:numFmt w:val="lowerLetter"/>
      <w:start w:val="3"/>
    </w:lvl>
  </w:abstractNum>
  <w:abstractNum w:abstractNumId="298">
    <w:nsid w:val="4B232EE3"/>
    <w:multiLevelType w:val="hybridMultilevel"/>
    <w:lvl w:ilvl="0">
      <w:lvlJc w:val="left"/>
      <w:lvlText w:val="(%1)"/>
      <w:numFmt w:val="lowerLetter"/>
      <w:start w:val="1"/>
    </w:lvl>
  </w:abstractNum>
  <w:abstractNum w:abstractNumId="299">
    <w:nsid w:val="159C74CF"/>
    <w:multiLevelType w:val="hybridMultilevel"/>
    <w:lvl w:ilvl="0">
      <w:lvlJc w:val="left"/>
      <w:lvlText w:val="(%1)"/>
      <w:numFmt w:val="lowerLetter"/>
      <w:start w:val="3"/>
    </w:lvl>
    <w:lvl w:ilvl="1">
      <w:lvlJc w:val="left"/>
      <w:lvlText w:val="(%2)"/>
      <w:numFmt w:val="lowerRoman"/>
      <w:start w:val="1"/>
    </w:lvl>
  </w:abstractNum>
  <w:abstractNum w:abstractNumId="300">
    <w:nsid w:val="4AD3AFD2"/>
    <w:multiLevelType w:val="hybridMultilevel"/>
    <w:lvl w:ilvl="0">
      <w:lvlJc w:val="left"/>
      <w:lvlText w:val="(%1)"/>
      <w:numFmt w:val="lowerLetter"/>
      <w:start w:val="1"/>
    </w:lvl>
  </w:abstractNum>
  <w:abstractNum w:abstractNumId="301">
    <w:nsid w:val="3CF93092"/>
    <w:multiLevelType w:val="hybridMultilevel"/>
    <w:lvl w:ilvl="0">
      <w:lvlJc w:val="left"/>
      <w:lvlText w:val="(%1)"/>
      <w:numFmt w:val="lowerRoman"/>
      <w:start w:val="1"/>
    </w:lvl>
  </w:abstractNum>
  <w:abstractNum w:abstractNumId="302">
    <w:nsid w:val="6863E8D2"/>
    <w:multiLevelType w:val="hybridMultilevel"/>
    <w:lvl w:ilvl="0">
      <w:lvlJc w:val="left"/>
      <w:lvlText w:val="(%1)"/>
      <w:numFmt w:val="lowerLetter"/>
      <w:start w:val="1"/>
    </w:lvl>
  </w:abstractNum>
  <w:abstractNum w:abstractNumId="303">
    <w:nsid w:val="76896198"/>
    <w:multiLevelType w:val="hybridMultilevel"/>
    <w:lvl w:ilvl="0">
      <w:lvlJc w:val="left"/>
      <w:lvlText w:val="[***]"/>
      <w:numFmt w:val="bullet"/>
      <w:start w:val="1"/>
    </w:lvl>
  </w:abstractNum>
  <w:abstractNum w:abstractNumId="304">
    <w:nsid w:val="4365174B"/>
    <w:multiLevelType w:val="hybridMultilevel"/>
    <w:lvl w:ilvl="0">
      <w:lvlJc w:val="left"/>
      <w:lvlText w:val="(%1)"/>
      <w:numFmt w:val="lowerLetter"/>
      <w:start w:val="1"/>
    </w:lvl>
  </w:abstractNum>
  <w:abstractNum w:abstractNumId="305">
    <w:nsid w:val="4A872C35"/>
    <w:multiLevelType w:val="hybridMultilevel"/>
    <w:lvl w:ilvl="0">
      <w:lvlJc w:val="left"/>
      <w:lvlText w:val="(%1)"/>
      <w:numFmt w:val="lowerLetter"/>
      <w:start w:val="2"/>
    </w:lvl>
  </w:abstractNum>
  <w:abstractNum w:abstractNumId="306">
    <w:nsid w:val="5D5CE761"/>
    <w:multiLevelType w:val="hybridMultilevel"/>
    <w:lvl w:ilvl="0">
      <w:lvlJc w:val="left"/>
      <w:lvlText w:val="(%1)"/>
      <w:numFmt w:val="lowerLetter"/>
      <w:start w:val="1"/>
    </w:lvl>
  </w:abstractNum>
  <w:abstractNum w:abstractNumId="307">
    <w:nsid w:val="1CD484D5"/>
    <w:multiLevelType w:val="hybridMultilevel"/>
    <w:lvl w:ilvl="0">
      <w:lvlJc w:val="left"/>
      <w:lvlText w:val="(%1)"/>
      <w:numFmt w:val="decimal"/>
      <w:start w:val="4"/>
    </w:lvl>
    <w:lvl w:ilvl="1">
      <w:lvlJc w:val="left"/>
      <w:lvlText w:val="(%2)"/>
      <w:numFmt w:val="lowerLetter"/>
      <w:start w:val="3"/>
    </w:lvl>
  </w:abstractNum>
  <w:abstractNum w:abstractNumId="308">
    <w:nsid w:val="21D06255"/>
    <w:multiLevelType w:val="hybridMultilevel"/>
    <w:lvl w:ilvl="0">
      <w:lvlJc w:val="left"/>
      <w:lvlText w:val="(%1)"/>
      <w:numFmt w:val="lowerLetter"/>
      <w:start w:val="1"/>
    </w:lvl>
  </w:abstractNum>
  <w:abstractNum w:abstractNumId="309">
    <w:nsid w:val="51194ED1"/>
    <w:multiLevelType w:val="hybridMultilevel"/>
    <w:lvl w:ilvl="0">
      <w:lvlJc w:val="left"/>
      <w:lvlText w:val="(%1)"/>
      <w:numFmt w:val="lowerLetter"/>
      <w:start w:val="1"/>
    </w:lvl>
  </w:abstractNum>
  <w:abstractNum w:abstractNumId="310">
    <w:nsid w:val="44E2ED6C"/>
    <w:multiLevelType w:val="hybridMultilevel"/>
    <w:lvl w:ilvl="0">
      <w:lvlJc w:val="left"/>
      <w:lvlText w:val="(%1)"/>
      <w:numFmt w:val="lowerLetter"/>
      <w:start w:val="4"/>
    </w:lvl>
  </w:abstractNum>
  <w:abstractNum w:abstractNumId="311">
    <w:nsid w:val="2219B33"/>
    <w:multiLevelType w:val="hybridMultilevel"/>
    <w:lvl w:ilvl="0">
      <w:lvlJc w:val="left"/>
      <w:lvlText w:val="(%1)"/>
      <w:numFmt w:val="lowerLetter"/>
      <w:start w:val="1"/>
    </w:lvl>
    <w:lvl w:ilvl="1">
      <w:lvlJc w:val="left"/>
      <w:lvlText w:val="(%2)"/>
      <w:numFmt w:val="lowerRoman"/>
      <w:start w:val="1"/>
    </w:lvl>
  </w:abstractNum>
  <w:abstractNum w:abstractNumId="312">
    <w:nsid w:val="773BFBDD"/>
    <w:multiLevelType w:val="hybridMultilevel"/>
    <w:lvl w:ilvl="0">
      <w:lvlJc w:val="left"/>
      <w:lvlText w:val="(%1)"/>
      <w:numFmt w:val="lowerLetter"/>
      <w:start w:val="3"/>
    </w:lvl>
  </w:abstractNum>
  <w:abstractNum w:abstractNumId="313">
    <w:nsid w:val="2C7C62C2"/>
    <w:multiLevelType w:val="hybridMultilevel"/>
    <w:lvl w:ilvl="0">
      <w:lvlJc w:val="left"/>
      <w:lvlText w:val="(%1)"/>
      <w:numFmt w:val="lowerLetter"/>
      <w:start w:val="1"/>
    </w:lvl>
    <w:lvl w:ilvl="1">
      <w:lvlJc w:val="left"/>
      <w:lvlText w:val="(%2)"/>
      <w:numFmt w:val="lowerRoman"/>
      <w:start w:val="1"/>
    </w:lvl>
  </w:abstractNum>
  <w:abstractNum w:abstractNumId="314">
    <w:nsid w:val="1A54D7BC"/>
    <w:multiLevelType w:val="hybridMultilevel"/>
    <w:lvl w:ilvl="0">
      <w:lvlJc w:val="left"/>
      <w:lvlText w:val="(%1)"/>
      <w:numFmt w:val="lowerLetter"/>
      <w:start w:val="2"/>
    </w:lvl>
  </w:abstractNum>
  <w:abstractNum w:abstractNumId="315">
    <w:nsid w:val="42E57EF7"/>
    <w:multiLevelType w:val="hybridMultilevel"/>
    <w:lvl w:ilvl="0">
      <w:lvlJc w:val="left"/>
      <w:lvlText w:val="(%1)"/>
      <w:numFmt w:val="lowerLetter"/>
      <w:start w:val="3"/>
    </w:lvl>
  </w:abstractNum>
  <w:abstractNum w:abstractNumId="316">
    <w:nsid w:val="33537CED"/>
    <w:multiLevelType w:val="hybridMultilevel"/>
    <w:lvl w:ilvl="0">
      <w:lvlJc w:val="left"/>
      <w:lvlText w:val="(%1)"/>
      <w:numFmt w:val="lowerLetter"/>
      <w:start w:val="1"/>
    </w:lvl>
  </w:abstractNum>
  <w:abstractNum w:abstractNumId="317">
    <w:nsid w:val="27514ADE"/>
    <w:multiLevelType w:val="hybridMultilevel"/>
    <w:lvl w:ilvl="0">
      <w:lvlJc w:val="left"/>
      <w:lvlText w:val="(%1)"/>
      <w:numFmt w:val="lowerRoman"/>
      <w:start w:val="1"/>
    </w:lvl>
  </w:abstractNum>
  <w:abstractNum w:abstractNumId="318">
    <w:nsid w:val="57071613"/>
    <w:multiLevelType w:val="hybridMultilevel"/>
    <w:lvl w:ilvl="0">
      <w:lvlJc w:val="left"/>
      <w:lvlText w:val="(%1)"/>
      <w:numFmt w:val="lowerLetter"/>
      <w:start w:val="2"/>
    </w:lvl>
  </w:abstractNum>
  <w:abstractNum w:abstractNumId="319">
    <w:nsid w:val="5293BFEF"/>
    <w:multiLevelType w:val="hybridMultilevel"/>
    <w:lvl w:ilvl="0">
      <w:lvlJc w:val="left"/>
      <w:lvlText w:val="(%1)"/>
      <w:numFmt w:val="lowerLetter"/>
      <w:start w:val="3"/>
    </w:lvl>
  </w:abstractNum>
  <w:abstractNum w:abstractNumId="320">
    <w:nsid w:val="38BF53E5"/>
    <w:multiLevelType w:val="hybridMultilevel"/>
    <w:lvl w:ilvl="0">
      <w:lvlJc w:val="left"/>
      <w:lvlText w:val="(%1)"/>
      <w:numFmt w:val="lowerLetter"/>
      <w:start w:val="1"/>
    </w:lvl>
  </w:abstractNum>
  <w:abstractNum w:abstractNumId="321">
    <w:nsid w:val="226F5320"/>
    <w:multiLevelType w:val="hybridMultilevel"/>
    <w:lvl w:ilvl="0">
      <w:lvlJc w:val="left"/>
      <w:lvlText w:val="(%1)"/>
      <w:numFmt w:val="lowerLetter"/>
      <w:start w:val="6"/>
    </w:lvl>
  </w:abstractNum>
  <w:abstractNum w:abstractNumId="322">
    <w:nsid w:val="5A0201C7"/>
    <w:multiLevelType w:val="hybridMultilevel"/>
    <w:lvl w:ilvl="0">
      <w:lvlJc w:val="left"/>
      <w:lvlText w:val="%1"/>
      <w:numFmt w:val="lowerLetter"/>
      <w:start w:val="1"/>
    </w:lvl>
    <w:lvl w:ilvl="1">
      <w:lvlJc w:val="left"/>
      <w:lvlText w:val="(%2)"/>
      <w:numFmt w:val="lowerLetter"/>
      <w:start w:val="1"/>
    </w:lvl>
  </w:abstractNum>
  <w:abstractNum w:abstractNumId="323">
    <w:nsid w:val="2A9C34E2"/>
    <w:multiLevelType w:val="hybridMultilevel"/>
    <w:lvl w:ilvl="0">
      <w:lvlJc w:val="left"/>
      <w:lvlText w:val="(%1)"/>
      <w:numFmt w:val="lowerLetter"/>
      <w:start w:val="9"/>
    </w:lvl>
    <w:lvl w:ilvl="1">
      <w:lvlJc w:val="left"/>
      <w:lvlText w:val="%2"/>
      <w:numFmt w:val="lowerLetter"/>
      <w:start w:val="1"/>
    </w:lvl>
  </w:abstractNum>
  <w:abstractNum w:abstractNumId="324">
    <w:nsid w:val="1B7585AB"/>
    <w:multiLevelType w:val="hybridMultilevel"/>
    <w:lvl w:ilvl="0">
      <w:lvlJc w:val="left"/>
      <w:lvlText w:val="(%1)"/>
      <w:numFmt w:val="lowerLetter"/>
      <w:start w:val="3"/>
    </w:lvl>
  </w:abstractNum>
  <w:abstractNum w:abstractNumId="325">
    <w:nsid w:val="612DBDDD"/>
    <w:multiLevelType w:val="hybridMultilevel"/>
    <w:lvl w:ilvl="0">
      <w:lvlJc w:val="left"/>
      <w:lvlText w:val="(%1)"/>
      <w:numFmt w:val="lowerLetter"/>
      <w:start w:val="1"/>
    </w:lvl>
  </w:abstractNum>
  <w:abstractNum w:abstractNumId="326">
    <w:nsid w:val="2109CDA4"/>
    <w:multiLevelType w:val="hybridMultilevel"/>
    <w:lvl w:ilvl="0">
      <w:lvlJc w:val="left"/>
      <w:lvlText w:val="(%1)"/>
      <w:numFmt w:val="lowerRoman"/>
      <w:start w:val="1"/>
    </w:lvl>
  </w:abstractNum>
  <w:abstractNum w:abstractNumId="327">
    <w:nsid w:val="577F5A4D"/>
    <w:multiLevelType w:val="hybridMultilevel"/>
    <w:lvl w:ilvl="0">
      <w:lvlJc w:val="left"/>
      <w:lvlText w:val="(%1)"/>
      <w:numFmt w:val="lowerRoman"/>
      <w:start w:val="2"/>
    </w:lvl>
    <w:lvl w:ilvl="1">
      <w:lvlJc w:val="left"/>
      <w:lvlText w:val="(%2)"/>
      <w:numFmt w:val="decimal"/>
      <w:start w:val="1"/>
    </w:lvl>
  </w:abstractNum>
  <w:abstractNum w:abstractNumId="328">
    <w:nsid w:val="2121A8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329">
    <w:nsid w:val="6C2CFC88"/>
    <w:multiLevelType w:val="hybridMultilevel"/>
    <w:lvl w:ilvl="0">
      <w:lvlJc w:val="left"/>
      <w:lvlText w:val="%1"/>
      <w:numFmt w:val="lowerLetter"/>
      <w:start w:val="1"/>
    </w:lvl>
    <w:lvl w:ilvl="1">
      <w:lvlJc w:val="left"/>
      <w:lvlText w:val="(%2)"/>
      <w:numFmt w:val="lowerRoman"/>
      <w:start w:val="6"/>
    </w:lvl>
    <w:lvl w:ilvl="2">
      <w:lvlJc w:val="left"/>
      <w:lvlText w:val="%3"/>
      <w:numFmt w:val="decimal"/>
      <w:start w:val="1"/>
    </w:lvl>
  </w:abstractNum>
  <w:abstractNum w:abstractNumId="330">
    <w:nsid w:val="6D1BCF1C"/>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31">
    <w:nsid w:val="4CE5CA53"/>
    <w:multiLevelType w:val="hybridMultilevel"/>
    <w:lvl w:ilvl="0">
      <w:lvlJc w:val="left"/>
      <w:lvlText w:val="(%1)"/>
      <w:numFmt w:val="lowerLetter"/>
      <w:start w:val="1"/>
    </w:lvl>
  </w:abstractNum>
  <w:abstractNum w:abstractNumId="332">
    <w:nsid w:val="29262D1A"/>
    <w:multiLevelType w:val="hybridMultilevel"/>
    <w:lvl w:ilvl="0">
      <w:lvlJc w:val="left"/>
      <w:lvlText w:val="(%1)"/>
      <w:numFmt w:val="lowerRoman"/>
      <w:start w:val="1"/>
    </w:lvl>
  </w:abstractNum>
  <w:abstractNum w:abstractNumId="333">
    <w:nsid w:val="557FB7EE"/>
    <w:multiLevelType w:val="hybridMultilevel"/>
    <w:lvl w:ilvl="0">
      <w:lvlJc w:val="left"/>
      <w:lvlText w:val="%1"/>
      <w:numFmt w:val="lowerLetter"/>
      <w:start w:val="1"/>
    </w:lvl>
    <w:lvl w:ilvl="1">
      <w:lvlJc w:val="left"/>
      <w:lvlText w:val="(%2)"/>
      <w:numFmt w:val="lowerLetter"/>
      <w:start w:val="22"/>
    </w:lvl>
  </w:abstractNum>
  <w:abstractNum w:abstractNumId="334">
    <w:nsid w:val="436F2BEB"/>
    <w:multiLevelType w:val="hybridMultilevel"/>
    <w:lvl w:ilvl="0">
      <w:lvlJc w:val="left"/>
      <w:lvlText w:val="(%1)"/>
      <w:numFmt w:val="lowerLetter"/>
      <w:start w:val="3"/>
    </w:lvl>
    <w:lvl w:ilvl="1">
      <w:lvlJc w:val="left"/>
      <w:lvlText w:val="%2"/>
      <w:numFmt w:val="lowerLetter"/>
      <w:start w:val="1"/>
    </w:lvl>
  </w:abstractNum>
  <w:abstractNum w:abstractNumId="335">
    <w:nsid w:val="6C8B4466"/>
    <w:multiLevelType w:val="hybridMultilevel"/>
    <w:lvl w:ilvl="0">
      <w:lvlJc w:val="left"/>
      <w:lvlText w:val="(%1)"/>
      <w:numFmt w:val="lowerLetter"/>
      <w:start w:val="1"/>
    </w:lvl>
    <w:lvl w:ilvl="1">
      <w:lvlJc w:val="left"/>
      <w:lvlText w:val="(%2)"/>
      <w:numFmt w:val="lowerRoman"/>
      <w:start w:val="1"/>
    </w:lvl>
  </w:abstractNum>
  <w:abstractNum w:abstractNumId="336">
    <w:nsid w:val="2006E424"/>
    <w:multiLevelType w:val="hybridMultilevel"/>
    <w:lvl w:ilvl="0">
      <w:lvlJc w:val="left"/>
      <w:lvlText w:val="(%1)"/>
      <w:numFmt w:val="lowerLetter"/>
      <w:start w:val="1"/>
    </w:lvl>
  </w:abstractNum>
  <w:abstractNum w:abstractNumId="337">
    <w:nsid w:val="20CC134C"/>
    <w:multiLevelType w:val="hybridMultilevel"/>
    <w:lvl w:ilvl="0">
      <w:lvlJc w:val="left"/>
      <w:lvlText w:val="(%1)"/>
      <w:numFmt w:val="lowerLetter"/>
      <w:start w:val="4"/>
    </w:lvl>
  </w:abstractNum>
  <w:abstractNum w:abstractNumId="338">
    <w:nsid w:val="95FC93B"/>
    <w:multiLevelType w:val="hybridMultilevel"/>
    <w:lvl w:ilvl="0">
      <w:lvlJc w:val="left"/>
      <w:lvlText w:val="(%1)"/>
      <w:numFmt w:val="lowerLetter"/>
      <w:start w:val="1"/>
    </w:lvl>
  </w:abstractNum>
  <w:abstractNum w:abstractNumId="339">
    <w:nsid w:val="41D74679"/>
    <w:multiLevelType w:val="hybridMultilevel"/>
    <w:lvl w:ilvl="0">
      <w:lvlJc w:val="left"/>
      <w:lvlText w:val="(%1)"/>
      <w:numFmt w:val="lowerRoman"/>
      <w:start w:val="1"/>
    </w:lvl>
  </w:abstractNum>
  <w:abstractNum w:abstractNumId="340">
    <w:nsid w:val="71E5621E"/>
    <w:multiLevelType w:val="hybridMultilevel"/>
    <w:lvl w:ilvl="0">
      <w:lvlJc w:val="left"/>
      <w:lvlText w:val="(%1)"/>
      <w:numFmt w:val="lowerLetter"/>
      <w:start w:val="1"/>
    </w:lvl>
  </w:abstractNum>
  <w:abstractNum w:abstractNumId="341">
    <w:nsid w:val="4E42B6A8"/>
    <w:multiLevelType w:val="hybridMultilevel"/>
    <w:lvl w:ilvl="0">
      <w:lvlJc w:val="left"/>
      <w:lvlText w:val="(%1)"/>
      <w:numFmt w:val="lowerLetter"/>
      <w:start w:val="1"/>
    </w:lvl>
  </w:abstractNum>
  <w:abstractNum w:abstractNumId="342">
    <w:nsid w:val="43F8E1AC"/>
    <w:multiLevelType w:val="hybridMultilevel"/>
    <w:lvl w:ilvl="0">
      <w:lvlJc w:val="left"/>
      <w:lvlText w:val="(%1)"/>
      <w:numFmt w:val="lowerLetter"/>
      <w:start w:val="3"/>
    </w:lvl>
  </w:abstractNum>
  <w:abstractNum w:abstractNumId="343">
    <w:nsid w:val="69215DFB"/>
    <w:multiLevelType w:val="hybridMultilevel"/>
    <w:lvl w:ilvl="0">
      <w:lvlJc w:val="left"/>
      <w:lvlText w:val="(%1)"/>
      <w:numFmt w:val="lowerLetter"/>
      <w:start w:val="1"/>
    </w:lvl>
  </w:abstractNum>
  <w:abstractNum w:abstractNumId="344">
    <w:nsid w:val="7ABF196A"/>
    <w:multiLevelType w:val="hybridMultilevel"/>
    <w:lvl w:ilvl="0">
      <w:lvlJc w:val="left"/>
      <w:lvlText w:val="(%1)"/>
      <w:numFmt w:val="lowerLetter"/>
      <w:start w:val="3"/>
    </w:lvl>
  </w:abstractNum>
  <w:abstractNum w:abstractNumId="345">
    <w:nsid w:val="5E4DB968"/>
    <w:multiLevelType w:val="hybridMultilevel"/>
    <w:lvl w:ilvl="0">
      <w:lvlJc w:val="left"/>
      <w:lvlText w:val="(%1)"/>
      <w:numFmt w:val="lowerLetter"/>
      <w:start w:val="1"/>
    </w:lvl>
  </w:abstractNum>
  <w:abstractNum w:abstractNumId="346">
    <w:nsid w:val="2C06DCF3"/>
    <w:multiLevelType w:val="hybridMultilevel"/>
    <w:lvl w:ilvl="0">
      <w:lvlJc w:val="left"/>
      <w:lvlText w:val="(%1)"/>
      <w:numFmt w:val="lowerLetter"/>
      <w:start w:val="1"/>
    </w:lvl>
  </w:abstractNum>
  <w:abstractNum w:abstractNumId="347">
    <w:nsid w:val="2E129658"/>
    <w:multiLevelType w:val="hybridMultilevel"/>
    <w:lvl w:ilvl="0">
      <w:lvlJc w:val="left"/>
      <w:lvlText w:val="(%1)"/>
      <w:numFmt w:val="lowerLetter"/>
      <w:start w:val="2"/>
    </w:lvl>
  </w:abstractNum>
  <w:abstractNum w:abstractNumId="348">
    <w:nsid w:val="59F0446"/>
    <w:multiLevelType w:val="hybridMultilevel"/>
    <w:lvl w:ilvl="0">
      <w:lvlJc w:val="left"/>
      <w:lvlText w:val="%1"/>
      <w:numFmt w:val="lowerLetter"/>
      <w:start w:val="1"/>
    </w:lvl>
    <w:lvl w:ilvl="1">
      <w:lvlJc w:val="left"/>
      <w:lvlText w:val="(%2)"/>
      <w:numFmt w:val="lowerLetter"/>
      <w:start w:val="1"/>
    </w:lvl>
  </w:abstractNum>
  <w:abstractNum w:abstractNumId="349">
    <w:nsid w:val="30DF306"/>
    <w:multiLevelType w:val="hybridMultilevel"/>
    <w:lvl w:ilvl="0">
      <w:lvlJc w:val="left"/>
      <w:lvlText w:val="(%1)"/>
      <w:numFmt w:val="lowerLetter"/>
      <w:start w:val="61"/>
    </w:lvl>
    <w:lvl w:ilvl="1">
      <w:lvlJc w:val="left"/>
      <w:lvlText w:val="%2"/>
      <w:numFmt w:val="lowerLetter"/>
      <w:start w:val="1"/>
    </w:lvl>
  </w:abstractNum>
  <w:abstractNum w:abstractNumId="350">
    <w:nsid w:val="A65647"/>
    <w:multiLevelType w:val="hybridMultilevel"/>
    <w:lvl w:ilvl="0">
      <w:lvlJc w:val="left"/>
      <w:lvlText w:val="(%1)"/>
      <w:numFmt w:val="lowerLetter"/>
      <w:start w:val="2"/>
    </w:lvl>
    <w:lvl w:ilvl="1">
      <w:lvlJc w:val="left"/>
      <w:lvlText w:val="(%2)"/>
      <w:numFmt w:val="lowerRoman"/>
      <w:start w:val="1"/>
    </w:lvl>
  </w:abstractNum>
  <w:abstractNum w:abstractNumId="351">
    <w:nsid w:val="3E5E582B"/>
    <w:multiLevelType w:val="hybridMultilevel"/>
    <w:lvl w:ilvl="0">
      <w:lvlJc w:val="left"/>
      <w:lvlText w:val="(%1)"/>
      <w:numFmt w:val="lowerLetter"/>
      <w:start w:val="1"/>
    </w:lvl>
  </w:abstractNum>
  <w:abstractNum w:abstractNumId="352">
    <w:nsid w:val="257D4626"/>
    <w:multiLevelType w:val="hybridMultilevel"/>
    <w:lvl w:ilvl="0">
      <w:lvlJc w:val="left"/>
      <w:lvlText w:val="(%1)"/>
      <w:numFmt w:val="lowerLetter"/>
      <w:start w:val="1"/>
    </w:lvl>
    <w:lvl w:ilvl="1">
      <w:lvlJc w:val="left"/>
      <w:lvlText w:val="(%2)"/>
      <w:numFmt w:val="lowerLetter"/>
      <w:start w:val="9"/>
    </w:lvl>
  </w:abstractNum>
  <w:abstractNum w:abstractNumId="353">
    <w:nsid w:val="5AA8580E"/>
    <w:multiLevelType w:val="hybridMultilevel"/>
    <w:lvl w:ilvl="0">
      <w:lvlJc w:val="left"/>
      <w:lvlText w:val="(%1)"/>
      <w:numFmt w:val="lowerRoman"/>
      <w:start w:val="2"/>
    </w:lvl>
  </w:abstractNum>
  <w:abstractNum w:abstractNumId="354">
    <w:nsid w:val="68FA8D0D"/>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355">
    <w:nsid w:val="40F2CBD2"/>
    <w:multiLevelType w:val="hybridMultilevel"/>
    <w:lvl w:ilvl="0">
      <w:lvlJc w:val="left"/>
      <w:lvlText w:val="(%1)"/>
      <w:numFmt w:val="lowerLetter"/>
      <w:start w:val="2"/>
    </w:lvl>
    <w:lvl w:ilvl="1">
      <w:lvlJc w:val="left"/>
      <w:lvlText w:val="(%2)"/>
      <w:numFmt w:val="lowerLetter"/>
      <w:start w:val="9"/>
    </w:lvl>
    <w:lvl w:ilvl="2">
      <w:lvlJc w:val="left"/>
      <w:lvlText w:val="(%3)"/>
      <w:numFmt w:val="decimal"/>
      <w:start w:val="1"/>
    </w:lvl>
  </w:abstractNum>
  <w:abstractNum w:abstractNumId="356">
    <w:nsid w:val="3BD615EB"/>
    <w:multiLevelType w:val="hybridMultilevel"/>
    <w:lvl w:ilvl="0">
      <w:lvlJc w:val="left"/>
      <w:lvlText w:val="(%1)"/>
      <w:numFmt w:val="lowerRoman"/>
      <w:start w:val="2"/>
    </w:lvl>
  </w:abstractNum>
  <w:abstractNum w:abstractNumId="357">
    <w:nsid w:val="A045AB2"/>
    <w:multiLevelType w:val="hybridMultilevel"/>
    <w:lvl w:ilvl="0">
      <w:lvlJc w:val="left"/>
      <w:lvlText w:val="(%1)"/>
      <w:numFmt w:val="lowerRoman"/>
      <w:start w:val="3"/>
    </w:lvl>
  </w:abstractNum>
  <w:abstractNum w:abstractNumId="358">
    <w:nsid w:val="1872261F"/>
    <w:multiLevelType w:val="hybridMultilevel"/>
    <w:lvl w:ilvl="0">
      <w:lvlJc w:val="left"/>
      <w:lvlText w:val="(%1)"/>
      <w:numFmt w:val="lowerLetter"/>
      <w:start w:val="1"/>
    </w:lvl>
  </w:abstractNum>
  <w:abstractNum w:abstractNumId="359">
    <w:nsid w:val="3DE8306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60">
    <w:nsid w:val="7631573A"/>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361">
    <w:nsid w:val="58DF53B"/>
    <w:multiLevelType w:val="hybridMultilevel"/>
    <w:lvl w:ilvl="0">
      <w:lvlJc w:val="left"/>
      <w:lvlText w:val="(%1)"/>
      <w:numFmt w:val="lowerRoman"/>
      <w:start w:val="3"/>
    </w:lvl>
  </w:abstractNum>
  <w:abstractNum w:abstractNumId="362">
    <w:nsid w:val="ACDFAC0"/>
    <w:multiLevelType w:val="hybridMultilevel"/>
    <w:lvl w:ilvl="0">
      <w:lvlJc w:val="left"/>
      <w:lvlText w:val="(%1)"/>
      <w:numFmt w:val="lowerLetter"/>
      <w:start w:val="1"/>
    </w:lvl>
    <w:lvl w:ilvl="1">
      <w:lvlJc w:val="left"/>
      <w:lvlText w:val="(%2)"/>
      <w:numFmt w:val="lowerRoman"/>
      <w:start w:val="1"/>
    </w:lvl>
  </w:abstractNum>
  <w:abstractNum w:abstractNumId="363">
    <w:nsid w:val="1F578454"/>
    <w:multiLevelType w:val="hybridMultilevel"/>
    <w:lvl w:ilvl="0">
      <w:lvlJc w:val="left"/>
      <w:lvlText w:val="[***]"/>
      <w:numFmt w:val="bullet"/>
      <w:start w:val="1"/>
    </w:lvl>
    <w:lvl w:ilvl="1">
      <w:lvlJc w:val="left"/>
      <w:lvlText w:val="(%2)"/>
      <w:numFmt w:val="lowerLetter"/>
      <w:start w:val="3"/>
    </w:lvl>
  </w:abstractNum>
  <w:abstractNum w:abstractNumId="364">
    <w:nsid w:val="5B0DAD2A"/>
    <w:multiLevelType w:val="hybridMultilevel"/>
    <w:lvl w:ilvl="0">
      <w:lvlJc w:val="left"/>
      <w:lvlText w:val="(%1)"/>
      <w:numFmt w:val="lowerLetter"/>
      <w:start w:val="1"/>
    </w:lvl>
  </w:abstractNum>
  <w:abstractNum w:abstractNumId="365">
    <w:nsid w:val="4E3D26AB"/>
    <w:multiLevelType w:val="hybridMultilevel"/>
    <w:lvl w:ilvl="0">
      <w:lvlJc w:val="left"/>
      <w:lvlText w:val="[***]"/>
      <w:numFmt w:val="bullet"/>
      <w:start w:val="1"/>
    </w:lvl>
    <w:lvl w:ilvl="1">
      <w:lvlJc w:val="left"/>
      <w:lvlText w:val="(%2)"/>
      <w:numFmt w:val="lowerLetter"/>
      <w:start w:val="2"/>
    </w:lvl>
  </w:abstractNum>
  <w:abstractNum w:abstractNumId="366">
    <w:nsid w:val="BE2C8BA"/>
    <w:multiLevelType w:val="hybridMultilevel"/>
    <w:lvl w:ilvl="0">
      <w:lvlJc w:val="left"/>
      <w:lvlText w:val="(%1)"/>
      <w:numFmt w:val="lowerLetter"/>
      <w:start w:val="1"/>
    </w:lvl>
  </w:abstractNum>
  <w:abstractNum w:abstractNumId="367">
    <w:nsid w:val="7B14914E"/>
    <w:multiLevelType w:val="hybridMultilevel"/>
    <w:lvl w:ilvl="0">
      <w:lvlJc w:val="left"/>
      <w:lvlText w:val="(%1)"/>
      <w:numFmt w:val="lowerLetter"/>
      <w:start w:val="1"/>
    </w:lvl>
  </w:abstractNum>
  <w:abstractNum w:abstractNumId="368">
    <w:nsid w:val="6F0939F8"/>
    <w:multiLevelType w:val="hybridMultilevel"/>
    <w:lvl w:ilvl="0">
      <w:lvlJc w:val="left"/>
      <w:lvlText w:val="(%1)"/>
      <w:numFmt w:val="lowerLetter"/>
      <w:start w:val="2"/>
    </w:lvl>
  </w:abstractNum>
  <w:abstractNum w:abstractNumId="369">
    <w:nsid w:val="154291F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70">
    <w:nsid w:val="3CEBD7C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71">
    <w:nsid w:val="60EE9C16"/>
    <w:multiLevelType w:val="hybridMultilevel"/>
    <w:lvl w:ilvl="0">
      <w:lvlJc w:val="left"/>
      <w:lvlText w:val="(%1)"/>
      <w:numFmt w:val="lowerLetter"/>
      <w:start w:val="1"/>
    </w:lvl>
    <w:lvl w:ilvl="1">
      <w:lvlJc w:val="left"/>
      <w:lvlText w:val="(%2)"/>
      <w:numFmt w:val="lowerRoman"/>
      <w:start w:val="1"/>
    </w:lvl>
  </w:abstractNum>
  <w:abstractNum w:abstractNumId="372">
    <w:nsid w:val="6385489E"/>
    <w:multiLevelType w:val="hybridMultilevel"/>
    <w:lvl w:ilvl="0">
      <w:lvlJc w:val="left"/>
      <w:lvlText w:val="%1"/>
      <w:numFmt w:val="lowerLetter"/>
      <w:start w:val="1"/>
    </w:lvl>
    <w:lvl w:ilvl="1">
      <w:lvlJc w:val="left"/>
      <w:lvlText w:val="(%2)"/>
      <w:numFmt w:val="lowerRoman"/>
      <w:start w:val="3"/>
    </w:lvl>
  </w:abstractNum>
  <w:abstractNum w:abstractNumId="373">
    <w:nsid w:val="E4B973"/>
    <w:multiLevelType w:val="hybridMultilevel"/>
    <w:lvl w:ilvl="0">
      <w:lvlJc w:val="left"/>
      <w:lvlText w:val="(%1)"/>
      <w:numFmt w:val="lowerLetter"/>
      <w:start w:val="3"/>
    </w:lvl>
    <w:lvl w:ilvl="1">
      <w:lvlJc w:val="left"/>
      <w:lvlText w:val="(%2)"/>
      <w:numFmt w:val="lowerRoman"/>
      <w:start w:val="1"/>
    </w:lvl>
  </w:abstractNum>
  <w:abstractNum w:abstractNumId="374">
    <w:nsid w:val="4A0FFA11"/>
    <w:multiLevelType w:val="hybridMultilevel"/>
    <w:lvl w:ilvl="0">
      <w:lvlJc w:val="left"/>
      <w:lvlText w:val="%1"/>
      <w:numFmt w:val="lowerLetter"/>
      <w:start w:val="1"/>
    </w:lvl>
    <w:lvl w:ilvl="1">
      <w:lvlJc w:val="left"/>
      <w:lvlText w:val="(%2)"/>
      <w:numFmt w:val="lowerRoman"/>
      <w:start w:val="2"/>
    </w:lvl>
  </w:abstractNum>
  <w:abstractNum w:abstractNumId="375">
    <w:nsid w:val="5E446208"/>
    <w:multiLevelType w:val="hybridMultilevel"/>
    <w:lvl w:ilvl="0">
      <w:lvlJc w:val="left"/>
      <w:lvlText w:val="(%1)"/>
      <w:numFmt w:val="lowerLetter"/>
      <w:start w:val="4"/>
    </w:lvl>
    <w:lvl w:ilvl="1">
      <w:lvlJc w:val="left"/>
      <w:lvlText w:val="%2"/>
      <w:numFmt w:val="lowerRoman"/>
      <w:start w:val="1"/>
    </w:lvl>
  </w:abstractNum>
  <w:abstractNum w:abstractNumId="376">
    <w:nsid w:val="5F3272DB"/>
    <w:multiLevelType w:val="hybridMultilevel"/>
    <w:lvl w:ilvl="0">
      <w:lvlJc w:val="left"/>
      <w:lvlText w:val="%1"/>
      <w:numFmt w:val="lowerLetter"/>
      <w:start w:val="1"/>
    </w:lvl>
    <w:lvl w:ilvl="1">
      <w:lvlJc w:val="left"/>
      <w:lvlText w:val="(%2)"/>
      <w:numFmt w:val="lowerLetter"/>
      <w:start w:val="1"/>
    </w:lvl>
  </w:abstractNum>
  <w:abstractNum w:abstractNumId="377">
    <w:nsid w:val="7616D704"/>
    <w:multiLevelType w:val="hybridMultilevel"/>
    <w:lvl w:ilvl="0">
      <w:lvlJc w:val="left"/>
      <w:lvlText w:val="(%1)"/>
      <w:numFmt w:val="lowerLetter"/>
      <w:start w:val="9"/>
    </w:lvl>
    <w:lvl w:ilvl="1">
      <w:lvlJc w:val="left"/>
      <w:lvlText w:val="%2"/>
      <w:numFmt w:val="lowerLetter"/>
      <w:start w:val="1"/>
    </w:lvl>
  </w:abstractNum>
  <w:abstractNum w:abstractNumId="378">
    <w:nsid w:val="C56F860"/>
    <w:multiLevelType w:val="hybridMultilevel"/>
    <w:lvl w:ilvl="0">
      <w:lvlJc w:val="left"/>
      <w:lvlText w:val="(%1)"/>
      <w:numFmt w:val="lowerLetter"/>
      <w:start w:val="4"/>
    </w:lvl>
  </w:abstractNum>
  <w:abstractNum w:abstractNumId="379">
    <w:nsid w:val="64D17722"/>
    <w:multiLevelType w:val="hybridMultilevel"/>
    <w:lvl w:ilvl="0">
      <w:lvlJc w:val="left"/>
      <w:lvlText w:val="(%1)"/>
      <w:numFmt w:val="lowerLetter"/>
      <w:start w:val="1"/>
    </w:lvl>
  </w:abstractNum>
  <w:abstractNum w:abstractNumId="380">
    <w:nsid w:val="7924CA0A"/>
    <w:multiLevelType w:val="hybridMultilevel"/>
    <w:lvl w:ilvl="0">
      <w:lvlJc w:val="left"/>
      <w:lvlText w:val="(%1)"/>
      <w:numFmt w:val="lowerLetter"/>
      <w:start w:val="1"/>
    </w:lvl>
  </w:abstractNum>
  <w:abstractNum w:abstractNumId="381">
    <w:nsid w:val="CFD4EA7"/>
    <w:multiLevelType w:val="hybridMultilevel"/>
    <w:lvl w:ilvl="0">
      <w:lvlJc w:val="left"/>
      <w:lvlText w:val="(%1)"/>
      <w:numFmt w:val="lowerLetter"/>
      <w:start w:val="3"/>
    </w:lvl>
  </w:abstractNum>
  <w:abstractNum w:abstractNumId="382">
    <w:nsid w:val="232FCF4D"/>
    <w:multiLevelType w:val="hybridMultilevel"/>
    <w:lvl w:ilvl="0">
      <w:lvlJc w:val="left"/>
      <w:lvlText w:val="(%1)"/>
      <w:numFmt w:val="lowerLetter"/>
      <w:start w:val="3"/>
    </w:lvl>
  </w:abstractNum>
  <w:abstractNum w:abstractNumId="383">
    <w:nsid w:val="1EA21031"/>
    <w:multiLevelType w:val="hybridMultilevel"/>
    <w:lvl w:ilvl="0">
      <w:lvlJc w:val="left"/>
      <w:lvlText w:val="(%1)"/>
      <w:numFmt w:val="lowerLetter"/>
      <w:start w:val="1"/>
    </w:lvl>
  </w:abstractNum>
  <w:abstractNum w:abstractNumId="384">
    <w:nsid w:val="67A5A6B5"/>
    <w:multiLevelType w:val="hybridMultilevel"/>
    <w:lvl w:ilvl="0">
      <w:lvlJc w:val="left"/>
      <w:lvlText w:val="(%1)"/>
      <w:numFmt w:val="lowerLetter"/>
      <w:start w:val="3"/>
    </w:lvl>
  </w:abstractNum>
  <w:abstractNum w:abstractNumId="385">
    <w:nsid w:val="C2A5C5B"/>
    <w:multiLevelType w:val="hybridMultilevel"/>
    <w:lvl w:ilvl="0">
      <w:lvlJc w:val="left"/>
      <w:lvlText w:val="(%1)"/>
      <w:numFmt w:val="lowerLetter"/>
      <w:start w:val="1"/>
    </w:lvl>
  </w:abstractNum>
  <w:abstractNum w:abstractNumId="386">
    <w:nsid w:val="5F94DC03"/>
    <w:multiLevelType w:val="hybridMultilevel"/>
    <w:lvl w:ilvl="0">
      <w:lvlJc w:val="left"/>
      <w:lvlText w:val="(%1)"/>
      <w:numFmt w:val="lowerLetter"/>
      <w:start w:val="3"/>
    </w:lvl>
    <w:lvl w:ilvl="1">
      <w:lvlJc w:val="left"/>
      <w:lvlText w:val="(%2)"/>
      <w:numFmt w:val="lowerRoman"/>
      <w:start w:val="1"/>
    </w:lvl>
  </w:abstractNum>
  <w:abstractNum w:abstractNumId="387">
    <w:nsid w:val="237BBCA0"/>
    <w:multiLevelType w:val="hybridMultilevel"/>
    <w:lvl w:ilvl="0">
      <w:lvlJc w:val="left"/>
      <w:lvlText w:val="(%1)"/>
      <w:numFmt w:val="lowerLetter"/>
      <w:start w:val="4"/>
    </w:lvl>
  </w:abstractNum>
  <w:abstractNum w:abstractNumId="388">
    <w:nsid w:val="162EB70D"/>
    <w:multiLevelType w:val="hybridMultilevel"/>
    <w:lvl w:ilvl="0">
      <w:lvlJc w:val="left"/>
      <w:lvlText w:val="(%1)"/>
      <w:numFmt w:val="lowerLetter"/>
      <w:start w:val="1"/>
    </w:lvl>
  </w:abstractNum>
  <w:abstractNum w:abstractNumId="389">
    <w:nsid w:val="78070222"/>
    <w:multiLevelType w:val="hybridMultilevel"/>
    <w:lvl w:ilvl="0">
      <w:lvlJc w:val="left"/>
      <w:lvlText w:val="(%1)"/>
      <w:numFmt w:val="lowerLetter"/>
      <w:start w:val="2"/>
    </w:lvl>
  </w:abstractNum>
  <w:abstractNum w:abstractNumId="390">
    <w:nsid w:val="6163ED0D"/>
    <w:multiLevelType w:val="hybridMultilevel"/>
    <w:lvl w:ilvl="0">
      <w:lvlJc w:val="left"/>
      <w:lvlText w:val="(%1)"/>
      <w:numFmt w:val="lowerLetter"/>
      <w:start w:val="1"/>
    </w:lvl>
  </w:abstractNum>
  <w:abstractNum w:abstractNumId="391">
    <w:nsid w:val="C600E47"/>
    <w:multiLevelType w:val="hybridMultilevel"/>
    <w:lvl w:ilvl="0">
      <w:lvlJc w:val="left"/>
      <w:lvlText w:val="(%1)"/>
      <w:numFmt w:val="lowerLetter"/>
      <w:start w:val="1"/>
    </w:lvl>
  </w:abstractNum>
  <w:abstractNum w:abstractNumId="392">
    <w:nsid w:val="7D94F75D"/>
    <w:multiLevelType w:val="hybridMultilevel"/>
    <w:lvl w:ilvl="0">
      <w:lvlJc w:val="left"/>
      <w:lvlText w:val="(%1)"/>
      <w:numFmt w:val="lowerLetter"/>
      <w:start w:val="1"/>
    </w:lvl>
  </w:abstractNum>
  <w:abstractNum w:abstractNumId="393">
    <w:nsid w:val="6C31E7CD"/>
    <w:multiLevelType w:val="hybridMultilevel"/>
    <w:lvl w:ilvl="0">
      <w:lvlJc w:val="left"/>
      <w:lvlText w:val="(%1)"/>
      <w:numFmt w:val="lowerLetter"/>
      <w:start w:val="2"/>
    </w:lvl>
  </w:abstractNum>
  <w:abstractNum w:abstractNumId="394">
    <w:nsid w:val="2BB7929B"/>
    <w:multiLevelType w:val="hybridMultilevel"/>
    <w:lvl w:ilvl="0">
      <w:lvlJc w:val="left"/>
      <w:lvlText w:val="%1"/>
      <w:numFmt w:val="lowerLetter"/>
      <w:start w:val="1"/>
    </w:lvl>
    <w:lvl w:ilvl="1">
      <w:lvlJc w:val="left"/>
      <w:lvlText w:val="(%2)"/>
      <w:numFmt w:val="lowerLetter"/>
      <w:start w:val="1"/>
    </w:lvl>
  </w:abstractNum>
  <w:abstractNum w:abstractNumId="395">
    <w:nsid w:val="58A2A487"/>
    <w:multiLevelType w:val="hybridMultilevel"/>
    <w:lvl w:ilvl="0">
      <w:lvlJc w:val="left"/>
      <w:lvlText w:val="(%1)"/>
      <w:numFmt w:val="lowerLetter"/>
      <w:start w:val="9"/>
    </w:lvl>
    <w:lvl w:ilvl="1">
      <w:lvlJc w:val="left"/>
      <w:lvlText w:val="%2"/>
      <w:numFmt w:val="lowerLetter"/>
      <w:start w:val="1"/>
    </w:lvl>
  </w:abstractNum>
  <w:abstractNum w:abstractNumId="396">
    <w:nsid w:val="3A6F0E78"/>
    <w:multiLevelType w:val="hybridMultilevel"/>
    <w:lvl w:ilvl="0">
      <w:lvlJc w:val="left"/>
      <w:lvlText w:val="(%1)"/>
      <w:numFmt w:val="lowerLetter"/>
      <w:start w:val="1"/>
    </w:lvl>
  </w:abstractNum>
  <w:abstractNum w:abstractNumId="397">
    <w:nsid w:val="379A5B56"/>
    <w:multiLevelType w:val="hybridMultilevel"/>
    <w:lvl w:ilvl="0">
      <w:lvlJc w:val="left"/>
      <w:lvlText w:val="(%1)"/>
      <w:numFmt w:val="lowerLetter"/>
      <w:start w:val="3"/>
    </w:lvl>
  </w:abstractNum>
  <w:abstractNum w:abstractNumId="398">
    <w:nsid w:val="53B735D5"/>
    <w:multiLevelType w:val="hybridMultilevel"/>
    <w:lvl w:ilvl="0">
      <w:lvlJc w:val="left"/>
      <w:lvlText w:val="(%1)"/>
      <w:numFmt w:val="lowerRoman"/>
      <w:start w:val="1"/>
    </w:lvl>
  </w:abstractNum>
  <w:abstractNum w:abstractNumId="399">
    <w:nsid w:val="29784870"/>
    <w:multiLevelType w:val="hybridMultilevel"/>
    <w:lvl w:ilvl="0">
      <w:lvlJc w:val="left"/>
      <w:lvlText w:val="(%1)"/>
      <w:numFmt w:val="lowerRoman"/>
      <w:start w:val="1"/>
    </w:lvl>
  </w:abstractNum>
  <w:abstractNum w:abstractNumId="400">
    <w:nsid w:val="4CDCED4C"/>
    <w:multiLevelType w:val="hybridMultilevel"/>
    <w:lvl w:ilvl="0">
      <w:lvlJc w:val="left"/>
      <w:lvlText w:val="(%1)"/>
      <w:numFmt w:val="lowerLetter"/>
      <w:start w:val="1"/>
    </w:lvl>
  </w:abstractNum>
  <w:abstractNum w:abstractNumId="401">
    <w:nsid w:val="10A30D9C"/>
    <w:multiLevelType w:val="hybridMultilevel"/>
    <w:lvl w:ilvl="0">
      <w:lvlJc w:val="left"/>
      <w:lvlText w:val="(%1)"/>
      <w:numFmt w:val="lowerLetter"/>
      <w:start w:val="1"/>
    </w:lvl>
  </w:abstractNum>
  <w:abstractNum w:abstractNumId="402">
    <w:nsid w:val="A66E486"/>
    <w:multiLevelType w:val="hybridMultilevel"/>
    <w:lvl w:ilvl="0">
      <w:lvlJc w:val="left"/>
      <w:lvlText w:val="(%1)"/>
      <w:numFmt w:val="lowerLetter"/>
      <w:start w:val="4"/>
    </w:lvl>
  </w:abstractNum>
  <w:abstractNum w:abstractNumId="403">
    <w:nsid w:val="306235EA"/>
    <w:multiLevelType w:val="hybridMultilevel"/>
    <w:lvl w:ilvl="0">
      <w:lvlJc w:val="left"/>
      <w:lvlText w:val="(%1)"/>
      <w:numFmt w:val="lowerLetter"/>
      <w:start w:val="1"/>
    </w:lvl>
  </w:abstractNum>
  <w:abstractNum w:abstractNumId="404">
    <w:nsid w:val="1187C70F"/>
    <w:multiLevelType w:val="hybridMultilevel"/>
    <w:lvl w:ilvl="0">
      <w:lvlJc w:val="left"/>
      <w:lvlText w:val="(%1)"/>
      <w:numFmt w:val="lowerLetter"/>
      <w:start w:val="1"/>
    </w:lvl>
  </w:abstractNum>
  <w:abstractNum w:abstractNumId="405">
    <w:nsid w:val="5476DE98"/>
    <w:multiLevelType w:val="hybridMultilevel"/>
    <w:lvl w:ilvl="0">
      <w:lvlJc w:val="left"/>
      <w:lvlText w:val="(%1)"/>
      <w:numFmt w:val="lowerLetter"/>
      <w:start w:val="1"/>
    </w:lvl>
  </w:abstractNum>
  <w:abstractNum w:abstractNumId="406">
    <w:nsid w:val="EA697F2"/>
    <w:multiLevelType w:val="hybridMultilevel"/>
    <w:lvl w:ilvl="0">
      <w:lvlJc w:val="left"/>
      <w:lvlText w:val="(%1)"/>
      <w:numFmt w:val="lowerLetter"/>
      <w:start w:val="1"/>
    </w:lvl>
  </w:abstractNum>
  <w:abstractNum w:abstractNumId="407">
    <w:nsid w:val="70BA39EB"/>
    <w:multiLevelType w:val="hybridMultilevel"/>
    <w:lvl w:ilvl="0">
      <w:lvlJc w:val="left"/>
      <w:lvlText w:val="(%1)"/>
      <w:numFmt w:val="lowerLetter"/>
      <w:start w:val="1"/>
    </w:lvl>
  </w:abstractNum>
  <w:abstractNum w:abstractNumId="408">
    <w:nsid w:val="4A8DB59C"/>
    <w:multiLevelType w:val="hybridMultilevel"/>
    <w:lvl w:ilvl="0">
      <w:lvlJc w:val="left"/>
      <w:lvlText w:val="%1."/>
      <w:numFmt w:val="decimal"/>
      <w:start w:val="1"/>
    </w:lvl>
  </w:abstractNum>
  <w:abstractNum w:abstractNumId="409">
    <w:nsid w:val="1AFD9053"/>
    <w:multiLevelType w:val="hybridMultilevel"/>
    <w:lvl w:ilvl="0">
      <w:lvlJc w:val="left"/>
      <w:lvlText w:val="(%1)"/>
      <w:numFmt w:val="decimal"/>
      <w:start w:val="1"/>
    </w:lvl>
  </w:abstractNum>
  <w:abstractNum w:abstractNumId="410">
    <w:nsid w:val="558BB10D"/>
    <w:multiLevelType w:val="hybridMultilevel"/>
    <w:lvl w:ilvl="0">
      <w:lvlJc w:val="left"/>
      <w:lvlText w:val="%1."/>
      <w:numFmt w:val="decimal"/>
      <w:start w:val="2"/>
    </w:lvl>
  </w:abstractNum>
  <w:abstractNum w:abstractNumId="411">
    <w:nsid w:val="43B27FA7"/>
    <w:multiLevelType w:val="hybridMultilevel"/>
    <w:lvl w:ilvl="0">
      <w:lvlJc w:val="left"/>
      <w:lvlText w:val="(%1)"/>
      <w:numFmt w:val="lowerRoman"/>
      <w:start w:val="1"/>
    </w:lvl>
  </w:abstractNum>
  <w:abstractNum w:abstractNumId="412">
    <w:nsid w:val="27FADEFA"/>
    <w:multiLevelType w:val="hybridMultilevel"/>
    <w:lvl w:ilvl="0">
      <w:lvlJc w:val="left"/>
      <w:lvlText w:val="%1."/>
      <w:numFmt w:val="decimal"/>
      <w:start w:val="3"/>
    </w:lvl>
  </w:abstractNum>
  <w:abstractNum w:abstractNumId="413">
    <w:nsid w:val="78BB805A"/>
    <w:multiLevelType w:val="hybridMultilevel"/>
    <w:lvl w:ilvl="0">
      <w:lvlJc w:val="left"/>
      <w:lvlText w:val="%1."/>
      <w:numFmt w:val="decimal"/>
      <w:start w:val="4"/>
    </w:lvl>
  </w:abstractNum>
  <w:abstractNum w:abstractNumId="414">
    <w:nsid w:val="62548FD8"/>
    <w:multiLevelType w:val="hybridMultilevel"/>
    <w:lvl w:ilvl="0">
      <w:lvlJc w:val="left"/>
      <w:lvlText w:val="%1."/>
      <w:numFmt w:val="decimal"/>
      <w:start w:val="5"/>
    </w:lvl>
    <w:lvl w:ilvl="1">
      <w:lvlJc w:val="left"/>
      <w:lvlText w:val="(%2)"/>
      <w:numFmt w:val="lowerLetter"/>
      <w:start w:val="1"/>
    </w:lvl>
  </w:abstractNum>
  <w:abstractNum w:abstractNumId="415">
    <w:nsid w:val="FA085B0"/>
    <w:multiLevelType w:val="hybridMultilevel"/>
    <w:lvl w:ilvl="0">
      <w:lvlJc w:val="left"/>
      <w:lvlText w:val="%1."/>
      <w:numFmt w:val="decimal"/>
      <w:start w:val="6"/>
    </w:lvl>
  </w:abstractNum>
  <w:abstractNum w:abstractNumId="416">
    <w:nsid w:val="4E5DCB5"/>
    <w:multiLevelType w:val="hybridMultilevel"/>
    <w:lvl w:ilvl="0">
      <w:lvlJc w:val="left"/>
      <w:lvlText w:val="%1."/>
      <w:numFmt w:val="decimal"/>
      <w:start w:val="9"/>
    </w:lvl>
  </w:abstractNum>
  <w:abstractNum w:abstractNumId="417">
    <w:nsid w:val="41E96BDB"/>
    <w:multiLevelType w:val="hybridMultilevel"/>
    <w:lvl w:ilvl="0">
      <w:lvlJc w:val="left"/>
      <w:lvlText w:val="%1."/>
      <w:numFmt w:val="decimal"/>
      <w:start w:val="11"/>
    </w:lvl>
  </w:abstractNum>
  <w:abstractNum w:abstractNumId="418">
    <w:nsid w:val="331C4250"/>
    <w:multiLevelType w:val="hybridMultilevel"/>
    <w:lvl w:ilvl="0">
      <w:lvlJc w:val="left"/>
      <w:lvlText w:val="%1."/>
      <w:numFmt w:val="decimal"/>
      <w:start w:val="12"/>
    </w:lvl>
  </w:abstractNum>
  <w:abstractNum w:abstractNumId="419">
    <w:nsid w:val="1B1493C2"/>
    <w:multiLevelType w:val="hybridMultilevel"/>
    <w:lvl w:ilvl="0">
      <w:lvlJc w:val="left"/>
      <w:lvlText w:val="%1."/>
      <w:numFmt w:val="decimal"/>
      <w:start w:val="13"/>
    </w:lvl>
    <w:lvl w:ilvl="1">
      <w:lvlJc w:val="left"/>
      <w:lvlText w:val="(%2)"/>
      <w:numFmt w:val="lowerLetter"/>
      <w:start w:val="1"/>
    </w:lvl>
  </w:abstractNum>
  <w:abstractNum w:abstractNumId="420">
    <w:nsid w:val="39F06DFD"/>
    <w:multiLevelType w:val="hybridMultilevel"/>
    <w:lvl w:ilvl="0">
      <w:lvlJc w:val="left"/>
      <w:lvlText w:val="%1."/>
      <w:numFmt w:val="decimal"/>
      <w:start w:val="14"/>
    </w:lvl>
  </w:abstractNum>
  <w:abstractNum w:abstractNumId="421">
    <w:nsid w:val="14802F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jpeg"/><Relationship Id="rId414" Type="http://schemas.openxmlformats.org/officeDocument/2006/relationships/image" Target="media/image407.jpe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2021-07-16T16:01:08Z</dcterms:created>
  <dcterms:modified xsi:type="dcterms:W3CDTF">2021-07-16T16:01:08Z</dcterms:modified>
</cp:coreProperties>
</file>