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-236220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21590</wp:posOffset>
            </wp:positionV>
            <wp:extent cx="7047230" cy="4701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701540"/>
                    </a:xfrm>
                    <a:prstGeom prst="rect">
                      <a:avLst/>
                    </a:prstGeom>
                    <a:noFill/>
                  </pic:spPr>
                </pic:pic>
              </a:graphicData>
            </a:graphic>
          </wp:anchor>
        </w:drawing>
      </w:r>
    </w:p>
    <w:p>
      <w:pPr>
        <w:spacing w:after="0" w:line="95" w:lineRule="exact"/>
        <w:rPr>
          <w:sz w:val="24"/>
          <w:szCs w:val="24"/>
          <w:color w:val="auto"/>
        </w:rPr>
      </w:pPr>
    </w:p>
    <w:p>
      <w:pPr>
        <w:sectPr>
          <w:pgSz w:w="11900" w:h="16838" w:orient="portrait"/>
          <w:cols w:equalWidth="0" w:num="2">
            <w:col w:w="2220" w:space="380"/>
            <w:col w:w="8480"/>
          </w:cols>
          <w:pgMar w:left="460" w:top="21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Gowler Jeremy</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60" w:type="dxa"/>
            <w:vAlign w:val="bottom"/>
          </w:tcPr>
          <w:p>
            <w:pPr>
              <w:ind w:left="40"/>
              <w:spacing w:after="0"/>
              <w:rPr>
                <w:sz w:val="20"/>
                <w:szCs w:val="20"/>
                <w:color w:val="auto"/>
              </w:rPr>
            </w:pPr>
            <w:r>
              <w:rPr>
                <w:rFonts w:ascii="Arial" w:cs="Arial" w:eastAsia="Arial" w:hAnsi="Arial"/>
                <w:sz w:val="13"/>
                <w:szCs w:val="13"/>
                <w:color w:val="auto"/>
              </w:rPr>
              <w:t>(Last)</w:t>
            </w:r>
          </w:p>
        </w:tc>
        <w:tc>
          <w:tcPr>
            <w:tcW w:w="1000" w:type="dxa"/>
            <w:vAlign w:val="bottom"/>
          </w:tcPr>
          <w:p>
            <w:pPr>
              <w:ind w:left="200"/>
              <w:spacing w:after="0"/>
              <w:rPr>
                <w:sz w:val="20"/>
                <w:szCs w:val="20"/>
                <w:color w:val="auto"/>
              </w:rPr>
            </w:pPr>
            <w:r>
              <w:rPr>
                <w:rFonts w:ascii="Arial" w:cs="Arial" w:eastAsia="Arial" w:hAnsi="Arial"/>
                <w:sz w:val="13"/>
                <w:szCs w:val="13"/>
                <w:color w:val="auto"/>
              </w:rPr>
              <w:t>(First)</w:t>
            </w:r>
          </w:p>
        </w:tc>
        <w:tc>
          <w:tcPr>
            <w:tcW w:w="880" w:type="dxa"/>
            <w:vAlign w:val="bottom"/>
          </w:tcPr>
          <w:p>
            <w:pPr>
              <w:ind w:left="420"/>
              <w:spacing w:after="0"/>
              <w:rPr>
                <w:sz w:val="20"/>
                <w:szCs w:val="20"/>
                <w:color w:val="auto"/>
              </w:rPr>
            </w:pPr>
            <w:r>
              <w:rPr>
                <w:rFonts w:ascii="Arial" w:cs="Arial" w:eastAsia="Arial" w:hAnsi="Arial"/>
                <w:sz w:val="13"/>
                <w:szCs w:val="13"/>
                <w:color w:val="auto"/>
                <w:w w:val="93"/>
              </w:rPr>
              <w:t>(Middle)</w:t>
            </w:r>
          </w:p>
        </w:tc>
      </w:tr>
      <w:tr>
        <w:trPr>
          <w:trHeight w:val="264"/>
        </w:trPr>
        <w:tc>
          <w:tcPr>
            <w:tcW w:w="206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C/O INVIVYD, INC.</w:t>
            </w:r>
          </w:p>
        </w:tc>
        <w:tc>
          <w:tcPr>
            <w:tcW w:w="880" w:type="dxa"/>
            <w:vAlign w:val="bottom"/>
          </w:tcPr>
          <w:p>
            <w:pPr>
              <w:spacing w:after="0"/>
              <w:rPr>
                <w:sz w:val="22"/>
                <w:szCs w:val="22"/>
                <w:color w:val="auto"/>
              </w:rPr>
            </w:pPr>
          </w:p>
        </w:tc>
      </w:tr>
      <w:tr>
        <w:trPr>
          <w:trHeight w:val="254"/>
        </w:trPr>
        <w:tc>
          <w:tcPr>
            <w:tcW w:w="294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rPr>
              <w:t>1601 TRAPELO ROAD, SUITE 178</w:t>
            </w:r>
          </w:p>
        </w:tc>
      </w:tr>
      <w:tr>
        <w:trPr>
          <w:trHeight w:val="422"/>
        </w:trPr>
        <w:tc>
          <w:tcPr>
            <w:tcW w:w="1060" w:type="dxa"/>
            <w:vAlign w:val="bottom"/>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26"/>
        </w:trPr>
        <w:tc>
          <w:tcPr>
            <w:tcW w:w="10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MA</w:t>
            </w:r>
          </w:p>
        </w:tc>
        <w:tc>
          <w:tcPr>
            <w:tcW w:w="88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02451</w:t>
            </w:r>
          </w:p>
        </w:tc>
      </w:tr>
      <w:tr>
        <w:trPr>
          <w:trHeight w:val="461"/>
        </w:trPr>
        <w:tc>
          <w:tcPr>
            <w:tcW w:w="1060" w:type="dxa"/>
            <w:vAlign w:val="bottom"/>
          </w:tcPr>
          <w:p>
            <w:pPr>
              <w:ind w:left="4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88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Invivyd,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IVVD</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212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720" w:type="dxa"/>
            <w:vAlign w:val="bottom"/>
          </w:tcPr>
          <w:p>
            <w:pPr>
              <w:spacing w:after="0"/>
              <w:rPr>
                <w:sz w:val="3"/>
                <w:szCs w:val="3"/>
                <w:color w:val="auto"/>
              </w:rPr>
            </w:pPr>
          </w:p>
        </w:tc>
        <w:tc>
          <w:tcPr>
            <w:tcW w:w="2120" w:type="dxa"/>
            <w:vAlign w:val="bottom"/>
            <w:gridSpan w:val="3"/>
            <w:vMerge w:val="continue"/>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920" w:type="dxa"/>
            <w:vAlign w:val="bottom"/>
            <w:tcBorders>
              <w:bottom w:val="single" w:sz="8" w:color="0000EE"/>
            </w:tcBorders>
          </w:tcPr>
          <w:p>
            <w:pPr>
              <w:spacing w:after="0"/>
              <w:rPr>
                <w:sz w:val="3"/>
                <w:szCs w:val="3"/>
                <w:color w:val="auto"/>
              </w:rPr>
            </w:pPr>
          </w:p>
        </w:tc>
        <w:tc>
          <w:tcPr>
            <w:tcW w:w="27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272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6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64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640" w:type="dxa"/>
            <w:vAlign w:val="bottom"/>
          </w:tcPr>
          <w:p>
            <w:pPr>
              <w:ind w:left="100"/>
              <w:spacing w:after="0" w:line="120" w:lineRule="exact"/>
              <w:rPr>
                <w:sz w:val="20"/>
                <w:szCs w:val="20"/>
                <w:color w:val="auto"/>
              </w:rPr>
            </w:pPr>
            <w:r>
              <w:rPr>
                <w:rFonts w:ascii="Arial" w:cs="Arial" w:eastAsia="Arial" w:hAnsi="Arial"/>
                <w:sz w:val="13"/>
                <w:szCs w:val="13"/>
                <w:color w:val="auto"/>
              </w:rPr>
              <w:t>below)</w:t>
            </w:r>
          </w:p>
        </w:tc>
        <w:tc>
          <w:tcPr>
            <w:tcW w:w="1160" w:type="dxa"/>
            <w:vAlign w:val="bottom"/>
          </w:tcPr>
          <w:p>
            <w:pPr>
              <w:ind w:left="40"/>
              <w:spacing w:after="0" w:line="12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5"/>
        </w:trPr>
        <w:tc>
          <w:tcPr>
            <w:tcW w:w="11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12/18/2023</w:t>
            </w:r>
          </w:p>
        </w:tc>
        <w:tc>
          <w:tcPr>
            <w:tcW w:w="2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vMerge w:val="restart"/>
          </w:tcPr>
          <w:p>
            <w:pPr>
              <w:ind w:left="700"/>
              <w:spacing w:after="0"/>
              <w:rPr>
                <w:sz w:val="20"/>
                <w:szCs w:val="20"/>
                <w:color w:val="auto"/>
              </w:rPr>
            </w:pPr>
            <w:r>
              <w:rPr>
                <w:rFonts w:ascii="Times New Roman" w:cs="Times New Roman" w:eastAsia="Times New Roman" w:hAnsi="Times New Roman"/>
                <w:sz w:val="17"/>
                <w:szCs w:val="17"/>
                <w:color w:val="0000FF"/>
                <w:w w:val="99"/>
              </w:rPr>
              <w:t>COO &amp; CCO</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1"/>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tcPr>
          <w:p>
            <w:pPr>
              <w:spacing w:after="0"/>
              <w:rPr>
                <w:sz w:val="6"/>
                <w:szCs w:val="6"/>
                <w:color w:val="auto"/>
              </w:rPr>
            </w:pPr>
          </w:p>
        </w:tc>
        <w:tc>
          <w:tcPr>
            <w:tcW w:w="272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4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27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5"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0"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7" w:lineRule="exact"/>
        <w:rPr>
          <w:sz w:val="24"/>
          <w:szCs w:val="24"/>
          <w:color w:val="auto"/>
        </w:rPr>
      </w:pPr>
    </w:p>
    <w:p>
      <w:pPr>
        <w:ind w:left="320" w:right="380"/>
        <w:spacing w:after="0" w:line="28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120" w:space="72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3.59</w:t>
            </w:r>
          </w:p>
        </w:tc>
        <w:tc>
          <w:tcPr>
            <w:tcW w:w="106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12/18/2023</w:t>
            </w:r>
          </w:p>
        </w:tc>
        <w:tc>
          <w:tcPr>
            <w:tcW w:w="1080" w:type="dxa"/>
            <w:vAlign w:val="bottom"/>
          </w:tcPr>
          <w:p>
            <w:pPr>
              <w:spacing w:after="0"/>
              <w:rPr>
                <w:sz w:val="17"/>
                <w:szCs w:val="17"/>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400,000</w:t>
            </w:r>
          </w:p>
        </w:tc>
        <w:tc>
          <w:tcPr>
            <w:tcW w:w="220" w:type="dxa"/>
            <w:vAlign w:val="bottom"/>
          </w:tcPr>
          <w:p>
            <w:pPr>
              <w:spacing w:after="0"/>
              <w:rPr>
                <w:sz w:val="17"/>
                <w:szCs w:val="17"/>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12/17/2033</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400,000</w:t>
            </w:r>
          </w:p>
        </w:tc>
        <w:tc>
          <w:tcPr>
            <w:tcW w:w="680" w:type="dxa"/>
            <w:vAlign w:val="bottom"/>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92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400,000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ind w:left="18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280"/>
        <w:spacing w:after="0" w:line="245"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vests over a three-year period, with 1/36th of the shares subject to the option vesting in substantially equal monthly installments measured from one month following the grant date of December 18, 2023, subject to the Reporting Person's continuous service as of each vesting date.</w:t>
      </w:r>
    </w:p>
    <w:p>
      <w:pPr>
        <w:ind w:left="6600"/>
        <w:spacing w:after="0" w:line="183" w:lineRule="auto"/>
        <w:rPr>
          <w:sz w:val="20"/>
          <w:szCs w:val="20"/>
          <w:color w:val="auto"/>
        </w:rPr>
      </w:pPr>
      <w:r>
        <w:rPr>
          <w:rFonts w:ascii="Times New Roman" w:cs="Times New Roman" w:eastAsia="Times New Roman" w:hAnsi="Times New Roman"/>
          <w:sz w:val="16"/>
          <w:szCs w:val="16"/>
          <w:color w:val="0000FF"/>
        </w:rPr>
        <w:t xml:space="preserve">/s/ Jill Andersen attorney-in-fact </w:t>
      </w:r>
      <w:r>
        <w:rPr>
          <w:rFonts w:ascii="Times New Roman" w:cs="Times New Roman" w:eastAsia="Times New Roman" w:hAnsi="Times New Roman"/>
          <w:sz w:val="31"/>
          <w:szCs w:val="31"/>
          <w:color w:val="0000FF"/>
          <w:vertAlign w:val="subscript"/>
        </w:rPr>
        <w:t>12/20/2023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614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6144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for Jeremy Gowler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-21590</wp:posOffset>
            </wp:positionV>
            <wp:extent cx="7931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93115"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-86360</wp:posOffset>
            </wp:positionV>
            <wp:extent cx="4781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78155" cy="8255"/>
                    </a:xfrm>
                    <a:prstGeom prst="rect">
                      <a:avLst/>
                    </a:prstGeom>
                    <a:noFill/>
                  </pic:spPr>
                </pic:pic>
              </a:graphicData>
            </a:graphic>
          </wp:anchor>
        </w:drawing>
      </w:r>
    </w:p>
    <w:p>
      <w:pPr>
        <w:spacing w:after="0" w:line="2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957345" TargetMode="External"/><Relationship Id="rId13" Type="http://schemas.openxmlformats.org/officeDocument/2006/relationships/hyperlink" Target="http://www.sec.gov/cgi-bin/browse-edgar?action=getcompany&amp;CIK=0001832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2023-12-20T16:11:17Z</dcterms:created>
  <dcterms:modified xsi:type="dcterms:W3CDTF">2023-12-20T16:11:17Z</dcterms:modified>
</cp:coreProperties>
</file>