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51"/>
        </w:trPr>
        <w:tc>
          <w:tcPr>
            <w:tcW w:w="3560" w:type="dxa"/>
            <w:vAlign w:val="bottom"/>
          </w:tcPr>
          <w:p>
            <w:pPr>
              <w:jc w:val="center"/>
              <w:ind w:right="177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21"/>
                <w:szCs w:val="21"/>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3"/>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
        </w:trPr>
        <w:tc>
          <w:tcPr>
            <w:tcW w:w="5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October 29, 2024, Invivyd, Inc. (the “Company”) issued a press release entitled “Invivyd Reports Preliminary Third Quarter 2024 Results, Withdraws Prior Financial Guidance, and Targets Near-Term Profitability” (the “Press Release”), which included the Company’s estimated third quarter 2024 PEMGARDA™ (pemivibart) net product revenue and estimated cash and cash equivalents as of September 30, 2024. The amounts included in the Press Release are preliminary and are subject to change upon completion of the Company’s financial closing procedures for the quarter ended September 30, 2024, and finalization of the unaudited interim condensed consolidated financial statements. The preliminary financial data included in the Press Release has been prepared by, and is the responsibility of, the Company’s management. PricewaterhouseCoopers LLP, the Company’s independent registered public accounting firm, has not audited, reviewed, examined, compiled, nor applied agreed-upon procedures with respect to the preliminary financial data. Accordingly, PricewaterhouseCoopers LLP does not express an opinion or any other form of assurance with respect thereto. Additional information and disclosures would be required for a more complete understanding of the Company’s financial position and results of operations as of September 30, 2024. A copy of the Press Release is filed herewith as Exhibit 99.1 and is incorporated by reference in this Item 2.02.</w:t>
      </w:r>
    </w:p>
    <w:p>
      <w:pPr>
        <w:spacing w:after="0" w:line="204"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October 29, 2024, the Company issued the Press Release, a copy of which is filed herewith as Exhibit 99.1 and is incorporated by reference in this Item 8.01.</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October 29, 2024, the Company issued a press release entitled “Invivyd Phase 3 Long-Term Exploratory Clinical Efficacy Data Shows PEMGARDA™ (pemivibart) Provided Substantial Protection From Symptomatic COVID-19 Versus Placebo Over Six Months of Follow-Up, With No Additional Doses, In Immunocompetent Participants.” A copy of the press release is filed herewith as Exhibit 99.2 and is incorporated by reference in this Item 8.01.</w:t>
      </w:r>
    </w:p>
    <w:p>
      <w:pPr>
        <w:spacing w:after="0" w:line="189"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17545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450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Press Release, dated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1754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5450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91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39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91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20"/>
        </w:trPr>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18"/>
        </w:trPr>
        <w:tc>
          <w:tcPr>
            <w:tcW w:w="2120" w:type="dxa"/>
            <w:vAlign w:val="bottom"/>
          </w:tcPr>
          <w:p>
            <w:pPr>
              <w:spacing w:after="0"/>
              <w:rPr>
                <w:sz w:val="18"/>
                <w:szCs w:val="18"/>
                <w:color w:val="auto"/>
              </w:rPr>
            </w:pPr>
          </w:p>
        </w:tc>
        <w:tc>
          <w:tcPr>
            <w:tcW w:w="91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2120" w:type="dxa"/>
            <w:vAlign w:val="bottom"/>
          </w:tcPr>
          <w:p>
            <w:pPr>
              <w:spacing w:after="0"/>
              <w:rPr>
                <w:sz w:val="20"/>
                <w:szCs w:val="20"/>
                <w:color w:val="auto"/>
              </w:rPr>
            </w:pPr>
          </w:p>
        </w:tc>
        <w:tc>
          <w:tcPr>
            <w:tcW w:w="91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707"/>
        </w:trPr>
        <w:tc>
          <w:tcPr>
            <w:tcW w:w="2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MACROBUTTON DocID</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785"/>
        </w:trPr>
        <w:tc>
          <w:tcPr>
            <w:tcW w:w="2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150876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00"/>
        <w:spacing w:after="0" w:line="255" w:lineRule="auto"/>
        <w:rPr>
          <w:sz w:val="20"/>
          <w:szCs w:val="20"/>
          <w:color w:val="auto"/>
        </w:rPr>
      </w:pPr>
      <w:r>
        <w:rPr>
          <w:rFonts w:ascii="Arial" w:cs="Arial" w:eastAsia="Arial" w:hAnsi="Arial"/>
          <w:sz w:val="25"/>
          <w:szCs w:val="25"/>
          <w:b w:val="1"/>
          <w:bCs w:val="1"/>
          <w:color w:val="auto"/>
        </w:rPr>
        <w:t>Invivyd Reports Preliminary Third Quarter 2024 Results, Withdraws Prior Financial Guidance, and Targets Near-Term Profitability</w:t>
      </w:r>
    </w:p>
    <w:p>
      <w:pPr>
        <w:spacing w:after="0" w:line="1" w:lineRule="exact"/>
        <w:rPr>
          <w:sz w:val="20"/>
          <w:szCs w:val="20"/>
          <w:color w:val="auto"/>
        </w:rPr>
      </w:pPr>
    </w:p>
    <w:p>
      <w:pPr>
        <w:ind w:left="760" w:right="8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Preliminary Q3 2024 PEMGARDA™ (pemivibart) net product revenue of $9.3 million; Invivyd ended Q3 2024 with approximately $107 million in cash and cash equivalents</w:t>
      </w:r>
    </w:p>
    <w:p>
      <w:pPr>
        <w:ind w:left="760" w:hanging="378"/>
        <w:spacing w:after="0" w:line="22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Expects to finish 2024 with $65 million or more in cash and cash equivalents</w:t>
      </w:r>
    </w:p>
    <w:p>
      <w:pPr>
        <w:ind w:left="760" w:right="30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Withdraws formal revenue guidance due to recent growth headwind from U.S. FDA’s late-Q3 2024 warning on potential for substantially reduced activity of pemivibart through the PEMGARDA Fact Sheet and other media based on contested, third-party, non-peer-reviewed, non-reproducible, virologic activity data from a non-pemivibart antibody</w:t>
      </w:r>
    </w:p>
    <w:p>
      <w:pPr>
        <w:spacing w:after="0" w:line="1" w:lineRule="exact"/>
        <w:rPr>
          <w:rFonts w:ascii="Times New Roman" w:cs="Times New Roman" w:eastAsia="Times New Roman" w:hAnsi="Times New Roman"/>
          <w:sz w:val="22"/>
          <w:szCs w:val="22"/>
          <w:color w:val="auto"/>
        </w:rPr>
      </w:pPr>
    </w:p>
    <w:p>
      <w:pPr>
        <w:ind w:left="760" w:right="36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Targets near-term (1H 2025) profitability with existing cash and cash equivalents, anticipated growth of net product revenue, and various operational efficiency improvements</w:t>
      </w: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Further update to be provided on Q3 2024 earnings call</w:t>
      </w:r>
    </w:p>
    <w:p>
      <w:pPr>
        <w:spacing w:after="0" w:line="212"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WALTHAM, Mass., Oct. 29, 2024 -- Invivyd, Inc. (Nasdaq: IVVD), a biopharmaceutical company devoted to delivering protection from serious viral infectious diseases, today reported preliminary third quarter (Q3) 2024 financial results and an update to prior financial guidance.</w:t>
      </w:r>
    </w:p>
    <w:p>
      <w:pPr>
        <w:spacing w:after="0" w:line="10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Invivyd previously guided to $150-200 million in PEMGARDA™ (pemivibart) net product revenue in 2024 and expected to finish the year with $75 million or more in cash and cash equivalents. This previous guidance did not contemplate the impact on product growth at the most critical moment in Invivyd’s financial year arising from the U.S. Food and Drug Administration (FDA) updating the PEMGARDA Fact Sheet for Healthcare Providers (HCPs) (Fact Sheet) in late-Q3 2024 to include a link to contested, third-party, non-peer-reviewed, non-reproducible, virologic activity data from a non-pemivibart antibody and convey that, based on such data, PEMGARDA may have substantially reduced susceptibility to the currently circulating SARS-CoV-2 variants (i.e., KP.3.1.1). Invivyd previously communicated this unfortunate and unnecessary action that created doubt regarding the antiviral activity of PEMGARDA against current circulating variants. This resulted in confusion in the HCP and vulnerable population communities and an uncertainty regarding the pursuit of additional options for protection against COVID-19 for certain immunocompromised people.</w:t>
      </w:r>
    </w:p>
    <w:p>
      <w:pPr>
        <w:spacing w:after="0" w:line="95" w:lineRule="exact"/>
        <w:rPr>
          <w:sz w:val="20"/>
          <w:szCs w:val="20"/>
          <w:color w:val="auto"/>
        </w:rPr>
      </w:pPr>
    </w:p>
    <w:p>
      <w:pPr>
        <w:ind w:right="560"/>
        <w:spacing w:after="0" w:line="259" w:lineRule="auto"/>
        <w:rPr>
          <w:sz w:val="20"/>
          <w:szCs w:val="20"/>
          <w:color w:val="auto"/>
        </w:rPr>
      </w:pPr>
      <w:r>
        <w:rPr>
          <w:rFonts w:ascii="Arial" w:cs="Arial" w:eastAsia="Arial" w:hAnsi="Arial"/>
          <w:sz w:val="22"/>
          <w:szCs w:val="22"/>
          <w:color w:val="auto"/>
        </w:rPr>
        <w:t>Though not at previously anticipated rates, PEMGARDA net product revenue grew through the third quarter and continues to grow. Now with a corrected PEMGARDA Fact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right="40"/>
        <w:spacing w:after="0" w:line="245" w:lineRule="auto"/>
        <w:rPr>
          <w:sz w:val="20"/>
          <w:szCs w:val="20"/>
          <w:color w:val="auto"/>
        </w:rPr>
      </w:pPr>
      <w:r>
        <w:rPr>
          <w:rFonts w:ascii="Arial" w:cs="Arial" w:eastAsia="Arial" w:hAnsi="Arial"/>
          <w:sz w:val="22"/>
          <w:szCs w:val="22"/>
          <w:color w:val="auto"/>
        </w:rPr>
        <w:t>removing the aforementioned data reference and including authentic pemivibart data reflecting ongoing neutralization activity against currently circulating variants tested in line with prior variants represented in the CANOPY Phase 3 clinical trial, Invivyd expects ongoing commercial optimization to drive growth.</w:t>
      </w:r>
    </w:p>
    <w:p>
      <w:pPr>
        <w:spacing w:after="0" w:line="103"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Based on currently available information, the company is announcing preliminary Q3 2024 PEMGARDA net product revenue of $9.3 million. The company estimates that Invivyd ended Q3 2024 with approximately $107 million in cash and equivalents, and, with anticipated growth of net product revenue and various operational efficiencies underway, believes existing cash and cash equivalents will be sufficient to fund operations through profitability. These estimates are preliminary and are subject to change upon completion of the company’s financial closing procedures for Q3 2024, and finalization of the unaudited interim condensed consolidated financial statements.</w:t>
      </w:r>
    </w:p>
    <w:p>
      <w:pPr>
        <w:spacing w:after="0" w:line="90"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“At the Infectious Disease (ID) Week meeting in mid-October, we were thrilled to engage with healthcare professionals in an effort to alleviate any remaining confusion regarding the antiviral activity of PEMGARDA, and to share the positive, CANOPY clinical trial data and the safety data included in the Fact Sheet,” said Tim Lee, Chief Commercial Officer of Invivyd. “Today’s announcement of a new exploratory analysis from the CANOPY Phase 3 clinical trial showing that PEMGARDA provided substantial protection from symptomatic COVID-19 versus placebo in immunocompetent participants through month twelve, absent additional dosing and with minimal drug concentration, only amplifies our confidence about re-accelerating our product growth in COVID-19 pre-exposure prophylaxis (PreP) in the appropriate immunocompromised population. It also reflects our potential to deliver meaningful protection to certain immunocompromised adults and adolescents who may not mount a strong enough immune response to vaccines alone. This population must not be forgotten.”</w:t>
      </w:r>
    </w:p>
    <w:p>
      <w:pPr>
        <w:spacing w:after="0" w:line="1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“We continue to feel confident about the demand for PEMGARDA and our ability to return to strong product growth despite the unnecessary headwinds inflicted by the Agency,” said Marc Elia, Chairman of the Invivyd Board of Directors. “While we are engaged in discussions with key leaders at the FDA, it is clear that we must also focus on what matters most: the vulnerable populations who deserve more protection against this devastating virus, especially as we enter the winter season where many individuals hope to gather with friends and family. Our confidence in the ultimate commercial potential of PEMGARDA is unchanged.”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Invivyd</w:t>
      </w:r>
    </w:p>
    <w:p>
      <w:pPr>
        <w:spacing w:after="0" w:line="12" w:lineRule="exact"/>
        <w:rPr>
          <w:sz w:val="20"/>
          <w:szCs w:val="20"/>
          <w:color w:val="auto"/>
        </w:rPr>
      </w:pPr>
    </w:p>
    <w:p>
      <w:pPr>
        <w:ind w:right="580"/>
        <w:spacing w:after="0" w:line="237" w:lineRule="auto"/>
        <w:rPr>
          <w:sz w:val="20"/>
          <w:szCs w:val="20"/>
          <w:color w:val="auto"/>
        </w:rPr>
      </w:pPr>
      <w:r>
        <w:rPr>
          <w:rFonts w:ascii="Arial" w:cs="Arial" w:eastAsia="Arial" w:hAnsi="Arial"/>
          <w:sz w:val="22"/>
          <w:szCs w:val="22"/>
          <w:color w:val="auto"/>
        </w:rPr>
        <w:t>Invivyd, Inc. (Nasdaq: IVVD) is a biopharmaceutical company devoted to delivering protection from serious viral infectious diseases, beginning with SARS-CoV-2. The company’s proprietary INVYMAB™ platform approach combines state-of-the-art viral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 w:name="page6"/>
    <w:bookmarkEnd w:id="5"/>
    <w:p>
      <w:pPr>
        <w:ind w:right="540"/>
        <w:spacing w:after="0"/>
        <w:rPr>
          <w:sz w:val="20"/>
          <w:szCs w:val="20"/>
          <w:color w:val="auto"/>
        </w:rPr>
      </w:pPr>
      <w:r>
        <w:rPr>
          <w:rFonts w:ascii="Arial" w:cs="Arial" w:eastAsia="Arial" w:hAnsi="Arial"/>
          <w:sz w:val="22"/>
          <w:szCs w:val="22"/>
          <w:color w:val="auto"/>
        </w:rPr>
        <w:t>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PEMGARDA</w:t>
      </w:r>
    </w:p>
    <w:p>
      <w:pPr>
        <w:spacing w:after="0" w:line="12" w:lineRule="exact"/>
        <w:rPr>
          <w:sz w:val="20"/>
          <w:szCs w:val="20"/>
          <w:color w:val="auto"/>
        </w:rPr>
      </w:pPr>
    </w:p>
    <w:p>
      <w:pPr>
        <w:jc w:val="both"/>
        <w:ind w:right="520"/>
        <w:spacing w:after="0" w:line="241" w:lineRule="auto"/>
        <w:rPr>
          <w:sz w:val="20"/>
          <w:szCs w:val="20"/>
          <w:color w:val="auto"/>
        </w:rPr>
      </w:pPr>
      <w:r>
        <w:rPr>
          <w:rFonts w:ascii="Arial" w:cs="Arial" w:eastAsia="Arial" w:hAnsi="Arial"/>
          <w:sz w:val="21"/>
          <w:szCs w:val="21"/>
          <w:color w:val="auto"/>
        </w:rPr>
        <w:t>PEMGARDA™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w:t>
      </w:r>
    </w:p>
    <w:p>
      <w:pPr>
        <w:spacing w:after="0" w:line="2" w:lineRule="exact"/>
        <w:rPr>
          <w:sz w:val="20"/>
          <w:szCs w:val="20"/>
          <w:color w:val="auto"/>
        </w:rPr>
      </w:pPr>
    </w:p>
    <w:p>
      <w:pPr>
        <w:ind w:right="600"/>
        <w:spacing w:after="0" w:line="237" w:lineRule="auto"/>
        <w:rPr>
          <w:sz w:val="20"/>
          <w:szCs w:val="20"/>
          <w:color w:val="auto"/>
        </w:rPr>
      </w:pPr>
      <w:r>
        <w:rPr>
          <w:rFonts w:ascii="Arial" w:cs="Arial" w:eastAsia="Arial" w:hAnsi="Arial"/>
          <w:sz w:val="22"/>
          <w:szCs w:val="22"/>
          <w:color w:val="auto"/>
        </w:rPr>
        <w:t>PEMGARDA has demonstrated in vitro neutralizing activity against major SARS-CoV-2 variants, including JN.1. PEMGARDA targets the SARS-CoV-2 spike protein receptor binding domain (RBD), thereby inhibiting virus attachment to the human ACE2 receptor on host cells.</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209" w:lineRule="exact"/>
        <w:rPr>
          <w:sz w:val="20"/>
          <w:szCs w:val="20"/>
          <w:color w:val="auto"/>
        </w:rPr>
      </w:pPr>
    </w:p>
    <w:p>
      <w:pPr>
        <w:jc w:val="both"/>
        <w:ind w:right="320"/>
        <w:spacing w:after="0" w:line="245" w:lineRule="auto"/>
        <w:rPr>
          <w:sz w:val="20"/>
          <w:szCs w:val="20"/>
          <w:color w:val="auto"/>
        </w:rPr>
      </w:pPr>
      <w:r>
        <w:rPr>
          <w:rFonts w:ascii="Arial" w:cs="Arial" w:eastAsia="Arial" w:hAnsi="Arial"/>
          <w:sz w:val="22"/>
          <w:szCs w:val="22"/>
          <w:color w:val="auto"/>
        </w:rPr>
        <w:t>To support the EUA for PEMGARDA, an immunobridging approach was used to determine if PEMGARDA may be effective for pre-exposure prophylaxis of COVID-19. Immunobridging is based on the serum virus neutralizing titer-efficacy relationships identified with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ind w:right="60"/>
        <w:spacing w:after="0" w:line="247" w:lineRule="auto"/>
        <w:rPr>
          <w:sz w:val="20"/>
          <w:szCs w:val="20"/>
          <w:color w:val="auto"/>
        </w:rPr>
      </w:pPr>
      <w:r>
        <w:rPr>
          <w:rFonts w:ascii="Arial" w:cs="Arial" w:eastAsia="Arial" w:hAnsi="Arial"/>
          <w:sz w:val="21"/>
          <w:szCs w:val="21"/>
          <w:color w:val="auto"/>
        </w:rPr>
        <w:t>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9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 Looking Statements</w:t>
      </w:r>
    </w:p>
    <w:p>
      <w:pPr>
        <w:spacing w:after="0" w:line="12"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Words such as “anticipates,” “believes,” “could,” “expects,” “estimates,” “intends,” “potential,” “preliminary,” “projects,” and “future” or similar expressions (as well as other words or expressions referencing future events, conditions or circumstances) are intended to identify forward-looking statements. Forward-looking statements include statements concerning, among other things, the company’s preliminary third quarter 2024 results; the company’s expectation regarding its cash and cash equivalents balance at the end of 2024; the company’s aim for near-term profitability, expectations regarding the commercialization of PEMGARDA, and plans for operational efficiency improvements; the company’s belief that its existing cash and cash equivalents, and anticipated growth of net product revenue and various operational efficiencies, will be sufficient to fund operations through profitability; the company’s expectations regarding its interactions with the FDA; the company’s ongoing research and clinical development activities, as well as future potential research and clinical development efforts; the company’s expectations regarding potential PEMGARDA product growth in the appropriate immunocompromised population, and the company’s potential to deliver meaningful protection to certain immunocompromised adults and adolescents who may not mount a strong enough immune response to vaccines alone; the company’s belief in the ultimate commercial potential of PEMGARDA; the potential of PEMGARDA as a mAb for pre-exposure prophylaxis (prevention) of COVID-19 in certain adults and adolescents who have moderate-to-severe immune compromise; the company’s devotion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7" w:name="page8"/>
    <w:bookmarkEnd w:id="7"/>
    <w:p>
      <w:pPr>
        <w:spacing w:after="0" w:line="242" w:lineRule="auto"/>
        <w:rPr>
          <w:sz w:val="20"/>
          <w:szCs w:val="20"/>
          <w:color w:val="auto"/>
        </w:rPr>
      </w:pPr>
      <w:r>
        <w:rPr>
          <w:rFonts w:ascii="Arial" w:cs="Arial" w:eastAsia="Arial" w:hAnsi="Arial"/>
          <w:sz w:val="21"/>
          <w:szCs w:val="21"/>
          <w:color w:val="auto"/>
        </w:rPr>
        <w:t>to delivering protection from serious viral infectious diseases, beginning with SARS-CoV-2; the design of the company’s INVYMAB platform approach to facilitate the rapid, serial generation of new mAbs to address evolving viral threats; the company’s business strategies and objectives;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whether the company’s cash and cash equivalents are sufficient to support its operating plan for as long as anticipated; uncertainties regarding market acceptance, payor coverage or future sales and revenue generated by PEMGARDA; uncertainties regarding the potential advantages from the company’s planned operational efficiency improvements; the timing, progress and results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variability of results in models used to predict activity against SARS-CoV-2 variants; whether pemivibart or any other product candidate is able to demonstrate and sustain neutralizing activity against major SARS-CoV-2 variants, particularly in the face of viral evolution; how long the EUA granted by the FDA for PEMGARDA will remain in effect and whether the EUA is revised or revoked by the FDA; the company’s ability to build and maintain sales, marketing and distribution capabilities to successfully commercialize PEMGARDA; uncertainties related to the regulatory authorization or approval process, and available development and regulatory pathways for authorization or approval of the company’s product candidates; the ability to maintain a continued acceptable safety, tolerability and efficacy profile of any product candidate following regulatory authorization or approval; changes in the regulatory environment; changes in expected or existing competition; the complexities of manufacturing mAb therapies; the company’s ability to leverage its INVYMAB platform approach to facilitate the rapid, serial generation of new mAbs to address evolving viral threats; any legal proceedings or investigations relating to the company; any change in the preliminary estimates of the company’s third quarter 2024 results upon completion of the company’s financial closing procedures, and finalization of the unaudited interim condensed consolidated financial statements;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line="236" w:lineRule="auto"/>
        <w:rPr>
          <w:sz w:val="20"/>
          <w:szCs w:val="20"/>
          <w:color w:val="auto"/>
        </w:rPr>
      </w:pPr>
      <w:r>
        <w:rPr>
          <w:rFonts w:ascii="Arial" w:cs="Arial" w:eastAsia="Arial" w:hAnsi="Arial"/>
          <w:sz w:val="22"/>
          <w:szCs w:val="22"/>
          <w:color w:val="auto"/>
        </w:rPr>
        <w:t>the forward-looking statements in this press release are described under the heading “Risk Factors” in the company’s Annual Report on Form 10-K for the year ended December 31, 2023 and the company’s Quarterly Report on Form 10-Q for the quarter ended June 30, 2024, each filed with the Securities and Exchange Commission (SEC), and in the company’s other filings with the SEC, and in its future reports to be filed with the SEC and available at .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This press release contains hyperlinks to information that is not deemed to be incorporated by reference in this press release.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Relations</w:t>
      </w:r>
    </w:p>
    <w:p>
      <w:pPr>
        <w:ind w:right="9300" w:firstLine="8"/>
        <w:spacing w:after="0" w:line="263" w:lineRule="auto"/>
        <w:tabs>
          <w:tab w:leader="none" w:pos="564" w:val="left"/>
        </w:tabs>
        <w:numPr>
          <w:ilvl w:val="0"/>
          <w:numId w:val="3"/>
        </w:numPr>
        <w:rPr>
          <w:rFonts w:ascii="Arial" w:cs="Arial" w:eastAsia="Arial" w:hAnsi="Arial"/>
          <w:sz w:val="21"/>
          <w:szCs w:val="21"/>
          <w:color w:val="auto"/>
        </w:rPr>
      </w:pPr>
      <w:r>
        <w:rPr>
          <w:rFonts w:ascii="Arial" w:cs="Arial" w:eastAsia="Arial" w:hAnsi="Arial"/>
          <w:sz w:val="21"/>
          <w:szCs w:val="21"/>
          <w:color w:val="auto"/>
        </w:rPr>
        <w:t>208-1747 media@invivyd.com</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12" w:lineRule="exact"/>
        <w:rPr>
          <w:sz w:val="20"/>
          <w:szCs w:val="20"/>
          <w:color w:val="auto"/>
        </w:rPr>
      </w:pPr>
    </w:p>
    <w:p>
      <w:pPr>
        <w:ind w:right="9020" w:firstLine="8"/>
        <w:spacing w:after="0" w:line="263" w:lineRule="auto"/>
        <w:tabs>
          <w:tab w:leader="none" w:pos="564" w:val="left"/>
        </w:tabs>
        <w:numPr>
          <w:ilvl w:val="0"/>
          <w:numId w:val="4"/>
        </w:numPr>
        <w:rPr>
          <w:rFonts w:ascii="Arial" w:cs="Arial" w:eastAsia="Arial" w:hAnsi="Arial"/>
          <w:sz w:val="21"/>
          <w:szCs w:val="21"/>
          <w:color w:val="auto"/>
        </w:rPr>
      </w:pPr>
      <w:r>
        <w:rPr>
          <w:rFonts w:ascii="Arial" w:cs="Arial" w:eastAsia="Arial" w:hAnsi="Arial"/>
          <w:sz w:val="21"/>
          <w:szCs w:val="21"/>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150876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87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b w:val="1"/>
          <w:bCs w:val="1"/>
          <w:color w:val="auto"/>
        </w:rPr>
        <w:t>Invivyd Phase 3 Long-Term Exploratory Clinical Efficacy Data Shows PEMGARDA™ (pemivibart) Provided Substantial Protection from Symptomatic COVID-19 Versus Placebo Over Six Months of Follow-Up, With No Additional Doses, In Immunocompetent Participants</w:t>
      </w:r>
    </w:p>
    <w:p>
      <w:pPr>
        <w:spacing w:after="0" w:line="342" w:lineRule="exact"/>
        <w:rPr>
          <w:sz w:val="20"/>
          <w:szCs w:val="20"/>
          <w:color w:val="auto"/>
        </w:rPr>
      </w:pPr>
    </w:p>
    <w:p>
      <w:pPr>
        <w:ind w:left="760" w:right="80" w:hanging="378"/>
        <w:spacing w:after="0" w:line="247" w:lineRule="auto"/>
        <w:tabs>
          <w:tab w:leader="none" w:pos="760" w:val="left"/>
        </w:tabs>
        <w:numPr>
          <w:ilvl w:val="0"/>
          <w:numId w:val="5"/>
        </w:numPr>
        <w:rPr>
          <w:rFonts w:ascii="Times New Roman" w:cs="Times New Roman" w:eastAsia="Times New Roman" w:hAnsi="Times New Roman"/>
          <w:sz w:val="21"/>
          <w:szCs w:val="21"/>
          <w:color w:val="auto"/>
        </w:rPr>
      </w:pPr>
      <w:r>
        <w:rPr>
          <w:rFonts w:ascii="Arial" w:cs="Arial" w:eastAsia="Arial" w:hAnsi="Arial"/>
          <w:sz w:val="21"/>
          <w:szCs w:val="21"/>
          <w:i w:val="1"/>
          <w:iCs w:val="1"/>
          <w:color w:val="auto"/>
        </w:rPr>
        <w:t>Following strong protection (84% relative risk reduction versus placebo) demonstrated through month 6 with pemivibart, CANOPY clinical trial participants were followed for an additional six-month period (months 7-12), with no additional doses, to assess safety and efficacy as drug concentrations declined over time</w:t>
      </w:r>
    </w:p>
    <w:p>
      <w:pPr>
        <w:spacing w:after="0" w:line="2" w:lineRule="exact"/>
        <w:rPr>
          <w:rFonts w:ascii="Times New Roman" w:cs="Times New Roman" w:eastAsia="Times New Roman" w:hAnsi="Times New Roman"/>
          <w:sz w:val="21"/>
          <w:szCs w:val="21"/>
          <w:color w:val="auto"/>
        </w:rPr>
      </w:pPr>
    </w:p>
    <w:p>
      <w:pPr>
        <w:ind w:left="760" w:hanging="378"/>
        <w:spacing w:after="0" w:line="230"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In the six-month off-drug follow-up period (months 7-12), substantially reduced concentrations of PEMGARDA reduced the risk of symptomatic COVID-19 by 64% compared to placebo in an immunocompetent adult population, for total twelve-month risk reduction of 76% following two initial pemivibart doses (nominal p &lt;0.0001)</w:t>
      </w:r>
    </w:p>
    <w:p>
      <w:pPr>
        <w:spacing w:after="0" w:line="1" w:lineRule="exact"/>
        <w:rPr>
          <w:rFonts w:ascii="Times New Roman" w:cs="Times New Roman" w:eastAsia="Times New Roman" w:hAnsi="Times New Roman"/>
          <w:sz w:val="22"/>
          <w:szCs w:val="22"/>
          <w:color w:val="auto"/>
        </w:rPr>
      </w:pPr>
    </w:p>
    <w:p>
      <w:pPr>
        <w:ind w:left="760" w:right="900" w:hanging="378"/>
        <w:spacing w:after="0" w:line="230"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Months 7-12 follow-up period included the U.S. summer KP.3 and KP.3.1.1 dominant wave, per CDC surveillance</w:t>
      </w:r>
    </w:p>
    <w:p>
      <w:pPr>
        <w:ind w:left="760" w:hanging="378"/>
        <w:spacing w:after="0" w:line="229"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No new safety observations occurred months 7 - 12</w:t>
      </w:r>
    </w:p>
    <w:p>
      <w:pPr>
        <w:ind w:left="760" w:right="260" w:hanging="378"/>
        <w:spacing w:after="0" w:line="236"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Across all 12 months of the CANOPY clinical trial, Cohort B placebo arm participants experienced an 18% rate of PCR-confirmed symptomatic COVID-19, excluding reinfections, indicative of continued, widespread, uncontrolled virus transmission in the U.S.</w:t>
      </w:r>
    </w:p>
    <w:p>
      <w:pPr>
        <w:spacing w:after="0" w:line="299" w:lineRule="exact"/>
        <w:rPr>
          <w:sz w:val="20"/>
          <w:szCs w:val="20"/>
          <w:color w:val="auto"/>
        </w:rPr>
      </w:pPr>
    </w:p>
    <w:p>
      <w:pPr>
        <w:ind w:right="40"/>
        <w:spacing w:after="0"/>
        <w:rPr>
          <w:sz w:val="20"/>
          <w:szCs w:val="20"/>
          <w:color w:val="auto"/>
        </w:rPr>
      </w:pPr>
      <w:r>
        <w:rPr>
          <w:rFonts w:ascii="Arial" w:cs="Arial" w:eastAsia="Arial" w:hAnsi="Arial"/>
          <w:sz w:val="22"/>
          <w:szCs w:val="22"/>
          <w:color w:val="auto"/>
        </w:rPr>
        <w:t>WALTHAM, Mass., Oct. 29, 2024 -- Invivyd, Inc. (Nasdaq: IVVD), a biopharmaceutical company devoted to delivering protection from serious viral infectious diseases, today announced positive 12-month exploratory clinical efficacy data from the company’s ongoing CANOPY Phase 3 clinical trial of pemivibart, a half-life extended investigational monoclonal antibody (mAb), for the pre-exposure prophylaxis (PrEP) of COVID-19.</w:t>
      </w:r>
    </w:p>
    <w:p>
      <w:pPr>
        <w:spacing w:after="0" w:line="203"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The exploratory clinical efficacy data from follow-up months 7-12 in CANOPY Cohort B, a placebo-controlled cohort of immunocompetent individuals at risk for symptomatic COVID-19 disease due to regular unmasked face-to-face indoor interactions, showed a relative risk reduction (RRR) of 64% in the pemivibart arm compared to placebo in the likelihood of trial participants contracting confirmed symptomatic COVID-19. Continued protection over this follow-up period, absent continued dosing, was a prespecified exploratory endpoint and, added to initial 180-day clinical efficacy observations, generated an overall 12-month protection rate of 76% following two doses of pemivibart (administered on Days 1 and 90), nominally significant at &lt;0.0001. Clinical efficacy data are displayed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1671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29" w:lineRule="auto"/>
        <w:rPr>
          <w:sz w:val="20"/>
          <w:szCs w:val="20"/>
          <w:color w:val="auto"/>
        </w:rPr>
      </w:pPr>
      <w:r>
        <w:rPr>
          <w:rFonts w:ascii="Arial" w:cs="Arial" w:eastAsia="Arial" w:hAnsi="Arial"/>
          <w:sz w:val="22"/>
          <w:szCs w:val="22"/>
          <w:color w:val="auto"/>
        </w:rPr>
        <w:t>Pemivibart has an estimated in vivo half-life of approximately 45 days, and pemivibart IC50 values against circulating viruses are tested routinely, allowing for the calculation of the average serum virus neutralizing antibody (sVNA) titer over time, the measure of how much antiviral activity pemivibart confers to treated participants. Previously published literature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indicates likely robust protection from symptomatic COVID-19 at sVNA titer levels well below the levels delivered by the authorized PEMGARDA (pemivibart) dosing regimen. In this updated CANOPY exploratory analysis, the 64% RRR (excluding deaths unrelated to COVID-19) that residual circulating pemivibart delivered versus placebo in months 7 through 12 occurred at calculated average titers of only approximately 7% of the average titers during the active dosing period. This was attributable to the expected decline in pemivibart serum concentrations following cessation of dosing, along with modest change to assessed pemivibart IC50 in the transition from the JN.1 dominant virus to the KP lineage dominant circulating viruses.</w:t>
      </w:r>
    </w:p>
    <w:p>
      <w:pPr>
        <w:spacing w:after="0" w:line="301" w:lineRule="exact"/>
        <w:rPr>
          <w:sz w:val="20"/>
          <w:szCs w:val="20"/>
          <w:color w:val="auto"/>
        </w:rPr>
      </w:pPr>
    </w:p>
    <w:p>
      <w:pPr>
        <w:ind w:right="100"/>
        <w:spacing w:after="0" w:line="228" w:lineRule="auto"/>
        <w:rPr>
          <w:sz w:val="20"/>
          <w:szCs w:val="20"/>
          <w:color w:val="auto"/>
        </w:rPr>
      </w:pPr>
      <w:r>
        <w:rPr>
          <w:rFonts w:ascii="Arial" w:cs="Arial" w:eastAsia="Arial" w:hAnsi="Arial"/>
          <w:sz w:val="22"/>
          <w:szCs w:val="22"/>
          <w:color w:val="auto"/>
        </w:rPr>
        <w:t>“Today’s data underline our high confidence in the clinical benefit that mAbs like pemivibart can confer even at very low serum concentrations and associated antiviral titers,” commented Robert Allen, Ph.D., Chief Scientific Officer of Invivyd. “Engineered mAbs are designed to confer a step change in protection compared to the protection possible from native immune response to infection and vaccination boosts</w:t>
      </w:r>
      <w:r>
        <w:rPr>
          <w:rFonts w:ascii="Arial" w:cs="Arial" w:eastAsia="Arial" w:hAnsi="Arial"/>
          <w:sz w:val="28"/>
          <w:szCs w:val="28"/>
          <w:color w:val="auto"/>
          <w:vertAlign w:val="superscript"/>
        </w:rPr>
        <w:t>2</w:t>
      </w:r>
      <w:r>
        <w:rPr>
          <w:rFonts w:ascii="Arial" w:cs="Arial" w:eastAsia="Arial" w:hAnsi="Arial"/>
          <w:sz w:val="22"/>
          <w:szCs w:val="22"/>
          <w:color w:val="auto"/>
        </w:rPr>
        <w:t>. We believe that the clinical risk reduction generated at such low titers in this CANOPY clinical trial follow-up, which builds on now longstanding published data, implies that the modest changes (less than ~10 fold change) in pemivibart IC50 observed against emerging variants are of questionable significance.”</w:t>
      </w:r>
    </w:p>
    <w:p>
      <w:pPr>
        <w:spacing w:after="0" w:line="304" w:lineRule="exact"/>
        <w:rPr>
          <w:sz w:val="20"/>
          <w:szCs w:val="20"/>
          <w:color w:val="auto"/>
        </w:rPr>
      </w:pPr>
    </w:p>
    <w:p>
      <w:pPr>
        <w:jc w:val="both"/>
        <w:ind w:right="260"/>
        <w:spacing w:after="0" w:line="245" w:lineRule="auto"/>
        <w:rPr>
          <w:sz w:val="20"/>
          <w:szCs w:val="20"/>
          <w:color w:val="auto"/>
        </w:rPr>
      </w:pPr>
      <w:r>
        <w:rPr>
          <w:rFonts w:ascii="Arial" w:cs="Arial" w:eastAsia="Arial" w:hAnsi="Arial"/>
          <w:sz w:val="22"/>
          <w:szCs w:val="22"/>
          <w:color w:val="auto"/>
        </w:rPr>
        <w:t>“Our company’s goal is to provide high quality options for protection from SARS-CoV-2. Today’s exploratory clinical efficacy data update from our Phase 3 trial is critical, as it adds contemporary context to longstanding data showing strong protection from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168846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1" w:lineRule="exact"/>
        <w:rPr>
          <w:sz w:val="20"/>
          <w:szCs w:val="20"/>
          <w:color w:val="auto"/>
        </w:rPr>
      </w:pPr>
    </w:p>
    <w:p>
      <w:pPr>
        <w:jc w:val="both"/>
        <w:ind w:right="500"/>
        <w:spacing w:after="0" w:line="273" w:lineRule="auto"/>
        <w:rPr>
          <w:sz w:val="20"/>
          <w:szCs w:val="20"/>
          <w:color w:val="auto"/>
        </w:rPr>
      </w:pPr>
      <w:r>
        <w:rPr>
          <w:rFonts w:ascii="Calibri" w:cs="Calibri" w:eastAsia="Calibri" w:hAnsi="Calibri"/>
          <w:sz w:val="12"/>
          <w:szCs w:val="12"/>
          <w:color w:val="auto"/>
        </w:rPr>
        <w:t>1</w:t>
      </w:r>
      <w:r>
        <w:rPr>
          <w:rFonts w:ascii="Arial" w:cs="Arial" w:eastAsia="Arial" w:hAnsi="Arial"/>
          <w:sz w:val="17"/>
          <w:szCs w:val="17"/>
          <w:color w:val="auto"/>
        </w:rPr>
        <w:t>Schmidt, et al. Antibody-Mediated Protection Against Symptomatic COVID-19 Can Be Achieved at Low Serum Neutralizing Titers.</w:t>
      </w:r>
      <w:r>
        <w:rPr>
          <w:rFonts w:ascii="Calibri" w:cs="Calibri" w:eastAsia="Calibri" w:hAnsi="Calibri"/>
          <w:sz w:val="12"/>
          <w:szCs w:val="12"/>
          <w:color w:val="auto"/>
        </w:rPr>
        <w:t xml:space="preserve"> </w:t>
      </w:r>
      <w:r>
        <w:rPr>
          <w:rFonts w:ascii="Arial" w:cs="Arial" w:eastAsia="Arial" w:hAnsi="Arial"/>
          <w:sz w:val="17"/>
          <w:szCs w:val="17"/>
          <w:i w:val="1"/>
          <w:iCs w:val="1"/>
          <w:color w:val="auto"/>
        </w:rPr>
        <w:t>Sci.</w:t>
      </w:r>
      <w:r>
        <w:rPr>
          <w:rFonts w:ascii="Calibri" w:cs="Calibri" w:eastAsia="Calibri" w:hAnsi="Calibri"/>
          <w:sz w:val="12"/>
          <w:szCs w:val="12"/>
          <w:color w:val="auto"/>
        </w:rPr>
        <w:t xml:space="preserve"> </w:t>
      </w:r>
      <w:r>
        <w:rPr>
          <w:rFonts w:ascii="Arial" w:cs="Arial" w:eastAsia="Arial" w:hAnsi="Arial"/>
          <w:sz w:val="17"/>
          <w:szCs w:val="17"/>
          <w:i w:val="1"/>
          <w:iCs w:val="1"/>
          <w:color w:val="auto"/>
        </w:rPr>
        <w:t xml:space="preserve">Transl. Med. </w:t>
      </w:r>
      <w:r>
        <w:rPr>
          <w:rFonts w:ascii="Arial" w:cs="Arial" w:eastAsia="Arial" w:hAnsi="Arial"/>
          <w:sz w:val="17"/>
          <w:szCs w:val="17"/>
          <w:color w:val="auto"/>
        </w:rPr>
        <w:t>15, eadg2783 (2023); Stadler, et al. Monoclonal Antibody Levels and Protection From COVID-19,</w:t>
      </w:r>
      <w:r>
        <w:rPr>
          <w:rFonts w:ascii="Arial" w:cs="Arial" w:eastAsia="Arial" w:hAnsi="Arial"/>
          <w:sz w:val="17"/>
          <w:szCs w:val="17"/>
          <w:i w:val="1"/>
          <w:iCs w:val="1"/>
          <w:color w:val="auto"/>
        </w:rPr>
        <w:t xml:space="preserve"> Nat. Commun.</w:t>
      </w:r>
      <w:r>
        <w:rPr>
          <w:rFonts w:ascii="Arial" w:cs="Arial" w:eastAsia="Arial" w:hAnsi="Arial"/>
          <w:sz w:val="17"/>
          <w:szCs w:val="17"/>
          <w:color w:val="auto"/>
        </w:rPr>
        <w:t>, 14:4545</w:t>
      </w:r>
      <w:r>
        <w:rPr>
          <w:rFonts w:ascii="Arial" w:cs="Arial" w:eastAsia="Arial" w:hAnsi="Arial"/>
          <w:sz w:val="17"/>
          <w:szCs w:val="17"/>
          <w:i w:val="1"/>
          <w:iCs w:val="1"/>
          <w:color w:val="auto"/>
        </w:rPr>
        <w:t xml:space="preserve"> </w:t>
      </w:r>
      <w:r>
        <w:rPr>
          <w:rFonts w:ascii="Arial" w:cs="Arial" w:eastAsia="Arial" w:hAnsi="Arial"/>
          <w:sz w:val="17"/>
          <w:szCs w:val="17"/>
          <w:color w:val="auto"/>
        </w:rPr>
        <w:t>(2023)</w:t>
      </w:r>
    </w:p>
    <w:p>
      <w:pPr>
        <w:spacing w:after="0" w:line="380" w:lineRule="exact"/>
        <w:rPr>
          <w:sz w:val="20"/>
          <w:szCs w:val="20"/>
          <w:color w:val="auto"/>
        </w:rPr>
      </w:pPr>
    </w:p>
    <w:p>
      <w:pPr>
        <w:ind w:left="120" w:hanging="112"/>
        <w:spacing w:after="0"/>
        <w:tabs>
          <w:tab w:leader="none" w:pos="120" w:val="left"/>
        </w:tabs>
        <w:numPr>
          <w:ilvl w:val="0"/>
          <w:numId w:val="6"/>
        </w:numPr>
        <w:rPr>
          <w:rFonts w:ascii="Calibri" w:cs="Calibri" w:eastAsia="Calibri" w:hAnsi="Calibri"/>
          <w:sz w:val="12"/>
          <w:szCs w:val="12"/>
          <w:color w:val="auto"/>
        </w:rPr>
      </w:pPr>
      <w:r>
        <w:rPr>
          <w:rFonts w:ascii="Arial" w:cs="Arial" w:eastAsia="Arial" w:hAnsi="Arial"/>
          <w:sz w:val="18"/>
          <w:szCs w:val="18"/>
          <w:color w:val="auto"/>
        </w:rPr>
        <w:t>https://www.cdc.gov/acip/downloads/slides-2024-06-26-28/03-COVID-Link-Gelles-508.pdf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07"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disease at relatively low sVNA titers with mAbs,” commented Marc Elia, Chairman of the Invivyd Board of Directors. “These consistent observations now span years and countless virus lineages and mutations, and, in toto, suggest that Invivyd, pending alignment with regulators, can develop and commercialize low-dose, high potency, long-acting mAbs that can have the same route of administration and system-friendliness as COVID-19 vaccine boosts, but with the goal of higher, more consistent, and longer-acting protection. Our current pipeline molecule, VYD2311, is currently in Phase 1 testing including an intramuscular (IM) administration in anticipation of executing against this exact goal.”</w:t>
      </w:r>
    </w:p>
    <w:p>
      <w:pPr>
        <w:spacing w:after="0" w:line="297" w:lineRule="exact"/>
        <w:rPr>
          <w:sz w:val="20"/>
          <w:szCs w:val="20"/>
          <w:color w:val="auto"/>
        </w:rPr>
      </w:pPr>
    </w:p>
    <w:p>
      <w:pPr>
        <w:ind w:right="220"/>
        <w:spacing w:after="0" w:line="246" w:lineRule="auto"/>
        <w:rPr>
          <w:sz w:val="20"/>
          <w:szCs w:val="20"/>
          <w:color w:val="auto"/>
        </w:rPr>
      </w:pPr>
      <w:r>
        <w:rPr>
          <w:rFonts w:ascii="Arial" w:cs="Arial" w:eastAsia="Arial" w:hAnsi="Arial"/>
          <w:sz w:val="21"/>
          <w:szCs w:val="21"/>
          <w:color w:val="auto"/>
        </w:rPr>
        <w:t>The safety profile of pemivibart over the 12-month study period was reassuring with no new trends or safety signals observed for treatment-emergent adverse events (TEAEs) or infusion-related reactions or hypersensitivity reactions since the disclosure of the 6-month CANOPY data. Over the 12 months, in Cohort A, an open-label single-arm cohort, the most common TEAEs (&gt;5%) included upper respiratory tract infection (URTI) (10.1%), viral infection</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(8.8%), urinary tract infection (UTI) (5.6%), and influenza-like illness (5.2%). As previously disclosed, anaphylaxis was observed in 4 participants (0.6%) in Cohort A – 2 participants during the first infusion and 2 participants during the second infusion; two reactions were life-threatening, and all led to permanent discontinuation of pemivibart. Infusion-related reactions and hypersensitivity reactions within 24 hours of dosing pemivibart were observed in 8.2% and 3.9% of participants in Cohort A after the initial dose and redose, respectively, and were generally mild to moderate in severity. Over the 12 months, in Cohort B, the most common TEAEs in the pemivibart arm included viral infection (8.5%), URTI (8.5%), and influenza-like illness (5.7%), with higher percentages in the placebo arm. No participants developed anaphylaxis. Infusion-related reactions and hypersensitivity reactions within 24 hours of dosing pemivibart were observed in 1.3% and 2.5% of participants in Cohort B after initial dose and redose, respectively, and were all mild or moderate in severity. Serious Adverse Events (SAEs) occurring in &gt;1 Cohort A participant included pneumonia (n=3), anaphylactic reaction (n=2), hypotension (n=2), pyelonephritis (n=2), syncope (n=2), and UTI (n=2). No SAEs occurred in &gt;1 participant in either treatment arm in Cohort B. These data support that the safety profile for pemivibart remains consistent with the PEMGARDA Fact Sheet for Healthcare Providers and the known safety profile of other SARS-CoV-2-directed mAbs.</w:t>
      </w:r>
    </w:p>
    <w:p>
      <w:pPr>
        <w:spacing w:after="0" w:line="311"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CANOPY Cohort B exploratory clinical efficacy results from months 7-12 provide data from reduced concentration of pemivibart and reduced sVNA titers in a contemporary immunocompetent population that had acquired prior immune exposure from either vaccination or natural infection and overlapped with the height of the Summer 2024 KP.3 and KP3.1.1 wave that saw a surge in COVID-19 cases nationwide in the U.S. By contrast, ancestral clinical trials of prior COVID-19 PrEP candidate mAbs were performed in populations naïve to vaccination or infection.</w:t>
      </w:r>
    </w:p>
    <w:p>
      <w:pPr>
        <w:spacing w:after="0" w:line="298"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color w:val="auto"/>
        </w:rPr>
        <w:t>The months’ 7-12 CANOPY Cohort B clinical efficacy exploratory data announced today complement the 180-day clinical efficacy exploratory data demonstrating potential signals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07" w:lineRule="exact"/>
        <w:rPr>
          <w:sz w:val="20"/>
          <w:szCs w:val="20"/>
          <w:color w:val="auto"/>
        </w:rPr>
      </w:pPr>
    </w:p>
    <w:p>
      <w:pPr>
        <w:ind w:right="480"/>
        <w:spacing w:after="0" w:line="259" w:lineRule="auto"/>
        <w:rPr>
          <w:sz w:val="20"/>
          <w:szCs w:val="20"/>
          <w:color w:val="auto"/>
        </w:rPr>
      </w:pPr>
      <w:r>
        <w:rPr>
          <w:rFonts w:ascii="Arial" w:cs="Arial" w:eastAsia="Arial" w:hAnsi="Arial"/>
          <w:sz w:val="22"/>
          <w:szCs w:val="22"/>
          <w:color w:val="auto"/>
        </w:rPr>
        <w:t>of clinical protection from symptomatic COVID-19 shared previously. The company expects the full data set to be provided in an upcoming scientific publication.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Invivyd</w:t>
      </w:r>
    </w:p>
    <w:p>
      <w:pPr>
        <w:spacing w:after="0" w:line="12"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Invivyd, Inc. (Nasdaq: IVVD)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PEMGARDA</w:t>
      </w:r>
    </w:p>
    <w:p>
      <w:pPr>
        <w:spacing w:after="0" w:line="12" w:lineRule="exact"/>
        <w:rPr>
          <w:sz w:val="20"/>
          <w:szCs w:val="20"/>
          <w:color w:val="auto"/>
        </w:rPr>
      </w:pPr>
    </w:p>
    <w:p>
      <w:pPr>
        <w:jc w:val="both"/>
        <w:ind w:right="520"/>
        <w:spacing w:after="0" w:line="241" w:lineRule="auto"/>
        <w:rPr>
          <w:sz w:val="20"/>
          <w:szCs w:val="20"/>
          <w:color w:val="auto"/>
        </w:rPr>
      </w:pPr>
      <w:r>
        <w:rPr>
          <w:rFonts w:ascii="Arial" w:cs="Arial" w:eastAsia="Arial" w:hAnsi="Arial"/>
          <w:sz w:val="21"/>
          <w:szCs w:val="21"/>
          <w:color w:val="auto"/>
        </w:rPr>
        <w:t>PEMGARDA™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w:t>
      </w:r>
    </w:p>
    <w:p>
      <w:pPr>
        <w:spacing w:after="0" w:line="2" w:lineRule="exact"/>
        <w:rPr>
          <w:sz w:val="20"/>
          <w:szCs w:val="20"/>
          <w:color w:val="auto"/>
        </w:rPr>
      </w:pPr>
    </w:p>
    <w:p>
      <w:pPr>
        <w:ind w:right="600"/>
        <w:spacing w:after="0" w:line="237" w:lineRule="auto"/>
        <w:rPr>
          <w:sz w:val="20"/>
          <w:szCs w:val="20"/>
          <w:color w:val="auto"/>
        </w:rPr>
      </w:pPr>
      <w:r>
        <w:rPr>
          <w:rFonts w:ascii="Arial" w:cs="Arial" w:eastAsia="Arial" w:hAnsi="Arial"/>
          <w:sz w:val="22"/>
          <w:szCs w:val="22"/>
          <w:color w:val="auto"/>
        </w:rPr>
        <w:t>PEMGARDA has demonstrated in vitro neutralizing activity against major SARS-CoV-2 variants, including JN.1. PEMGARDA targets the SARS-CoV-2 spike protein receptor binding domain (RBD), thereby inhibiting virus attachment to the human ACE2 receptor on host cells.</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ind w:right="360"/>
        <w:spacing w:after="0" w:line="245" w:lineRule="auto"/>
        <w:rPr>
          <w:sz w:val="20"/>
          <w:szCs w:val="20"/>
          <w:color w:val="auto"/>
        </w:rPr>
      </w:pPr>
      <w:r>
        <w:rPr>
          <w:rFonts w:ascii="Arial" w:cs="Arial" w:eastAsia="Arial" w:hAnsi="Arial"/>
          <w:sz w:val="22"/>
          <w:szCs w:val="22"/>
          <w:color w:val="auto"/>
        </w:rPr>
        <w:t>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97"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203"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CANOPY</w:t>
      </w:r>
    </w:p>
    <w:p>
      <w:pPr>
        <w:spacing w:after="0" w:line="12"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color w:val="auto"/>
        </w:rPr>
        <w:t>The ongoing CANOPY Phase 3 clinical trial is designed to evaluate the safety and tolerability of pemivibart and to assess immunobridging from pemivibart to certain historical data from the company’s previous Phase 2/3 clinical trial of adintrevimab (ADG20) for the prevention of symptomatic COVID-19 (EVADE). Additionally, there are pre-specified exploratory endpoints through three, six and twelve months to evaluate clinical efficacy of pemivibart compared to placebo in the prevention of RT-PCR-confirmed symptomatic COVID-19. The latest analysis from the Phase 3 CANOPY clinical trial includes 365-day data. The CANOPY clinical trial enrolled participants in two cohorts: Cohort A is a single-arm, open-label trial in adults who have moderate-to-severe immune compromise including complex underlying medical conditions. Cohort B is a randomized, placebo-controlled cohort that enrolled adults without moderate-to-severe immune compromise who are at risk of acquiring COVID-19 due to regular unmasked face-to-face interactions in indoor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Cautionary Note Regarding Forward Looking Statements</w:t>
      </w:r>
    </w:p>
    <w:p>
      <w:pPr>
        <w:spacing w:after="0" w:line="12"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Words such as “anticipates,” “believes,” “could,” “expects,” “estimates,”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activities, as well as future potential research and clinical development efforts; the potential clinical benefit that mAbs like PEMGARDA (pemivibart) can confer, even at very low serum concentrations and associated antiviral titers; the possibility for Invivyd to develop and commercialize low-dose, high potency, long-acting mAbs with the same route of administration and system-friendliness as COVID-19 vaccine boosts, but higher, more consistent, and longer-acting protection; the company’s expectation to provide a full data set from the CANOPY clinical trial in an upcoming scientific publication; the potential of PEMGARDA as a mAb for pre-exposure prophylaxis (prevention) of COVID-19 in certain adults and adolescents who have moderate-to-severe immune compromise; the company’s devotion to delivering protection from serious viral infectious diseases, beginning with SARS-CoV-2; the design of the company’s INVYMAB platform approach to facilitate the rapid, serial generation of new mAbs to address evolving viral threats; the company’s plans for a series of innovative antibody candidates and its goals for pipeline molecule VYD2311;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variability of results in models used to predict activity against SARS-CoV-2 variants; whether pemivibart, VYD2311, or any other product candidate is able to demonstrate and sustain neutralizing activity against major SARS-CoV-2 variants, particularly in the face of viral evolution; how long the EUA granted by the FDA for PEMGARDA will remain in effect and whether the EUA is revised or revoked by the FDA; the company’s ability to build and maintain sales, marketing and distribution capabilities to successfully commercialize PEMGARDA; uncertainties related to the regulatory authorization or approval process, and available development and regulatory pathways for authorization or approval of the company’s product candidates; the ability to maintain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1027430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5" w:name="page16"/>
    <w:bookmarkEnd w:id="15"/>
    <w:p>
      <w:pPr>
        <w:ind w:right="220"/>
        <w:spacing w:after="0" w:line="233" w:lineRule="auto"/>
        <w:rPr>
          <w:sz w:val="20"/>
          <w:szCs w:val="20"/>
          <w:color w:val="auto"/>
        </w:rPr>
      </w:pPr>
      <w:r>
        <w:rPr>
          <w:rFonts w:ascii="Arial" w:cs="Arial" w:eastAsia="Arial" w:hAnsi="Arial"/>
          <w:sz w:val="22"/>
          <w:szCs w:val="22"/>
          <w:color w:val="auto"/>
        </w:rPr>
        <w:t>continued acceptable safety, tolerability and efficacy profile of any product candidate following regulatory authorization or approval; changes in the regulatory environment; changes in expected or existing competition; the complexities of manufacturing mAb therapies; the company’s ability to leverage its INVYMAB platform approach to facilitate the rapid, serial generation of new mAbs to address evolving viral threats; any legal proceedings or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June 30, 2024,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press release contains hyperlinks to information that is not deemed to be incorporated by reference in this press release.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Relations</w:t>
      </w:r>
    </w:p>
    <w:p>
      <w:pPr>
        <w:ind w:right="9200" w:firstLine="8"/>
        <w:spacing w:after="0" w:line="263" w:lineRule="auto"/>
        <w:tabs>
          <w:tab w:leader="none" w:pos="564" w:val="left"/>
        </w:tabs>
        <w:numPr>
          <w:ilvl w:val="0"/>
          <w:numId w:val="7"/>
        </w:numPr>
        <w:rPr>
          <w:rFonts w:ascii="Arial" w:cs="Arial" w:eastAsia="Arial" w:hAnsi="Arial"/>
          <w:sz w:val="21"/>
          <w:szCs w:val="21"/>
          <w:color w:val="auto"/>
        </w:rPr>
      </w:pPr>
      <w:r>
        <w:rPr>
          <w:rFonts w:ascii="Arial" w:cs="Arial" w:eastAsia="Arial" w:hAnsi="Arial"/>
          <w:sz w:val="21"/>
          <w:szCs w:val="21"/>
          <w:color w:val="auto"/>
        </w:rPr>
        <w:t>208-1747 media@invivyd.com</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12" w:lineRule="exact"/>
        <w:rPr>
          <w:sz w:val="20"/>
          <w:szCs w:val="20"/>
          <w:color w:val="auto"/>
        </w:rPr>
      </w:pPr>
    </w:p>
    <w:p>
      <w:pPr>
        <w:ind w:right="8920" w:firstLine="8"/>
        <w:spacing w:after="0" w:line="263" w:lineRule="auto"/>
        <w:tabs>
          <w:tab w:leader="none" w:pos="564" w:val="left"/>
        </w:tabs>
        <w:numPr>
          <w:ilvl w:val="0"/>
          <w:numId w:val="8"/>
        </w:numPr>
        <w:rPr>
          <w:rFonts w:ascii="Arial" w:cs="Arial" w:eastAsia="Arial" w:hAnsi="Arial"/>
          <w:sz w:val="21"/>
          <w:szCs w:val="21"/>
          <w:color w:val="auto"/>
        </w:rPr>
      </w:pPr>
      <w:r>
        <w:rPr>
          <w:rFonts w:ascii="Arial" w:cs="Arial" w:eastAsia="Arial" w:hAnsi="Arial"/>
          <w:sz w:val="21"/>
          <w:szCs w:val="21"/>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1541145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781"/>
    </w:lvl>
  </w:abstractNum>
  <w:abstractNum w:abstractNumId="3">
    <w:nsid w:val="507ED7AB"/>
    <w:multiLevelType w:val="hybridMultilevel"/>
    <w:lvl w:ilvl="0">
      <w:lvlJc w:val="left"/>
      <w:lvlText w:val="(%1)"/>
      <w:numFmt w:val="decimal"/>
      <w:start w:val="78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1)"/>
      <w:numFmt w:val="decimal"/>
      <w:start w:val="781"/>
    </w:lvl>
  </w:abstractNum>
  <w:abstractNum w:abstractNumId="7">
    <w:nsid w:val="7545E146"/>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2024-10-29T06:25:57Z</dcterms:created>
  <dcterms:modified xsi:type="dcterms:W3CDTF">2024-10-29T06:25:57Z</dcterms:modified>
</cp:coreProperties>
</file>