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4"/>
          <w:szCs w:val="14"/>
          <w:b w:val="1"/>
          <w:bCs w:val="1"/>
          <w:color w:val="auto"/>
        </w:rPr>
        <w:t>As filed with the Securities and Exchange Commission on August 4, 2021.</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333-257975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125730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Adagio Therapeutics, Inc.</w:t>
      </w:r>
    </w:p>
    <w:p>
      <w:pPr>
        <w:spacing w:after="0" w:line="11" w:lineRule="exact"/>
        <w:rPr>
          <w:sz w:val="24"/>
          <w:szCs w:val="24"/>
          <w:color w:val="auto"/>
        </w:rPr>
      </w:pPr>
    </w:p>
    <w:p>
      <w:pPr>
        <w:jc w:val="center"/>
        <w:ind w:right="-3"/>
        <w:spacing w:after="0"/>
        <w:rPr>
          <w:sz w:val="20"/>
          <w:szCs w:val="20"/>
          <w:color w:val="auto"/>
        </w:rPr>
      </w:pPr>
      <w:r>
        <w:rPr>
          <w:rFonts w:ascii="Arial" w:cs="Arial" w:eastAsia="Arial" w:hAnsi="Arial"/>
          <w:sz w:val="14"/>
          <w:szCs w:val="14"/>
          <w:color w:val="auto"/>
        </w:rPr>
        <w:t>(Exact name of registrant as specified in its charter)</w:t>
      </w:r>
    </w:p>
    <w:p>
      <w:pPr>
        <w:spacing w:after="0" w:line="48" w:lineRule="exact"/>
        <w:rPr>
          <w:sz w:val="24"/>
          <w:szCs w:val="24"/>
          <w:color w:val="auto"/>
        </w:rPr>
      </w:pPr>
    </w:p>
    <w:tbl>
      <w:tblPr>
        <w:tblLayout w:type="fixed"/>
        <w:tblInd w:w="1004" w:type="dxa"/>
        <w:tblCellMar>
          <w:top w:w="0" w:type="dxa"/>
          <w:left w:w="0" w:type="dxa"/>
          <w:bottom w:w="0" w:type="dxa"/>
          <w:right w:w="0" w:type="dxa"/>
        </w:tblCellMar>
      </w:tblPr>
      <w:tr>
        <w:trPr>
          <w:trHeight w:val="198"/>
        </w:trPr>
        <w:tc>
          <w:tcPr>
            <w:tcW w:w="2760" w:type="dxa"/>
            <w:vAlign w:val="bottom"/>
          </w:tcPr>
          <w:p>
            <w:pPr>
              <w:jc w:val="center"/>
              <w:ind w:right="945"/>
              <w:spacing w:after="0"/>
              <w:rPr>
                <w:sz w:val="20"/>
                <w:szCs w:val="20"/>
                <w:color w:val="auto"/>
              </w:rPr>
            </w:pPr>
            <w:r>
              <w:rPr>
                <w:rFonts w:ascii="Arial" w:cs="Arial" w:eastAsia="Arial" w:hAnsi="Arial"/>
                <w:sz w:val="16"/>
                <w:szCs w:val="16"/>
                <w:b w:val="1"/>
                <w:bCs w:val="1"/>
                <w:color w:val="auto"/>
                <w:w w:val="93"/>
              </w:rPr>
              <w:t>Delaware</w:t>
            </w:r>
          </w:p>
        </w:tc>
        <w:tc>
          <w:tcPr>
            <w:tcW w:w="3820" w:type="dxa"/>
            <w:vAlign w:val="bottom"/>
          </w:tcPr>
          <w:p>
            <w:pPr>
              <w:jc w:val="center"/>
              <w:ind w:right="25"/>
              <w:spacing w:after="0"/>
              <w:rPr>
                <w:sz w:val="20"/>
                <w:szCs w:val="20"/>
                <w:color w:val="auto"/>
              </w:rPr>
            </w:pPr>
            <w:r>
              <w:rPr>
                <w:rFonts w:ascii="Arial" w:cs="Arial" w:eastAsia="Arial" w:hAnsi="Arial"/>
                <w:sz w:val="16"/>
                <w:szCs w:val="16"/>
                <w:b w:val="1"/>
                <w:bCs w:val="1"/>
                <w:color w:val="auto"/>
                <w:w w:val="89"/>
              </w:rPr>
              <w:t>2836</w:t>
            </w:r>
          </w:p>
        </w:tc>
        <w:tc>
          <w:tcPr>
            <w:tcW w:w="2200" w:type="dxa"/>
            <w:vAlign w:val="bottom"/>
          </w:tcPr>
          <w:p>
            <w:pPr>
              <w:jc w:val="center"/>
              <w:ind w:left="1065"/>
              <w:spacing w:after="0"/>
              <w:rPr>
                <w:sz w:val="20"/>
                <w:szCs w:val="20"/>
                <w:color w:val="auto"/>
              </w:rPr>
            </w:pPr>
            <w:r>
              <w:rPr>
                <w:rFonts w:ascii="Arial" w:cs="Arial" w:eastAsia="Arial" w:hAnsi="Arial"/>
                <w:sz w:val="16"/>
                <w:szCs w:val="16"/>
                <w:b w:val="1"/>
                <w:bCs w:val="1"/>
                <w:color w:val="auto"/>
                <w:w w:val="91"/>
              </w:rPr>
              <w:t>85-1403134</w:t>
            </w:r>
          </w:p>
        </w:tc>
      </w:tr>
      <w:tr>
        <w:trPr>
          <w:trHeight w:val="148"/>
        </w:trPr>
        <w:tc>
          <w:tcPr>
            <w:tcW w:w="2760" w:type="dxa"/>
            <w:vAlign w:val="bottom"/>
          </w:tcPr>
          <w:p>
            <w:pPr>
              <w:jc w:val="center"/>
              <w:ind w:right="945"/>
              <w:spacing w:after="0" w:line="149" w:lineRule="exact"/>
              <w:rPr>
                <w:sz w:val="20"/>
                <w:szCs w:val="20"/>
                <w:color w:val="auto"/>
              </w:rPr>
            </w:pPr>
            <w:r>
              <w:rPr>
                <w:rFonts w:ascii="Arial" w:cs="Arial" w:eastAsia="Arial" w:hAnsi="Arial"/>
                <w:sz w:val="14"/>
                <w:szCs w:val="14"/>
                <w:color w:val="auto"/>
                <w:w w:val="94"/>
              </w:rPr>
              <w:t>(State or other jurisdiction of</w:t>
            </w:r>
          </w:p>
        </w:tc>
        <w:tc>
          <w:tcPr>
            <w:tcW w:w="3820" w:type="dxa"/>
            <w:vAlign w:val="bottom"/>
          </w:tcPr>
          <w:p>
            <w:pPr>
              <w:jc w:val="center"/>
              <w:ind w:right="25"/>
              <w:spacing w:after="0" w:line="149" w:lineRule="exact"/>
              <w:rPr>
                <w:sz w:val="20"/>
                <w:szCs w:val="20"/>
                <w:color w:val="auto"/>
              </w:rPr>
            </w:pPr>
            <w:r>
              <w:rPr>
                <w:rFonts w:ascii="Arial" w:cs="Arial" w:eastAsia="Arial" w:hAnsi="Arial"/>
                <w:sz w:val="14"/>
                <w:szCs w:val="14"/>
                <w:color w:val="auto"/>
                <w:w w:val="94"/>
              </w:rPr>
              <w:t>(Primary Standard Industrial</w:t>
            </w:r>
          </w:p>
        </w:tc>
        <w:tc>
          <w:tcPr>
            <w:tcW w:w="2200" w:type="dxa"/>
            <w:vAlign w:val="bottom"/>
          </w:tcPr>
          <w:p>
            <w:pPr>
              <w:jc w:val="center"/>
              <w:ind w:left="1065"/>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760" w:type="dxa"/>
            <w:vAlign w:val="bottom"/>
          </w:tcPr>
          <w:p>
            <w:pPr>
              <w:jc w:val="center"/>
              <w:ind w:right="945"/>
              <w:spacing w:after="0"/>
              <w:rPr>
                <w:sz w:val="20"/>
                <w:szCs w:val="20"/>
                <w:color w:val="auto"/>
              </w:rPr>
            </w:pPr>
            <w:r>
              <w:rPr>
                <w:rFonts w:ascii="Arial" w:cs="Arial" w:eastAsia="Arial" w:hAnsi="Arial"/>
                <w:sz w:val="14"/>
                <w:szCs w:val="14"/>
                <w:color w:val="auto"/>
                <w:w w:val="95"/>
              </w:rPr>
              <w:t>incorporation or organization)</w:t>
            </w:r>
          </w:p>
        </w:tc>
        <w:tc>
          <w:tcPr>
            <w:tcW w:w="3820" w:type="dxa"/>
            <w:vAlign w:val="bottom"/>
          </w:tcPr>
          <w:p>
            <w:pPr>
              <w:jc w:val="center"/>
              <w:ind w:right="25"/>
              <w:spacing w:after="0"/>
              <w:rPr>
                <w:sz w:val="20"/>
                <w:szCs w:val="20"/>
                <w:color w:val="auto"/>
              </w:rPr>
            </w:pPr>
            <w:r>
              <w:rPr>
                <w:rFonts w:ascii="Arial" w:cs="Arial" w:eastAsia="Arial" w:hAnsi="Arial"/>
                <w:sz w:val="14"/>
                <w:szCs w:val="14"/>
                <w:color w:val="auto"/>
                <w:w w:val="94"/>
              </w:rPr>
              <w:t>Classification Code Number)</w:t>
            </w:r>
          </w:p>
        </w:tc>
        <w:tc>
          <w:tcPr>
            <w:tcW w:w="2200" w:type="dxa"/>
            <w:vAlign w:val="bottom"/>
          </w:tcPr>
          <w:p>
            <w:pPr>
              <w:jc w:val="center"/>
              <w:ind w:left="1065"/>
              <w:spacing w:after="0"/>
              <w:rPr>
                <w:sz w:val="20"/>
                <w:szCs w:val="20"/>
                <w:color w:val="auto"/>
              </w:rPr>
            </w:pPr>
            <w:r>
              <w:rPr>
                <w:rFonts w:ascii="Arial" w:cs="Arial" w:eastAsia="Arial" w:hAnsi="Arial"/>
                <w:sz w:val="14"/>
                <w:szCs w:val="14"/>
                <w:color w:val="auto"/>
                <w:w w:val="97"/>
              </w:rPr>
              <w:t>Identification No.)</w:t>
            </w:r>
          </w:p>
        </w:tc>
      </w:tr>
    </w:tbl>
    <w:p>
      <w:pPr>
        <w:spacing w:after="0" w:line="16"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303 Wyman Street, Suite 300</w:t>
      </w:r>
    </w:p>
    <w:p>
      <w:pPr>
        <w:jc w:val="center"/>
        <w:ind w:right="-3"/>
        <w:spacing w:after="0" w:line="226" w:lineRule="auto"/>
        <w:rPr>
          <w:sz w:val="20"/>
          <w:szCs w:val="20"/>
          <w:color w:val="auto"/>
        </w:rPr>
      </w:pPr>
      <w:r>
        <w:rPr>
          <w:rFonts w:ascii="Arial" w:cs="Arial" w:eastAsia="Arial" w:hAnsi="Arial"/>
          <w:sz w:val="14"/>
          <w:szCs w:val="14"/>
          <w:b w:val="1"/>
          <w:bCs w:val="1"/>
          <w:color w:val="auto"/>
        </w:rPr>
        <w:t>Waltham, MA 02451</w:t>
      </w:r>
    </w:p>
    <w:p>
      <w:pPr>
        <w:jc w:val="center"/>
        <w:ind w:right="-3"/>
        <w:spacing w:after="0" w:line="221" w:lineRule="auto"/>
        <w:rPr>
          <w:sz w:val="20"/>
          <w:szCs w:val="20"/>
          <w:color w:val="auto"/>
        </w:rPr>
      </w:pPr>
      <w:r>
        <w:rPr>
          <w:rFonts w:ascii="Arial" w:cs="Arial" w:eastAsia="Arial" w:hAnsi="Arial"/>
          <w:sz w:val="14"/>
          <w:szCs w:val="14"/>
          <w:b w:val="1"/>
          <w:bCs w:val="1"/>
          <w:color w:val="auto"/>
        </w:rPr>
        <w:t>(603) 252-2274</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107950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5"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Tillman U. Gerngross</w:t>
      </w:r>
    </w:p>
    <w:p>
      <w:pPr>
        <w:jc w:val="center"/>
        <w:ind w:right="-3"/>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3"/>
        <w:spacing w:after="0" w:line="221" w:lineRule="auto"/>
        <w:rPr>
          <w:sz w:val="20"/>
          <w:szCs w:val="20"/>
          <w:color w:val="auto"/>
        </w:rPr>
      </w:pPr>
      <w:r>
        <w:rPr>
          <w:rFonts w:ascii="Arial" w:cs="Arial" w:eastAsia="Arial" w:hAnsi="Arial"/>
          <w:sz w:val="14"/>
          <w:szCs w:val="14"/>
          <w:b w:val="1"/>
          <w:bCs w:val="1"/>
          <w:color w:val="auto"/>
        </w:rPr>
        <w:t>Adagio Therapeutics, Inc.</w:t>
      </w:r>
    </w:p>
    <w:p>
      <w:pPr>
        <w:jc w:val="center"/>
        <w:ind w:right="-3"/>
        <w:spacing w:after="0" w:line="222" w:lineRule="auto"/>
        <w:rPr>
          <w:sz w:val="20"/>
          <w:szCs w:val="20"/>
          <w:color w:val="auto"/>
        </w:rPr>
      </w:pPr>
      <w:r>
        <w:rPr>
          <w:rFonts w:ascii="Arial" w:cs="Arial" w:eastAsia="Arial" w:hAnsi="Arial"/>
          <w:sz w:val="14"/>
          <w:szCs w:val="14"/>
          <w:b w:val="1"/>
          <w:bCs w:val="1"/>
          <w:color w:val="auto"/>
        </w:rPr>
        <w:t>303 Wyman Street, Suite 300</w:t>
      </w:r>
    </w:p>
    <w:p>
      <w:pPr>
        <w:jc w:val="center"/>
        <w:ind w:right="-3"/>
        <w:spacing w:after="0" w:line="221" w:lineRule="auto"/>
        <w:rPr>
          <w:sz w:val="20"/>
          <w:szCs w:val="20"/>
          <w:color w:val="auto"/>
        </w:rPr>
      </w:pPr>
      <w:r>
        <w:rPr>
          <w:rFonts w:ascii="Arial" w:cs="Arial" w:eastAsia="Arial" w:hAnsi="Arial"/>
          <w:sz w:val="14"/>
          <w:szCs w:val="14"/>
          <w:b w:val="1"/>
          <w:bCs w:val="1"/>
          <w:color w:val="auto"/>
        </w:rPr>
        <w:t>Waltham, MA 02451</w:t>
      </w:r>
    </w:p>
    <w:p>
      <w:pPr>
        <w:jc w:val="center"/>
        <w:ind w:right="-3"/>
        <w:spacing w:after="0" w:line="222" w:lineRule="auto"/>
        <w:rPr>
          <w:sz w:val="20"/>
          <w:szCs w:val="20"/>
          <w:color w:val="auto"/>
        </w:rPr>
      </w:pPr>
      <w:r>
        <w:rPr>
          <w:rFonts w:ascii="Arial" w:cs="Arial" w:eastAsia="Arial" w:hAnsi="Arial"/>
          <w:sz w:val="14"/>
          <w:szCs w:val="14"/>
          <w:b w:val="1"/>
          <w:bCs w:val="1"/>
          <w:color w:val="auto"/>
        </w:rPr>
        <w:t>(603) 252-2274</w:t>
      </w:r>
    </w:p>
    <w:p>
      <w:pPr>
        <w:jc w:val="center"/>
        <w:ind w:right="-3"/>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2" w:lineRule="exact"/>
        <w:rPr>
          <w:sz w:val="24"/>
          <w:szCs w:val="24"/>
          <w:color w:val="auto"/>
        </w:rPr>
      </w:pPr>
    </w:p>
    <w:tbl>
      <w:tblPr>
        <w:tblLayout w:type="fixed"/>
        <w:tblInd w:w="1944"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4800" w:type="dxa"/>
            <w:vAlign w:val="bottom"/>
          </w:tcPr>
          <w:p>
            <w:pPr>
              <w:ind w:left="780"/>
              <w:spacing w:after="0"/>
              <w:rPr>
                <w:sz w:val="20"/>
                <w:szCs w:val="20"/>
                <w:color w:val="auto"/>
              </w:rPr>
            </w:pPr>
            <w:r>
              <w:rPr>
                <w:rFonts w:ascii="Arial" w:cs="Arial" w:eastAsia="Arial" w:hAnsi="Arial"/>
                <w:sz w:val="14"/>
                <w:szCs w:val="14"/>
                <w:i w:val="1"/>
                <w:iCs w:val="1"/>
                <w:color w:val="auto"/>
              </w:rPr>
              <w:t>Copies to:</w:t>
            </w:r>
          </w:p>
        </w:tc>
      </w:tr>
      <w:tr>
        <w:trPr>
          <w:trHeight w:val="178"/>
        </w:trPr>
        <w:tc>
          <w:tcPr>
            <w:tcW w:w="2480" w:type="dxa"/>
            <w:vAlign w:val="bottom"/>
          </w:tcPr>
          <w:p>
            <w:pPr>
              <w:jc w:val="center"/>
              <w:ind w:right="728"/>
              <w:spacing w:after="0"/>
              <w:rPr>
                <w:sz w:val="20"/>
                <w:szCs w:val="20"/>
                <w:color w:val="auto"/>
              </w:rPr>
            </w:pPr>
            <w:r>
              <w:rPr>
                <w:rFonts w:ascii="Arial" w:cs="Arial" w:eastAsia="Arial" w:hAnsi="Arial"/>
                <w:sz w:val="14"/>
                <w:szCs w:val="14"/>
                <w:b w:val="1"/>
                <w:bCs w:val="1"/>
                <w:color w:val="auto"/>
                <w:w w:val="96"/>
              </w:rPr>
              <w:t>Divakar Gupta</w:t>
            </w:r>
          </w:p>
        </w:tc>
        <w:tc>
          <w:tcPr>
            <w:tcW w:w="4800" w:type="dxa"/>
            <w:vAlign w:val="bottom"/>
          </w:tcPr>
          <w:p>
            <w:pPr>
              <w:jc w:val="center"/>
              <w:ind w:left="2968"/>
              <w:spacing w:after="0"/>
              <w:rPr>
                <w:sz w:val="20"/>
                <w:szCs w:val="20"/>
                <w:color w:val="auto"/>
              </w:rPr>
            </w:pPr>
            <w:r>
              <w:rPr>
                <w:rFonts w:ascii="Arial" w:cs="Arial" w:eastAsia="Arial" w:hAnsi="Arial"/>
                <w:sz w:val="14"/>
                <w:szCs w:val="14"/>
                <w:b w:val="1"/>
                <w:bCs w:val="1"/>
                <w:color w:val="auto"/>
                <w:w w:val="94"/>
              </w:rPr>
              <w:t>Richard D. Truesdell, Jr.</w:t>
            </w:r>
          </w:p>
        </w:tc>
      </w:tr>
      <w:tr>
        <w:trPr>
          <w:trHeight w:val="149"/>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0"/>
              </w:rPr>
              <w:t>Ryan Sansom</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3"/>
              </w:rPr>
              <w:t>Roshni Banker Cariello</w:t>
            </w:r>
          </w:p>
        </w:tc>
      </w:tr>
      <w:tr>
        <w:trPr>
          <w:trHeight w:val="148"/>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3"/>
              </w:rPr>
              <w:t>Courtney M.W. Tygesson</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8"/>
        </w:trPr>
        <w:tc>
          <w:tcPr>
            <w:tcW w:w="248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1"/>
              </w:rPr>
              <w:t>450 Lexington Avenue</w:t>
            </w:r>
          </w:p>
        </w:tc>
      </w:tr>
      <w:tr>
        <w:trPr>
          <w:trHeight w:val="149"/>
        </w:trPr>
        <w:tc>
          <w:tcPr>
            <w:tcW w:w="248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2"/>
              </w:rPr>
              <w:t>55 Hudson Yards</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4"/>
              </w:rPr>
              <w:t>New York, New York 10017</w:t>
            </w:r>
          </w:p>
        </w:tc>
      </w:tr>
      <w:tr>
        <w:trPr>
          <w:trHeight w:val="148"/>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4"/>
              </w:rPr>
              <w:t>New York, New York 10001</w:t>
            </w:r>
          </w:p>
        </w:tc>
        <w:tc>
          <w:tcPr>
            <w:tcW w:w="480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3"/>
              </w:rPr>
              <w:t>(212) 450-4000</w:t>
            </w:r>
          </w:p>
        </w:tc>
      </w:tr>
      <w:tr>
        <w:trPr>
          <w:trHeight w:val="186"/>
        </w:trPr>
        <w:tc>
          <w:tcPr>
            <w:tcW w:w="2480" w:type="dxa"/>
            <w:vAlign w:val="bottom"/>
          </w:tcPr>
          <w:p>
            <w:pPr>
              <w:jc w:val="center"/>
              <w:ind w:right="748"/>
              <w:spacing w:after="0"/>
              <w:rPr>
                <w:sz w:val="20"/>
                <w:szCs w:val="20"/>
                <w:color w:val="auto"/>
              </w:rPr>
            </w:pPr>
            <w:r>
              <w:rPr>
                <w:rFonts w:ascii="Arial" w:cs="Arial" w:eastAsia="Arial" w:hAnsi="Arial"/>
                <w:sz w:val="14"/>
                <w:szCs w:val="14"/>
                <w:b w:val="1"/>
                <w:bCs w:val="1"/>
                <w:color w:val="auto"/>
                <w:w w:val="93"/>
              </w:rPr>
              <w:t>(212) 479-6000</w:t>
            </w:r>
          </w:p>
        </w:tc>
        <w:tc>
          <w:tcPr>
            <w:tcW w:w="4800" w:type="dxa"/>
            <w:vAlign w:val="bottom"/>
          </w:tcPr>
          <w:p>
            <w:pPr>
              <w:spacing w:after="0"/>
              <w:rPr>
                <w:sz w:val="16"/>
                <w:szCs w:val="16"/>
                <w:color w:val="auto"/>
              </w:rPr>
            </w:pPr>
          </w:p>
        </w:tc>
      </w:tr>
    </w:tbl>
    <w:p>
      <w:pPr>
        <w:spacing w:after="0" w:line="30" w:lineRule="exact"/>
        <w:rPr>
          <w:sz w:val="24"/>
          <w:szCs w:val="24"/>
          <w:color w:val="auto"/>
        </w:rPr>
      </w:pPr>
    </w:p>
    <w:p>
      <w:pPr>
        <w:ind w:left="444"/>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46" w:lineRule="exact"/>
        <w:rPr>
          <w:sz w:val="24"/>
          <w:szCs w:val="24"/>
          <w:color w:val="auto"/>
        </w:rPr>
      </w:pPr>
    </w:p>
    <w:p>
      <w:pPr>
        <w:ind w:left="444"/>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w:t>
      </w:r>
    </w:p>
    <w:p>
      <w:pPr>
        <w:spacing w:after="0" w:line="19" w:lineRule="exact"/>
        <w:rPr>
          <w:sz w:val="24"/>
          <w:szCs w:val="24"/>
          <w:color w:val="auto"/>
        </w:rPr>
      </w:pPr>
    </w:p>
    <w:p>
      <w:pPr>
        <w:ind w:left="4"/>
        <w:spacing w:after="0" w:line="141" w:lineRule="exact"/>
        <w:rPr>
          <w:sz w:val="20"/>
          <w:szCs w:val="20"/>
          <w:color w:val="auto"/>
        </w:rPr>
      </w:pPr>
      <w:r>
        <w:rPr>
          <w:rFonts w:ascii="MS PGothic" w:cs="MS PGothic" w:eastAsia="MS PGothic" w:hAnsi="MS PGothic"/>
          <w:sz w:val="14"/>
          <w:szCs w:val="14"/>
          <w:color w:val="auto"/>
        </w:rPr>
        <w:t>☐</w:t>
      </w:r>
    </w:p>
    <w:p>
      <w:pPr>
        <w:spacing w:after="0" w:line="69" w:lineRule="exact"/>
        <w:rPr>
          <w:sz w:val="24"/>
          <w:szCs w:val="24"/>
          <w:color w:val="auto"/>
        </w:rPr>
      </w:pPr>
    </w:p>
    <w:p>
      <w:pPr>
        <w:ind w:left="4" w:right="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4" w:right="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4" w:right="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4" w:right="2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0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0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220" w:type="dxa"/>
            <w:vAlign w:val="bottom"/>
          </w:tcPr>
          <w:p>
            <w:pPr>
              <w:ind w:left="340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 w:lineRule="exact"/>
        <w:rPr>
          <w:sz w:val="24"/>
          <w:szCs w:val="24"/>
          <w:color w:val="auto"/>
        </w:rPr>
      </w:pPr>
    </w:p>
    <w:p>
      <w:pPr>
        <w:ind w:left="4"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100965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39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98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176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 maximum</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Proposed maximum</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78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offering</w:t>
            </w:r>
          </w:p>
        </w:tc>
        <w:tc>
          <w:tcPr>
            <w:tcW w:w="1760" w:type="dxa"/>
            <w:vAlign w:val="bottom"/>
            <w:tcBorders>
              <w:right w:val="single" w:sz="8" w:color="auto"/>
            </w:tcBorders>
            <w:vMerge w:val="continue"/>
          </w:tcPr>
          <w:p>
            <w:pPr>
              <w:spacing w:after="0"/>
              <w:rPr>
                <w:sz w:val="12"/>
                <w:szCs w:val="12"/>
                <w:color w:val="auto"/>
              </w:rPr>
            </w:pPr>
          </w:p>
        </w:tc>
        <w:tc>
          <w:tcPr>
            <w:tcW w:w="17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398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to be</w:t>
            </w:r>
          </w:p>
        </w:tc>
        <w:tc>
          <w:tcPr>
            <w:tcW w:w="176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4"/>
              </w:rPr>
              <w:t>price per</w:t>
            </w:r>
          </w:p>
        </w:tc>
        <w:tc>
          <w:tcPr>
            <w:tcW w:w="17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aggregate</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7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registered(1)</w:t>
            </w:r>
          </w:p>
        </w:tc>
        <w:tc>
          <w:tcPr>
            <w:tcW w:w="17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85"/>
              </w:rPr>
              <w:t>share</w:t>
            </w:r>
          </w:p>
        </w:tc>
        <w:tc>
          <w:tcPr>
            <w:tcW w:w="17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offering price(2)</w:t>
            </w:r>
          </w:p>
        </w:tc>
        <w:tc>
          <w:tcPr>
            <w:tcW w:w="17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registration fee(3)</w:t>
            </w:r>
          </w:p>
        </w:tc>
        <w:tc>
          <w:tcPr>
            <w:tcW w:w="0" w:type="dxa"/>
            <w:vAlign w:val="bottom"/>
          </w:tcPr>
          <w:p>
            <w:pPr>
              <w:spacing w:after="0"/>
              <w:rPr>
                <w:sz w:val="1"/>
                <w:szCs w:val="1"/>
                <w:color w:val="auto"/>
              </w:rPr>
            </w:pPr>
          </w:p>
        </w:tc>
      </w:tr>
      <w:tr>
        <w:trPr>
          <w:trHeight w:val="142"/>
        </w:trPr>
        <w:tc>
          <w:tcPr>
            <w:tcW w:w="39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$0.0001 par value per share</w:t>
            </w:r>
          </w:p>
        </w:tc>
        <w:tc>
          <w:tcPr>
            <w:tcW w:w="1780" w:type="dxa"/>
            <w:vAlign w:val="bottom"/>
            <w:tcBorders>
              <w:bottom w:val="single" w:sz="8" w:color="auto"/>
              <w:right w:val="single" w:sz="8" w:color="auto"/>
            </w:tcBorders>
          </w:tcPr>
          <w:p>
            <w:pPr>
              <w:jc w:val="right"/>
              <w:ind w:right="448"/>
              <w:spacing w:after="0" w:line="142" w:lineRule="exact"/>
              <w:rPr>
                <w:sz w:val="20"/>
                <w:szCs w:val="20"/>
                <w:color w:val="auto"/>
              </w:rPr>
            </w:pPr>
            <w:r>
              <w:rPr>
                <w:rFonts w:ascii="Arial" w:cs="Arial" w:eastAsia="Arial" w:hAnsi="Arial"/>
                <w:sz w:val="14"/>
                <w:szCs w:val="14"/>
                <w:color w:val="auto"/>
              </w:rPr>
              <w:t>20,355,000</w:t>
            </w:r>
          </w:p>
        </w:tc>
        <w:tc>
          <w:tcPr>
            <w:tcW w:w="1760" w:type="dxa"/>
            <w:vAlign w:val="bottom"/>
            <w:tcBorders>
              <w:bottom w:val="single" w:sz="8" w:color="auto"/>
              <w:right w:val="single" w:sz="8" w:color="auto"/>
            </w:tcBorders>
          </w:tcPr>
          <w:p>
            <w:pPr>
              <w:jc w:val="center"/>
              <w:ind w:left="10"/>
              <w:spacing w:after="0" w:line="142" w:lineRule="exact"/>
              <w:rPr>
                <w:sz w:val="20"/>
                <w:szCs w:val="20"/>
                <w:color w:val="auto"/>
              </w:rPr>
            </w:pPr>
            <w:r>
              <w:rPr>
                <w:rFonts w:ascii="Arial" w:cs="Arial" w:eastAsia="Arial" w:hAnsi="Arial"/>
                <w:sz w:val="14"/>
                <w:szCs w:val="14"/>
                <w:color w:val="auto"/>
                <w:w w:val="93"/>
              </w:rPr>
              <w:t>$18.00</w:t>
            </w:r>
          </w:p>
        </w:tc>
        <w:tc>
          <w:tcPr>
            <w:tcW w:w="1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$366,390,000</w:t>
            </w:r>
          </w:p>
        </w:tc>
        <w:tc>
          <w:tcPr>
            <w:tcW w:w="17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4"/>
              </w:rPr>
              <w:t>$39,974.00</w:t>
            </w:r>
          </w:p>
        </w:tc>
        <w:tc>
          <w:tcPr>
            <w:tcW w:w="0" w:type="dxa"/>
            <w:vAlign w:val="bottom"/>
          </w:tcPr>
          <w:p>
            <w:pPr>
              <w:spacing w:after="0"/>
              <w:rPr>
                <w:sz w:val="1"/>
                <w:szCs w:val="1"/>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04" w:hanging="304"/>
        <w:spacing w:after="0" w:line="231" w:lineRule="auto"/>
        <w:tabs>
          <w:tab w:leader="none" w:pos="304"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Includes2,655,000 shares that the underwriters have the option to purchase.</w:t>
      </w:r>
    </w:p>
    <w:p>
      <w:pPr>
        <w:ind w:left="304" w:hanging="304"/>
        <w:spacing w:after="0" w:line="221" w:lineRule="auto"/>
        <w:tabs>
          <w:tab w:leader="none" w:pos="304"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Estimatedsolely for the purpose of calculating the registration fee pursuant to Rule 457(a) under the Securities Act of 1933, as amended.</w:t>
      </w:r>
    </w:p>
    <w:p>
      <w:pPr>
        <w:ind w:left="304" w:hanging="304"/>
        <w:spacing w:after="0"/>
        <w:tabs>
          <w:tab w:leader="none" w:pos="304"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6" w:lineRule="exact"/>
        <w:rPr>
          <w:sz w:val="24"/>
          <w:szCs w:val="24"/>
          <w:color w:val="auto"/>
        </w:rPr>
      </w:pPr>
    </w:p>
    <w:p>
      <w:pPr>
        <w:jc w:val="both"/>
        <w:ind w:left="4" w:right="20" w:firstLine="44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93345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25"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This Amendment No. 2 (“Amendment No. 2”) to the Registration Statement on Form S-1 filed with the Securities and Exchange Commission on May 21, 2021 (Registration No. 333-257975) (as amended, the “Registration Statement”), is submitted solely to amend Item 16 of Part II thereof and to re-file Exhibits 10.9, 10.10 and 10.11 thereto. Accordingly, this Amendment No. 2 consists only of the facing page, this explanatory note, Part II of the Registration Statement, the signature page to the Registration Statement, and the exhibits submitted herewith. This Amendment No. 2 does not modify any provision of the preliminary prospectus contained in Part I of the Registration Statement. Accordingly, the preliminary prospectus has been omitted.</w:t>
      </w:r>
    </w:p>
    <w:p>
      <w:pPr>
        <w:sectPr>
          <w:pgSz w:w="11900" w:h="16838" w:orient="portrait"/>
          <w:cols w:equalWidth="0" w:num="1">
            <w:col w:w="11000"/>
          </w:cols>
          <w:pgMar w:left="440" w:top="270" w:right="459" w:bottom="1440" w:gutter="0" w:footer="0" w:header="0"/>
        </w:sectPr>
      </w:pPr>
    </w:p>
    <w:bookmarkStart w:id="2" w:name="page3"/>
    <w:bookmarkEnd w:id="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ind w:left="3384"/>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4" w:right="20" w:firstLine="440"/>
        <w:spacing w:after="0" w:line="311" w:lineRule="auto"/>
        <w:rPr>
          <w:sz w:val="20"/>
          <w:szCs w:val="20"/>
          <w:color w:val="auto"/>
        </w:rPr>
      </w:pPr>
      <w:r>
        <w:rPr>
          <w:rFonts w:ascii="Arial" w:cs="Arial" w:eastAsia="Arial" w:hAnsi="Arial"/>
          <w:sz w:val="16"/>
          <w:szCs w:val="16"/>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or SEC, registration fee, the Financial Industry Regulatory Authority, Inc., or FINRA, filing fee and the Nasdaq Global Market initial listing fee.</w:t>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0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FINRA filing fee</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55,459</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1,250,000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1,600,000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Printing expenses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Transfer agent’s fees and expenses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Miscellaneous</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329,567</w:t>
            </w:r>
          </w:p>
        </w:tc>
      </w:tr>
      <w:tr>
        <w:trPr>
          <w:trHeight w:val="27"/>
        </w:trPr>
        <w:tc>
          <w:tcPr>
            <w:tcW w:w="10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0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3,800,000</w:t>
            </w:r>
          </w:p>
        </w:tc>
      </w:tr>
      <w:tr>
        <w:trPr>
          <w:trHeight w:val="20"/>
        </w:trPr>
        <w:tc>
          <w:tcPr>
            <w:tcW w:w="10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jc w:val="both"/>
        <w:ind w:left="4" w:firstLine="440"/>
        <w:spacing w:after="0" w:line="257" w:lineRule="auto"/>
        <w:rPr>
          <w:sz w:val="20"/>
          <w:szCs w:val="20"/>
          <w:color w:val="auto"/>
        </w:rPr>
      </w:pPr>
      <w:r>
        <w:rPr>
          <w:rFonts w:ascii="Arial" w:cs="Arial" w:eastAsia="Arial" w:hAnsi="Arial"/>
          <w:sz w:val="18"/>
          <w:szCs w:val="18"/>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8" w:lineRule="exact"/>
        <w:rPr>
          <w:sz w:val="20"/>
          <w:szCs w:val="20"/>
          <w:color w:val="auto"/>
        </w:rPr>
      </w:pPr>
    </w:p>
    <w:p>
      <w:pPr>
        <w:jc w:val="both"/>
        <w:ind w:left="4" w:firstLine="440"/>
        <w:spacing w:after="0" w:line="289" w:lineRule="auto"/>
        <w:rPr>
          <w:sz w:val="20"/>
          <w:szCs w:val="20"/>
          <w:color w:val="auto"/>
        </w:rPr>
      </w:pPr>
      <w:r>
        <w:rPr>
          <w:rFonts w:ascii="Arial" w:cs="Arial" w:eastAsia="Arial" w:hAnsi="Arial"/>
          <w:sz w:val="16"/>
          <w:szCs w:val="16"/>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66" w:lineRule="exact"/>
        <w:rPr>
          <w:sz w:val="20"/>
          <w:szCs w:val="20"/>
          <w:color w:val="auto"/>
        </w:rPr>
      </w:pPr>
    </w:p>
    <w:p>
      <w:pPr>
        <w:jc w:val="both"/>
        <w:ind w:left="4" w:right="20" w:firstLine="440"/>
        <w:spacing w:after="0" w:line="287" w:lineRule="auto"/>
        <w:rPr>
          <w:sz w:val="20"/>
          <w:szCs w:val="20"/>
          <w:color w:val="auto"/>
        </w:rPr>
      </w:pPr>
      <w:r>
        <w:rPr>
          <w:rFonts w:ascii="Arial" w:cs="Arial" w:eastAsia="Arial" w:hAnsi="Arial"/>
          <w:sz w:val="16"/>
          <w:szCs w:val="16"/>
          <w:color w:val="auto"/>
        </w:rPr>
        <w:t>As permitted by the Delaware General Corporation Law, our amended and restated certificate of incorporation and bylaws to be in effect upon the closing of this offering will provide that: (i) we are required to indemnify our directors to the fullest extent permitted by the Delaware General Corporation Law; (ii) we may, in our discretion, indemnify our officers, employees and agents as set forth in the Delaware General Corporation Law;</w:t>
      </w:r>
    </w:p>
    <w:p>
      <w:pPr>
        <w:spacing w:after="0" w:line="2" w:lineRule="exact"/>
        <w:rPr>
          <w:sz w:val="20"/>
          <w:szCs w:val="20"/>
          <w:color w:val="auto"/>
        </w:rPr>
      </w:pPr>
    </w:p>
    <w:p>
      <w:pPr>
        <w:jc w:val="both"/>
        <w:ind w:left="4" w:right="20" w:hanging="4"/>
        <w:spacing w:after="0" w:line="255" w:lineRule="auto"/>
        <w:tabs>
          <w:tab w:leader="none" w:pos="357"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4"/>
          </w:cols>
          <w:pgMar w:left="436" w:top="270" w:right="439" w:bottom="1440" w:gutter="0" w:footer="0" w:header="0"/>
        </w:sectPr>
      </w:pPr>
    </w:p>
    <w:bookmarkStart w:id="3" w:name="page4"/>
    <w:bookmarkEnd w:id="3"/>
    <w:p>
      <w:pPr>
        <w:jc w:val="both"/>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this offering, we expect to enter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will also set forth certain procedures that will apply in the event of a claim for indemnification thereunder. We intend to enter into similar indemnification agreements with our executive officers prior to the completion of this offering. At present, no litigation or proceeding is pending that involves any of our directors or officers regarding which indemnification is sought, nor are we aware of any threatened litigation that may result in claims for indemnification.</w:t>
      </w:r>
    </w:p>
    <w:p>
      <w:pPr>
        <w:spacing w:after="0" w:line="16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84"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In addition, the underwriting agreement filed as Exhibit 1.1 to this Registration Statement provides for indemnification by the underwriters of us and our officers and directors for certain liabilities arising under the Securities Act, or otherwise. Our amended and restated investor rights agreement with certain investors also provides for cross-indemnification in connection with the registration of our common stock on behalf of such investors.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The following list sets forth information regarding all unregistered securities sold by us since our inception through the date of the prospectus that forms a part of this registration statement.</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In July 2020, we issued and sold an aggregate of 6,237,500 shares of our Series A preferred stock to 24 investors at a purchase price of $8.00 per share, for aggregate consideration of $49.9 million.</w:t>
      </w:r>
    </w:p>
    <w:p>
      <w:pPr>
        <w:spacing w:after="0" w:line="170"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In July 2020, we issued 5,000,000 shares of our Series A preferred stock to Adimab in connection with the assignment and license agreement pursuant to which Adimab assigned to us all coronavirus antibodies controlled by it and certain related intellectual property and granted us a license to its platform technology to research, develop, make, use and sell coronavirus antibodies and products containing or comprising coronavirus antibodies.</w:t>
      </w:r>
    </w:p>
    <w:p>
      <w:pPr>
        <w:spacing w:after="0" w:line="149"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In October and November 2020, we issued and sold an aggregate of 1,410,434 shares of our Series B preferred stock to 16 investors at a purchase price of $56.72 per share, for aggregate consideration of $80.0 million.</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In April 2021, we issued and sold an aggregate of 4,296,550 shares of our Series C preferred stock to 36 investors at a purchase price of $78.08578 per share, for aggregate consideration of $335.5 million.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April 2021, we issued and sold 1,000 shares of our common stock at a price of $15.88 per share, for consideration of $15,871.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May 2021, we issued 5,000 shares of our common stock to a consultant in exchange for services.</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From June 3, 2020 (the date of our inception) through the date of this registration statement, we granted options under our 2020 Equity Incentive Plan to purchase an aggregate of 23,851,330 shares of common stock, at a weighted-average exercise price of $5.79 per share, to our employees, directors and consultants. Of these,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20"/>
          </w:cols>
          <w:pgMar w:left="440" w:top="274" w:right="439" w:bottom="1440" w:gutter="0" w:footer="0" w:header="0"/>
        </w:sectPr>
      </w:pPr>
    </w:p>
    <w:bookmarkStart w:id="4" w:name="page5"/>
    <w:bookmarkEnd w:id="4"/>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6,943,240 shares have been issued upon the exercise of options for aggregate consideration of $13,886 and options for the purchase of 115,000 shares of common stock have been forfeited, expired or cancelled.</w:t>
      </w:r>
    </w:p>
    <w:p>
      <w:pPr>
        <w:spacing w:after="0" w:line="170"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as part of this registration.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40" w:type="dxa"/>
            <w:vAlign w:val="bottom"/>
            <w:gridSpan w:val="11"/>
            <w:vMerge w:val="restart"/>
          </w:tcPr>
          <w:p>
            <w:pPr>
              <w:ind w:left="10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4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2500" w:type="dxa"/>
            <w:vAlign w:val="bottom"/>
            <w:tcBorders>
              <w:bottom w:val="single" w:sz="8" w:color="0000EE"/>
            </w:tcBorders>
            <w:gridSpan w:val="4"/>
          </w:tcPr>
          <w:p>
            <w:pPr>
              <w:spacing w:after="0"/>
              <w:rPr>
                <w:rFonts w:ascii="Arial" w:cs="Arial" w:eastAsia="Arial" w:hAnsi="Arial"/>
                <w:sz w:val="18"/>
                <w:szCs w:val="18"/>
                <w:color w:val="0000EE"/>
                <w:w w:val="93"/>
              </w:rPr>
            </w:pPr>
            <w:hyperlink r:id="rId21">
              <w:r>
                <w:rPr>
                  <w:rFonts w:ascii="Arial" w:cs="Arial" w:eastAsia="Arial" w:hAnsi="Arial"/>
                  <w:sz w:val="18"/>
                  <w:szCs w:val="18"/>
                  <w:color w:val="0000EE"/>
                  <w:w w:val="93"/>
                </w:rPr>
                <w:t>Form of Underwriting Agreement.</w:t>
              </w:r>
            </w:hyperlink>
          </w:p>
        </w:tc>
        <w:tc>
          <w:tcPr>
            <w:tcW w:w="74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9920" w:type="dxa"/>
            <w:vAlign w:val="bottom"/>
            <w:gridSpan w:val="18"/>
          </w:tcPr>
          <w:p>
            <w:pPr>
              <w:spacing w:after="0"/>
              <w:rPr>
                <w:rFonts w:ascii="Arial" w:cs="Arial" w:eastAsia="Arial" w:hAnsi="Arial"/>
                <w:sz w:val="18"/>
                <w:szCs w:val="18"/>
                <w:color w:val="0000EE"/>
              </w:rPr>
            </w:pPr>
            <w:hyperlink r:id="rId22">
              <w:r>
                <w:rPr>
                  <w:rFonts w:ascii="Arial" w:cs="Arial" w:eastAsia="Arial" w:hAnsi="Arial"/>
                  <w:sz w:val="18"/>
                  <w:szCs w:val="18"/>
                  <w:color w:val="0000EE"/>
                </w:rPr>
                <w:t>Amended and Restated Certificate of Incorporation of the Registrant (as amended and currently in effect).</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7620" w:type="dxa"/>
            <w:vAlign w:val="bottom"/>
            <w:tcBorders>
              <w:top w:val="single" w:sz="8" w:color="0000EE"/>
            </w:tcBorders>
            <w:gridSpan w:val="13"/>
          </w:tcPr>
          <w:p>
            <w:pPr>
              <w:spacing w:after="0"/>
              <w:rPr>
                <w:rFonts w:ascii="Arial" w:cs="Arial" w:eastAsia="Arial" w:hAnsi="Arial"/>
                <w:sz w:val="18"/>
                <w:szCs w:val="18"/>
                <w:color w:val="0000EE"/>
                <w:w w:val="98"/>
              </w:rPr>
            </w:pPr>
            <w:hyperlink r:id="rId23">
              <w:r>
                <w:rPr>
                  <w:rFonts w:ascii="Arial" w:cs="Arial" w:eastAsia="Arial" w:hAnsi="Arial"/>
                  <w:sz w:val="18"/>
                  <w:szCs w:val="18"/>
                  <w:color w:val="0000EE"/>
                  <w:w w:val="98"/>
                </w:rPr>
                <w:t>Certificate of Amendment to Amended and Restated Certificate of Incorporation of the Registrant.</w:t>
              </w:r>
            </w:hyperlink>
          </w:p>
        </w:tc>
        <w:tc>
          <w:tcPr>
            <w:tcW w:w="2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7100" w:type="dxa"/>
            <w:vAlign w:val="bottom"/>
            <w:tcBorders>
              <w:top w:val="single" w:sz="8" w:color="0000EE"/>
            </w:tcBorders>
            <w:gridSpan w:val="12"/>
          </w:tcPr>
          <w:p>
            <w:pPr>
              <w:spacing w:after="0"/>
              <w:rPr>
                <w:rFonts w:ascii="Arial" w:cs="Arial" w:eastAsia="Arial" w:hAnsi="Arial"/>
                <w:sz w:val="18"/>
                <w:szCs w:val="18"/>
                <w:color w:val="0000EE"/>
              </w:rPr>
            </w:pPr>
            <w:hyperlink r:id="rId24">
              <w:r>
                <w:rPr>
                  <w:rFonts w:ascii="Arial" w:cs="Arial" w:eastAsia="Arial" w:hAnsi="Arial"/>
                  <w:sz w:val="18"/>
                  <w:szCs w:val="18"/>
                  <w:color w:val="0000EE"/>
                </w:rPr>
                <w:t>Bylaws of the Registrant (currently in effect).</w:t>
              </w:r>
            </w:hyperlink>
          </w:p>
        </w:tc>
        <w:tc>
          <w:tcPr>
            <w:tcW w:w="28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4"/>
                <w:szCs w:val="24"/>
                <w:color w:val="auto"/>
              </w:rPr>
            </w:pPr>
          </w:p>
        </w:tc>
        <w:tc>
          <w:tcPr>
            <w:tcW w:w="9160" w:type="dxa"/>
            <w:vAlign w:val="bottom"/>
            <w:tcBorders>
              <w:bottom w:val="single" w:sz="8" w:color="0000EE"/>
            </w:tcBorders>
            <w:gridSpan w:val="16"/>
          </w:tcPr>
          <w:p>
            <w:pPr>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Form of Amended and Restated Certificate of Incorporation of the Registrant (to be effective upon the closing of this offering).</w:t>
              </w:r>
            </w:hyperlink>
          </w:p>
        </w:tc>
        <w:tc>
          <w:tcPr>
            <w:tcW w:w="7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24"/>
                <w:szCs w:val="24"/>
                <w:color w:val="auto"/>
              </w:rPr>
            </w:pPr>
          </w:p>
        </w:tc>
        <w:tc>
          <w:tcPr>
            <w:tcW w:w="9920" w:type="dxa"/>
            <w:vAlign w:val="bottom"/>
            <w:gridSpan w:val="18"/>
          </w:tcPr>
          <w:p>
            <w:pPr>
              <w:spacing w:after="0"/>
              <w:rPr>
                <w:rFonts w:ascii="Arial" w:cs="Arial" w:eastAsia="Arial" w:hAnsi="Arial"/>
                <w:sz w:val="18"/>
                <w:szCs w:val="18"/>
                <w:color w:val="0000EE"/>
              </w:rPr>
            </w:pPr>
            <w:hyperlink r:id="rId26">
              <w:r>
                <w:rPr>
                  <w:rFonts w:ascii="Arial" w:cs="Arial" w:eastAsia="Arial" w:hAnsi="Arial"/>
                  <w:sz w:val="18"/>
                  <w:szCs w:val="18"/>
                  <w:color w:val="0000EE"/>
                </w:rPr>
                <w:t>Form of Amended and Restated Bylaws of the Registrant (to be effective upon the closing of this offering).</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920" w:type="dxa"/>
            <w:vAlign w:val="bottom"/>
            <w:tcBorders>
              <w:bottom w:val="single" w:sz="8" w:color="0000EE"/>
            </w:tcBorders>
            <w:gridSpan w:val="18"/>
          </w:tcPr>
          <w:p>
            <w:pPr>
              <w:spacing w:after="0"/>
              <w:rPr>
                <w:rFonts w:ascii="Arial" w:cs="Arial" w:eastAsia="Arial" w:hAnsi="Arial"/>
                <w:sz w:val="18"/>
                <w:szCs w:val="18"/>
                <w:color w:val="0000EE"/>
                <w:w w:val="90"/>
              </w:rPr>
            </w:pPr>
            <w:hyperlink r:id="rId27">
              <w:r>
                <w:rPr>
                  <w:rFonts w:ascii="Arial" w:cs="Arial" w:eastAsia="Arial" w:hAnsi="Arial"/>
                  <w:sz w:val="18"/>
                  <w:szCs w:val="18"/>
                  <w:color w:val="0000EE"/>
                  <w:w w:val="90"/>
                </w:rPr>
                <w:t>Second Amended and Restated Investors’ Rights Agreement, by and among the Registrant and certain of its stockholders, dated April 16,</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27">
              <w:r>
                <w:rPr>
                  <w:rFonts w:ascii="Arial" w:cs="Arial" w:eastAsia="Arial" w:hAnsi="Arial"/>
                  <w:sz w:val="18"/>
                  <w:szCs w:val="18"/>
                  <w:color w:val="0000EE"/>
                  <w:w w:val="84"/>
                </w:rPr>
                <w:t>2021.</w:t>
              </w:r>
            </w:hyperlink>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9920" w:type="dxa"/>
            <w:vAlign w:val="bottom"/>
            <w:gridSpan w:val="18"/>
          </w:tcPr>
          <w:p>
            <w:pPr>
              <w:spacing w:after="0"/>
              <w:rPr>
                <w:rFonts w:ascii="Arial" w:cs="Arial" w:eastAsia="Arial" w:hAnsi="Arial"/>
                <w:sz w:val="18"/>
                <w:szCs w:val="18"/>
                <w:color w:val="0000EE"/>
              </w:rPr>
            </w:pPr>
            <w:hyperlink r:id="rId28">
              <w:r>
                <w:rPr>
                  <w:rFonts w:ascii="Arial" w:cs="Arial" w:eastAsia="Arial" w:hAnsi="Arial"/>
                  <w:sz w:val="18"/>
                  <w:szCs w:val="18"/>
                  <w:color w:val="0000EE"/>
                </w:rPr>
                <w:t>Opinion of Cooley LLP.</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9920" w:type="dxa"/>
            <w:vAlign w:val="bottom"/>
            <w:gridSpan w:val="18"/>
          </w:tcPr>
          <w:p>
            <w:pPr>
              <w:spacing w:after="0"/>
              <w:rPr>
                <w:rFonts w:ascii="Arial" w:cs="Arial" w:eastAsia="Arial" w:hAnsi="Arial"/>
                <w:sz w:val="18"/>
                <w:szCs w:val="18"/>
                <w:color w:val="0000EE"/>
              </w:rPr>
            </w:pPr>
            <w:hyperlink r:id="rId29">
              <w:r>
                <w:rPr>
                  <w:rFonts w:ascii="Arial" w:cs="Arial" w:eastAsia="Arial" w:hAnsi="Arial"/>
                  <w:sz w:val="18"/>
                  <w:szCs w:val="18"/>
                  <w:color w:val="0000EE"/>
                </w:rPr>
                <w:t>2020 Equity Incentive Plan and Forms of Stock Option Agreement, Notice of Stock Option Grant and Notice of Exercise.</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3"/>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4"/>
                <w:szCs w:val="24"/>
                <w:color w:val="auto"/>
              </w:rPr>
            </w:pPr>
          </w:p>
        </w:tc>
        <w:tc>
          <w:tcPr>
            <w:tcW w:w="9920" w:type="dxa"/>
            <w:vAlign w:val="bottom"/>
            <w:tcBorders>
              <w:bottom w:val="single" w:sz="8" w:color="0000EE"/>
            </w:tcBorders>
            <w:gridSpan w:val="18"/>
          </w:tcPr>
          <w:p>
            <w:pPr>
              <w:spacing w:after="0"/>
              <w:rPr>
                <w:rFonts w:ascii="Arial" w:cs="Arial" w:eastAsia="Arial" w:hAnsi="Arial"/>
                <w:sz w:val="18"/>
                <w:szCs w:val="18"/>
                <w:color w:val="0000EE"/>
                <w:w w:val="93"/>
              </w:rPr>
            </w:pPr>
            <w:hyperlink r:id="rId30">
              <w:r>
                <w:rPr>
                  <w:rFonts w:ascii="Arial" w:cs="Arial" w:eastAsia="Arial" w:hAnsi="Arial"/>
                  <w:sz w:val="18"/>
                  <w:szCs w:val="18"/>
                  <w:color w:val="0000EE"/>
                  <w:w w:val="93"/>
                </w:rPr>
                <w:t>2021 Equity Incentive Plan and Forms of Stock Option Grant Notice, Stock Option Agreement, Notice of Exercise, RSU Award Grant</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gridSpan w:val="18"/>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Notice and RSU Award Agreement.</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4"/>
                <w:szCs w:val="24"/>
                <w:color w:val="auto"/>
              </w:rPr>
            </w:pPr>
          </w:p>
        </w:tc>
        <w:tc>
          <w:tcPr>
            <w:tcW w:w="2700" w:type="dxa"/>
            <w:vAlign w:val="bottom"/>
            <w:tcBorders>
              <w:bottom w:val="single" w:sz="8" w:color="0000EE"/>
            </w:tcBorders>
            <w:gridSpan w:val="6"/>
          </w:tcPr>
          <w:p>
            <w:pPr>
              <w:spacing w:after="0"/>
              <w:rPr>
                <w:rFonts w:ascii="Arial" w:cs="Arial" w:eastAsia="Arial" w:hAnsi="Arial"/>
                <w:sz w:val="18"/>
                <w:szCs w:val="18"/>
                <w:color w:val="0000EE"/>
                <w:w w:val="88"/>
              </w:rPr>
            </w:pPr>
            <w:hyperlink r:id="rId31">
              <w:r>
                <w:rPr>
                  <w:rFonts w:ascii="Arial" w:cs="Arial" w:eastAsia="Arial" w:hAnsi="Arial"/>
                  <w:sz w:val="18"/>
                  <w:szCs w:val="18"/>
                  <w:color w:val="0000EE"/>
                  <w:w w:val="88"/>
                </w:rPr>
                <w:t>2021 Employee Stock Purchase Plan.</w:t>
              </w:r>
            </w:hyperlink>
          </w:p>
        </w:tc>
        <w:tc>
          <w:tcPr>
            <w:tcW w:w="72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5460" w:type="dxa"/>
            <w:vAlign w:val="bottom"/>
            <w:tcBorders>
              <w:bottom w:val="single" w:sz="8" w:color="0000EE"/>
            </w:tcBorders>
            <w:gridSpan w:val="9"/>
          </w:tcPr>
          <w:p>
            <w:pPr>
              <w:spacing w:after="0"/>
              <w:rPr>
                <w:rFonts w:ascii="Arial" w:cs="Arial" w:eastAsia="Arial" w:hAnsi="Arial"/>
                <w:sz w:val="18"/>
                <w:szCs w:val="18"/>
                <w:color w:val="0000EE"/>
                <w:w w:val="92"/>
              </w:rPr>
            </w:pPr>
            <w:hyperlink r:id="rId32">
              <w:r>
                <w:rPr>
                  <w:rFonts w:ascii="Arial" w:cs="Arial" w:eastAsia="Arial" w:hAnsi="Arial"/>
                  <w:sz w:val="18"/>
                  <w:szCs w:val="18"/>
                  <w:color w:val="0000EE"/>
                  <w:w w:val="92"/>
                </w:rPr>
                <w:t>Form of Indemnification Agreement with Executive Officers and Directors.</w:t>
              </w:r>
            </w:hyperlink>
          </w:p>
        </w:tc>
        <w:tc>
          <w:tcPr>
            <w:tcW w:w="4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10.5†#*</w:t>
            </w:r>
          </w:p>
        </w:tc>
        <w:tc>
          <w:tcPr>
            <w:tcW w:w="520" w:type="dxa"/>
            <w:vAlign w:val="bottom"/>
          </w:tcPr>
          <w:p>
            <w:pPr>
              <w:spacing w:after="0"/>
              <w:rPr>
                <w:sz w:val="24"/>
                <w:szCs w:val="24"/>
                <w:color w:val="auto"/>
              </w:rPr>
            </w:pPr>
          </w:p>
        </w:tc>
        <w:tc>
          <w:tcPr>
            <w:tcW w:w="7720" w:type="dxa"/>
            <w:vAlign w:val="bottom"/>
            <w:tcBorders>
              <w:bottom w:val="single" w:sz="8" w:color="0000EE"/>
            </w:tcBorders>
            <w:gridSpan w:val="14"/>
          </w:tcPr>
          <w:p>
            <w:pPr>
              <w:spacing w:after="0"/>
              <w:rPr>
                <w:rFonts w:ascii="Arial" w:cs="Arial" w:eastAsia="Arial" w:hAnsi="Arial"/>
                <w:sz w:val="18"/>
                <w:szCs w:val="18"/>
                <w:color w:val="0000EE"/>
                <w:w w:val="90"/>
              </w:rPr>
            </w:pPr>
            <w:hyperlink r:id="rId33">
              <w:r>
                <w:rPr>
                  <w:rFonts w:ascii="Arial" w:cs="Arial" w:eastAsia="Arial" w:hAnsi="Arial"/>
                  <w:sz w:val="18"/>
                  <w:szCs w:val="18"/>
                  <w:color w:val="0000EE"/>
                  <w:w w:val="90"/>
                </w:rPr>
                <w:t>Assignment and License Agreement by and between the Registrant and Adimab, LLC, dated July 8, 2020.</w:t>
              </w:r>
            </w:hyperlink>
          </w:p>
        </w:tc>
        <w:tc>
          <w:tcPr>
            <w:tcW w:w="2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10.6†#*</w:t>
            </w:r>
          </w:p>
        </w:tc>
        <w:tc>
          <w:tcPr>
            <w:tcW w:w="520" w:type="dxa"/>
            <w:vAlign w:val="bottom"/>
          </w:tcPr>
          <w:p>
            <w:pPr>
              <w:spacing w:after="0"/>
              <w:rPr>
                <w:sz w:val="24"/>
                <w:szCs w:val="24"/>
                <w:color w:val="auto"/>
              </w:rPr>
            </w:pPr>
          </w:p>
        </w:tc>
        <w:tc>
          <w:tcPr>
            <w:tcW w:w="7000" w:type="dxa"/>
            <w:vAlign w:val="bottom"/>
            <w:tcBorders>
              <w:bottom w:val="single" w:sz="8" w:color="0000EE"/>
            </w:tcBorders>
            <w:gridSpan w:val="11"/>
          </w:tcPr>
          <w:p>
            <w:pPr>
              <w:spacing w:after="0"/>
              <w:rPr>
                <w:rFonts w:ascii="Arial" w:cs="Arial" w:eastAsia="Arial" w:hAnsi="Arial"/>
                <w:sz w:val="18"/>
                <w:szCs w:val="18"/>
                <w:color w:val="0000EE"/>
                <w:w w:val="91"/>
              </w:rPr>
            </w:pPr>
            <w:hyperlink r:id="rId34">
              <w:r>
                <w:rPr>
                  <w:rFonts w:ascii="Arial" w:cs="Arial" w:eastAsia="Arial" w:hAnsi="Arial"/>
                  <w:sz w:val="18"/>
                  <w:szCs w:val="18"/>
                  <w:color w:val="0000EE"/>
                  <w:w w:val="91"/>
                </w:rPr>
                <w:t>Collaboration Agreement by and between the Registrant and Adimab, LLC, dated May 21, 2021.</w:t>
              </w:r>
            </w:hyperlink>
          </w:p>
        </w:tc>
        <w:tc>
          <w:tcPr>
            <w:tcW w:w="29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10.7†#*</w:t>
            </w:r>
          </w:p>
        </w:tc>
        <w:tc>
          <w:tcPr>
            <w:tcW w:w="520" w:type="dxa"/>
            <w:vAlign w:val="bottom"/>
          </w:tcPr>
          <w:p>
            <w:pPr>
              <w:spacing w:after="0"/>
              <w:rPr>
                <w:sz w:val="24"/>
                <w:szCs w:val="24"/>
                <w:color w:val="auto"/>
              </w:rPr>
            </w:pPr>
          </w:p>
        </w:tc>
        <w:tc>
          <w:tcPr>
            <w:tcW w:w="9920" w:type="dxa"/>
            <w:vAlign w:val="bottom"/>
            <w:gridSpan w:val="18"/>
          </w:tcPr>
          <w:p>
            <w:pPr>
              <w:spacing w:after="0"/>
              <w:rPr>
                <w:rFonts w:ascii="Arial" w:cs="Arial" w:eastAsia="Arial" w:hAnsi="Arial"/>
                <w:sz w:val="18"/>
                <w:szCs w:val="18"/>
                <w:color w:val="0000EE"/>
                <w:w w:val="97"/>
              </w:rPr>
            </w:pPr>
            <w:hyperlink r:id="rId35">
              <w:r>
                <w:rPr>
                  <w:rFonts w:ascii="Arial" w:cs="Arial" w:eastAsia="Arial" w:hAnsi="Arial"/>
                  <w:sz w:val="18"/>
                  <w:szCs w:val="18"/>
                  <w:color w:val="0000EE"/>
                  <w:w w:val="97"/>
                </w:rPr>
                <w:t>Commercial Manufacturing Services Agreement by and between the Registrant and WuXi Biologics (Hong Kong) Limited, dated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December 24,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20"/>
          </w:cols>
          <w:pgMar w:left="440" w:top="274"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0" w:type="dxa"/>
            <w:vAlign w:val="bottom"/>
            <w:gridSpan w:val="7"/>
            <w:vMerge w:val="restart"/>
          </w:tcPr>
          <w:p>
            <w:pPr>
              <w:ind w:left="7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10.8†#*</w:t>
            </w:r>
          </w:p>
        </w:tc>
        <w:tc>
          <w:tcPr>
            <w:tcW w:w="520" w:type="dxa"/>
            <w:vAlign w:val="bottom"/>
          </w:tcPr>
          <w:p>
            <w:pPr>
              <w:spacing w:after="0"/>
              <w:rPr>
                <w:sz w:val="24"/>
                <w:szCs w:val="24"/>
                <w:color w:val="auto"/>
              </w:rPr>
            </w:pPr>
          </w:p>
        </w:tc>
        <w:tc>
          <w:tcPr>
            <w:tcW w:w="9380" w:type="dxa"/>
            <w:vAlign w:val="bottom"/>
            <w:tcBorders>
              <w:bottom w:val="single" w:sz="8" w:color="0000EE"/>
            </w:tcBorders>
            <w:gridSpan w:val="10"/>
          </w:tcPr>
          <w:p>
            <w:pPr>
              <w:spacing w:after="0"/>
              <w:rPr>
                <w:rFonts w:ascii="Arial" w:cs="Arial" w:eastAsia="Arial" w:hAnsi="Arial"/>
                <w:sz w:val="18"/>
                <w:szCs w:val="18"/>
                <w:color w:val="0000EE"/>
                <w:w w:val="91"/>
              </w:rPr>
            </w:pPr>
            <w:hyperlink r:id="rId36">
              <w:r>
                <w:rPr>
                  <w:rFonts w:ascii="Arial" w:cs="Arial" w:eastAsia="Arial" w:hAnsi="Arial"/>
                  <w:sz w:val="18"/>
                  <w:szCs w:val="18"/>
                  <w:color w:val="0000EE"/>
                  <w:w w:val="91"/>
                </w:rPr>
                <w:t>Cell Line License Agreement by and between the Registrant and WuXi Biologics (Hong Kong) Limited, dated December 2, 2020.</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4"/>
                <w:szCs w:val="24"/>
                <w:color w:val="auto"/>
              </w:rPr>
            </w:pPr>
          </w:p>
        </w:tc>
        <w:tc>
          <w:tcPr>
            <w:tcW w:w="79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Form of Employment Agreement to be entered into by and between the Registrant and Tillman U. Gerngross.</w:t>
              </w:r>
            </w:hyperlink>
          </w:p>
        </w:tc>
        <w:tc>
          <w:tcPr>
            <w:tcW w:w="14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520" w:type="dxa"/>
            <w:vAlign w:val="bottom"/>
          </w:tcPr>
          <w:p>
            <w:pPr>
              <w:spacing w:after="0"/>
              <w:rPr>
                <w:sz w:val="24"/>
                <w:szCs w:val="24"/>
                <w:color w:val="auto"/>
              </w:rPr>
            </w:pPr>
          </w:p>
        </w:tc>
        <w:tc>
          <w:tcPr>
            <w:tcW w:w="91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Form of Amended and Restated Employment Agreement to be entered into by and between the Registrant and Lynn Connolly.</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520" w:type="dxa"/>
            <w:vAlign w:val="bottom"/>
          </w:tcPr>
          <w:p>
            <w:pPr>
              <w:spacing w:after="0"/>
              <w:rPr>
                <w:sz w:val="24"/>
                <w:szCs w:val="24"/>
                <w:color w:val="auto"/>
              </w:rPr>
            </w:pPr>
          </w:p>
        </w:tc>
        <w:tc>
          <w:tcPr>
            <w:tcW w:w="9380" w:type="dxa"/>
            <w:vAlign w:val="bottom"/>
            <w:gridSpan w:val="1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Form of Employment Agreement to be entered into by and between the Registrant and Rebecca Dabora.</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520" w:type="dxa"/>
            <w:vAlign w:val="bottom"/>
          </w:tcPr>
          <w:p>
            <w:pPr>
              <w:spacing w:after="0"/>
              <w:rPr>
                <w:sz w:val="24"/>
                <w:szCs w:val="24"/>
                <w:color w:val="auto"/>
              </w:rPr>
            </w:pPr>
          </w:p>
        </w:tc>
        <w:tc>
          <w:tcPr>
            <w:tcW w:w="218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r:id="rId37">
              <w:r>
                <w:rPr>
                  <w:rFonts w:ascii="Arial" w:cs="Arial" w:eastAsia="Arial" w:hAnsi="Arial"/>
                  <w:sz w:val="18"/>
                  <w:szCs w:val="18"/>
                  <w:color w:val="0000EE"/>
                  <w:w w:val="89"/>
                </w:rPr>
                <w:t>Subsidiaries of the Registrant.</w:t>
              </w:r>
            </w:hyperlink>
          </w:p>
        </w:tc>
        <w:tc>
          <w:tcPr>
            <w:tcW w:w="5320" w:type="dxa"/>
            <w:vAlign w:val="bottom"/>
            <w:tcBorders>
              <w:top w:val="single" w:sz="8" w:color="0000EE"/>
            </w:tcBorders>
            <w:gridSpan w:val="6"/>
          </w:tcPr>
          <w:p>
            <w:pPr>
              <w:spacing w:after="0"/>
              <w:rPr>
                <w:sz w:val="24"/>
                <w:szCs w:val="24"/>
                <w:color w:val="auto"/>
              </w:rPr>
            </w:pPr>
          </w:p>
        </w:tc>
        <w:tc>
          <w:tcPr>
            <w:tcW w:w="1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6420" w:type="dxa"/>
            <w:vAlign w:val="bottom"/>
            <w:tcBorders>
              <w:bottom w:val="single" w:sz="8" w:color="0000EE"/>
            </w:tcBorders>
            <w:gridSpan w:val="6"/>
          </w:tcPr>
          <w:p>
            <w:pPr>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Consent of PricewaterhouseCoopers LLP, independent registered public accounting firm.</w:t>
              </w:r>
            </w:hyperlink>
          </w:p>
        </w:tc>
        <w:tc>
          <w:tcPr>
            <w:tcW w:w="29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3580" w:type="dxa"/>
            <w:vAlign w:val="bottom"/>
            <w:tcBorders>
              <w:bottom w:val="single" w:sz="8" w:color="0000EE"/>
            </w:tcBorders>
            <w:gridSpan w:val="3"/>
          </w:tcPr>
          <w:p>
            <w:pPr>
              <w:spacing w:after="0"/>
              <w:rPr>
                <w:rFonts w:ascii="Arial" w:cs="Arial" w:eastAsia="Arial" w:hAnsi="Arial"/>
                <w:sz w:val="18"/>
                <w:szCs w:val="18"/>
                <w:color w:val="0000EE"/>
                <w:w w:val="93"/>
              </w:rPr>
            </w:pPr>
            <w:hyperlink r:id="rId28">
              <w:r>
                <w:rPr>
                  <w:rFonts w:ascii="Arial" w:cs="Arial" w:eastAsia="Arial" w:hAnsi="Arial"/>
                  <w:sz w:val="18"/>
                  <w:szCs w:val="18"/>
                  <w:color w:val="0000EE"/>
                  <w:w w:val="93"/>
                </w:rPr>
                <w:t>Consent of Cooley LLP (included in Exhibit 5.1).</w:t>
              </w:r>
            </w:hyperlink>
          </w:p>
        </w:tc>
        <w:tc>
          <w:tcPr>
            <w:tcW w:w="58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9380" w:type="dxa"/>
            <w:vAlign w:val="bottom"/>
            <w:gridSpan w:val="10"/>
          </w:tcPr>
          <w:p>
            <w:pPr>
              <w:spacing w:after="0"/>
              <w:rPr>
                <w:rFonts w:ascii="Arial" w:cs="Arial" w:eastAsia="Arial" w:hAnsi="Arial"/>
                <w:sz w:val="18"/>
                <w:szCs w:val="18"/>
                <w:color w:val="0000EE"/>
              </w:rPr>
            </w:pPr>
            <w:hyperlink r:id="rId39">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424" w:right="20" w:hanging="424"/>
        <w:spacing w:after="0" w:line="25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portions of this exhibit (indicated by asterisks) have been omitted because they are not material and are the type that the Registrant treats as private or confidential.</w:t>
      </w:r>
    </w:p>
    <w:p>
      <w:pPr>
        <w:spacing w:after="0" w:line="1"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9" w:lineRule="exact"/>
        <w:rPr>
          <w:sz w:val="20"/>
          <w:szCs w:val="20"/>
          <w:color w:val="auto"/>
        </w:rPr>
      </w:pPr>
    </w:p>
    <w:p>
      <w:pPr>
        <w:ind w:left="424" w:right="20" w:hanging="424"/>
        <w:spacing w:after="0" w:line="26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schedules to this agreement have been omitted in accordance with Item 601(b)(2) of Regulation S-K. A copy of any omitted schedules will be furnished supplementally to the SEC upon request.</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jc w:val="both"/>
        <w:ind w:left="4" w:right="2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jc w:val="both"/>
        <w:ind w:left="4" w:firstLine="44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24"/>
          </w:cols>
          <w:pgMar w:left="436" w:top="253"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Registrant hereby undertakes that:</w:t>
      </w:r>
    </w:p>
    <w:p>
      <w:pPr>
        <w:spacing w:after="0" w:line="131" w:lineRule="exact"/>
        <w:rPr>
          <w:sz w:val="20"/>
          <w:szCs w:val="20"/>
          <w:color w:val="auto"/>
        </w:rPr>
      </w:pPr>
    </w:p>
    <w:p>
      <w:pPr>
        <w:jc w:val="both"/>
        <w:ind w:left="520" w:hanging="418"/>
        <w:spacing w:after="0" w:line="291"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520" w:right="20" w:firstLine="8"/>
        <w:spacing w:after="0" w:line="260" w:lineRule="auto"/>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or (4) or 497(h) under the Securities Act shall be deemed to be part of this Registration Statement as of the time it was declared effective.</w:t>
      </w:r>
    </w:p>
    <w:p>
      <w:pPr>
        <w:spacing w:after="0" w:line="90" w:lineRule="exact"/>
        <w:rPr>
          <w:rFonts w:ascii="Arial" w:cs="Arial" w:eastAsia="Arial" w:hAnsi="Arial"/>
          <w:sz w:val="18"/>
          <w:szCs w:val="18"/>
          <w:color w:val="auto"/>
        </w:rPr>
      </w:pPr>
    </w:p>
    <w:p>
      <w:pPr>
        <w:jc w:val="both"/>
        <w:ind w:left="520" w:right="20" w:hanging="418"/>
        <w:spacing w:after="0" w:line="263"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580"/>
          </w:cols>
          <w:pgMar w:left="880" w:top="274"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Waltham, Massachusetts, on this 4th day of August, 2021.</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Tillman U. Gerngross, Ph.D.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Co-Founder, Chief Executive Officer and Director</w:t>
      </w:r>
    </w:p>
    <w:p>
      <w:pPr>
        <w:spacing w:after="0" w:line="21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Signature</w:t>
            </w: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Date</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00" w:type="dxa"/>
            <w:vAlign w:val="bottom"/>
            <w:gridSpan w:val="3"/>
          </w:tcPr>
          <w:p>
            <w:pPr>
              <w:spacing w:after="0"/>
              <w:rPr>
                <w:sz w:val="20"/>
                <w:szCs w:val="20"/>
                <w:color w:val="auto"/>
              </w:rPr>
            </w:pPr>
            <w:r>
              <w:rPr>
                <w:rFonts w:ascii="Arial" w:cs="Arial" w:eastAsia="Arial" w:hAnsi="Arial"/>
                <w:sz w:val="18"/>
                <w:szCs w:val="18"/>
                <w:color w:val="auto"/>
                <w:w w:val="84"/>
              </w:rPr>
              <w:t>/s/ Tillman U. Gerngross,</w:t>
            </w:r>
          </w:p>
        </w:tc>
        <w:tc>
          <w:tcPr>
            <w:tcW w:w="600" w:type="dxa"/>
            <w:vAlign w:val="bottom"/>
          </w:tcPr>
          <w:p>
            <w:pPr>
              <w:ind w:left="160"/>
              <w:spacing w:after="0"/>
              <w:rPr>
                <w:sz w:val="20"/>
                <w:szCs w:val="20"/>
                <w:color w:val="auto"/>
              </w:rPr>
            </w:pPr>
            <w:r>
              <w:rPr>
                <w:rFonts w:ascii="Arial" w:cs="Arial" w:eastAsia="Arial" w:hAnsi="Arial"/>
                <w:sz w:val="18"/>
                <w:szCs w:val="18"/>
                <w:color w:val="auto"/>
                <w:w w:val="93"/>
              </w:rPr>
              <w:t>Ph.D.</w:t>
            </w:r>
          </w:p>
        </w:tc>
        <w:tc>
          <w:tcPr>
            <w:tcW w:w="1700" w:type="dxa"/>
            <w:vAlign w:val="bottom"/>
          </w:tcPr>
          <w:p>
            <w:pPr>
              <w:spacing w:after="0"/>
              <w:rPr>
                <w:sz w:val="18"/>
                <w:szCs w:val="18"/>
                <w:color w:val="auto"/>
              </w:rPr>
            </w:pPr>
          </w:p>
        </w:tc>
        <w:tc>
          <w:tcPr>
            <w:tcW w:w="2300" w:type="dxa"/>
            <w:vAlign w:val="bottom"/>
            <w:gridSpan w:val="2"/>
          </w:tcPr>
          <w:p>
            <w:pPr>
              <w:ind w:left="120"/>
              <w:spacing w:after="0"/>
              <w:rPr>
                <w:sz w:val="20"/>
                <w:szCs w:val="20"/>
                <w:color w:val="auto"/>
              </w:rPr>
            </w:pPr>
            <w:r>
              <w:rPr>
                <w:rFonts w:ascii="Arial" w:cs="Arial" w:eastAsia="Arial" w:hAnsi="Arial"/>
                <w:sz w:val="18"/>
                <w:szCs w:val="18"/>
                <w:color w:val="auto"/>
                <w:w w:val="93"/>
              </w:rPr>
              <w:t>Co-Founder, Chief Executive</w:t>
            </w:r>
          </w:p>
        </w:tc>
        <w:tc>
          <w:tcPr>
            <w:tcW w:w="2300" w:type="dxa"/>
            <w:vAlign w:val="bottom"/>
            <w:gridSpan w:val="2"/>
          </w:tcPr>
          <w:p>
            <w:pPr>
              <w:spacing w:after="0"/>
              <w:rPr>
                <w:sz w:val="20"/>
                <w:szCs w:val="20"/>
                <w:color w:val="auto"/>
              </w:rPr>
            </w:pPr>
            <w:r>
              <w:rPr>
                <w:rFonts w:ascii="Arial" w:cs="Arial" w:eastAsia="Arial" w:hAnsi="Arial"/>
                <w:sz w:val="18"/>
                <w:szCs w:val="18"/>
                <w:color w:val="auto"/>
              </w:rPr>
              <w:t>Officer and Director</w:t>
            </w:r>
          </w:p>
        </w:tc>
        <w:tc>
          <w:tcPr>
            <w:tcW w:w="1260" w:type="dxa"/>
            <w:vAlign w:val="bottom"/>
          </w:tcPr>
          <w:p>
            <w:pPr>
              <w:ind w:left="860"/>
              <w:spacing w:after="0"/>
              <w:rPr>
                <w:sz w:val="20"/>
                <w:szCs w:val="20"/>
                <w:color w:val="auto"/>
              </w:rPr>
            </w:pPr>
            <w:r>
              <w:rPr>
                <w:rFonts w:ascii="Arial" w:cs="Arial" w:eastAsia="Arial" w:hAnsi="Arial"/>
                <w:sz w:val="17"/>
                <w:szCs w:val="17"/>
                <w:color w:val="auto"/>
                <w:w w:val="71"/>
              </w:rPr>
              <w:t>August</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20" w:type="dxa"/>
            <w:vAlign w:val="bottom"/>
            <w:gridSpan w:val="3"/>
            <w:shd w:val="clear" w:color="auto" w:fill="000000"/>
          </w:tcPr>
          <w:p>
            <w:pPr>
              <w:spacing w:after="0" w:line="20" w:lineRule="exact"/>
              <w:rPr>
                <w:sz w:val="1"/>
                <w:szCs w:val="1"/>
                <w:color w:val="auto"/>
              </w:rPr>
            </w:pPr>
          </w:p>
        </w:tc>
        <w:tc>
          <w:tcPr>
            <w:tcW w:w="4600" w:type="dxa"/>
            <w:vAlign w:val="bottom"/>
            <w:gridSpan w:val="4"/>
            <w:vMerge w:val="restart"/>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gridSpan w:val="5"/>
          </w:tcPr>
          <w:p>
            <w:pPr>
              <w:spacing w:after="0"/>
              <w:rPr>
                <w:sz w:val="20"/>
                <w:szCs w:val="20"/>
                <w:color w:val="auto"/>
              </w:rPr>
            </w:pPr>
            <w:r>
              <w:rPr>
                <w:rFonts w:ascii="Arial" w:cs="Arial" w:eastAsia="Arial" w:hAnsi="Arial"/>
                <w:sz w:val="18"/>
                <w:szCs w:val="18"/>
                <w:color w:val="auto"/>
              </w:rPr>
              <w:t>Tillman U. Gerngross, Ph.D.</w:t>
            </w:r>
          </w:p>
        </w:tc>
        <w:tc>
          <w:tcPr>
            <w:tcW w:w="4600" w:type="dxa"/>
            <w:vAlign w:val="bottom"/>
            <w:gridSpan w:val="4"/>
            <w:vMerge w:val="continue"/>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000" w:type="dxa"/>
            <w:vAlign w:val="bottom"/>
            <w:gridSpan w:val="5"/>
          </w:tcPr>
          <w:p>
            <w:pPr>
              <w:spacing w:after="0"/>
              <w:rPr>
                <w:sz w:val="20"/>
                <w:szCs w:val="20"/>
                <w:color w:val="auto"/>
              </w:rPr>
            </w:pPr>
            <w:r>
              <w:rPr>
                <w:rFonts w:ascii="Arial" w:cs="Arial" w:eastAsia="Arial" w:hAnsi="Arial"/>
                <w:sz w:val="18"/>
                <w:szCs w:val="18"/>
                <w:color w:val="auto"/>
              </w:rPr>
              <w:t>/s/ Jane Pritchett Henderson</w:t>
            </w: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Chief Financial Officer</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August 4, 2021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20" w:type="dxa"/>
            <w:vAlign w:val="bottom"/>
            <w:gridSpan w:val="3"/>
            <w:shd w:val="clear" w:color="auto" w:fill="000000"/>
          </w:tcPr>
          <w:p>
            <w:pPr>
              <w:spacing w:after="0" w:line="20" w:lineRule="exact"/>
              <w:rPr>
                <w:sz w:val="1"/>
                <w:szCs w:val="1"/>
                <w:color w:val="auto"/>
              </w:rPr>
            </w:pPr>
          </w:p>
        </w:tc>
        <w:tc>
          <w:tcPr>
            <w:tcW w:w="4600" w:type="dxa"/>
            <w:vAlign w:val="bottom"/>
            <w:gridSpan w:val="4"/>
            <w:vMerge w:val="restart"/>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gridSpan w:val="5"/>
          </w:tcPr>
          <w:p>
            <w:pPr>
              <w:spacing w:after="0"/>
              <w:rPr>
                <w:sz w:val="20"/>
                <w:szCs w:val="20"/>
                <w:color w:val="auto"/>
              </w:rPr>
            </w:pPr>
            <w:r>
              <w:rPr>
                <w:rFonts w:ascii="Arial" w:cs="Arial" w:eastAsia="Arial" w:hAnsi="Arial"/>
                <w:sz w:val="18"/>
                <w:szCs w:val="18"/>
                <w:color w:val="auto"/>
              </w:rPr>
              <w:t>Jane Pritchett Henderson</w:t>
            </w:r>
          </w:p>
        </w:tc>
        <w:tc>
          <w:tcPr>
            <w:tcW w:w="4600" w:type="dxa"/>
            <w:vAlign w:val="bottom"/>
            <w:gridSpan w:val="4"/>
            <w:vMerge w:val="continue"/>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Co-Founder, Director and Chair of the Board</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August 4, 2021</w:t>
            </w:r>
          </w:p>
        </w:tc>
        <w:tc>
          <w:tcPr>
            <w:tcW w:w="0" w:type="dxa"/>
            <w:vAlign w:val="bottom"/>
          </w:tcPr>
          <w:p>
            <w:pPr>
              <w:spacing w:after="0"/>
              <w:rPr>
                <w:sz w:val="1"/>
                <w:szCs w:val="1"/>
                <w:color w:val="auto"/>
              </w:rPr>
            </w:pPr>
          </w:p>
        </w:tc>
      </w:tr>
      <w:tr>
        <w:trPr>
          <w:trHeight w:val="224"/>
        </w:trPr>
        <w:tc>
          <w:tcPr>
            <w:tcW w:w="4000" w:type="dxa"/>
            <w:vAlign w:val="bottom"/>
            <w:gridSpan w:val="5"/>
          </w:tcPr>
          <w:p>
            <w:pPr>
              <w:spacing w:after="0"/>
              <w:rPr>
                <w:sz w:val="20"/>
                <w:szCs w:val="20"/>
                <w:color w:val="auto"/>
              </w:rPr>
            </w:pPr>
            <w:r>
              <w:rPr>
                <w:rFonts w:ascii="Arial" w:cs="Arial" w:eastAsia="Arial" w:hAnsi="Arial"/>
                <w:sz w:val="18"/>
                <w:szCs w:val="18"/>
                <w:color w:val="auto"/>
              </w:rPr>
              <w:t>René Russo, Pharm.D.</w:t>
            </w: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August 4, 2021</w:t>
            </w:r>
          </w:p>
        </w:tc>
        <w:tc>
          <w:tcPr>
            <w:tcW w:w="0" w:type="dxa"/>
            <w:vAlign w:val="bottom"/>
          </w:tcPr>
          <w:p>
            <w:pPr>
              <w:spacing w:after="0"/>
              <w:rPr>
                <w:sz w:val="1"/>
                <w:szCs w:val="1"/>
                <w:color w:val="auto"/>
              </w:rPr>
            </w:pPr>
          </w:p>
        </w:tc>
      </w:tr>
      <w:tr>
        <w:trPr>
          <w:trHeight w:val="224"/>
        </w:trPr>
        <w:tc>
          <w:tcPr>
            <w:tcW w:w="4000" w:type="dxa"/>
            <w:vAlign w:val="bottom"/>
            <w:gridSpan w:val="5"/>
          </w:tcPr>
          <w:p>
            <w:pPr>
              <w:spacing w:after="0"/>
              <w:rPr>
                <w:sz w:val="20"/>
                <w:szCs w:val="20"/>
                <w:color w:val="auto"/>
              </w:rPr>
            </w:pPr>
            <w:r>
              <w:rPr>
                <w:rFonts w:ascii="Arial" w:cs="Arial" w:eastAsia="Arial" w:hAnsi="Arial"/>
                <w:sz w:val="18"/>
                <w:szCs w:val="18"/>
                <w:color w:val="auto"/>
              </w:rPr>
              <w:t>Terrance McGuire</w:t>
            </w: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August 4, 2021</w:t>
            </w:r>
          </w:p>
        </w:tc>
        <w:tc>
          <w:tcPr>
            <w:tcW w:w="0" w:type="dxa"/>
            <w:vAlign w:val="bottom"/>
          </w:tcPr>
          <w:p>
            <w:pPr>
              <w:spacing w:after="0"/>
              <w:rPr>
                <w:sz w:val="1"/>
                <w:szCs w:val="1"/>
                <w:color w:val="auto"/>
              </w:rPr>
            </w:pPr>
          </w:p>
        </w:tc>
      </w:tr>
      <w:tr>
        <w:trPr>
          <w:trHeight w:val="224"/>
        </w:trPr>
        <w:tc>
          <w:tcPr>
            <w:tcW w:w="4000" w:type="dxa"/>
            <w:vAlign w:val="bottom"/>
            <w:gridSpan w:val="5"/>
          </w:tcPr>
          <w:p>
            <w:pPr>
              <w:spacing w:after="0"/>
              <w:rPr>
                <w:sz w:val="20"/>
                <w:szCs w:val="20"/>
                <w:color w:val="auto"/>
              </w:rPr>
            </w:pPr>
            <w:r>
              <w:rPr>
                <w:rFonts w:ascii="Arial" w:cs="Arial" w:eastAsia="Arial" w:hAnsi="Arial"/>
                <w:sz w:val="18"/>
                <w:szCs w:val="18"/>
                <w:color w:val="auto"/>
              </w:rPr>
              <w:t>Ajay Royan</w:t>
            </w: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August 4, 2021</w:t>
            </w:r>
          </w:p>
        </w:tc>
        <w:tc>
          <w:tcPr>
            <w:tcW w:w="0" w:type="dxa"/>
            <w:vAlign w:val="bottom"/>
          </w:tcPr>
          <w:p>
            <w:pPr>
              <w:spacing w:after="0"/>
              <w:rPr>
                <w:sz w:val="1"/>
                <w:szCs w:val="1"/>
                <w:color w:val="auto"/>
              </w:rPr>
            </w:pPr>
          </w:p>
        </w:tc>
      </w:tr>
      <w:tr>
        <w:trPr>
          <w:trHeight w:val="224"/>
        </w:trPr>
        <w:tc>
          <w:tcPr>
            <w:tcW w:w="4000" w:type="dxa"/>
            <w:vAlign w:val="bottom"/>
            <w:gridSpan w:val="5"/>
          </w:tcPr>
          <w:p>
            <w:pPr>
              <w:spacing w:after="0"/>
              <w:rPr>
                <w:sz w:val="20"/>
                <w:szCs w:val="20"/>
                <w:color w:val="auto"/>
              </w:rPr>
            </w:pPr>
            <w:r>
              <w:rPr>
                <w:rFonts w:ascii="Arial" w:cs="Arial" w:eastAsia="Arial" w:hAnsi="Arial"/>
                <w:sz w:val="18"/>
                <w:szCs w:val="18"/>
                <w:color w:val="auto"/>
              </w:rPr>
              <w:t>Howard Mayer, M.D.</w:t>
            </w: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August 4, 2021</w:t>
            </w:r>
          </w:p>
        </w:tc>
        <w:tc>
          <w:tcPr>
            <w:tcW w:w="0" w:type="dxa"/>
            <w:vAlign w:val="bottom"/>
          </w:tcPr>
          <w:p>
            <w:pPr>
              <w:spacing w:after="0"/>
              <w:rPr>
                <w:sz w:val="1"/>
                <w:szCs w:val="1"/>
                <w:color w:val="auto"/>
              </w:rPr>
            </w:pPr>
          </w:p>
        </w:tc>
      </w:tr>
      <w:tr>
        <w:trPr>
          <w:trHeight w:val="224"/>
        </w:trPr>
        <w:tc>
          <w:tcPr>
            <w:tcW w:w="4000" w:type="dxa"/>
            <w:vAlign w:val="bottom"/>
            <w:gridSpan w:val="5"/>
          </w:tcPr>
          <w:p>
            <w:pPr>
              <w:spacing w:after="0"/>
              <w:rPr>
                <w:sz w:val="20"/>
                <w:szCs w:val="20"/>
                <w:color w:val="auto"/>
              </w:rPr>
            </w:pPr>
            <w:r>
              <w:rPr>
                <w:rFonts w:ascii="Arial" w:cs="Arial" w:eastAsia="Arial" w:hAnsi="Arial"/>
                <w:sz w:val="18"/>
                <w:szCs w:val="18"/>
                <w:color w:val="auto"/>
              </w:rPr>
              <w:t>Anand Shah, M.D.</w:t>
            </w: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August 4, 2021</w:t>
            </w:r>
          </w:p>
        </w:tc>
        <w:tc>
          <w:tcPr>
            <w:tcW w:w="0" w:type="dxa"/>
            <w:vAlign w:val="bottom"/>
          </w:tcPr>
          <w:p>
            <w:pPr>
              <w:spacing w:after="0"/>
              <w:rPr>
                <w:sz w:val="1"/>
                <w:szCs w:val="1"/>
                <w:color w:val="auto"/>
              </w:rPr>
            </w:pPr>
          </w:p>
        </w:tc>
      </w:tr>
      <w:tr>
        <w:trPr>
          <w:trHeight w:val="224"/>
        </w:trPr>
        <w:tc>
          <w:tcPr>
            <w:tcW w:w="4000" w:type="dxa"/>
            <w:vAlign w:val="bottom"/>
            <w:gridSpan w:val="5"/>
          </w:tcPr>
          <w:p>
            <w:pPr>
              <w:spacing w:after="0"/>
              <w:rPr>
                <w:sz w:val="20"/>
                <w:szCs w:val="20"/>
                <w:color w:val="auto"/>
              </w:rPr>
            </w:pPr>
            <w:r>
              <w:rPr>
                <w:rFonts w:ascii="Arial" w:cs="Arial" w:eastAsia="Arial" w:hAnsi="Arial"/>
                <w:sz w:val="18"/>
                <w:szCs w:val="18"/>
                <w:color w:val="auto"/>
              </w:rPr>
              <w:t>Tom Heyman</w:t>
            </w: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600" w:type="dxa"/>
            <w:vAlign w:val="bottom"/>
            <w:gridSpan w:val="4"/>
          </w:tcPr>
          <w:p>
            <w:pPr>
              <w:ind w:left="12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August 4, 2021</w:t>
            </w:r>
          </w:p>
        </w:tc>
        <w:tc>
          <w:tcPr>
            <w:tcW w:w="0" w:type="dxa"/>
            <w:vAlign w:val="bottom"/>
          </w:tcPr>
          <w:p>
            <w:pPr>
              <w:spacing w:after="0"/>
              <w:rPr>
                <w:sz w:val="1"/>
                <w:szCs w:val="1"/>
                <w:color w:val="auto"/>
              </w:rPr>
            </w:pPr>
          </w:p>
        </w:tc>
      </w:tr>
      <w:tr>
        <w:trPr>
          <w:trHeight w:val="224"/>
        </w:trPr>
        <w:tc>
          <w:tcPr>
            <w:tcW w:w="4000" w:type="dxa"/>
            <w:vAlign w:val="bottom"/>
            <w:gridSpan w:val="5"/>
          </w:tcPr>
          <w:p>
            <w:pPr>
              <w:spacing w:after="0"/>
              <w:rPr>
                <w:sz w:val="20"/>
                <w:szCs w:val="20"/>
                <w:color w:val="auto"/>
              </w:rPr>
            </w:pPr>
            <w:r>
              <w:rPr>
                <w:rFonts w:ascii="Arial" w:cs="Arial" w:eastAsia="Arial" w:hAnsi="Arial"/>
                <w:sz w:val="18"/>
                <w:szCs w:val="18"/>
                <w:color w:val="auto"/>
              </w:rPr>
              <w:t>Michael Wyzga</w:t>
            </w: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4000" w:type="dxa"/>
            <w:vAlign w:val="bottom"/>
            <w:gridSpan w:val="5"/>
          </w:tcPr>
          <w:p>
            <w:pPr>
              <w:spacing w:after="0"/>
              <w:rPr>
                <w:sz w:val="20"/>
                <w:szCs w:val="20"/>
                <w:color w:val="auto"/>
              </w:rPr>
            </w:pPr>
            <w:r>
              <w:rPr>
                <w:rFonts w:ascii="Arial" w:cs="Arial" w:eastAsia="Arial" w:hAnsi="Arial"/>
                <w:sz w:val="18"/>
                <w:szCs w:val="18"/>
                <w:color w:val="auto"/>
              </w:rPr>
              <w:t>*By:  /s/ Tillman U. Gerngross, Ph.D.</w:t>
            </w: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Tillman U. Gerngross, Ph.D.</w:t>
            </w:r>
          </w:p>
        </w:tc>
        <w:tc>
          <w:tcPr>
            <w:tcW w:w="400" w:type="dxa"/>
            <w:vAlign w:val="bottom"/>
            <w:tcBorders>
              <w:top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This Employment Agreement (“</w:t>
      </w:r>
      <w:r>
        <w:rPr>
          <w:rFonts w:ascii="Arial" w:cs="Arial" w:eastAsia="Arial" w:hAnsi="Arial"/>
          <w:sz w:val="18"/>
          <w:szCs w:val="18"/>
          <w:b w:val="1"/>
          <w:bCs w:val="1"/>
          <w:i w:val="1"/>
          <w:iCs w:val="1"/>
          <w:u w:val="single" w:color="auto"/>
          <w:color w:val="auto"/>
        </w:rPr>
        <w:t>Agreement</w:t>
      </w:r>
      <w:r>
        <w:rPr>
          <w:rFonts w:ascii="Arial" w:cs="Arial" w:eastAsia="Arial" w:hAnsi="Arial"/>
          <w:sz w:val="18"/>
          <w:szCs w:val="18"/>
          <w:color w:val="auto"/>
        </w:rPr>
        <w:t>”) is made between Adagio Therapeutics, Inc., a Delaware corporation (the “</w:t>
      </w:r>
      <w:r>
        <w:rPr>
          <w:rFonts w:ascii="Arial" w:cs="Arial" w:eastAsia="Arial" w:hAnsi="Arial"/>
          <w:sz w:val="18"/>
          <w:szCs w:val="18"/>
          <w:b w:val="1"/>
          <w:bCs w:val="1"/>
          <w:i w:val="1"/>
          <w:iCs w:val="1"/>
          <w:u w:val="single" w:color="auto"/>
          <w:color w:val="auto"/>
        </w:rPr>
        <w:t>Company</w:t>
      </w:r>
      <w:r>
        <w:rPr>
          <w:rFonts w:ascii="Arial" w:cs="Arial" w:eastAsia="Arial" w:hAnsi="Arial"/>
          <w:sz w:val="18"/>
          <w:szCs w:val="18"/>
          <w:color w:val="auto"/>
        </w:rPr>
        <w:t>”), and Tillman Gerngross (the “</w:t>
      </w:r>
      <w:r>
        <w:rPr>
          <w:rFonts w:ascii="Arial" w:cs="Arial" w:eastAsia="Arial" w:hAnsi="Arial"/>
          <w:sz w:val="18"/>
          <w:szCs w:val="18"/>
          <w:b w:val="1"/>
          <w:bCs w:val="1"/>
          <w:i w:val="1"/>
          <w:iCs w:val="1"/>
          <w:u w:val="single" w:color="auto"/>
          <w:color w:val="auto"/>
        </w:rPr>
        <w:t>Executive</w:t>
      </w:r>
      <w:r>
        <w:rPr>
          <w:rFonts w:ascii="Arial" w:cs="Arial" w:eastAsia="Arial" w:hAnsi="Arial"/>
          <w:sz w:val="18"/>
          <w:szCs w:val="18"/>
          <w:color w:val="auto"/>
        </w:rPr>
        <w:t>”), this 5th day of August, 2021. This Agreement supersedes in its entirety that certain Consulting Agreement, dated June 19, 2020 (the “</w:t>
      </w:r>
      <w:r>
        <w:rPr>
          <w:rFonts w:ascii="Arial" w:cs="Arial" w:eastAsia="Arial" w:hAnsi="Arial"/>
          <w:sz w:val="18"/>
          <w:szCs w:val="18"/>
          <w:b w:val="1"/>
          <w:bCs w:val="1"/>
          <w:i w:val="1"/>
          <w:iCs w:val="1"/>
          <w:u w:val="single" w:color="auto"/>
          <w:color w:val="auto"/>
        </w:rPr>
        <w:t>Prior Agreement</w:t>
      </w:r>
      <w:r>
        <w:rPr>
          <w:rFonts w:ascii="Arial" w:cs="Arial" w:eastAsia="Arial" w:hAnsi="Arial"/>
          <w:sz w:val="18"/>
          <w:szCs w:val="18"/>
          <w:color w:val="auto"/>
        </w:rPr>
        <w:t>”), between the Executive and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is planning an initial public offering (the “</w:t>
      </w:r>
      <w:r>
        <w:rPr>
          <w:rFonts w:ascii="Arial" w:cs="Arial" w:eastAsia="Arial" w:hAnsi="Arial"/>
          <w:sz w:val="18"/>
          <w:szCs w:val="18"/>
          <w:b w:val="1"/>
          <w:bCs w:val="1"/>
          <w:i w:val="1"/>
          <w:iCs w:val="1"/>
          <w:u w:val="single" w:color="auto"/>
          <w:color w:val="auto"/>
        </w:rPr>
        <w:t>Offering</w:t>
      </w:r>
      <w:r>
        <w:rPr>
          <w:rFonts w:ascii="Arial" w:cs="Arial" w:eastAsia="Arial" w:hAnsi="Arial"/>
          <w:sz w:val="18"/>
          <w:szCs w:val="18"/>
          <w:color w:val="auto"/>
        </w:rPr>
        <w:t>”) of its shares of common stock;</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the Company and the Executive desire to enter into this Agreement and supersede in its entirety the Prior Agreement in order to change the Executive’s terms and conditions of employment in connection with the Offering, effective as of the date on which the registration statement relating to the Offering is effective (the “</w:t>
      </w:r>
      <w:r>
        <w:rPr>
          <w:rFonts w:ascii="Arial" w:cs="Arial" w:eastAsia="Arial" w:hAnsi="Arial"/>
          <w:sz w:val="18"/>
          <w:szCs w:val="18"/>
          <w:b w:val="1"/>
          <w:bCs w:val="1"/>
          <w:i w:val="1"/>
          <w:iCs w:val="1"/>
          <w:u w:val="single" w:color="auto"/>
          <w:color w:val="auto"/>
        </w:rPr>
        <w:t>Effective Date</w:t>
      </w:r>
      <w:r>
        <w:rPr>
          <w:rFonts w:ascii="Arial" w:cs="Arial" w:eastAsia="Arial" w:hAnsi="Arial"/>
          <w:sz w:val="18"/>
          <w:szCs w:val="18"/>
          <w:color w:val="auto"/>
        </w:rPr>
        <w:t>”).</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0" w:lineRule="exact"/>
        <w:rPr>
          <w:sz w:val="20"/>
          <w:szCs w:val="20"/>
          <w:color w:val="auto"/>
        </w:rPr>
      </w:pPr>
    </w:p>
    <w:p>
      <w:pPr>
        <w:ind w:left="620" w:hanging="184"/>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7"/>
        <w:spacing w:after="0" w:line="259" w:lineRule="auto"/>
        <w:tabs>
          <w:tab w:leader="none" w:pos="1236"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Arial" w:cs="Arial" w:eastAsia="Arial" w:hAnsi="Arial"/>
          <w:sz w:val="18"/>
          <w:szCs w:val="18"/>
          <w:b w:val="1"/>
          <w:bCs w:val="1"/>
          <w:i w:val="1"/>
          <w:iCs w:val="1"/>
          <w:u w:val="single" w:color="auto"/>
          <w:color w:val="auto"/>
        </w:rPr>
        <w:t>Term</w:t>
      </w:r>
      <w:r>
        <w:rPr>
          <w:rFonts w:ascii="Arial" w:cs="Arial" w:eastAsia="Arial" w:hAnsi="Arial"/>
          <w:sz w:val="18"/>
          <w:szCs w:val="18"/>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Executive will serve as Chief Executive Officer and President (“</w:t>
      </w:r>
      <w:r>
        <w:rPr>
          <w:rFonts w:ascii="Arial" w:cs="Arial" w:eastAsia="Arial" w:hAnsi="Arial"/>
          <w:sz w:val="17"/>
          <w:szCs w:val="17"/>
          <w:b w:val="1"/>
          <w:bCs w:val="1"/>
          <w:i w:val="1"/>
          <w:iCs w:val="1"/>
          <w:color w:val="auto"/>
        </w:rPr>
        <w:t>CEO</w:t>
      </w:r>
      <w:r>
        <w:rPr>
          <w:rFonts w:ascii="Arial" w:cs="Arial" w:eastAsia="Arial" w:hAnsi="Arial"/>
          <w:sz w:val="17"/>
          <w:szCs w:val="17"/>
          <w:color w:val="auto"/>
        </w:rPr>
        <w:t>”) of the Company, reporting exclusively to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Executive will render such business and professional services in the performance of his duties as are consistent with Executive’s position within the Company. As CEO, Executive will have the status of the highest ranking executive officer of the Company, with the full powers, responsibilities and authorities customary for the chief executive officer of publicly traded corporations of the size, type and nature of the Company, together with such other powers, authorities and responsibilities as may reasonably be assigned to him by the Board.</w:t>
      </w:r>
    </w:p>
    <w:p>
      <w:pPr>
        <w:spacing w:after="0" w:line="1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Nothing in this Agreement shall prohibit the Executive from reasonably delegating parts of the responsibilities set forth in or contemplated by this Section 1(b) to other employees of the Company or its subsidiaries.</w:t>
      </w:r>
    </w:p>
    <w:p>
      <w:pPr>
        <w:spacing w:after="0" w:line="62" w:lineRule="exact"/>
        <w:rPr>
          <w:sz w:val="20"/>
          <w:szCs w:val="20"/>
          <w:color w:val="auto"/>
        </w:rPr>
      </w:pPr>
    </w:p>
    <w:p>
      <w:pPr>
        <w:ind w:right="540" w:firstLine="987"/>
        <w:spacing w:after="0" w:line="277"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Outside Activities</w:t>
      </w:r>
      <w:r>
        <w:rPr>
          <w:rFonts w:ascii="Arial" w:cs="Arial" w:eastAsia="Arial" w:hAnsi="Arial"/>
          <w:sz w:val="18"/>
          <w:szCs w:val="18"/>
          <w:color w:val="auto"/>
        </w:rPr>
        <w:t>. Executive will use good faith efforts to discharge Executive’s obligations under this Agreement to the best of Executive’s ability.</w:t>
      </w:r>
    </w:p>
    <w:p>
      <w:pPr>
        <w:sectPr>
          <w:pgSz w:w="11900" w:h="16838" w:orient="portrait"/>
          <w:cols w:equalWidth="0" w:num="1">
            <w:col w:w="11020"/>
          </w:cols>
          <w:pgMar w:left="440" w:top="121" w:right="439" w:bottom="1440" w:gutter="0" w:footer="0" w:header="0"/>
        </w:sectPr>
      </w:pPr>
    </w:p>
    <w:bookmarkStart w:id="9" w:name="page10"/>
    <w:bookmarkEnd w:id="9"/>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Executive agrees not to (i) engage in any other employment or (ii) consult for, found, or serve on the board of directors of any other entity in the field of infectious disease. Notwithstanding the foregoing, Executive may (x) with prior disclosure to the Nominating and Governance Committee of the Board, consult for, found, or serve on the board of directors of any Adimab, LLC affiliate, and, (y) without such prior disclosure, serve in any capacity with any civic, educational, or charitable organization, participate in industry affairs and manage Executive’s family’s personal passive investments, and continue to engage in the activities set forth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Agreement (romanettes (x) and (y) collectively, the “</w:t>
      </w:r>
      <w:r>
        <w:rPr>
          <w:rFonts w:ascii="Arial" w:cs="Arial" w:eastAsia="Arial" w:hAnsi="Arial"/>
          <w:sz w:val="17"/>
          <w:szCs w:val="17"/>
          <w:b w:val="1"/>
          <w:bCs w:val="1"/>
          <w:i w:val="1"/>
          <w:iCs w:val="1"/>
          <w:u w:val="single" w:color="auto"/>
          <w:color w:val="auto"/>
        </w:rPr>
        <w:t>Approved Outside Activities</w:t>
      </w:r>
      <w:r>
        <w:rPr>
          <w:rFonts w:ascii="Arial" w:cs="Arial" w:eastAsia="Arial" w:hAnsi="Arial"/>
          <w:sz w:val="17"/>
          <w:szCs w:val="17"/>
          <w:color w:val="auto"/>
        </w:rPr>
        <w:t>”), provided that such services do not materially interfere with Executive’s obligations to the Company, create a conflict of interest (it being understood and agreed that the conduct of business of Adimab, LLC, in a manner similar to that in which it is currently being conducted, including the discovery, optimization and licensing of antibodies for treatment of infectious disease to third parties, shall not constitute a conflict of interest hereunder), violate any of the Executive’s Continuing Obligations (as defined in Section 9 below) or cause any reputational damage to the Company as reasonably determined by the Board.</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Executive may retain any compensation or benefits received as a result of consented to service as a director without any offset in respect of any compensation or benefits to be provided hereunder.</w:t>
      </w:r>
    </w:p>
    <w:p>
      <w:pPr>
        <w:spacing w:after="0" w:line="170" w:lineRule="exact"/>
        <w:rPr>
          <w:sz w:val="20"/>
          <w:szCs w:val="20"/>
          <w:color w:val="auto"/>
        </w:rPr>
      </w:pPr>
    </w:p>
    <w:p>
      <w:pPr>
        <w:ind w:left="620" w:hanging="184"/>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Compensation and Related Matters</w:t>
      </w:r>
      <w:r>
        <w:rPr>
          <w:rFonts w:ascii="Arial" w:cs="Arial" w:eastAsia="Arial" w:hAnsi="Arial"/>
          <w:sz w:val="16"/>
          <w:szCs w:val="16"/>
          <w:color w:val="auto"/>
        </w:rPr>
        <w:t>. This Section 2 sets forth the compensation and benefits to be provided to the Executive during the Term.</w:t>
      </w:r>
    </w:p>
    <w:p>
      <w:pPr>
        <w:spacing w:after="0" w:line="248" w:lineRule="exact"/>
        <w:rPr>
          <w:rFonts w:ascii="Arial" w:cs="Arial" w:eastAsia="Arial" w:hAnsi="Arial"/>
          <w:sz w:val="16"/>
          <w:szCs w:val="16"/>
          <w:color w:val="auto"/>
        </w:rPr>
      </w:pPr>
    </w:p>
    <w:p>
      <w:pPr>
        <w:ind w:right="80" w:firstLine="987"/>
        <w:spacing w:after="0" w:line="275" w:lineRule="auto"/>
        <w:tabs>
          <w:tab w:leader="none" w:pos="1236"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Executive will continue to pay Executive, as compensation for the performance of the Executive’s duties and obligations hereunder, salary at the rate of $550,000 per year. The Executive’s salary shall be subject to annual review not later than March 31</w:t>
      </w:r>
      <w:r>
        <w:rPr>
          <w:rFonts w:ascii="Arial" w:cs="Arial" w:eastAsia="Arial" w:hAnsi="Arial"/>
          <w:sz w:val="14"/>
          <w:szCs w:val="14"/>
          <w:color w:val="auto"/>
        </w:rPr>
        <w:t>st</w:t>
      </w:r>
      <w:r>
        <w:rPr>
          <w:rFonts w:ascii="Arial" w:cs="Arial" w:eastAsia="Arial" w:hAnsi="Arial"/>
          <w:sz w:val="17"/>
          <w:szCs w:val="17"/>
          <w:color w:val="auto"/>
        </w:rPr>
        <w:t xml:space="preserve"> of each year for possible increase by the Board or the Compensation Committee of the Board (the “</w:t>
      </w:r>
      <w:r>
        <w:rPr>
          <w:rFonts w:ascii="Arial" w:cs="Arial" w:eastAsia="Arial" w:hAnsi="Arial"/>
          <w:sz w:val="17"/>
          <w:szCs w:val="17"/>
          <w:b w:val="1"/>
          <w:bCs w:val="1"/>
          <w:i w:val="1"/>
          <w:iCs w:val="1"/>
          <w:u w:val="single" w:color="auto"/>
          <w:color w:val="auto"/>
        </w:rPr>
        <w:t>Compensation Committee</w:t>
      </w:r>
      <w:r>
        <w:rPr>
          <w:rFonts w:ascii="Arial" w:cs="Arial" w:eastAsia="Arial" w:hAnsi="Arial"/>
          <w:sz w:val="17"/>
          <w:szCs w:val="17"/>
          <w:color w:val="auto"/>
        </w:rPr>
        <w:t>”), which may be adjusted from time to time. The base salary in effect at any given time is referred to herein as “</w:t>
      </w:r>
      <w:r>
        <w:rPr>
          <w:rFonts w:ascii="Arial" w:cs="Arial" w:eastAsia="Arial" w:hAnsi="Arial"/>
          <w:sz w:val="17"/>
          <w:szCs w:val="17"/>
          <w:b w:val="1"/>
          <w:bCs w:val="1"/>
          <w:i w:val="1"/>
          <w:iCs w:val="1"/>
          <w:u w:val="single" w:color="auto"/>
          <w:color w:val="auto"/>
        </w:rPr>
        <w:t>Base Salary</w:t>
      </w:r>
      <w:r>
        <w:rPr>
          <w:rFonts w:ascii="Arial" w:cs="Arial" w:eastAsia="Arial" w:hAnsi="Arial"/>
          <w:sz w:val="17"/>
          <w:szCs w:val="17"/>
          <w:color w:val="auto"/>
        </w:rPr>
        <w:t>.” The Base Salary shall be payable in a manner that is consistent with the Company’s usual payroll practices for its executive officers</w:t>
      </w:r>
    </w:p>
    <w:p>
      <w:pPr>
        <w:spacing w:after="0" w:line="176" w:lineRule="exact"/>
        <w:rPr>
          <w:rFonts w:ascii="Arial" w:cs="Arial" w:eastAsia="Arial" w:hAnsi="Arial"/>
          <w:sz w:val="17"/>
          <w:szCs w:val="17"/>
          <w:color w:val="auto"/>
        </w:rPr>
      </w:pPr>
    </w:p>
    <w:p>
      <w:pPr>
        <w:ind w:firstLine="987"/>
        <w:spacing w:after="0" w:line="270" w:lineRule="auto"/>
        <w:tabs>
          <w:tab w:leader="none" w:pos="1246"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The Executive shall participate in an annual cash incentive compensation plan (the “</w:t>
      </w:r>
      <w:r>
        <w:rPr>
          <w:rFonts w:ascii="Arial" w:cs="Arial" w:eastAsia="Arial" w:hAnsi="Arial"/>
          <w:sz w:val="17"/>
          <w:szCs w:val="17"/>
          <w:b w:val="1"/>
          <w:bCs w:val="1"/>
          <w:i w:val="1"/>
          <w:iCs w:val="1"/>
          <w:u w:val="single" w:color="auto"/>
          <w:color w:val="auto"/>
        </w:rPr>
        <w:t>Annual Bonus Plan</w:t>
      </w:r>
      <w:r>
        <w:rPr>
          <w:rFonts w:ascii="Arial" w:cs="Arial" w:eastAsia="Arial" w:hAnsi="Arial"/>
          <w:sz w:val="17"/>
          <w:szCs w:val="17"/>
          <w:color w:val="auto"/>
        </w:rPr>
        <w:t>”). The Executive will be eligible to earn an annual bonus for each full calendar year completed (the “</w:t>
      </w:r>
      <w:r>
        <w:rPr>
          <w:rFonts w:ascii="Arial" w:cs="Arial" w:eastAsia="Arial" w:hAnsi="Arial"/>
          <w:sz w:val="17"/>
          <w:szCs w:val="17"/>
          <w:b w:val="1"/>
          <w:bCs w:val="1"/>
          <w:i w:val="1"/>
          <w:iCs w:val="1"/>
          <w:u w:val="single" w:color="auto"/>
          <w:color w:val="auto"/>
        </w:rPr>
        <w:t>Annual Bonus</w:t>
      </w:r>
      <w:r>
        <w:rPr>
          <w:rFonts w:ascii="Arial" w:cs="Arial" w:eastAsia="Arial" w:hAnsi="Arial"/>
          <w:sz w:val="17"/>
          <w:szCs w:val="17"/>
          <w:color w:val="auto"/>
        </w:rPr>
        <w:t>”). The Executive’s target Annual Bonus will be fifty percent (50%) of Executive’s Base Salary (the “</w:t>
      </w:r>
      <w:r>
        <w:rPr>
          <w:rFonts w:ascii="Arial" w:cs="Arial" w:eastAsia="Arial" w:hAnsi="Arial"/>
          <w:sz w:val="17"/>
          <w:szCs w:val="17"/>
          <w:b w:val="1"/>
          <w:bCs w:val="1"/>
          <w:i w:val="1"/>
          <w:iCs w:val="1"/>
          <w:u w:val="single" w:color="auto"/>
          <w:color w:val="auto"/>
        </w:rPr>
        <w:t>Target Bonus</w:t>
      </w:r>
      <w:r>
        <w:rPr>
          <w:rFonts w:ascii="Arial" w:cs="Arial" w:eastAsia="Arial" w:hAnsi="Arial"/>
          <w:sz w:val="17"/>
          <w:szCs w:val="17"/>
          <w:color w:val="auto"/>
        </w:rPr>
        <w:t>”) based on Base Salary in effect on January 1st of the applicable performance period. The actual Annual Bonus payable to the Executive with respect to a performance period will be determined by the Compensation Committee based on achieving performance goals and objectives for such calendar year as reasonably determined by the Compensation Committee. The Executive’s Annual Bonus shall be paid as soon as administratively practicable after the end of the performance period, but in no event later than the March 15</w:t>
      </w:r>
      <w:r>
        <w:rPr>
          <w:rFonts w:ascii="Arial" w:cs="Arial" w:eastAsia="Arial" w:hAnsi="Arial"/>
          <w:sz w:val="14"/>
          <w:szCs w:val="14"/>
          <w:color w:val="auto"/>
        </w:rPr>
        <w:t>th</w:t>
      </w:r>
      <w:r>
        <w:rPr>
          <w:rFonts w:ascii="Arial" w:cs="Arial" w:eastAsia="Arial" w:hAnsi="Arial"/>
          <w:sz w:val="17"/>
          <w:szCs w:val="17"/>
          <w:color w:val="auto"/>
        </w:rPr>
        <w:t xml:space="preserve"> immediately following such period; provided, that the Executive must remain continuously employed by the Company through the date on which the Board approves the actual Annual Bonus amount payable to the Executive to be eligible to receive bonus (except as otherwise provided in Section 4(c) or 5(a)).</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0" w:name="page11"/>
    <w:bookmarkEnd w:id="10"/>
    <w:p>
      <w:pPr>
        <w:ind w:right="260" w:firstLine="987"/>
        <w:spacing w:after="0" w:line="259" w:lineRule="auto"/>
        <w:tabs>
          <w:tab w:leader="none" w:pos="1236"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w:t>
      </w:r>
      <w:r>
        <w:rPr>
          <w:rFonts w:ascii="Arial" w:cs="Arial" w:eastAsia="Arial" w:hAnsi="Arial"/>
          <w:sz w:val="18"/>
          <w:szCs w:val="18"/>
          <w:color w:val="auto"/>
        </w:rPr>
        <w:t>. The Company shall promptly pay or reimburse the Executive for all reasonable expenses incurred by the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186" w:lineRule="exact"/>
        <w:rPr>
          <w:rFonts w:ascii="Arial" w:cs="Arial" w:eastAsia="Arial" w:hAnsi="Arial"/>
          <w:sz w:val="18"/>
          <w:szCs w:val="18"/>
          <w:color w:val="auto"/>
        </w:rPr>
      </w:pPr>
    </w:p>
    <w:p>
      <w:pPr>
        <w:ind w:right="360" w:firstLine="987"/>
        <w:spacing w:after="0" w:line="277" w:lineRule="auto"/>
        <w:tabs>
          <w:tab w:leader="none" w:pos="1246"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The Executive shall be eligible to participate in or receive benefits under the Company’s employee benefit plans in effect from time to time, subject to the terms of such plans.</w:t>
      </w:r>
    </w:p>
    <w:p>
      <w:pPr>
        <w:spacing w:after="0" w:line="170" w:lineRule="exact"/>
        <w:rPr>
          <w:rFonts w:ascii="Arial" w:cs="Arial" w:eastAsia="Arial" w:hAnsi="Arial"/>
          <w:sz w:val="18"/>
          <w:szCs w:val="18"/>
          <w:color w:val="auto"/>
        </w:rPr>
      </w:pPr>
    </w:p>
    <w:p>
      <w:pPr>
        <w:ind w:right="140" w:firstLine="987"/>
        <w:spacing w:after="0" w:line="277" w:lineRule="auto"/>
        <w:tabs>
          <w:tab w:leader="none" w:pos="1236"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take paid time off in accordance with the Company’s applicable paid time off policy for executives, as may be in effect from time to time.</w:t>
      </w:r>
    </w:p>
    <w:p>
      <w:pPr>
        <w:spacing w:after="0" w:line="170" w:lineRule="exact"/>
        <w:rPr>
          <w:rFonts w:ascii="Arial" w:cs="Arial" w:eastAsia="Arial" w:hAnsi="Arial"/>
          <w:sz w:val="18"/>
          <w:szCs w:val="18"/>
          <w:color w:val="auto"/>
        </w:rPr>
      </w:pPr>
    </w:p>
    <w:p>
      <w:pPr>
        <w:ind w:right="40" w:firstLine="987"/>
        <w:spacing w:after="0" w:line="277" w:lineRule="auto"/>
        <w:tabs>
          <w:tab w:leader="none" w:pos="1216"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The Executive shall be subject to the Company’s Executive Stock Ownership Guidelines while providing services under this Agreement.</w:t>
      </w:r>
    </w:p>
    <w:p>
      <w:pPr>
        <w:spacing w:after="0" w:line="170" w:lineRule="exact"/>
        <w:rPr>
          <w:rFonts w:ascii="Arial" w:cs="Arial" w:eastAsia="Arial" w:hAnsi="Arial"/>
          <w:sz w:val="18"/>
          <w:szCs w:val="18"/>
          <w:color w:val="auto"/>
        </w:rPr>
      </w:pPr>
    </w:p>
    <w:p>
      <w:pPr>
        <w:ind w:firstLine="987"/>
        <w:spacing w:after="0" w:line="257" w:lineRule="auto"/>
        <w:tabs>
          <w:tab w:leader="none" w:pos="1246"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Treatment of Equity Awards upon a Change in Control</w:t>
      </w:r>
      <w:r>
        <w:rPr>
          <w:rFonts w:ascii="Arial" w:cs="Arial" w:eastAsia="Arial" w:hAnsi="Arial"/>
          <w:sz w:val="18"/>
          <w:szCs w:val="18"/>
          <w:color w:val="auto"/>
        </w:rPr>
        <w:t>. The following provisions shall apply to any award granted under the Adagio Therapeutics, Inc. 2021 Equity Incentive Plan (the “</w:t>
      </w:r>
      <w:r>
        <w:rPr>
          <w:rFonts w:ascii="Arial" w:cs="Arial" w:eastAsia="Arial" w:hAnsi="Arial"/>
          <w:sz w:val="18"/>
          <w:szCs w:val="18"/>
          <w:b w:val="1"/>
          <w:bCs w:val="1"/>
          <w:i w:val="1"/>
          <w:iCs w:val="1"/>
          <w:u w:val="single" w:color="auto"/>
          <w:color w:val="auto"/>
        </w:rPr>
        <w:t>Plan</w:t>
      </w:r>
      <w:r>
        <w:rPr>
          <w:rFonts w:ascii="Arial" w:cs="Arial" w:eastAsia="Arial" w:hAnsi="Arial"/>
          <w:sz w:val="18"/>
          <w:szCs w:val="18"/>
          <w:color w:val="auto"/>
        </w:rPr>
        <w:t>”) or any other plan, agreement or arrangement based on the value of a share of the Company’s common stock on or after the Effective Date (collectively, the “</w:t>
      </w:r>
      <w:r>
        <w:rPr>
          <w:rFonts w:ascii="Arial" w:cs="Arial" w:eastAsia="Arial" w:hAnsi="Arial"/>
          <w:sz w:val="18"/>
          <w:szCs w:val="18"/>
          <w:b w:val="1"/>
          <w:bCs w:val="1"/>
          <w:i w:val="1"/>
          <w:iCs w:val="1"/>
          <w:u w:val="single" w:color="auto"/>
          <w:color w:val="auto"/>
        </w:rPr>
        <w:t>Equity Awards</w:t>
      </w:r>
      <w:r>
        <w:rPr>
          <w:rFonts w:ascii="Arial" w:cs="Arial" w:eastAsia="Arial" w:hAnsi="Arial"/>
          <w:sz w:val="18"/>
          <w:szCs w:val="18"/>
          <w:color w:val="auto"/>
        </w:rPr>
        <w:t>”) to the extent the Equity Awards are assumed, continued or substituted by the surviving or acquiring entity (or its parent) in connection with a Change in Control (as defined in the Plan) and the Executive continues to provide services to the Company or its successor following such Change in Control:</w:t>
      </w:r>
    </w:p>
    <w:p>
      <w:pPr>
        <w:spacing w:after="0" w:line="79" w:lineRule="exact"/>
        <w:rPr>
          <w:rFonts w:ascii="Arial" w:cs="Arial" w:eastAsia="Arial" w:hAnsi="Arial"/>
          <w:sz w:val="18"/>
          <w:szCs w:val="18"/>
          <w:color w:val="auto"/>
        </w:rPr>
      </w:pPr>
    </w:p>
    <w:p>
      <w:pPr>
        <w:ind w:left="440" w:right="20" w:firstLine="948"/>
        <w:spacing w:after="0" w:line="259" w:lineRule="auto"/>
        <w:tabs>
          <w:tab w:leader="none" w:pos="1607" w:val="left"/>
        </w:tabs>
        <w:numPr>
          <w:ilvl w:val="2"/>
          <w:numId w:val="11"/>
        </w:numPr>
        <w:rPr>
          <w:rFonts w:ascii="Arial" w:cs="Arial" w:eastAsia="Arial" w:hAnsi="Arial"/>
          <w:sz w:val="18"/>
          <w:szCs w:val="18"/>
          <w:color w:val="auto"/>
        </w:rPr>
      </w:pPr>
      <w:r>
        <w:rPr>
          <w:rFonts w:ascii="Arial" w:cs="Arial" w:eastAsia="Arial" w:hAnsi="Arial"/>
          <w:sz w:val="18"/>
          <w:szCs w:val="18"/>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Arial" w:cs="Arial" w:eastAsia="Arial" w:hAnsi="Arial"/>
          <w:sz w:val="18"/>
          <w:szCs w:val="18"/>
          <w:b w:val="1"/>
          <w:bCs w:val="1"/>
          <w:i w:val="1"/>
          <w:iCs w:val="1"/>
          <w:u w:val="single" w:color="auto"/>
          <w:color w:val="auto"/>
        </w:rPr>
        <w:t>Time-Based Equity Awards</w:t>
      </w:r>
      <w:r>
        <w:rPr>
          <w:rFonts w:ascii="Arial" w:cs="Arial" w:eastAsia="Arial" w:hAnsi="Arial"/>
          <w:sz w:val="18"/>
          <w:szCs w:val="18"/>
          <w:color w:val="auto"/>
        </w:rPr>
        <w:t>”) shall not immediately accelerate and become fully vested and exercisable or non-forfeitable on such a Change in Control, and</w:t>
      </w:r>
    </w:p>
    <w:p>
      <w:pPr>
        <w:spacing w:after="0" w:line="78" w:lineRule="exact"/>
        <w:rPr>
          <w:rFonts w:ascii="Arial" w:cs="Arial" w:eastAsia="Arial" w:hAnsi="Arial"/>
          <w:sz w:val="18"/>
          <w:szCs w:val="18"/>
          <w:color w:val="auto"/>
        </w:rPr>
      </w:pPr>
    </w:p>
    <w:p>
      <w:pPr>
        <w:ind w:left="440" w:right="200" w:firstLine="948"/>
        <w:spacing w:after="0" w:line="263" w:lineRule="auto"/>
        <w:tabs>
          <w:tab w:leader="none" w:pos="1657" w:val="left"/>
        </w:tabs>
        <w:numPr>
          <w:ilvl w:val="2"/>
          <w:numId w:val="11"/>
        </w:numPr>
        <w:rPr>
          <w:rFonts w:ascii="Arial" w:cs="Arial" w:eastAsia="Arial" w:hAnsi="Arial"/>
          <w:sz w:val="18"/>
          <w:szCs w:val="18"/>
          <w:color w:val="auto"/>
        </w:rPr>
      </w:pPr>
      <w:r>
        <w:rPr>
          <w:rFonts w:ascii="Arial" w:cs="Arial" w:eastAsia="Arial" w:hAnsi="Arial"/>
          <w:sz w:val="18"/>
          <w:szCs w:val="18"/>
          <w:color w:val="auto"/>
        </w:rPr>
        <w:t>all other Equity Awards, including but not limited to performance stock units vesting based on achieving pre-established performance goals (collectively, the “</w:t>
      </w:r>
      <w:r>
        <w:rPr>
          <w:rFonts w:ascii="Arial" w:cs="Arial" w:eastAsia="Arial" w:hAnsi="Arial"/>
          <w:sz w:val="18"/>
          <w:szCs w:val="18"/>
          <w:b w:val="1"/>
          <w:bCs w:val="1"/>
          <w:i w:val="1"/>
          <w:iCs w:val="1"/>
          <w:u w:val="single" w:color="auto"/>
          <w:color w:val="auto"/>
        </w:rPr>
        <w:t>Performance-Based Equity Awards</w:t>
      </w:r>
      <w:r>
        <w:rPr>
          <w:rFonts w:ascii="Arial" w:cs="Arial" w:eastAsia="Arial" w:hAnsi="Arial"/>
          <w:sz w:val="18"/>
          <w:szCs w:val="18"/>
          <w:color w:val="auto"/>
        </w:rPr>
        <w:t>”) shall be governed by the terms of the Plan and the applicable award agreement.</w:t>
      </w:r>
    </w:p>
    <w:p>
      <w:pPr>
        <w:spacing w:after="0" w:line="183" w:lineRule="exact"/>
        <w:rPr>
          <w:rFonts w:ascii="Arial" w:cs="Arial" w:eastAsia="Arial" w:hAnsi="Arial"/>
          <w:sz w:val="18"/>
          <w:szCs w:val="18"/>
          <w:color w:val="auto"/>
        </w:rPr>
      </w:pPr>
    </w:p>
    <w:p>
      <w:pPr>
        <w:ind w:right="920" w:firstLine="436"/>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employment hereunder may be terminated without any breach of this Agreement under the following circumstances: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death.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1" w:name="page12"/>
    <w:bookmarkEnd w:id="11"/>
    <w:p>
      <w:pPr>
        <w:ind w:left="-40" w:right="20" w:firstLine="987"/>
        <w:spacing w:after="0" w:line="287" w:lineRule="auto"/>
        <w:tabs>
          <w:tab w:leader="none" w:pos="1206"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Disability</w:t>
      </w:r>
      <w:r>
        <w:rPr>
          <w:rFonts w:ascii="Arial" w:cs="Arial" w:eastAsia="Arial" w:hAnsi="Arial"/>
          <w:sz w:val="16"/>
          <w:szCs w:val="16"/>
          <w:color w:val="auto"/>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the Americans with Disabilities Act, 42 U.S.C. §12101 </w:t>
      </w:r>
      <w:r>
        <w:rPr>
          <w:rFonts w:ascii="Arial" w:cs="Arial" w:eastAsia="Arial" w:hAnsi="Arial"/>
          <w:sz w:val="16"/>
          <w:szCs w:val="16"/>
          <w:i w:val="1"/>
          <w:iCs w:val="1"/>
          <w:color w:val="auto"/>
        </w:rPr>
        <w:t>et seq.</w:t>
      </w:r>
    </w:p>
    <w:p>
      <w:pPr>
        <w:spacing w:after="0" w:line="171" w:lineRule="exact"/>
        <w:rPr>
          <w:rFonts w:ascii="Arial" w:cs="Arial" w:eastAsia="Arial" w:hAnsi="Arial"/>
          <w:sz w:val="16"/>
          <w:szCs w:val="16"/>
          <w:color w:val="auto"/>
        </w:rPr>
      </w:pPr>
    </w:p>
    <w:p>
      <w:pPr>
        <w:ind w:left="-40" w:right="60" w:firstLine="987"/>
        <w:spacing w:after="0" w:line="277" w:lineRule="auto"/>
        <w:tabs>
          <w:tab w:leader="none" w:pos="119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The Company may terminate the Executive’s employment hereunder for Cause. For purposes of this Agreement, “</w:t>
      </w:r>
      <w:r>
        <w:rPr>
          <w:rFonts w:ascii="Arial" w:cs="Arial" w:eastAsia="Arial" w:hAnsi="Arial"/>
          <w:sz w:val="18"/>
          <w:szCs w:val="18"/>
          <w:b w:val="1"/>
          <w:bCs w:val="1"/>
          <w:i w:val="1"/>
          <w:iCs w:val="1"/>
          <w:u w:val="single" w:color="auto"/>
          <w:color w:val="auto"/>
        </w:rPr>
        <w:t>Cause</w:t>
      </w:r>
      <w:r>
        <w:rPr>
          <w:rFonts w:ascii="Arial" w:cs="Arial" w:eastAsia="Arial" w:hAnsi="Arial"/>
          <w:sz w:val="18"/>
          <w:szCs w:val="18"/>
          <w:color w:val="auto"/>
        </w:rPr>
        <w:t>” shall mean any of the following:</w:t>
      </w:r>
    </w:p>
    <w:p>
      <w:pPr>
        <w:spacing w:after="0" w:line="62" w:lineRule="exact"/>
        <w:rPr>
          <w:rFonts w:ascii="Arial" w:cs="Arial" w:eastAsia="Arial" w:hAnsi="Arial"/>
          <w:sz w:val="18"/>
          <w:szCs w:val="18"/>
          <w:color w:val="auto"/>
        </w:rPr>
      </w:pPr>
    </w:p>
    <w:p>
      <w:pPr>
        <w:ind w:left="940" w:firstLine="408"/>
        <w:spacing w:after="0" w:line="279" w:lineRule="auto"/>
        <w:tabs>
          <w:tab w:leader="none" w:pos="1556"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Executive’s unauthorized use or disclosure of confidential information or trade secrets of the Company for Executive’s benefit or any material breach of a written agreement between the Executive and the Company, including without limitation a material breach of this Agreement or the Restrictive Covenants Agreement; provided, however, that any such disclosure under the collaboration agreement entered into by Adimab, LLC and the Company shall not constitute Cause under this Agreement;</w:t>
      </w:r>
    </w:p>
    <w:p>
      <w:pPr>
        <w:spacing w:after="0" w:line="63" w:lineRule="exact"/>
        <w:rPr>
          <w:rFonts w:ascii="Arial" w:cs="Arial" w:eastAsia="Arial" w:hAnsi="Arial"/>
          <w:sz w:val="17"/>
          <w:szCs w:val="17"/>
          <w:color w:val="auto"/>
        </w:rPr>
      </w:pPr>
    </w:p>
    <w:p>
      <w:pPr>
        <w:ind w:left="940" w:firstLine="408"/>
        <w:spacing w:after="0" w:line="263" w:lineRule="auto"/>
        <w:tabs>
          <w:tab w:leader="none" w:pos="1606"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Executive’s conviction of, or pleading no contest to, a felony under the laws of the United States or any state thereof (other than in connection with a traffic violation that does not result in imprisonment) or any crime that results in the Executive’s incarceration in a federal, state, or local jail or prison;</w:t>
      </w:r>
    </w:p>
    <w:p>
      <w:pPr>
        <w:spacing w:after="0" w:line="75" w:lineRule="exact"/>
        <w:rPr>
          <w:rFonts w:ascii="Arial" w:cs="Arial" w:eastAsia="Arial" w:hAnsi="Arial"/>
          <w:sz w:val="18"/>
          <w:szCs w:val="18"/>
          <w:color w:val="auto"/>
        </w:rPr>
      </w:pPr>
    </w:p>
    <w:p>
      <w:pPr>
        <w:ind w:left="940" w:right="160" w:firstLine="408"/>
        <w:spacing w:after="0" w:line="275" w:lineRule="auto"/>
        <w:tabs>
          <w:tab w:leader="none" w:pos="1656"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Executive’s material and willful misconduct in the performance of the Executive’s duties or the Executive’s willful or repeated failure or refusal to substantially perform assigned duties (other than any such failure of refusal resulting from the Executive’s incapacity due to physical or mental illness or any such actual or anticipated failure after the issuance of a notice of Good Reason by the Executive pursuant to Section 3(e) hereof), in any case, which willful misconduct, failure or refusal has continued for more than thirty (30) days following written notice from the CEO of such willful misconduct, failure or refusal;</w:t>
      </w:r>
    </w:p>
    <w:p>
      <w:pPr>
        <w:spacing w:after="0" w:line="68" w:lineRule="exact"/>
        <w:rPr>
          <w:rFonts w:ascii="Arial" w:cs="Arial" w:eastAsia="Arial" w:hAnsi="Arial"/>
          <w:sz w:val="17"/>
          <w:szCs w:val="17"/>
          <w:color w:val="auto"/>
        </w:rPr>
      </w:pPr>
    </w:p>
    <w:p>
      <w:pPr>
        <w:ind w:left="940" w:right="40" w:firstLine="408"/>
        <w:spacing w:after="0" w:line="277" w:lineRule="auto"/>
        <w:tabs>
          <w:tab w:leader="none" w:pos="164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act of fraud, embezzlement or material misappropriation committed by the Executive against the Company (other than good faith expense account disputes);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4" w:right="499" w:bottom="1440" w:gutter="0" w:footer="0" w:header="0"/>
        </w:sectPr>
      </w:pPr>
    </w:p>
    <w:bookmarkStart w:id="12" w:name="page13"/>
    <w:bookmarkEnd w:id="12"/>
    <w:p>
      <w:pPr>
        <w:ind w:left="980" w:firstLine="408"/>
        <w:spacing w:after="0" w:line="277" w:lineRule="auto"/>
        <w:tabs>
          <w:tab w:leader="none" w:pos="1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willful engaging by the Executive in any act that brings the Company into public disrepute or disgrace or causes material harm to the customer relations, operations or business prospects of the Company; or</w:t>
      </w:r>
    </w:p>
    <w:p>
      <w:pPr>
        <w:spacing w:after="0" w:line="62" w:lineRule="exact"/>
        <w:rPr>
          <w:rFonts w:ascii="Arial" w:cs="Arial" w:eastAsia="Arial" w:hAnsi="Arial"/>
          <w:sz w:val="18"/>
          <w:szCs w:val="18"/>
          <w:color w:val="auto"/>
        </w:rPr>
      </w:pPr>
    </w:p>
    <w:p>
      <w:pPr>
        <w:ind w:left="980" w:right="100" w:firstLine="408"/>
        <w:spacing w:after="0" w:line="259" w:lineRule="auto"/>
        <w:tabs>
          <w:tab w:leader="none" w:pos="16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For purposes of this Section 3(c), no act, or failure to act, on the Executive’s part shall be deemed “willful” if done, or omitted to be done, by the Executive in good faith and with reasonable belief that the Executive’s act, or failure to act, was in the best interest of the Company.</w:t>
      </w:r>
    </w:p>
    <w:p>
      <w:pPr>
        <w:spacing w:after="0" w:line="14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the case of any termination for Cause, the Company shall provide written notice to the Executive setting forth to a reasonable extent at least the principal acts or omissions of the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termination for Cause under this Section 3(c) (other than with respect to Section 3(c)(ii) shall in no event become effective under the Agreement unless the provisions of this paragraph are complied with. The Executive must be given written notice by the Board of the intention to terminate Executive’s employment for Cause, such notice (A) to state in detail the act or acts or failure or failures to act that constitute the grounds on which the proposed termination for Cause is based and (B) to be given within three (3) months of the Board learning of such act or acts or failure or failures to act. The Executive shall have ten (10) days after the date that such written notice has been given to the Executive in which to cure such conduct, to the extent such cure is possible. If the Executive fails to cure such conduct, the Executive shall thereupon be terminated for Cause.</w:t>
      </w:r>
    </w:p>
    <w:p>
      <w:pPr>
        <w:spacing w:after="0" w:line="164" w:lineRule="exact"/>
        <w:rPr>
          <w:sz w:val="20"/>
          <w:szCs w:val="20"/>
          <w:color w:val="auto"/>
        </w:rPr>
      </w:pPr>
    </w:p>
    <w:p>
      <w:pPr>
        <w:jc w:val="both"/>
        <w:ind w:right="40" w:firstLine="987"/>
        <w:spacing w:after="0" w:line="311" w:lineRule="auto"/>
        <w:tabs>
          <w:tab w:leader="none" w:pos="124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w:t>
      </w:r>
      <w:r>
        <w:rPr>
          <w:rFonts w:ascii="Arial" w:cs="Arial" w:eastAsia="Arial" w:hAnsi="Arial"/>
          <w:sz w:val="16"/>
          <w:szCs w:val="16"/>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3(b) shall be deemed a termination without Cause.</w:t>
      </w:r>
    </w:p>
    <w:p>
      <w:pPr>
        <w:spacing w:after="0" w:line="148" w:lineRule="exact"/>
        <w:rPr>
          <w:rFonts w:ascii="Arial" w:cs="Arial" w:eastAsia="Arial" w:hAnsi="Arial"/>
          <w:sz w:val="16"/>
          <w:szCs w:val="16"/>
          <w:color w:val="auto"/>
        </w:rPr>
      </w:pPr>
    </w:p>
    <w:p>
      <w:pPr>
        <w:ind w:right="240" w:firstLine="987"/>
        <w:spacing w:after="0" w:line="259" w:lineRule="auto"/>
        <w:tabs>
          <w:tab w:leader="none" w:pos="123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employment hereunder at any time for any reason, including but not limited to, Good Reason. For purposes of this Agreement,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shall mean that the Executive has completed all steps of the Good Reason Process (hereinafter defined) following the occurrence of any of the following events without the Executive’s consent (each, a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Condition</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600" w:hanging="212"/>
        <w:spacing w:after="0"/>
        <w:tabs>
          <w:tab w:leader="none" w:pos="1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material diminution in the Executive’s title, responsibilities, authority or duties;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3" w:name="page14"/>
    <w:bookmarkEnd w:id="13"/>
    <w:p>
      <w:pPr>
        <w:ind w:left="980" w:right="100" w:firstLine="408"/>
        <w:spacing w:after="0" w:line="263" w:lineRule="auto"/>
        <w:tabs>
          <w:tab w:leader="none" w:pos="1646" w:val="left"/>
        </w:tabs>
        <w:numPr>
          <w:ilvl w:val="1"/>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Change in Control following which either: (A) there is a material reduction in the budget over which the Executive retains authority or (B) the Executive is not CEO of the Company or, if the Company becomes a subsidiary of one or more entities following the Change in Control, the post-consummation ultimate parent entity of the Company; or</w:t>
      </w:r>
    </w:p>
    <w:p>
      <w:pPr>
        <w:spacing w:after="0" w:line="75" w:lineRule="exact"/>
        <w:rPr>
          <w:rFonts w:ascii="Arial" w:cs="Arial" w:eastAsia="Arial" w:hAnsi="Arial"/>
          <w:sz w:val="18"/>
          <w:szCs w:val="18"/>
          <w:color w:val="auto"/>
        </w:rPr>
      </w:pPr>
    </w:p>
    <w:p>
      <w:pPr>
        <w:ind w:left="980" w:firstLine="408"/>
        <w:spacing w:after="0" w:line="255" w:lineRule="auto"/>
        <w:tabs>
          <w:tab w:leader="none" w:pos="16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material breach of this Agreement by the Company, including without limitation, a reduction of the Executive’s Base Salary or Target Bonus in violation of Section 2(a) or 2(b) (except for across-the-board salary reductions of not more than ten percent (10%) similarly affecting all or substantially all senior management employees of the Company), a relocation of the Executive’s place of employment to any location that is greater than twenty (20) miles from the Executive’s home office, or the failure of the Company to obtain the assumption in writing of the Company’s obligations to the Executive under this Agreement by any successor as required under Section 13 below.</w:t>
      </w:r>
    </w:p>
    <w:p>
      <w:pPr>
        <w:spacing w:after="0" w:line="192" w:lineRule="exact"/>
        <w:rPr>
          <w:rFonts w:ascii="Arial" w:cs="Arial" w:eastAsia="Arial" w:hAnsi="Arial"/>
          <w:sz w:val="18"/>
          <w:szCs w:val="18"/>
          <w:color w:val="auto"/>
        </w:rPr>
      </w:pPr>
    </w:p>
    <w:p>
      <w:pPr>
        <w:ind w:left="1220" w:hanging="233"/>
        <w:spacing w:after="0"/>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Good Reason Process</w:t>
      </w:r>
      <w:r>
        <w:rPr>
          <w:rFonts w:ascii="Arial" w:cs="Arial" w:eastAsia="Arial" w:hAnsi="Arial"/>
          <w:sz w:val="18"/>
          <w:szCs w:val="18"/>
          <w:color w:val="auto"/>
        </w:rPr>
        <w:t>. The “</w:t>
      </w:r>
      <w:r>
        <w:rPr>
          <w:rFonts w:ascii="Arial" w:cs="Arial" w:eastAsia="Arial" w:hAnsi="Arial"/>
          <w:sz w:val="18"/>
          <w:szCs w:val="18"/>
          <w:b w:val="1"/>
          <w:bCs w:val="1"/>
          <w:i w:val="1"/>
          <w:iCs w:val="1"/>
          <w:u w:val="single" w:color="auto"/>
          <w:color w:val="auto"/>
        </w:rPr>
        <w:t>Good Reason Process</w:t>
      </w:r>
      <w:r>
        <w:rPr>
          <w:rFonts w:ascii="Arial" w:cs="Arial" w:eastAsia="Arial" w:hAnsi="Arial"/>
          <w:sz w:val="18"/>
          <w:szCs w:val="18"/>
          <w:color w:val="auto"/>
        </w:rPr>
        <w:t>” consists of the following steps:</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Executive reasonably determines in good faith that a Good Reason Condition has occurred;</w:t>
      </w:r>
    </w:p>
    <w:p>
      <w:pPr>
        <w:spacing w:after="0" w:line="117" w:lineRule="exact"/>
        <w:rPr>
          <w:rFonts w:ascii="Arial" w:cs="Arial" w:eastAsia="Arial" w:hAnsi="Arial"/>
          <w:sz w:val="18"/>
          <w:szCs w:val="18"/>
          <w:color w:val="auto"/>
        </w:rPr>
      </w:pPr>
    </w:p>
    <w:p>
      <w:pPr>
        <w:ind w:left="980" w:right="20" w:firstLine="408"/>
        <w:spacing w:after="0" w:line="277" w:lineRule="auto"/>
        <w:tabs>
          <w:tab w:leader="none" w:pos="164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Executive notifies the Company in writing of the first occurrence of the Good Reason Condition within sixty (60) days of the first occurrence of such condition;</w:t>
      </w:r>
    </w:p>
    <w:p>
      <w:pPr>
        <w:spacing w:after="0" w:line="62" w:lineRule="exact"/>
        <w:rPr>
          <w:rFonts w:ascii="Arial" w:cs="Arial" w:eastAsia="Arial" w:hAnsi="Arial"/>
          <w:sz w:val="18"/>
          <w:szCs w:val="18"/>
          <w:color w:val="auto"/>
        </w:rPr>
      </w:pPr>
    </w:p>
    <w:p>
      <w:pPr>
        <w:ind w:left="980" w:right="140" w:firstLine="408"/>
        <w:spacing w:after="0" w:line="277" w:lineRule="auto"/>
        <w:tabs>
          <w:tab w:leader="none" w:pos="16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Executive cooperates in good faith with the Company’s efforts, for a period of not less than thirty (30) days following such notice (the “</w:t>
      </w:r>
      <w:r>
        <w:rPr>
          <w:rFonts w:ascii="Arial" w:cs="Arial" w:eastAsia="Arial" w:hAnsi="Arial"/>
          <w:sz w:val="18"/>
          <w:szCs w:val="18"/>
          <w:b w:val="1"/>
          <w:bCs w:val="1"/>
          <w:i w:val="1"/>
          <w:iCs w:val="1"/>
          <w:u w:val="single" w:color="auto"/>
          <w:color w:val="auto"/>
        </w:rPr>
        <w:t>Cure Period</w:t>
      </w:r>
      <w:r>
        <w:rPr>
          <w:rFonts w:ascii="Arial" w:cs="Arial" w:eastAsia="Arial" w:hAnsi="Arial"/>
          <w:sz w:val="18"/>
          <w:szCs w:val="18"/>
          <w:color w:val="auto"/>
        </w:rPr>
        <w:t>”), to remedy the Good Reason Condition;</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notwithstanding such efforts, the Good Reason Condition continues to exist at the end of the Cure Period; and</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Executive terminates employment within sixty (60) days after the end of the Cure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ind w:left="620" w:hanging="184"/>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Matters Related to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87"/>
        <w:spacing w:after="0" w:line="311" w:lineRule="auto"/>
        <w:tabs>
          <w:tab w:leader="none" w:pos="1236"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Arial" w:cs="Arial" w:eastAsia="Arial" w:hAnsi="Arial"/>
          <w:sz w:val="16"/>
          <w:szCs w:val="16"/>
          <w:b w:val="1"/>
          <w:bCs w:val="1"/>
          <w:i w:val="1"/>
          <w:iCs w:val="1"/>
          <w:u w:val="single" w:color="auto"/>
          <w:color w:val="auto"/>
        </w:rPr>
        <w:t>Notice of Termination</w:t>
      </w:r>
      <w:r>
        <w:rPr>
          <w:rFonts w:ascii="Arial" w:cs="Arial" w:eastAsia="Arial" w:hAnsi="Arial"/>
          <w:sz w:val="16"/>
          <w:szCs w:val="16"/>
          <w:color w:val="auto"/>
        </w:rPr>
        <w:t>” shall mean a notice which shall indicate the specific termination provision in this Agreement relied upon.</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14" w:name="page15"/>
    <w:bookmarkEnd w:id="14"/>
    <w:p>
      <w:pPr>
        <w:ind w:left="1244" w:hanging="253"/>
        <w:spacing w:after="0"/>
        <w:tabs>
          <w:tab w:leader="none" w:pos="1244" w:val="left"/>
        </w:tabs>
        <w:numPr>
          <w:ilvl w:val="2"/>
          <w:numId w:val="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of Termination</w:t>
      </w:r>
      <w:r>
        <w:rPr>
          <w:rFonts w:ascii="Arial" w:cs="Arial" w:eastAsia="Arial" w:hAnsi="Arial"/>
          <w:sz w:val="16"/>
          <w:szCs w:val="16"/>
          <w:color w:val="auto"/>
        </w:rPr>
        <w:t>. “</w:t>
      </w:r>
      <w:r>
        <w:rPr>
          <w:rFonts w:ascii="Arial" w:cs="Arial" w:eastAsia="Arial" w:hAnsi="Arial"/>
          <w:sz w:val="16"/>
          <w:szCs w:val="16"/>
          <w:b w:val="1"/>
          <w:bCs w:val="1"/>
          <w:i w:val="1"/>
          <w:iCs w:val="1"/>
          <w:u w:val="single" w:color="auto"/>
          <w:color w:val="auto"/>
        </w:rPr>
        <w:t>Date of Termination</w:t>
      </w:r>
      <w:r>
        <w:rPr>
          <w:rFonts w:ascii="Arial" w:cs="Arial" w:eastAsia="Arial" w:hAnsi="Arial"/>
          <w:sz w:val="16"/>
          <w:szCs w:val="16"/>
          <w:color w:val="auto"/>
        </w:rPr>
        <w:t>” shall mean: (i) if the Executive’s employment is terminated by death, the date of death;</w:t>
      </w:r>
    </w:p>
    <w:p>
      <w:pPr>
        <w:spacing w:after="0" w:line="46" w:lineRule="exact"/>
        <w:rPr>
          <w:rFonts w:ascii="Arial" w:cs="Arial" w:eastAsia="Arial" w:hAnsi="Arial"/>
          <w:sz w:val="16"/>
          <w:szCs w:val="16"/>
          <w:color w:val="auto"/>
        </w:rPr>
      </w:pPr>
    </w:p>
    <w:p>
      <w:pPr>
        <w:ind w:left="4" w:right="20" w:hanging="4"/>
        <w:spacing w:after="0" w:line="281" w:lineRule="auto"/>
        <w:tabs>
          <w:tab w:leader="none" w:pos="269"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Executive’s employment is terminated on account of disability under Section 3(b) or by the Company for Cause under Section 3(c), the date on which Notice of Termination is given; (iii) if the Executive’s employment is terminated by the Company without Cause under Section 3(d), thirty</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(30) days after the date on which a Notice of Termination is given or a later date otherwise specified by the Company in the Notice of Termination;</w:t>
      </w:r>
    </w:p>
    <w:p>
      <w:pPr>
        <w:spacing w:after="0" w:line="20" w:lineRule="exact"/>
        <w:rPr>
          <w:rFonts w:ascii="Arial" w:cs="Arial" w:eastAsia="Arial" w:hAnsi="Arial"/>
          <w:sz w:val="16"/>
          <w:szCs w:val="16"/>
          <w:color w:val="auto"/>
        </w:rPr>
      </w:pPr>
    </w:p>
    <w:p>
      <w:pPr>
        <w:ind w:left="304" w:hanging="304"/>
        <w:spacing w:after="0"/>
        <w:tabs>
          <w:tab w:leader="none" w:pos="3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Executive’s employment is terminated by the Executive under Section 3(e) other than for Good Reason, thirty (30) days after the date on</w:t>
      </w:r>
    </w:p>
    <w:p>
      <w:pPr>
        <w:spacing w:after="0" w:line="20" w:lineRule="exact"/>
        <w:rPr>
          <w:rFonts w:ascii="Arial" w:cs="Arial" w:eastAsia="Arial" w:hAnsi="Arial"/>
          <w:sz w:val="17"/>
          <w:szCs w:val="17"/>
          <w:color w:val="auto"/>
        </w:rPr>
      </w:pPr>
    </w:p>
    <w:p>
      <w:pPr>
        <w:ind w:left="4" w:right="140"/>
        <w:spacing w:after="0" w:line="253" w:lineRule="auto"/>
        <w:rPr>
          <w:rFonts w:ascii="Arial" w:cs="Arial" w:eastAsia="Arial" w:hAnsi="Arial"/>
          <w:sz w:val="17"/>
          <w:szCs w:val="17"/>
          <w:color w:val="auto"/>
        </w:rPr>
      </w:pPr>
      <w:r>
        <w:rPr>
          <w:rFonts w:ascii="Arial" w:cs="Arial" w:eastAsia="Arial" w:hAnsi="Arial"/>
          <w:sz w:val="18"/>
          <w:szCs w:val="18"/>
          <w:color w:val="auto"/>
        </w:rPr>
        <w:t>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92" w:lineRule="exact"/>
        <w:rPr>
          <w:rFonts w:ascii="Arial" w:cs="Arial" w:eastAsia="Arial" w:hAnsi="Arial"/>
          <w:sz w:val="17"/>
          <w:szCs w:val="17"/>
          <w:color w:val="auto"/>
        </w:rPr>
      </w:pPr>
    </w:p>
    <w:p>
      <w:pPr>
        <w:ind w:left="4" w:firstLine="987"/>
        <w:spacing w:after="0" w:line="290" w:lineRule="auto"/>
        <w:tabs>
          <w:tab w:leader="none" w:pos="1240" w:val="left"/>
        </w:tabs>
        <w:numPr>
          <w:ilvl w:val="2"/>
          <w:numId w:val="21"/>
        </w:numPr>
        <w:rPr>
          <w:rFonts w:ascii="Arial" w:cs="Arial" w:eastAsia="Arial" w:hAnsi="Arial"/>
          <w:sz w:val="16"/>
          <w:szCs w:val="16"/>
          <w:color w:val="auto"/>
        </w:rPr>
      </w:pPr>
      <w:r>
        <w:rPr>
          <w:rFonts w:ascii="Arial" w:cs="Arial" w:eastAsia="Arial" w:hAnsi="Arial"/>
          <w:sz w:val="16"/>
          <w:szCs w:val="16"/>
          <w:u w:val="single" w:color="auto"/>
          <w:color w:val="auto"/>
        </w:rPr>
        <w:t>Accrued Obligations</w:t>
      </w:r>
      <w:r>
        <w:rPr>
          <w:rFonts w:ascii="Arial" w:cs="Arial" w:eastAsia="Arial" w:hAnsi="Arial"/>
          <w:sz w:val="16"/>
          <w:szCs w:val="16"/>
          <w:color w:val="auto"/>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the Executive terminates employment due to death or Disability (as defined in Section 3(b) above), the Executive (or in the case of death, the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Arial" w:cs="Arial" w:eastAsia="Arial" w:hAnsi="Arial"/>
          <w:sz w:val="16"/>
          <w:szCs w:val="16"/>
          <w:b w:val="1"/>
          <w:bCs w:val="1"/>
          <w:i w:val="1"/>
          <w:iCs w:val="1"/>
          <w:u w:val="single" w:color="auto"/>
          <w:color w:val="auto"/>
        </w:rPr>
        <w:t>Accrued Obligations</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left="4" w:right="120" w:firstLine="987"/>
        <w:spacing w:after="0" w:line="311" w:lineRule="auto"/>
        <w:tabs>
          <w:tab w:leader="none" w:pos="1250" w:val="left"/>
        </w:tabs>
        <w:numPr>
          <w:ilvl w:val="2"/>
          <w:numId w:val="21"/>
        </w:numPr>
        <w:rPr>
          <w:rFonts w:ascii="Arial" w:cs="Arial" w:eastAsia="Arial" w:hAnsi="Arial"/>
          <w:sz w:val="16"/>
          <w:szCs w:val="16"/>
          <w:color w:val="auto"/>
        </w:rPr>
      </w:pPr>
      <w:r>
        <w:rPr>
          <w:rFonts w:ascii="Arial" w:cs="Arial" w:eastAsia="Arial" w:hAnsi="Arial"/>
          <w:sz w:val="16"/>
          <w:szCs w:val="16"/>
          <w:u w:val="single" w:color="auto"/>
          <w:color w:val="auto"/>
        </w:rPr>
        <w:t>Resignation of All Other Positions</w:t>
      </w:r>
      <w:r>
        <w:rPr>
          <w:rFonts w:ascii="Arial" w:cs="Arial" w:eastAsia="Arial" w:hAnsi="Arial"/>
          <w:sz w:val="16"/>
          <w:szCs w:val="16"/>
          <w:color w:val="auto"/>
        </w:rPr>
        <w:t>. To the extent applicable, the Executive shall be deemed to have resigned from all officer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48" w:lineRule="exact"/>
        <w:rPr>
          <w:rFonts w:ascii="Arial" w:cs="Arial" w:eastAsia="Arial" w:hAnsi="Arial"/>
          <w:sz w:val="16"/>
          <w:szCs w:val="16"/>
          <w:color w:val="auto"/>
        </w:rPr>
      </w:pPr>
    </w:p>
    <w:p>
      <w:pPr>
        <w:ind w:left="4" w:right="180" w:firstLine="436"/>
        <w:spacing w:after="0" w:line="293" w:lineRule="auto"/>
        <w:tabs>
          <w:tab w:leader="none" w:pos="624"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w:t>
      </w:r>
      <w:r>
        <w:rPr>
          <w:rFonts w:ascii="Arial" w:cs="Arial" w:eastAsia="Arial" w:hAnsi="Arial"/>
          <w:sz w:val="16"/>
          <w:szCs w:val="16"/>
          <w:color w:val="auto"/>
        </w:rPr>
        <w:t xml:space="preserve">. If the Executive’s employment is terminated by the Company without Cause as provided in Section 3(d), or the Executive terminates employment for Good Reason as provided in Section 3(e), then, in addition to the Accrued Obligations, and subject to (i) the Executive signing a separation agreement and release in a form substantially the same as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w:t>
      </w:r>
      <w:r>
        <w:rPr>
          <w:rFonts w:ascii="Arial" w:cs="Arial" w:eastAsia="Arial" w:hAnsi="Arial"/>
          <w:sz w:val="16"/>
          <w:szCs w:val="16"/>
          <w:b w:val="1"/>
          <w:bCs w:val="1"/>
          <w:i w:val="1"/>
          <w:iCs w:val="1"/>
          <w:u w:val="single" w:color="auto"/>
          <w:color w:val="auto"/>
        </w:rPr>
        <w:t>Separation Agreement</w:t>
      </w:r>
      <w:r>
        <w:rPr>
          <w:rFonts w:ascii="Arial" w:cs="Arial" w:eastAsia="Arial" w:hAnsi="Arial"/>
          <w:sz w:val="16"/>
          <w:szCs w:val="16"/>
          <w:color w:val="auto"/>
        </w:rPr>
        <w:t>”), which provides that if the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5" w:name="page16"/>
    <w:bookmarkEnd w:id="15"/>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w:t>
      </w:r>
      <w:r>
        <w:rPr>
          <w:rFonts w:ascii="Arial" w:cs="Arial" w:eastAsia="Arial" w:hAnsi="Arial"/>
          <w:sz w:val="16"/>
          <w:szCs w:val="16"/>
          <w:u w:val="single" w:color="auto"/>
          <w:color w:val="auto"/>
        </w:rPr>
        <w:t>Cash Severance</w:t>
      </w:r>
      <w:r>
        <w:rPr>
          <w:rFonts w:ascii="Arial" w:cs="Arial" w:eastAsia="Arial" w:hAnsi="Arial"/>
          <w:sz w:val="16"/>
          <w:szCs w:val="16"/>
          <w:color w:val="auto"/>
        </w:rPr>
        <w:t>. The Company shall pay the Executive an amount equal to twelve (12) months’ of the Executive’s Base Salary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u w:val="single" w:color="auto"/>
          <w:color w:val="auto"/>
        </w:rPr>
        <w:t>Severance Amount</w:t>
      </w:r>
      <w:r>
        <w:rPr>
          <w:rFonts w:ascii="Arial" w:cs="Arial" w:eastAsia="Arial" w:hAnsi="Arial"/>
          <w:sz w:val="16"/>
          <w:szCs w:val="16"/>
          <w:color w:val="auto"/>
        </w:rPr>
        <w:t>”) and, in the event that the Executive’s employment is terminated after the end of the calendar year but prior to the payment of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Annual Bonus for the immediately preceding calendar year, the Executive shall be entitled to receive a lump sum payment of any unpaid Annual Bonus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earned based on achievement of the applicable performance goals and objectives, without any reduction for individual performance, with respect to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immediately preceding calendar year (the “</w:t>
      </w:r>
      <w:r>
        <w:rPr>
          <w:rFonts w:ascii="Arial" w:cs="Arial" w:eastAsia="Arial" w:hAnsi="Arial"/>
          <w:sz w:val="18"/>
          <w:szCs w:val="18"/>
          <w:b w:val="1"/>
          <w:bCs w:val="1"/>
          <w:i w:val="1"/>
          <w:iCs w:val="1"/>
          <w:u w:val="single" w:color="auto"/>
          <w:color w:val="auto"/>
        </w:rPr>
        <w:t>Earned Bonus</w:t>
      </w:r>
      <w:r>
        <w:rPr>
          <w:rFonts w:ascii="Arial" w:cs="Arial" w:eastAsia="Arial" w:hAnsi="Arial"/>
          <w:sz w:val="18"/>
          <w:szCs w:val="18"/>
          <w:color w:val="auto"/>
        </w:rPr>
        <w:t>”).</w:t>
      </w:r>
    </w:p>
    <w:p>
      <w:pPr>
        <w:spacing w:after="0" w:line="211" w:lineRule="exact"/>
        <w:rPr>
          <w:sz w:val="20"/>
          <w:szCs w:val="20"/>
          <w:color w:val="auto"/>
        </w:rPr>
      </w:pPr>
    </w:p>
    <w:p>
      <w:pPr>
        <w:jc w:val="both"/>
        <w:ind w:left="4" w:right="160" w:firstLine="987"/>
        <w:spacing w:after="0" w:line="286" w:lineRule="auto"/>
        <w:tabs>
          <w:tab w:leader="none" w:pos="1250"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COBRA Premiums</w:t>
      </w:r>
      <w:r>
        <w:rPr>
          <w:rFonts w:ascii="Arial" w:cs="Arial" w:eastAsia="Arial" w:hAnsi="Arial"/>
          <w:sz w:val="16"/>
          <w:szCs w:val="16"/>
          <w:color w:val="auto"/>
        </w:rPr>
        <w:t>. Subject to the Executive’s copayment of premium amounts at the applicable active employees’ rate and the Executive’s proper election to receive benefits under the Consolidated Omnibus Budget Reconciliation Act of 1985, as amended (“</w:t>
      </w:r>
      <w:r>
        <w:rPr>
          <w:rFonts w:ascii="Arial" w:cs="Arial" w:eastAsia="Arial" w:hAnsi="Arial"/>
          <w:sz w:val="16"/>
          <w:szCs w:val="16"/>
          <w:b w:val="1"/>
          <w:bCs w:val="1"/>
          <w:i w:val="1"/>
          <w:iCs w:val="1"/>
          <w:u w:val="single" w:color="auto"/>
          <w:color w:val="auto"/>
        </w:rPr>
        <w:t>COBRA</w:t>
      </w:r>
      <w:r>
        <w:rPr>
          <w:rFonts w:ascii="Arial" w:cs="Arial" w:eastAsia="Arial" w:hAnsi="Arial"/>
          <w:sz w:val="16"/>
          <w:szCs w:val="16"/>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w:t>
      </w:r>
    </w:p>
    <w:p>
      <w:pPr>
        <w:spacing w:after="0" w:line="1" w:lineRule="exact"/>
        <w:rPr>
          <w:rFonts w:ascii="Arial" w:cs="Arial" w:eastAsia="Arial" w:hAnsi="Arial"/>
          <w:sz w:val="16"/>
          <w:szCs w:val="16"/>
          <w:color w:val="auto"/>
        </w:rPr>
      </w:pPr>
    </w:p>
    <w:p>
      <w:pPr>
        <w:ind w:left="4" w:right="40" w:hanging="4"/>
        <w:spacing w:after="0" w:line="270" w:lineRule="auto"/>
        <w:tabs>
          <w:tab w:leader="none" w:pos="29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twelve (12)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78" w:lineRule="exact"/>
        <w:rPr>
          <w:rFonts w:ascii="Arial" w:cs="Arial" w:eastAsia="Arial" w:hAnsi="Arial"/>
          <w:sz w:val="17"/>
          <w:szCs w:val="17"/>
          <w:color w:val="auto"/>
        </w:rPr>
      </w:pPr>
    </w:p>
    <w:p>
      <w:pPr>
        <w:ind w:left="4" w:firstLine="987"/>
        <w:spacing w:after="0" w:line="287" w:lineRule="auto"/>
        <w:tabs>
          <w:tab w:leader="none" w:pos="1240"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Delayed Forfeiture of Time-Based Equity Awards</w:t>
      </w:r>
      <w:r>
        <w:rPr>
          <w:rFonts w:ascii="Arial" w:cs="Arial" w:eastAsia="Arial" w:hAnsi="Arial"/>
          <w:sz w:val="16"/>
          <w:szCs w:val="16"/>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ninety (90) days after the Date of Termination (the “</w:t>
      </w:r>
      <w:r>
        <w:rPr>
          <w:rFonts w:ascii="Arial" w:cs="Arial" w:eastAsia="Arial" w:hAnsi="Arial"/>
          <w:sz w:val="16"/>
          <w:szCs w:val="16"/>
          <w:b w:val="1"/>
          <w:bCs w:val="1"/>
          <w:i w:val="1"/>
          <w:iCs w:val="1"/>
          <w:u w:val="single" w:color="auto"/>
          <w:color w:val="auto"/>
        </w:rPr>
        <w:t>Pre-CIC Protection Period</w:t>
      </w:r>
      <w:r>
        <w:rPr>
          <w:rFonts w:ascii="Arial" w:cs="Arial" w:eastAsia="Arial" w:hAnsi="Arial"/>
          <w:sz w:val="16"/>
          <w:szCs w:val="16"/>
          <w:color w:val="auto"/>
        </w:rPr>
        <w:t>”). If the Company has not, prior to the end of the Pre-CIC Protection Period, entered into a definitive agreement that, if closed, would result in a Change in Control (a “</w:t>
      </w:r>
      <w:r>
        <w:rPr>
          <w:rFonts w:ascii="Arial" w:cs="Arial" w:eastAsia="Arial" w:hAnsi="Arial"/>
          <w:sz w:val="16"/>
          <w:szCs w:val="16"/>
          <w:b w:val="1"/>
          <w:bCs w:val="1"/>
          <w:i w:val="1"/>
          <w:iCs w:val="1"/>
          <w:u w:val="single" w:color="auto"/>
          <w:color w:val="auto"/>
        </w:rPr>
        <w:t>P&amp;S Agreement</w:t>
      </w:r>
      <w:r>
        <w:rPr>
          <w:rFonts w:ascii="Arial" w:cs="Arial" w:eastAsia="Arial" w:hAnsi="Arial"/>
          <w:sz w:val="16"/>
          <w:szCs w:val="16"/>
          <w:color w:val="auto"/>
        </w:rPr>
        <w:t>”), then the unvested portion of the Time-Based Equity Awards shall terminate and be forfeited. If the Company, prior the end of the Pre-CIC Protection Period, enters into a P&amp;S Agreement, then the Time-Based Equity Awards shall remain outstanding and become fully vested upon a Change in Control resulting from such agreement.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16" w:name="page17"/>
    <w:bookmarkEnd w:id="16"/>
    <w:p>
      <w:pPr>
        <w:ind w:left="4" w:right="120" w:firstLine="987"/>
        <w:spacing w:after="0" w:line="291" w:lineRule="auto"/>
        <w:tabs>
          <w:tab w:leader="none" w:pos="1250" w:val="left"/>
        </w:tabs>
        <w:numPr>
          <w:ilvl w:val="2"/>
          <w:numId w:val="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Severance Payment Timing</w:t>
      </w:r>
      <w:r>
        <w:rPr>
          <w:rFonts w:ascii="Arial" w:cs="Arial" w:eastAsia="Arial" w:hAnsi="Arial"/>
          <w:sz w:val="16"/>
          <w:szCs w:val="16"/>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sixty (60)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Arial" w:cs="Arial" w:eastAsia="Arial" w:hAnsi="Arial"/>
          <w:sz w:val="16"/>
          <w:szCs w:val="16"/>
          <w:b w:val="1"/>
          <w:bCs w:val="1"/>
          <w:i w:val="1"/>
          <w:iCs w:val="1"/>
          <w:u w:val="single" w:color="auto"/>
          <w:color w:val="auto"/>
        </w:rPr>
        <w:t>Code</w:t>
      </w:r>
      <w:r>
        <w:rPr>
          <w:rFonts w:ascii="Arial" w:cs="Arial" w:eastAsia="Arial" w:hAnsi="Arial"/>
          <w:sz w:val="16"/>
          <w:szCs w:val="16"/>
          <w:color w:val="auto"/>
        </w:rPr>
        <w:t>”), shall be paid or commence to be paid in the second calendar year by the last day of such period. The Severance Amount shall be paid in a single lump sum and the Earned Bonus, if any, shall be paid at the same time as if the Executive had remained employed with the Company through the payment date.</w:t>
      </w:r>
    </w:p>
    <w:p>
      <w:pPr>
        <w:spacing w:after="0" w:line="166" w:lineRule="exact"/>
        <w:rPr>
          <w:rFonts w:ascii="Arial" w:cs="Arial" w:eastAsia="Arial" w:hAnsi="Arial"/>
          <w:sz w:val="16"/>
          <w:szCs w:val="16"/>
          <w:color w:val="auto"/>
        </w:rPr>
      </w:pPr>
    </w:p>
    <w:p>
      <w:pPr>
        <w:ind w:left="4" w:right="20" w:firstLine="436"/>
        <w:spacing w:after="0" w:line="286" w:lineRule="auto"/>
        <w:tabs>
          <w:tab w:leader="none" w:pos="624"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 within the Change in Control Period</w:t>
      </w:r>
      <w:r>
        <w:rPr>
          <w:rFonts w:ascii="Arial" w:cs="Arial" w:eastAsia="Arial" w:hAnsi="Arial"/>
          <w:sz w:val="16"/>
          <w:szCs w:val="16"/>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during the Change in Control Period. The “</w:t>
      </w:r>
      <w:r>
        <w:rPr>
          <w:rFonts w:ascii="Arial" w:cs="Arial" w:eastAsia="Arial" w:hAnsi="Arial"/>
          <w:sz w:val="16"/>
          <w:szCs w:val="16"/>
          <w:b w:val="1"/>
          <w:bCs w:val="1"/>
          <w:i w:val="1"/>
          <w:iCs w:val="1"/>
          <w:u w:val="single" w:color="auto"/>
          <w:color w:val="auto"/>
        </w:rPr>
        <w:t>Change in Control Period</w:t>
      </w:r>
      <w:r>
        <w:rPr>
          <w:rFonts w:ascii="Arial" w:cs="Arial" w:eastAsia="Arial" w:hAnsi="Arial"/>
          <w:sz w:val="16"/>
          <w:szCs w:val="16"/>
          <w:color w:val="auto"/>
        </w:rPr>
        <w:t>” shall begin on the earlier of</w:t>
      </w:r>
    </w:p>
    <w:p>
      <w:pPr>
        <w:spacing w:after="0" w:line="1" w:lineRule="exact"/>
        <w:rPr>
          <w:rFonts w:ascii="Arial" w:cs="Arial" w:eastAsia="Arial" w:hAnsi="Arial"/>
          <w:sz w:val="16"/>
          <w:szCs w:val="16"/>
          <w:color w:val="auto"/>
        </w:rPr>
      </w:pPr>
    </w:p>
    <w:p>
      <w:pPr>
        <w:ind w:left="4" w:right="60" w:hanging="4"/>
        <w:spacing w:after="0" w:line="270" w:lineRule="auto"/>
        <w:tabs>
          <w:tab w:leader="none" w:pos="24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the Executive be entitled to severance benefits under both Section 5 and Section 6 of this Agreement.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178" w:lineRule="exact"/>
        <w:rPr>
          <w:sz w:val="20"/>
          <w:szCs w:val="20"/>
          <w:color w:val="auto"/>
        </w:rPr>
      </w:pPr>
    </w:p>
    <w:p>
      <w:pPr>
        <w:ind w:left="4" w:right="120"/>
        <w:spacing w:after="0" w:line="301" w:lineRule="auto"/>
        <w:rPr>
          <w:sz w:val="20"/>
          <w:szCs w:val="20"/>
          <w:color w:val="auto"/>
        </w:rPr>
      </w:pPr>
      <w:r>
        <w:rPr>
          <w:rFonts w:ascii="Arial" w:cs="Arial" w:eastAsia="Arial" w:hAnsi="Arial"/>
          <w:sz w:val="16"/>
          <w:szCs w:val="16"/>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the Separation Agreement by the Executive and the Separation Agreement becoming fully effective, all within the time frame set forth in the Separation Agreement but in no event more than sixty (60) days after the Date of Termination:</w:t>
      </w:r>
    </w:p>
    <w:p>
      <w:pPr>
        <w:spacing w:after="0" w:line="157" w:lineRule="exact"/>
        <w:rPr>
          <w:sz w:val="20"/>
          <w:szCs w:val="20"/>
          <w:color w:val="auto"/>
        </w:rPr>
      </w:pPr>
    </w:p>
    <w:p>
      <w:pPr>
        <w:ind w:left="4" w:firstLine="987"/>
        <w:spacing w:after="0" w:line="259" w:lineRule="auto"/>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Cash Severance</w:t>
      </w:r>
      <w:r>
        <w:rPr>
          <w:rFonts w:ascii="Arial" w:cs="Arial" w:eastAsia="Arial" w:hAnsi="Arial"/>
          <w:sz w:val="18"/>
          <w:szCs w:val="18"/>
          <w:color w:val="auto"/>
        </w:rPr>
        <w:t>. The Company shall pay the Executive a lump sum in cash in an amount equal to the sum of (A) eighteen (18) months’ of the Executive’s then-current Base Salary (or the Executive’s Base Salary in effect immediately prior to the Change in Control, if higher), and (B) 1.5 times the Executive’s Target Bonus for the then-current year (or the Executive’s Target Bonus in effect immediately prior to the Change in Control, if higher), plus, if applicable, any Earned Bonus (the “</w:t>
      </w:r>
      <w:r>
        <w:rPr>
          <w:rFonts w:ascii="Arial" w:cs="Arial" w:eastAsia="Arial" w:hAnsi="Arial"/>
          <w:sz w:val="18"/>
          <w:szCs w:val="18"/>
          <w:b w:val="1"/>
          <w:bCs w:val="1"/>
          <w:i w:val="1"/>
          <w:iCs w:val="1"/>
          <w:u w:val="single" w:color="auto"/>
          <w:color w:val="auto"/>
        </w:rPr>
        <w:t>Change in Control Payment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 w:right="480" w:firstLine="987"/>
        <w:spacing w:after="0" w:line="263" w:lineRule="auto"/>
        <w:tabs>
          <w:tab w:leader="none" w:pos="125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COBRA Premiums</w:t>
      </w:r>
      <w:r>
        <w:rPr>
          <w:rFonts w:ascii="Arial" w:cs="Arial" w:eastAsia="Arial" w:hAnsi="Arial"/>
          <w:sz w:val="18"/>
          <w:szCs w:val="18"/>
          <w:color w:val="auto"/>
        </w:rPr>
        <w:t>. 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17" w:name="page18"/>
    <w:bookmarkEnd w:id="17"/>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would have made to provide health insurance to the Executive if the Executive had remained employed by the Company until the earliest of (A) the eighteen (18)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77" w:lineRule="exact"/>
        <w:rPr>
          <w:sz w:val="20"/>
          <w:szCs w:val="20"/>
          <w:color w:val="auto"/>
        </w:rPr>
      </w:pPr>
    </w:p>
    <w:p>
      <w:pPr>
        <w:ind w:firstLine="987"/>
        <w:spacing w:after="0" w:line="270" w:lineRule="auto"/>
        <w:tabs>
          <w:tab w:leader="none" w:pos="1236"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Notwithstanding anything to the contrary in any Equity Award, the Time-Based Equity Awards shall immediately accelerate and become fully vested and exercisable or nonforfeitable as if the Executive had remained employed with the Company as of the later of (i) the Date of Termination (or, if later, the Change in Control) or (ii) the effective date of the Separation Agreement (the “</w:t>
      </w:r>
      <w:r>
        <w:rPr>
          <w:rFonts w:ascii="Arial" w:cs="Arial" w:eastAsia="Arial" w:hAnsi="Arial"/>
          <w:sz w:val="17"/>
          <w:szCs w:val="17"/>
          <w:b w:val="1"/>
          <w:bCs w:val="1"/>
          <w:i w:val="1"/>
          <w:iCs w:val="1"/>
          <w:u w:val="single" w:color="auto"/>
          <w:color w:val="auto"/>
        </w:rPr>
        <w:t>Accelerated</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Vesting Date</w:t>
      </w:r>
      <w:r>
        <w:rPr>
          <w:rFonts w:ascii="Arial" w:cs="Arial" w:eastAsia="Arial" w:hAnsi="Arial"/>
          <w:sz w:val="17"/>
          <w:szCs w:val="17"/>
          <w:color w:val="auto"/>
        </w:rPr>
        <w:t>”), provided that in order to effectuate the accelerated vesting contemplated by this subsection, the unvested portion of such Equity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the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180" w:lineRule="exact"/>
        <w:rPr>
          <w:rFonts w:ascii="Arial" w:cs="Arial" w:eastAsia="Arial" w:hAnsi="Arial"/>
          <w:sz w:val="17"/>
          <w:szCs w:val="17"/>
          <w:color w:val="auto"/>
        </w:rPr>
      </w:pPr>
    </w:p>
    <w:p>
      <w:pPr>
        <w:ind w:firstLine="987"/>
        <w:spacing w:after="0" w:line="301" w:lineRule="auto"/>
        <w:tabs>
          <w:tab w:leader="none" w:pos="1246"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Change in Control Payment Timing</w:t>
      </w:r>
      <w:r>
        <w:rPr>
          <w:rFonts w:ascii="Arial" w:cs="Arial" w:eastAsia="Arial" w:hAnsi="Arial"/>
          <w:sz w:val="16"/>
          <w:szCs w:val="16"/>
          <w:color w:val="auto"/>
        </w:rPr>
        <w:t>. The amounts payable under this Section 6, to the extent taxable, shall be paid or commence to be paid within sixty (60)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57" w:lineRule="exact"/>
        <w:rPr>
          <w:rFonts w:ascii="Arial" w:cs="Arial" w:eastAsia="Arial" w:hAnsi="Arial"/>
          <w:sz w:val="16"/>
          <w:szCs w:val="16"/>
          <w:color w:val="auto"/>
        </w:rPr>
      </w:pPr>
    </w:p>
    <w:p>
      <w:pPr>
        <w:ind w:left="620" w:hanging="184"/>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280G Limitation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7"/>
        <w:spacing w:after="0" w:line="254" w:lineRule="auto"/>
        <w:tabs>
          <w:tab w:leader="none" w:pos="12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8"/>
          <w:szCs w:val="18"/>
          <w:b w:val="1"/>
          <w:bCs w:val="1"/>
          <w:i w:val="1"/>
          <w:iCs w:val="1"/>
          <w:u w:val="single" w:color="auto"/>
          <w:color w:val="auto"/>
        </w:rPr>
        <w:t>Aggregate Payments</w:t>
      </w:r>
      <w:r>
        <w:rPr>
          <w:rFonts w:ascii="Arial" w:cs="Arial" w:eastAsia="Arial" w:hAnsi="Arial"/>
          <w:sz w:val="18"/>
          <w:szCs w:val="18"/>
          <w:color w:val="auto"/>
        </w:rPr>
        <w:t>”),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8" w:name="page19"/>
    <w:bookmarkEnd w:id="18"/>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78" w:lineRule="exact"/>
        <w:rPr>
          <w:sz w:val="20"/>
          <w:szCs w:val="20"/>
          <w:color w:val="auto"/>
        </w:rPr>
      </w:pPr>
    </w:p>
    <w:p>
      <w:pPr>
        <w:ind w:right="60" w:firstLine="987"/>
        <w:spacing w:after="0" w:line="255" w:lineRule="auto"/>
        <w:tabs>
          <w:tab w:leader="none" w:pos="12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purposes of this Section 7, the “</w:t>
      </w:r>
      <w:r>
        <w:rPr>
          <w:rFonts w:ascii="Arial" w:cs="Arial" w:eastAsia="Arial" w:hAnsi="Arial"/>
          <w:sz w:val="18"/>
          <w:szCs w:val="18"/>
          <w:b w:val="1"/>
          <w:bCs w:val="1"/>
          <w:i w:val="1"/>
          <w:iCs w:val="1"/>
          <w:u w:val="single" w:color="auto"/>
          <w:color w:val="auto"/>
        </w:rPr>
        <w:t>After Tax Amount</w:t>
      </w:r>
      <w:r>
        <w:rPr>
          <w:rFonts w:ascii="Arial" w:cs="Arial" w:eastAsia="Arial" w:hAnsi="Arial"/>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92" w:lineRule="exact"/>
        <w:rPr>
          <w:rFonts w:ascii="Arial" w:cs="Arial" w:eastAsia="Arial" w:hAnsi="Arial"/>
          <w:sz w:val="18"/>
          <w:szCs w:val="18"/>
          <w:color w:val="auto"/>
        </w:rPr>
      </w:pPr>
    </w:p>
    <w:p>
      <w:pPr>
        <w:ind w:right="20" w:firstLine="987"/>
        <w:spacing w:after="0" w:line="284" w:lineRule="auto"/>
        <w:tabs>
          <w:tab w:leader="none" w:pos="1236"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Arial" w:cs="Arial" w:eastAsia="Arial" w:hAnsi="Arial"/>
          <w:sz w:val="16"/>
          <w:szCs w:val="16"/>
          <w:b w:val="1"/>
          <w:bCs w:val="1"/>
          <w:i w:val="1"/>
          <w:iCs w:val="1"/>
          <w:color w:val="auto"/>
        </w:rPr>
        <w:t>Independent Advisors</w:t>
      </w:r>
      <w:r>
        <w:rPr>
          <w:rFonts w:ascii="Arial" w:cs="Arial" w:eastAsia="Arial" w:hAnsi="Arial"/>
          <w:sz w:val="16"/>
          <w:szCs w:val="16"/>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the Executive within fifteen (15) business days of the Date of Termination, if applicable, or at such earlier time as is reasonably requested by the Company or the Executive. Any determination by the Independent Advisors shall be binding upon the Company and the Executive.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9" w:name="page20"/>
    <w:bookmarkEnd w:id="19"/>
    <w:p>
      <w:pPr>
        <w:ind w:left="560" w:hanging="184"/>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firstLine="987"/>
        <w:spacing w:after="0" w:line="270" w:lineRule="auto"/>
        <w:tabs>
          <w:tab w:leader="none" w:pos="1176"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180" w:lineRule="exact"/>
        <w:rPr>
          <w:rFonts w:ascii="Arial" w:cs="Arial" w:eastAsia="Arial" w:hAnsi="Arial"/>
          <w:sz w:val="17"/>
          <w:szCs w:val="17"/>
          <w:color w:val="auto"/>
        </w:rPr>
      </w:pPr>
    </w:p>
    <w:p>
      <w:pPr>
        <w:ind w:left="-60" w:right="60" w:firstLine="987"/>
        <w:spacing w:after="0" w:line="273" w:lineRule="auto"/>
        <w:tabs>
          <w:tab w:leader="none" w:pos="1186"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7" w:lineRule="exact"/>
        <w:rPr>
          <w:rFonts w:ascii="Arial" w:cs="Arial" w:eastAsia="Arial" w:hAnsi="Arial"/>
          <w:sz w:val="17"/>
          <w:szCs w:val="17"/>
          <w:color w:val="auto"/>
        </w:rPr>
      </w:pPr>
    </w:p>
    <w:p>
      <w:pPr>
        <w:jc w:val="both"/>
        <w:ind w:left="-60" w:right="180" w:firstLine="987"/>
        <w:spacing w:after="0" w:line="279" w:lineRule="auto"/>
        <w:tabs>
          <w:tab w:leader="none" w:pos="1176" w:val="left"/>
        </w:tabs>
        <w:numPr>
          <w:ilvl w:val="1"/>
          <w:numId w:val="31"/>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1" w:lineRule="exact"/>
        <w:rPr>
          <w:rFonts w:ascii="Arial" w:cs="Arial" w:eastAsia="Arial" w:hAnsi="Arial"/>
          <w:sz w:val="17"/>
          <w:szCs w:val="17"/>
          <w:color w:val="auto"/>
        </w:rPr>
      </w:pPr>
    </w:p>
    <w:p>
      <w:pPr>
        <w:ind w:left="-60" w:right="240" w:firstLine="987"/>
        <w:spacing w:after="0" w:line="290" w:lineRule="auto"/>
        <w:tabs>
          <w:tab w:leader="none" w:pos="1186"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65" w:lineRule="exact"/>
        <w:rPr>
          <w:rFonts w:ascii="Arial" w:cs="Arial" w:eastAsia="Arial" w:hAnsi="Arial"/>
          <w:sz w:val="16"/>
          <w:szCs w:val="16"/>
          <w:color w:val="auto"/>
        </w:rPr>
      </w:pPr>
    </w:p>
    <w:p>
      <w:pPr>
        <w:ind w:left="-60" w:right="20" w:firstLine="987"/>
        <w:spacing w:after="0" w:line="263" w:lineRule="auto"/>
        <w:tabs>
          <w:tab w:leader="none" w:pos="1176"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500" w:top="274" w:right="499" w:bottom="1440" w:gutter="0" w:footer="0" w:header="0"/>
        </w:sectPr>
      </w:pPr>
    </w:p>
    <w:bookmarkStart w:id="20" w:name="page21"/>
    <w:bookmarkEnd w:id="20"/>
    <w:p>
      <w:pPr>
        <w:ind w:left="580" w:hanging="184"/>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Continuing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120" w:firstLine="987"/>
        <w:spacing w:after="0" w:line="275" w:lineRule="auto"/>
        <w:tabs>
          <w:tab w:leader="none" w:pos="1196"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Restrictive Covenants Agreement</w:t>
      </w:r>
      <w:r>
        <w:rPr>
          <w:rFonts w:ascii="Arial" w:cs="Arial" w:eastAsia="Arial" w:hAnsi="Arial"/>
          <w:sz w:val="17"/>
          <w:szCs w:val="17"/>
          <w:color w:val="auto"/>
        </w:rPr>
        <w:t>. As a condition of entering into this Agreement, Executive agrees to the terms of the Employee Proprietary Information and Inventions Assignment Agreement, dated August 5, 2021 between the Company and the Executive (the “</w:t>
      </w:r>
      <w:r>
        <w:rPr>
          <w:rFonts w:ascii="Arial" w:cs="Arial" w:eastAsia="Arial" w:hAnsi="Arial"/>
          <w:sz w:val="17"/>
          <w:szCs w:val="17"/>
          <w:b w:val="1"/>
          <w:bCs w:val="1"/>
          <w:i w:val="1"/>
          <w:iCs w:val="1"/>
          <w:u w:val="single" w:color="auto"/>
          <w:color w:val="auto"/>
        </w:rPr>
        <w:t>Restrictive</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Covenants Agreement</w:t>
      </w:r>
      <w:r>
        <w:rPr>
          <w:rFonts w:ascii="Arial" w:cs="Arial" w:eastAsia="Arial" w:hAnsi="Arial"/>
          <w:sz w:val="17"/>
          <w:szCs w:val="17"/>
          <w:color w:val="auto"/>
        </w:rPr>
        <w:t>”) attached hereto as</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Appendix C</w:t>
      </w:r>
      <w:r>
        <w:rPr>
          <w:rFonts w:ascii="Arial" w:cs="Arial" w:eastAsia="Arial" w:hAnsi="Arial"/>
          <w:sz w:val="17"/>
          <w:szCs w:val="17"/>
          <w:color w:val="auto"/>
        </w:rPr>
        <w:t>. For purposes of this Agreement, the obligations in this Section 9 and those that arise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Restrictive Covenants Agreement and any other agreement relating to confidentiality, assignment of inventions, or other restrictive covenants that may later be agreed to by the Executive shall collectively be referred to as the “</w:t>
      </w:r>
      <w:r>
        <w:rPr>
          <w:rFonts w:ascii="Arial" w:cs="Arial" w:eastAsia="Arial" w:hAnsi="Arial"/>
          <w:sz w:val="17"/>
          <w:szCs w:val="17"/>
          <w:b w:val="1"/>
          <w:bCs w:val="1"/>
          <w:i w:val="1"/>
          <w:iCs w:val="1"/>
          <w:u w:val="single" w:color="auto"/>
          <w:color w:val="auto"/>
        </w:rPr>
        <w:t>Continuing Obligations</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40" w:firstLine="987"/>
        <w:spacing w:after="0" w:line="253" w:lineRule="auto"/>
        <w:tabs>
          <w:tab w:leader="none" w:pos="1206"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Third-Party Agreements and Rights</w:t>
      </w:r>
      <w:r>
        <w:rPr>
          <w:rFonts w:ascii="Arial" w:cs="Arial" w:eastAsia="Arial" w:hAnsi="Arial"/>
          <w:sz w:val="18"/>
          <w:szCs w:val="18"/>
          <w:color w:val="auto"/>
        </w:rPr>
        <w:t>. The Executive hereby confirms that, except with respect to any agreements entered into by Executive in connection with the Approved Outside Activities,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96" w:lineRule="exact"/>
        <w:rPr>
          <w:rFonts w:ascii="Arial" w:cs="Arial" w:eastAsia="Arial" w:hAnsi="Arial"/>
          <w:sz w:val="18"/>
          <w:szCs w:val="18"/>
          <w:color w:val="auto"/>
        </w:rPr>
      </w:pPr>
    </w:p>
    <w:p>
      <w:pPr>
        <w:ind w:left="-40" w:right="100" w:firstLine="987"/>
        <w:spacing w:after="0" w:line="269" w:lineRule="auto"/>
        <w:tabs>
          <w:tab w:leader="none" w:pos="1196"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Litigation and Regulatory Cooperation</w:t>
      </w:r>
      <w:r>
        <w:rPr>
          <w:rFonts w:ascii="Arial" w:cs="Arial" w:eastAsia="Arial" w:hAnsi="Arial"/>
          <w:sz w:val="17"/>
          <w:szCs w:val="17"/>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provided, however, that Executive shall abstain from involvement in any dispute involving the Company and Adimab, LLC, including litigation and cooperation on behalf of Adimab, LLC. The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9(c), which shall be in addition to its obligations to provide indemnification to the Executive.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4" w:right="499" w:bottom="1440" w:gutter="0" w:footer="0" w:header="0"/>
        </w:sectPr>
      </w:pPr>
    </w:p>
    <w:bookmarkStart w:id="21" w:name="page22"/>
    <w:bookmarkEnd w:id="21"/>
    <w:p>
      <w:pPr>
        <w:ind w:left="4" w:right="160" w:firstLine="987"/>
        <w:spacing w:after="0" w:line="257" w:lineRule="auto"/>
        <w:tabs>
          <w:tab w:leader="none" w:pos="1250" w:val="left"/>
        </w:tabs>
        <w:numPr>
          <w:ilvl w:val="2"/>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Relief</w:t>
      </w:r>
      <w:r>
        <w:rPr>
          <w:rFonts w:ascii="Arial" w:cs="Arial" w:eastAsia="Arial" w:hAnsi="Arial"/>
          <w:sz w:val="18"/>
          <w:szCs w:val="18"/>
          <w:color w:val="auto"/>
        </w:rPr>
        <w:t>. The Executive agrees that it would be difficult to measure any damages caused to the Company which might result from any breach by the Executive of the Continuing Obligations, and that in any event monetary damages would be an inadequate remedy for any such breach. Accordingly</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7" w:lineRule="exact"/>
        <w:rPr>
          <w:rFonts w:ascii="Arial" w:cs="Arial" w:eastAsia="Arial" w:hAnsi="Arial"/>
          <w:sz w:val="18"/>
          <w:szCs w:val="18"/>
          <w:color w:val="auto"/>
        </w:rPr>
      </w:pPr>
    </w:p>
    <w:p>
      <w:pPr>
        <w:ind w:left="4" w:firstLine="436"/>
        <w:spacing w:after="0" w:line="259" w:lineRule="auto"/>
        <w:tabs>
          <w:tab w:leader="none" w:pos="714"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The parties hereby consent to the jurisdiction of the state and federal courts of the State of New Hampshire.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86" w:lineRule="exact"/>
        <w:rPr>
          <w:rFonts w:ascii="Arial" w:cs="Arial" w:eastAsia="Arial" w:hAnsi="Arial"/>
          <w:sz w:val="18"/>
          <w:szCs w:val="18"/>
          <w:color w:val="auto"/>
        </w:rPr>
      </w:pPr>
    </w:p>
    <w:p>
      <w:pPr>
        <w:ind w:left="4" w:right="20" w:firstLine="436"/>
        <w:spacing w:after="0" w:line="263" w:lineRule="auto"/>
        <w:tabs>
          <w:tab w:leader="none" w:pos="707"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 prior agreements between the parties concerning such subject matter</w:t>
      </w:r>
      <w:r>
        <w:rPr>
          <w:rFonts w:ascii="Arial" w:cs="Arial" w:eastAsia="Arial" w:hAnsi="Arial"/>
          <w:sz w:val="18"/>
          <w:szCs w:val="18"/>
          <w:b w:val="1"/>
          <w:bCs w:val="1"/>
          <w:color w:val="auto"/>
        </w:rPr>
        <w:t>,</w:t>
      </w:r>
      <w:r>
        <w:rPr>
          <w:rFonts w:ascii="Arial" w:cs="Arial" w:eastAsia="Arial" w:hAnsi="Arial"/>
          <w:sz w:val="18"/>
          <w:szCs w:val="18"/>
          <w:color w:val="auto"/>
        </w:rPr>
        <w:t xml:space="preserve"> including the Prior Agreement, provided that the Restrictive Covenants Agreement and the agreements governing any Equity Awards remain in full force and effect.</w:t>
      </w:r>
    </w:p>
    <w:p>
      <w:pPr>
        <w:spacing w:after="0" w:line="183" w:lineRule="exact"/>
        <w:rPr>
          <w:rFonts w:ascii="Arial" w:cs="Arial" w:eastAsia="Arial" w:hAnsi="Arial"/>
          <w:sz w:val="18"/>
          <w:szCs w:val="18"/>
          <w:color w:val="auto"/>
        </w:rPr>
      </w:pPr>
    </w:p>
    <w:p>
      <w:pPr>
        <w:ind w:left="4" w:right="20" w:firstLine="436"/>
        <w:spacing w:after="0" w:line="259" w:lineRule="auto"/>
        <w:tabs>
          <w:tab w:leader="none" w:pos="714"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Withholding; Tax Effect</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86" w:lineRule="exact"/>
        <w:rPr>
          <w:rFonts w:ascii="Arial" w:cs="Arial" w:eastAsia="Arial" w:hAnsi="Arial"/>
          <w:sz w:val="18"/>
          <w:szCs w:val="18"/>
          <w:color w:val="auto"/>
        </w:rPr>
      </w:pPr>
    </w:p>
    <w:p>
      <w:pPr>
        <w:ind w:left="4" w:right="140" w:firstLine="436"/>
        <w:spacing w:after="0" w:line="291" w:lineRule="auto"/>
        <w:tabs>
          <w:tab w:leader="none" w:pos="714"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w:t>
      </w:r>
    </w:p>
    <w:p>
      <w:pPr>
        <w:ind w:left="4" w:hanging="4"/>
        <w:spacing w:after="0" w:line="286" w:lineRule="auto"/>
        <w:tabs>
          <w:tab w:leader="none" w:pos="259"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 The Executive may designate one or more persons or entities as the primary or</w:t>
      </w:r>
    </w:p>
    <w:p>
      <w:pPr>
        <w:spacing w:after="0" w:line="10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2" w:name="page23"/>
    <w:bookmarkEnd w:id="22"/>
    <w:p>
      <w:pPr>
        <w:ind w:left="4"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the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88" w:lineRule="exact"/>
        <w:rPr>
          <w:sz w:val="20"/>
          <w:szCs w:val="20"/>
          <w:color w:val="auto"/>
        </w:rPr>
      </w:pPr>
    </w:p>
    <w:p>
      <w:pPr>
        <w:ind w:left="4" w:right="240" w:firstLine="436"/>
        <w:spacing w:after="0" w:line="279" w:lineRule="auto"/>
        <w:tabs>
          <w:tab w:leader="none" w:pos="714"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Arial" w:cs="Arial" w:eastAsia="Arial" w:hAnsi="Arial"/>
          <w:sz w:val="17"/>
          <w:szCs w:val="17"/>
          <w:color w:val="auto"/>
        </w:rPr>
      </w:pPr>
    </w:p>
    <w:p>
      <w:pPr>
        <w:ind w:left="4" w:right="180" w:firstLine="436"/>
        <w:spacing w:after="0" w:line="286" w:lineRule="auto"/>
        <w:tabs>
          <w:tab w:leader="none" w:pos="714"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shall survive the termination of this Agreement and/or the termination of the Executive’s employment to the extent necessary to effectuate the terms contained herein, including but not limited to the Company’s obligation to make severance payments or provide indemnification and the Executive’s obligations to comply with the Continuing Obligations.</w:t>
      </w:r>
    </w:p>
    <w:p>
      <w:pPr>
        <w:spacing w:after="0" w:line="165" w:lineRule="exact"/>
        <w:rPr>
          <w:rFonts w:ascii="Arial" w:cs="Arial" w:eastAsia="Arial" w:hAnsi="Arial"/>
          <w:sz w:val="17"/>
          <w:szCs w:val="17"/>
          <w:color w:val="auto"/>
        </w:rPr>
      </w:pPr>
    </w:p>
    <w:p>
      <w:pPr>
        <w:ind w:left="4" w:right="100" w:firstLine="436"/>
        <w:spacing w:after="0" w:line="263" w:lineRule="auto"/>
        <w:tabs>
          <w:tab w:leader="none" w:pos="714"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requests, demands and other communications provided for by this Agreement shall be sufficient if in writing and</w:t>
      </w:r>
    </w:p>
    <w:p>
      <w:pPr>
        <w:spacing w:after="0" w:line="34" w:lineRule="exact"/>
        <w:rPr>
          <w:rFonts w:ascii="Arial" w:cs="Arial" w:eastAsia="Arial" w:hAnsi="Arial"/>
          <w:sz w:val="17"/>
          <w:szCs w:val="17"/>
          <w:color w:val="auto"/>
        </w:rPr>
      </w:pPr>
    </w:p>
    <w:p>
      <w:pPr>
        <w:jc w:val="both"/>
        <w:ind w:left="4" w:right="260" w:hanging="4"/>
        <w:spacing w:after="0" w:line="255" w:lineRule="auto"/>
        <w:tabs>
          <w:tab w:leader="none" w:pos="219"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delivered in person, (ii)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or (iii) sent via email to the Executive at the Executive’s Company email address.</w:t>
      </w:r>
    </w:p>
    <w:p>
      <w:pPr>
        <w:spacing w:after="0" w:line="189" w:lineRule="exact"/>
        <w:rPr>
          <w:rFonts w:ascii="Arial" w:cs="Arial" w:eastAsia="Arial" w:hAnsi="Arial"/>
          <w:sz w:val="18"/>
          <w:szCs w:val="18"/>
          <w:color w:val="auto"/>
        </w:rPr>
      </w:pPr>
    </w:p>
    <w:p>
      <w:pPr>
        <w:ind w:left="4" w:right="300" w:firstLine="436"/>
        <w:spacing w:after="0" w:line="277" w:lineRule="auto"/>
        <w:tabs>
          <w:tab w:leader="none" w:pos="714"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170" w:lineRule="exact"/>
        <w:rPr>
          <w:rFonts w:ascii="Arial" w:cs="Arial" w:eastAsia="Arial" w:hAnsi="Arial"/>
          <w:sz w:val="18"/>
          <w:szCs w:val="18"/>
          <w:color w:val="auto"/>
        </w:rPr>
      </w:pPr>
    </w:p>
    <w:p>
      <w:pPr>
        <w:ind w:left="4" w:firstLine="436"/>
        <w:spacing w:after="0" w:line="273" w:lineRule="auto"/>
        <w:tabs>
          <w:tab w:leader="none" w:pos="714"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The Company will (i) indemnify the Executive with respect to claims arising out of any action taken or not taken in Executive’s capacity as an officer or employee of the Company or its subsidiaries; provided, that the Executive acted in good faith and in a manner that he reasonably believed to be in or not opposed to the best interests of the Company and, with respect to any criminal action or proceeding, had no reasonable cause to believe that his conduct was unlawful, (ii) advance to the Executive all reasonable and documented out of pocket costs and expenses incurred by the Executive in connection with the foregoing clause (i), including but not limited to attorneys’ fees, and (iii) provide for the Executive to be covered by D&amp;O insurance, with respect to clauses (i) and (ii), on the same</w:t>
      </w:r>
    </w:p>
    <w:p>
      <w:pPr>
        <w:spacing w:after="0" w:line="11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23" w:name="page24"/>
    <w:bookmarkEnd w:id="2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as are made available to the CEO and/or members of the Board, as applicable; provided that, this Agreement constitutes an undertaking that amounts advanced under clause (ii) shall be promptly repaid to the Company by the Executive if it shall ultimately be determined that the Executive is not entitled to be indemnified by the Company pursuant to this Section 19. Nothing herein shall limit any right that the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the Executive after his or her termination of employment.</w:t>
      </w:r>
    </w:p>
    <w:p>
      <w:pPr>
        <w:spacing w:after="0" w:line="164" w:lineRule="exact"/>
        <w:rPr>
          <w:sz w:val="20"/>
          <w:szCs w:val="20"/>
          <w:color w:val="auto"/>
        </w:rPr>
      </w:pPr>
    </w:p>
    <w:p>
      <w:pPr>
        <w:ind w:right="320" w:firstLine="436"/>
        <w:spacing w:after="0" w:line="301" w:lineRule="auto"/>
        <w:tabs>
          <w:tab w:leader="none" w:pos="71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 Mitigation; Offset</w:t>
      </w:r>
      <w:r>
        <w:rPr>
          <w:rFonts w:ascii="Arial" w:cs="Arial" w:eastAsia="Arial" w:hAnsi="Arial"/>
          <w:sz w:val="16"/>
          <w:szCs w:val="16"/>
          <w:color w:val="auto"/>
        </w:rPr>
        <w:t>. In the event of any termination of employment and service hereunder, the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57" w:lineRule="exact"/>
        <w:rPr>
          <w:rFonts w:ascii="Arial" w:cs="Arial" w:eastAsia="Arial" w:hAnsi="Arial"/>
          <w:sz w:val="16"/>
          <w:szCs w:val="16"/>
          <w:color w:val="auto"/>
        </w:rPr>
      </w:pPr>
    </w:p>
    <w:p>
      <w:pPr>
        <w:ind w:right="120" w:firstLine="436"/>
        <w:spacing w:after="0" w:line="270" w:lineRule="auto"/>
        <w:tabs>
          <w:tab w:leader="none" w:pos="71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Effect on Other Plans and Agreements</w:t>
      </w:r>
      <w:r>
        <w:rPr>
          <w:rFonts w:ascii="Arial" w:cs="Arial" w:eastAsia="Arial" w:hAnsi="Arial"/>
          <w:sz w:val="17"/>
          <w:szCs w:val="17"/>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to the extent specifically provided in Section 7 hereof, and except that the Executive shall have no rights to continue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cash severance payments or benefits pursuant to both Section 5 and Section 6 of this Agreement.</w:t>
      </w:r>
    </w:p>
    <w:p>
      <w:pPr>
        <w:spacing w:after="0" w:line="180" w:lineRule="exact"/>
        <w:rPr>
          <w:rFonts w:ascii="Arial" w:cs="Arial" w:eastAsia="Arial" w:hAnsi="Arial"/>
          <w:sz w:val="17"/>
          <w:szCs w:val="17"/>
          <w:color w:val="auto"/>
        </w:rPr>
      </w:pPr>
    </w:p>
    <w:p>
      <w:pPr>
        <w:ind w:left="700" w:hanging="26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Governing Law; Venue and Enforcement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987"/>
        <w:spacing w:after="0" w:line="259" w:lineRule="auto"/>
        <w:tabs>
          <w:tab w:leader="none" w:pos="123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applicable federal laws and, to the extent not inconsistent therewith or preempted thereby, with the laws of the State of New Hampshire, including any applicable statutes of limitation, without regard to any otherwise applicable principles of conflicts of laws or choice of law rules (whether of the State of New Hampshire or any other jurisdiction) that would result in the application of the substantive or procedural rules or law of any other jurisdiction.</w:t>
      </w:r>
    </w:p>
    <w:p>
      <w:pPr>
        <w:spacing w:after="0" w:line="186" w:lineRule="exact"/>
        <w:rPr>
          <w:rFonts w:ascii="Arial" w:cs="Arial" w:eastAsia="Arial" w:hAnsi="Arial"/>
          <w:sz w:val="18"/>
          <w:szCs w:val="18"/>
          <w:color w:val="auto"/>
        </w:rPr>
      </w:pPr>
    </w:p>
    <w:p>
      <w:pPr>
        <w:ind w:right="160" w:firstLine="987"/>
        <w:spacing w:after="0" w:line="257" w:lineRule="auto"/>
        <w:tabs>
          <w:tab w:leader="none" w:pos="1246"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Each party agrees that any controversy or claim arising out of or relating to this Agreement or the alleged breach hereof shall be instituted in the United States District Court for the District of Massachusetts, or if that court does not have or will not accept jurisdiction, in any court of general jurisdiction in the Commonwealth of Massachusetts,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4" w:name="page25"/>
    <w:bookmarkEnd w:id="24"/>
    <w:p>
      <w:pPr>
        <w:ind w:left="4" w:right="20" w:firstLine="987"/>
        <w:spacing w:after="0" w:line="259" w:lineRule="auto"/>
        <w:tabs>
          <w:tab w:leader="none" w:pos="1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186" w:lineRule="exact"/>
        <w:rPr>
          <w:rFonts w:ascii="Arial" w:cs="Arial" w:eastAsia="Arial" w:hAnsi="Arial"/>
          <w:sz w:val="18"/>
          <w:szCs w:val="18"/>
          <w:color w:val="auto"/>
        </w:rPr>
      </w:pPr>
    </w:p>
    <w:p>
      <w:pPr>
        <w:ind w:left="4" w:right="20" w:firstLine="987"/>
        <w:spacing w:after="0" w:line="269" w:lineRule="auto"/>
        <w:tabs>
          <w:tab w:leader="none" w:pos="1250" w:val="left"/>
        </w:tabs>
        <w:numPr>
          <w:ilvl w:val="2"/>
          <w:numId w:val="39"/>
        </w:numPr>
        <w:rPr>
          <w:rFonts w:ascii="Arial" w:cs="Arial" w:eastAsia="Arial" w:hAnsi="Arial"/>
          <w:sz w:val="17"/>
          <w:szCs w:val="17"/>
          <w:color w:val="auto"/>
        </w:rPr>
      </w:pPr>
      <w:r>
        <w:rPr>
          <w:rFonts w:ascii="Arial" w:cs="Arial" w:eastAsia="Arial" w:hAnsi="Arial"/>
          <w:sz w:val="17"/>
          <w:szCs w:val="17"/>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185" w:lineRule="exact"/>
        <w:rPr>
          <w:rFonts w:ascii="Arial" w:cs="Arial" w:eastAsia="Arial" w:hAnsi="Arial"/>
          <w:sz w:val="17"/>
          <w:szCs w:val="17"/>
          <w:color w:val="auto"/>
        </w:rPr>
      </w:pPr>
    </w:p>
    <w:p>
      <w:pPr>
        <w:ind w:left="4" w:firstLine="436"/>
        <w:spacing w:after="0" w:line="285" w:lineRule="auto"/>
        <w:tabs>
          <w:tab w:leader="none" w:pos="714"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Recoupment</w:t>
      </w:r>
      <w:r>
        <w:rPr>
          <w:rFonts w:ascii="Arial" w:cs="Arial" w:eastAsia="Arial" w:hAnsi="Arial"/>
          <w:sz w:val="16"/>
          <w:szCs w:val="16"/>
          <w:color w:val="auto"/>
        </w:rPr>
        <w:t>. Executive shall be required to repay incentive pay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Arial" w:cs="Arial" w:eastAsia="Arial" w:hAnsi="Arial"/>
          <w:sz w:val="16"/>
          <w:szCs w:val="16"/>
          <w:b w:val="1"/>
          <w:bCs w:val="1"/>
          <w:i w:val="1"/>
          <w:iCs w:val="1"/>
          <w:color w:val="auto"/>
        </w:rPr>
        <w:t>Recoupment Policy</w:t>
      </w:r>
      <w:r>
        <w:rPr>
          <w:rFonts w:ascii="Arial" w:cs="Arial" w:eastAsia="Arial" w:hAnsi="Arial"/>
          <w:sz w:val="16"/>
          <w:szCs w:val="16"/>
          <w:color w:val="auto"/>
        </w:rPr>
        <w:t>”). Where the result of a performance measure was a factor in determining the compensation awarded or paid, but</w:t>
      </w:r>
    </w:p>
    <w:p>
      <w:pPr>
        <w:spacing w:after="0" w:line="1" w:lineRule="exact"/>
        <w:rPr>
          <w:rFonts w:ascii="Arial" w:cs="Arial" w:eastAsia="Arial" w:hAnsi="Arial"/>
          <w:sz w:val="16"/>
          <w:szCs w:val="16"/>
          <w:color w:val="auto"/>
        </w:rPr>
      </w:pPr>
    </w:p>
    <w:p>
      <w:pPr>
        <w:ind w:left="4" w:hanging="4"/>
        <w:spacing w:after="0" w:line="288" w:lineRule="auto"/>
        <w:tabs>
          <w:tab w:leader="none" w:pos="21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5" w:name="page26"/>
    <w:bookmarkEnd w:id="25"/>
    <w:p>
      <w:pPr>
        <w:ind w:left="-180" w:firstLine="436"/>
        <w:spacing w:after="0" w:line="277" w:lineRule="auto"/>
        <w:tabs>
          <w:tab w:leader="none" w:pos="53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parties have executed this Agreement effective on the Effective Date.</w:t>
      </w:r>
    </w:p>
    <w:p>
      <w:pPr>
        <w:spacing w:after="0" w:line="24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14605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14605</wp:posOffset>
            </wp:positionV>
            <wp:extent cx="25628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2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291465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Tillman Gerngross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60"/>
          </w:cols>
          <w:pgMar w:left="620" w:top="274" w:right="619" w:bottom="1440" w:gutter="0" w:footer="0" w:header="0"/>
        </w:sectPr>
      </w:pPr>
    </w:p>
    <w:bookmarkStart w:id="26" w:name="page27"/>
    <w:bookmarkEnd w:id="26"/>
    <w:p>
      <w:pPr>
        <w:jc w:val="center"/>
        <w:ind w:right="-87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ind w:left="4716"/>
        <w:spacing w:after="0"/>
        <w:rPr>
          <w:sz w:val="20"/>
          <w:szCs w:val="20"/>
          <w:color w:val="auto"/>
        </w:rPr>
      </w:pPr>
      <w:r>
        <w:rPr>
          <w:rFonts w:ascii="Arial" w:cs="Arial" w:eastAsia="Arial" w:hAnsi="Arial"/>
          <w:sz w:val="18"/>
          <w:szCs w:val="18"/>
          <w:b w:val="1"/>
          <w:bCs w:val="1"/>
          <w:color w:val="auto"/>
        </w:rPr>
        <w:t>Outside Activities</w:t>
      </w:r>
    </w:p>
    <w:p>
      <w:pPr>
        <w:spacing w:after="0" w:line="256" w:lineRule="exact"/>
        <w:rPr>
          <w:sz w:val="20"/>
          <w:szCs w:val="20"/>
          <w:color w:val="auto"/>
        </w:rPr>
      </w:pPr>
    </w:p>
    <w:p>
      <w:pPr>
        <w:ind w:left="316" w:hanging="316"/>
        <w:spacing w:after="0"/>
        <w:tabs>
          <w:tab w:leader="none" w:pos="316"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Executive is a co-founder of Adimab, LLC and serves as its Chief Executive Officer and as a director</w:t>
      </w:r>
    </w:p>
    <w:p>
      <w:pPr>
        <w:spacing w:after="0" w:line="153" w:lineRule="exact"/>
        <w:rPr>
          <w:rFonts w:ascii="Arial" w:cs="Arial" w:eastAsia="Arial" w:hAnsi="Arial"/>
          <w:sz w:val="16"/>
          <w:szCs w:val="16"/>
          <w:color w:val="auto"/>
        </w:rPr>
      </w:pPr>
    </w:p>
    <w:p>
      <w:pPr>
        <w:ind w:left="316" w:hanging="316"/>
        <w:spacing w:after="0"/>
        <w:tabs>
          <w:tab w:leader="none" w:pos="3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is a co-founder and Chairman of Avitide, Inc.</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is Chairman of Alector, Inc.</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is a co-founder, President and Chairman of Amagma, Inc.</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is a co-founder, President and Chairman of Ankyra Therapeutics, Inc.</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is currently a Venture Partner at SV Life Sciences Advisors, LLC</w:t>
      </w:r>
    </w:p>
    <w:p>
      <w:pPr>
        <w:spacing w:after="0" w:line="130" w:lineRule="exact"/>
        <w:rPr>
          <w:rFonts w:ascii="Arial" w:cs="Arial" w:eastAsia="Arial" w:hAnsi="Arial"/>
          <w:sz w:val="18"/>
          <w:szCs w:val="18"/>
          <w:color w:val="auto"/>
        </w:rPr>
      </w:pPr>
    </w:p>
    <w:p>
      <w:pPr>
        <w:ind w:left="316" w:hanging="316"/>
        <w:spacing w:after="0"/>
        <w:tabs>
          <w:tab w:leader="none" w:pos="3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Executive currently teaches at the Thayer School of Engineering, at Dartmouth College</w:t>
      </w:r>
    </w:p>
    <w:p>
      <w:pPr>
        <w:spacing w:after="0" w:line="158" w:lineRule="exact"/>
        <w:rPr>
          <w:sz w:val="20"/>
          <w:szCs w:val="20"/>
          <w:color w:val="auto"/>
        </w:rPr>
      </w:pPr>
    </w:p>
    <w:p>
      <w:pPr>
        <w:ind w:left="5316"/>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915"/>
          </w:cols>
          <w:pgMar w:left="544" w:top="270" w:right="1440" w:bottom="1440" w:gutter="0" w:footer="0" w:header="0"/>
        </w:sectPr>
      </w:pPr>
    </w:p>
    <w:bookmarkStart w:id="27" w:name="page28"/>
    <w:bookmarkEnd w:id="2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SEPARATION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11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Separation 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[Name]:</w:t>
      </w:r>
    </w:p>
    <w:p>
      <w:pPr>
        <w:spacing w:after="0" w:line="117"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This letter sets forth the substance of the separation agreement (the “Agreement”) which Adagio Therapeutics, Inc. (the “Company”) is offering to you to aid in your employment transition.</w:t>
      </w:r>
    </w:p>
    <w:p>
      <w:pPr>
        <w:spacing w:after="0" w:line="58" w:lineRule="exact"/>
        <w:rPr>
          <w:sz w:val="20"/>
          <w:szCs w:val="20"/>
          <w:color w:val="auto"/>
        </w:rPr>
      </w:pPr>
    </w:p>
    <w:p>
      <w:pPr>
        <w:ind w:left="184" w:hanging="184"/>
        <w:spacing w:after="0"/>
        <w:tabs>
          <w:tab w:leader="none" w:pos="18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Your last day of work with the Company and your employment termination date will be [Date] (the “Separation Date”).</w:t>
      </w:r>
    </w:p>
    <w:p>
      <w:pPr>
        <w:spacing w:after="0" w:line="117" w:lineRule="exact"/>
        <w:rPr>
          <w:rFonts w:ascii="Arial" w:cs="Arial" w:eastAsia="Arial" w:hAnsi="Arial"/>
          <w:sz w:val="18"/>
          <w:szCs w:val="18"/>
          <w:b w:val="1"/>
          <w:bCs w:val="1"/>
          <w:color w:val="auto"/>
        </w:rPr>
      </w:pPr>
    </w:p>
    <w:p>
      <w:pPr>
        <w:ind w:left="4" w:right="540" w:hanging="4"/>
        <w:spacing w:after="0" w:line="312" w:lineRule="auto"/>
        <w:tabs>
          <w:tab w:leader="none" w:pos="184"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Salary. </w:t>
      </w:r>
      <w:r>
        <w:rPr>
          <w:rFonts w:ascii="Arial" w:cs="Arial" w:eastAsia="Arial" w:hAnsi="Arial"/>
          <w:sz w:val="17"/>
          <w:szCs w:val="17"/>
          <w:color w:val="auto"/>
        </w:rPr>
        <w:t>On the Separation Date, the Company will pay you all accrued salary earned through the Separation Date, subject to standard</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deductions and withholdings. You will receive these payments regardless of whether or not you sign this Agreement.</w:t>
      </w:r>
    </w:p>
    <w:p>
      <w:pPr>
        <w:spacing w:after="0" w:line="31" w:lineRule="exact"/>
        <w:rPr>
          <w:rFonts w:ascii="Arial" w:cs="Arial" w:eastAsia="Arial" w:hAnsi="Arial"/>
          <w:sz w:val="17"/>
          <w:szCs w:val="17"/>
          <w:b w:val="1"/>
          <w:bCs w:val="1"/>
          <w:color w:val="auto"/>
        </w:rPr>
      </w:pPr>
    </w:p>
    <w:p>
      <w:pPr>
        <w:ind w:left="4" w:right="20" w:hanging="4"/>
        <w:spacing w:after="0" w:line="282" w:lineRule="auto"/>
        <w:tabs>
          <w:tab w:leader="none" w:pos="18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you execute and do not revoke this Agreement, the Company will provide you with the following Severance Benefits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your [month, date, year] Employment Agreement.</w:t>
      </w:r>
    </w:p>
    <w:p>
      <w:pPr>
        <w:spacing w:after="0" w:line="58"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 Benefit Plans.</w:t>
      </w:r>
    </w:p>
    <w:p>
      <w:pPr>
        <w:spacing w:after="0" w:line="121"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 xml:space="preserve">If you are currently participating in the Company’s group health insurance plans, your participation as an employee will end on [the Separation Date] </w:t>
      </w:r>
      <w:r>
        <w:rPr>
          <w:rFonts w:ascii="Arial" w:cs="Arial" w:eastAsia="Arial" w:hAnsi="Arial"/>
          <w:sz w:val="16"/>
          <w:szCs w:val="16"/>
          <w:i w:val="1"/>
          <w:iCs w:val="1"/>
          <w:color w:val="auto"/>
        </w:rPr>
        <w:t>or</w:t>
      </w:r>
      <w:r>
        <w:rPr>
          <w:rFonts w:ascii="Arial" w:cs="Arial" w:eastAsia="Arial" w:hAnsi="Arial"/>
          <w:sz w:val="16"/>
          <w:szCs w:val="16"/>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28" w:name="page29"/>
    <w:bookmarkEnd w:id="28"/>
    <w:p>
      <w:pPr>
        <w:ind w:left="4" w:right="7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Deductions for the 401(k) Plan will end with your last regular paycheck. You will receive information by mail concerning 401(k) plan rollover procedures should you be a participant in this program.</w:t>
      </w:r>
    </w:p>
    <w:p>
      <w:pPr>
        <w:spacing w:after="0" w:line="170"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You may be eligible for unemployment insurance benefits after the Separation Date. The Massachusetts Department of Unemployment Assistance, not the Company, will determine your eligibility for such benefits.</w:t>
      </w:r>
    </w:p>
    <w:p>
      <w:pPr>
        <w:spacing w:after="0" w:line="58" w:lineRule="exact"/>
        <w:rPr>
          <w:sz w:val="20"/>
          <w:szCs w:val="20"/>
          <w:color w:val="auto"/>
        </w:rPr>
      </w:pPr>
    </w:p>
    <w:p>
      <w:pPr>
        <w:ind w:left="4" w:right="60" w:hanging="4"/>
        <w:spacing w:after="0" w:line="347" w:lineRule="auto"/>
        <w:tabs>
          <w:tab w:leader="none" w:pos="184"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You were granted an option to purchase ________ shares of the Company’s common stock, pursuant to the Company’s [correct name</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or incentive plan] (the “Plan”). Under the terms of the Plan and your stock option grant, vesting will cease as of the Separation Date.</w:t>
      </w:r>
    </w:p>
    <w:p>
      <w:pPr>
        <w:spacing w:after="0" w:line="7" w:lineRule="exact"/>
        <w:rPr>
          <w:rFonts w:ascii="Arial" w:cs="Arial" w:eastAsia="Arial" w:hAnsi="Arial"/>
          <w:sz w:val="16"/>
          <w:szCs w:val="16"/>
          <w:b w:val="1"/>
          <w:bCs w:val="1"/>
          <w:color w:val="auto"/>
        </w:rPr>
      </w:pPr>
    </w:p>
    <w:p>
      <w:pPr>
        <w:ind w:left="4" w:right="560" w:hanging="4"/>
        <w:spacing w:after="0" w:line="282" w:lineRule="auto"/>
        <w:tabs>
          <w:tab w:leader="none" w:pos="18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Compensation or Benefits. </w:t>
      </w:r>
      <w:r>
        <w:rPr>
          <w:rFonts w:ascii="Arial" w:cs="Arial" w:eastAsia="Arial" w:hAnsi="Arial"/>
          <w:sz w:val="18"/>
          <w:szCs w:val="18"/>
          <w:color w:val="auto"/>
        </w:rPr>
        <w:t>You acknowledge that, except as expressly provided in this Agreement, you will not receive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severance or benefits after the Separation Date.</w:t>
      </w:r>
    </w:p>
    <w:p>
      <w:pPr>
        <w:spacing w:after="0" w:line="53" w:lineRule="exact"/>
        <w:rPr>
          <w:rFonts w:ascii="Arial" w:cs="Arial" w:eastAsia="Arial" w:hAnsi="Arial"/>
          <w:sz w:val="18"/>
          <w:szCs w:val="18"/>
          <w:b w:val="1"/>
          <w:bCs w:val="1"/>
          <w:color w:val="auto"/>
        </w:rPr>
      </w:pPr>
    </w:p>
    <w:p>
      <w:pPr>
        <w:ind w:left="4" w:right="420" w:hanging="4"/>
        <w:spacing w:after="0" w:line="266" w:lineRule="auto"/>
        <w:tabs>
          <w:tab w:leader="none" w:pos="18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Reimbursements. </w:t>
      </w:r>
      <w:r>
        <w:rPr>
          <w:rFonts w:ascii="Arial" w:cs="Arial" w:eastAsia="Arial" w:hAnsi="Arial"/>
          <w:sz w:val="18"/>
          <w:szCs w:val="18"/>
          <w:color w:val="auto"/>
        </w:rPr>
        <w:t>You agree that, within ten (10) days of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67" w:lineRule="exact"/>
        <w:rPr>
          <w:rFonts w:ascii="Arial" w:cs="Arial" w:eastAsia="Arial" w:hAnsi="Arial"/>
          <w:sz w:val="18"/>
          <w:szCs w:val="18"/>
          <w:b w:val="1"/>
          <w:bCs w:val="1"/>
          <w:color w:val="auto"/>
        </w:rPr>
      </w:pPr>
    </w:p>
    <w:p>
      <w:pPr>
        <w:ind w:left="4" w:right="300" w:hanging="4"/>
        <w:spacing w:after="0" w:line="294" w:lineRule="auto"/>
        <w:tabs>
          <w:tab w:leader="none" w:pos="184"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Return of Company Property</w:t>
      </w:r>
      <w:r>
        <w:rPr>
          <w:rFonts w:ascii="Arial" w:cs="Arial" w:eastAsia="Arial" w:hAnsi="Arial"/>
          <w:sz w:val="16"/>
          <w:szCs w:val="16"/>
          <w:color w:val="auto"/>
        </w:rPr>
        <w:t>. By the Separation Date, you agree to return to the Company all Company documents (and all copies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w:t>
      </w:r>
      <w:r>
        <w:rPr>
          <w:rFonts w:ascii="Arial" w:cs="Arial" w:eastAsia="Arial" w:hAnsi="Arial"/>
          <w:sz w:val="16"/>
          <w:szCs w:val="16"/>
          <w:b w:val="1"/>
          <w:bCs w:val="1"/>
          <w:color w:val="auto"/>
        </w:rPr>
        <w:t>Receipt of</w:t>
      </w:r>
      <w:r>
        <w:rPr>
          <w:rFonts w:ascii="Arial" w:cs="Arial" w:eastAsia="Arial" w:hAnsi="Arial"/>
          <w:sz w:val="16"/>
          <w:szCs w:val="16"/>
          <w:color w:val="auto"/>
        </w:rPr>
        <w:t xml:space="preserve"> </w:t>
      </w:r>
      <w:r>
        <w:rPr>
          <w:rFonts w:ascii="Arial" w:cs="Arial" w:eastAsia="Arial" w:hAnsi="Arial"/>
          <w:sz w:val="16"/>
          <w:szCs w:val="16"/>
          <w:b w:val="1"/>
          <w:bCs w:val="1"/>
          <w:color w:val="auto"/>
        </w:rPr>
        <w:t>the severance benefits described in Section 3 of this Agreement is expressly conditioned upon return of all Company Property.</w:t>
      </w:r>
    </w:p>
    <w:p>
      <w:pPr>
        <w:spacing w:after="0" w:line="51" w:lineRule="exact"/>
        <w:rPr>
          <w:rFonts w:ascii="Arial" w:cs="Arial" w:eastAsia="Arial" w:hAnsi="Arial"/>
          <w:sz w:val="16"/>
          <w:szCs w:val="16"/>
          <w:b w:val="1"/>
          <w:bCs w:val="1"/>
          <w:color w:val="auto"/>
        </w:rPr>
      </w:pPr>
    </w:p>
    <w:p>
      <w:pPr>
        <w:ind w:left="4" w:hanging="4"/>
        <w:spacing w:after="0" w:line="284" w:lineRule="auto"/>
        <w:tabs>
          <w:tab w:leader="none" w:pos="184"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Confidential Information and Post-Termination Obligations. </w:t>
      </w:r>
      <w:r>
        <w:rPr>
          <w:rFonts w:ascii="Arial" w:cs="Arial" w:eastAsia="Arial" w:hAnsi="Arial"/>
          <w:sz w:val="16"/>
          <w:szCs w:val="16"/>
          <w:color w:val="auto"/>
        </w:rPr>
        <w:t>Both during and after your employment you acknowledge your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w:t>
      </w:r>
    </w:p>
    <w:p>
      <w:pPr>
        <w:spacing w:after="0" w:line="1"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(B) do not disclose the trade secret, except pursuant to court order.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4" w:right="439" w:bottom="1440" w:gutter="0" w:footer="0" w:header="0"/>
        </w:sectPr>
      </w:pPr>
    </w:p>
    <w:bookmarkStart w:id="29" w:name="page30"/>
    <w:bookmarkEnd w:id="29"/>
    <w:p>
      <w:pPr>
        <w:ind w:left="4" w:right="100" w:hanging="4"/>
        <w:spacing w:after="0" w:line="270" w:lineRule="auto"/>
        <w:tabs>
          <w:tab w:leader="none" w:pos="274"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Non-Compete. </w:t>
      </w:r>
      <w:r>
        <w:rPr>
          <w:rFonts w:ascii="Arial" w:cs="Arial" w:eastAsia="Arial" w:hAnsi="Arial"/>
          <w:sz w:val="17"/>
          <w:szCs w:val="17"/>
          <w:color w:val="auto"/>
        </w:rPr>
        <w:t>In exchange for the payments and other consideration under this Agreement, to which you would not otherwise be entitled, you</w:t>
      </w:r>
      <w:r>
        <w:rPr>
          <w:rFonts w:ascii="Arial" w:cs="Arial" w:eastAsia="Arial" w:hAnsi="Arial"/>
          <w:sz w:val="17"/>
          <w:szCs w:val="17"/>
          <w:b w:val="1"/>
          <w:bCs w:val="1"/>
          <w:color w:val="auto"/>
        </w:rPr>
        <w:t xml:space="preserve"> </w:t>
      </w:r>
      <w:r>
        <w:rPr>
          <w:rFonts w:ascii="Arial" w:cs="Arial" w:eastAsia="Arial" w:hAnsi="Arial"/>
          <w:sz w:val="17"/>
          <w:szCs w:val="17"/>
          <w:color w:val="auto"/>
        </w:rPr>
        <w:t>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provided, however, that the restriction in this Section 10 shall not apply to your employment or engagement with Adimab, LLC.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72" w:lineRule="exact"/>
        <w:rPr>
          <w:rFonts w:ascii="Arial" w:cs="Arial" w:eastAsia="Arial" w:hAnsi="Arial"/>
          <w:sz w:val="17"/>
          <w:szCs w:val="17"/>
          <w:b w:val="1"/>
          <w:bCs w:val="1"/>
          <w:color w:val="auto"/>
        </w:rPr>
      </w:pPr>
    </w:p>
    <w:p>
      <w:pPr>
        <w:ind w:left="4" w:right="440" w:firstLine="436"/>
        <w:spacing w:after="0" w:line="277" w:lineRule="auto"/>
        <w:tabs>
          <w:tab w:leader="none" w:pos="639" w:val="left"/>
        </w:tabs>
        <w:numPr>
          <w:ilvl w:val="1"/>
          <w:numId w:val="46"/>
        </w:numPr>
        <w:rPr>
          <w:rFonts w:ascii="Arial" w:cs="Arial" w:eastAsia="Arial" w:hAnsi="Arial"/>
          <w:sz w:val="18"/>
          <w:szCs w:val="18"/>
          <w:b w:val="1"/>
          <w:bCs w:val="1"/>
          <w:color w:val="auto"/>
        </w:rPr>
      </w:pPr>
      <w:r>
        <w:rPr>
          <w:rFonts w:ascii="Arial" w:cs="Arial" w:eastAsia="Arial" w:hAnsi="Arial"/>
          <w:sz w:val="18"/>
          <w:szCs w:val="18"/>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62" w:lineRule="exact"/>
        <w:rPr>
          <w:rFonts w:ascii="Arial" w:cs="Arial" w:eastAsia="Arial" w:hAnsi="Arial"/>
          <w:sz w:val="18"/>
          <w:szCs w:val="18"/>
          <w:b w:val="1"/>
          <w:bCs w:val="1"/>
          <w:color w:val="auto"/>
        </w:rPr>
      </w:pPr>
    </w:p>
    <w:p>
      <w:pPr>
        <w:ind w:left="4" w:firstLine="436"/>
        <w:spacing w:after="0" w:line="308" w:lineRule="auto"/>
        <w:tabs>
          <w:tab w:leader="none" w:pos="649" w:val="left"/>
        </w:tabs>
        <w:numPr>
          <w:ilvl w:val="1"/>
          <w:numId w:val="46"/>
        </w:numPr>
        <w:rPr>
          <w:rFonts w:ascii="Arial" w:cs="Arial" w:eastAsia="Arial" w:hAnsi="Arial"/>
          <w:sz w:val="17"/>
          <w:szCs w:val="17"/>
          <w:b w:val="1"/>
          <w:bCs w:val="1"/>
          <w:color w:val="auto"/>
        </w:rPr>
      </w:pPr>
      <w:r>
        <w:rPr>
          <w:rFonts w:ascii="Arial" w:cs="Arial" w:eastAsia="Arial" w:hAnsi="Arial"/>
          <w:sz w:val="17"/>
          <w:szCs w:val="17"/>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34" w:lineRule="exact"/>
        <w:rPr>
          <w:rFonts w:ascii="Arial" w:cs="Arial" w:eastAsia="Arial" w:hAnsi="Arial"/>
          <w:sz w:val="17"/>
          <w:szCs w:val="17"/>
          <w:b w:val="1"/>
          <w:bCs w:val="1"/>
          <w:color w:val="auto"/>
        </w:rPr>
      </w:pPr>
    </w:p>
    <w:p>
      <w:pPr>
        <w:ind w:left="4" w:right="40" w:hanging="4"/>
        <w:spacing w:after="0" w:line="273" w:lineRule="auto"/>
        <w:tabs>
          <w:tab w:leader="none" w:pos="264"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The provisions of this Agreement will be held in strictest confidence by you and will not be publicized or disclosed in any manner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whatsoever;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63" w:lineRule="exact"/>
        <w:rPr>
          <w:rFonts w:ascii="Arial" w:cs="Arial" w:eastAsia="Arial" w:hAnsi="Arial"/>
          <w:sz w:val="17"/>
          <w:szCs w:val="17"/>
          <w:b w:val="1"/>
          <w:bCs w:val="1"/>
          <w:color w:val="auto"/>
        </w:rPr>
      </w:pPr>
    </w:p>
    <w:p>
      <w:pPr>
        <w:ind w:left="4" w:right="120" w:hanging="4"/>
        <w:spacing w:after="0" w:line="303" w:lineRule="auto"/>
        <w:tabs>
          <w:tab w:leader="none" w:pos="274"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Non-Disparagement. </w:t>
      </w:r>
      <w:r>
        <w:rPr>
          <w:rFonts w:ascii="Arial" w:cs="Arial" w:eastAsia="Arial" w:hAnsi="Arial"/>
          <w:sz w:val="16"/>
          <w:szCs w:val="16"/>
          <w:color w:val="auto"/>
        </w:rPr>
        <w:t>You agree not to disparage the Company, and the Company’s attorneys, directors, managers, partners, employees, agents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w:t>
      </w:r>
    </w:p>
    <w:p>
      <w:pPr>
        <w:spacing w:after="0" w:line="8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0" w:right="459" w:bottom="1440" w:gutter="0" w:footer="0" w:header="0"/>
        </w:sectPr>
      </w:pPr>
    </w:p>
    <w:bookmarkStart w:id="30" w:name="page31"/>
    <w:bookmarkEnd w:id="30"/>
    <w:p>
      <w:pPr>
        <w:ind w:left="4"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Effective Date about or relating to the Company, including, but not limited to, comments in online forums or on websites (including, but not limited to, Facebook, Glassdoor, Yelp, and 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64" w:lineRule="exact"/>
        <w:rPr>
          <w:sz w:val="20"/>
          <w:szCs w:val="20"/>
          <w:color w:val="auto"/>
        </w:rPr>
      </w:pPr>
    </w:p>
    <w:p>
      <w:pPr>
        <w:ind w:left="4" w:right="320" w:hanging="4"/>
        <w:spacing w:after="0" w:line="261" w:lineRule="auto"/>
        <w:tabs>
          <w:tab w:leader="none" w:pos="27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after Termination. </w:t>
      </w:r>
      <w:r>
        <w:rPr>
          <w:rFonts w:ascii="Arial" w:cs="Arial" w:eastAsia="Arial" w:hAnsi="Arial"/>
          <w:sz w:val="18"/>
          <w:szCs w:val="18"/>
          <w:color w:val="auto"/>
        </w:rPr>
        <w:t>You agree to cooperate fully with the Company in all matters relating to the transition of your work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71" w:lineRule="exact"/>
        <w:rPr>
          <w:rFonts w:ascii="Arial" w:cs="Arial" w:eastAsia="Arial" w:hAnsi="Arial"/>
          <w:sz w:val="18"/>
          <w:szCs w:val="18"/>
          <w:b w:val="1"/>
          <w:bCs w:val="1"/>
          <w:color w:val="auto"/>
        </w:rPr>
      </w:pPr>
    </w:p>
    <w:p>
      <w:pPr>
        <w:ind w:left="4" w:hanging="4"/>
        <w:spacing w:after="0" w:line="268" w:lineRule="auto"/>
        <w:tabs>
          <w:tab w:leader="none" w:pos="274"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Release. </w:t>
      </w:r>
      <w:r>
        <w:rPr>
          <w:rFonts w:ascii="Arial" w:cs="Arial" w:eastAsia="Arial" w:hAnsi="Arial"/>
          <w:sz w:val="17"/>
          <w:szCs w:val="17"/>
          <w:color w:val="auto"/>
        </w:rPr>
        <w:t>In exchange for the payments and other consideration under this Agreement, to which you would not otherwise be entitled, and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93" w:lineRule="exact"/>
        <w:rPr>
          <w:rFonts w:ascii="Arial" w:cs="Arial" w:eastAsia="Arial" w:hAnsi="Arial"/>
          <w:sz w:val="17"/>
          <w:szCs w:val="17"/>
          <w:b w:val="1"/>
          <w:bCs w:val="1"/>
          <w:color w:val="auto"/>
        </w:rPr>
      </w:pPr>
    </w:p>
    <w:p>
      <w:pPr>
        <w:ind w:left="964" w:hanging="424"/>
        <w:spacing w:after="0"/>
        <w:tabs>
          <w:tab w:leader="none" w:pos="964" w:val="left"/>
        </w:tabs>
        <w:numPr>
          <w:ilvl w:val="1"/>
          <w:numId w:val="47"/>
        </w:numPr>
        <w:rPr>
          <w:rFonts w:ascii="Arial" w:cs="Arial" w:eastAsia="Arial" w:hAnsi="Arial"/>
          <w:sz w:val="18"/>
          <w:szCs w:val="18"/>
          <w:color w:val="auto"/>
        </w:rPr>
      </w:pPr>
      <w:r>
        <w:rPr>
          <w:rFonts w:ascii="Arial" w:cs="Arial" w:eastAsia="Arial" w:hAnsi="Arial"/>
          <w:sz w:val="18"/>
          <w:szCs w:val="18"/>
          <w:color w:val="auto"/>
        </w:rPr>
        <w:t>has violated its personnel policies, handbooks, contracts of employment, or covenants of good faith and fair dealing;</w:t>
      </w:r>
    </w:p>
    <w:p>
      <w:pPr>
        <w:spacing w:after="0" w:line="130" w:lineRule="exact"/>
        <w:rPr>
          <w:rFonts w:ascii="Arial" w:cs="Arial" w:eastAsia="Arial" w:hAnsi="Arial"/>
          <w:sz w:val="18"/>
          <w:szCs w:val="18"/>
          <w:color w:val="auto"/>
        </w:rPr>
      </w:pPr>
    </w:p>
    <w:p>
      <w:pPr>
        <w:ind w:left="964" w:right="60" w:hanging="424"/>
        <w:spacing w:after="0" w:line="259" w:lineRule="auto"/>
        <w:tabs>
          <w:tab w:leader="none" w:pos="964" w:val="left"/>
        </w:tabs>
        <w:numPr>
          <w:ilvl w:val="1"/>
          <w:numId w:val="47"/>
        </w:numPr>
        <w:rPr>
          <w:rFonts w:ascii="Arial" w:cs="Arial" w:eastAsia="Arial" w:hAnsi="Arial"/>
          <w:sz w:val="18"/>
          <w:szCs w:val="18"/>
          <w:color w:val="auto"/>
        </w:rPr>
      </w:pPr>
      <w:r>
        <w:rPr>
          <w:rFonts w:ascii="Arial" w:cs="Arial" w:eastAsia="Arial" w:hAnsi="Arial"/>
          <w:sz w:val="18"/>
          <w:szCs w:val="18"/>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31" w:name="page32"/>
    <w:bookmarkEnd w:id="31"/>
    <w:p>
      <w:pPr>
        <w:ind w:left="44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86" w:lineRule="exact"/>
        <w:rPr>
          <w:sz w:val="20"/>
          <w:szCs w:val="20"/>
          <w:color w:val="auto"/>
        </w:rPr>
      </w:pPr>
    </w:p>
    <w:p>
      <w:pPr>
        <w:ind w:left="424" w:right="80" w:hanging="424"/>
        <w:spacing w:after="0" w:line="253"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101" w:lineRule="exact"/>
        <w:rPr>
          <w:rFonts w:ascii="Arial" w:cs="Arial" w:eastAsia="Arial" w:hAnsi="Arial"/>
          <w:sz w:val="18"/>
          <w:szCs w:val="18"/>
          <w:color w:val="auto"/>
        </w:rPr>
      </w:pPr>
    </w:p>
    <w:p>
      <w:pPr>
        <w:ind w:left="424" w:hanging="424"/>
        <w:spacing w:after="0" w:line="272" w:lineRule="auto"/>
        <w:tabs>
          <w:tab w:leader="none" w:pos="424" w:val="left"/>
        </w:tabs>
        <w:numPr>
          <w:ilvl w:val="0"/>
          <w:numId w:val="48"/>
        </w:numPr>
        <w:rPr>
          <w:rFonts w:ascii="Arial" w:cs="Arial" w:eastAsia="Arial" w:hAnsi="Arial"/>
          <w:sz w:val="17"/>
          <w:szCs w:val="17"/>
          <w:color w:val="auto"/>
        </w:rPr>
      </w:pPr>
      <w:r>
        <w:rPr>
          <w:rFonts w:ascii="Arial" w:cs="Arial" w:eastAsia="Arial" w:hAnsi="Arial"/>
          <w:sz w:val="17"/>
          <w:szCs w:val="17"/>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10"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44"/>
          </w:cols>
          <w:pgMar w:left="976" w:top="274" w:right="479" w:bottom="1440" w:gutter="0" w:footer="0" w:header="0"/>
        </w:sectPr>
      </w:pPr>
    </w:p>
    <w:bookmarkStart w:id="32" w:name="page33"/>
    <w:bookmarkEnd w:id="32"/>
    <w:p>
      <w:pPr>
        <w:ind w:left="4"/>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79" w:lineRule="exact"/>
        <w:rPr>
          <w:sz w:val="20"/>
          <w:szCs w:val="20"/>
          <w:color w:val="auto"/>
        </w:rPr>
      </w:pPr>
    </w:p>
    <w:p>
      <w:pPr>
        <w:ind w:left="4" w:right="60" w:hanging="4"/>
        <w:spacing w:after="0" w:line="287" w:lineRule="auto"/>
        <w:tabs>
          <w:tab w:leader="none" w:pos="274"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Your Acknowledgments and Affirmations/ Effective Date of Agreement. </w:t>
      </w:r>
      <w:r>
        <w:rPr>
          <w:rFonts w:ascii="Arial" w:cs="Arial" w:eastAsia="Arial" w:hAnsi="Arial"/>
          <w:sz w:val="16"/>
          <w:szCs w:val="16"/>
          <w:color w:val="auto"/>
        </w:rPr>
        <w:t>You acknowledge that you are knowingly and voluntarily waiving and</w:t>
      </w:r>
      <w:r>
        <w:rPr>
          <w:rFonts w:ascii="Arial" w:cs="Arial" w:eastAsia="Arial" w:hAnsi="Arial"/>
          <w:sz w:val="16"/>
          <w:szCs w:val="16"/>
          <w:b w:val="1"/>
          <w:bCs w:val="1"/>
          <w:color w:val="auto"/>
        </w:rPr>
        <w:t xml:space="preserve"> </w:t>
      </w:r>
      <w:r>
        <w:rPr>
          <w:rFonts w:ascii="Arial" w:cs="Arial" w:eastAsia="Arial" w:hAnsi="Arial"/>
          <w:sz w:val="16"/>
          <w:szCs w:val="16"/>
          <w:color w:val="auto"/>
        </w:rPr>
        <w:t>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3" w:name="page34"/>
    <w:bookmarkEnd w:id="33"/>
    <w:p>
      <w:pPr>
        <w:ind w:left="4"/>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executing this Agreement; (c) you have been given twenty-one (21) days to consider this Agreement (although you may choose to voluntarily execute this Agreement earlier and if you do you will sign the Consideration Period waiver below); (d) you have seven (7) business days following your execution of this Agreement to revoke this Agreement; and (e) this Agreement shall not be effective until the date upon which the revocation period has expired unexercised (the “Effective Date”), which shall be the eighth business day after this Agreement is executed by you.</w:t>
      </w:r>
    </w:p>
    <w:p>
      <w:pPr>
        <w:spacing w:after="0" w:line="45" w:lineRule="exact"/>
        <w:rPr>
          <w:sz w:val="20"/>
          <w:szCs w:val="20"/>
          <w:color w:val="auto"/>
        </w:rPr>
      </w:pPr>
    </w:p>
    <w:p>
      <w:pPr>
        <w:jc w:val="both"/>
        <w:ind w:left="4" w:right="80" w:hanging="4"/>
        <w:spacing w:after="0" w:line="266" w:lineRule="auto"/>
        <w:tabs>
          <w:tab w:leader="none" w:pos="27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Admission. </w:t>
      </w:r>
      <w:r>
        <w:rPr>
          <w:rFonts w:ascii="Arial" w:cs="Arial" w:eastAsia="Arial" w:hAnsi="Arial"/>
          <w:sz w:val="18"/>
          <w:szCs w:val="18"/>
          <w:color w:val="auto"/>
        </w:rPr>
        <w:t>This Agreement does not constitute an admission by the Company of any wrongful action or violation of any federal, state, or local</w:t>
      </w:r>
      <w:r>
        <w:rPr>
          <w:rFonts w:ascii="Arial" w:cs="Arial" w:eastAsia="Arial" w:hAnsi="Arial"/>
          <w:sz w:val="18"/>
          <w:szCs w:val="18"/>
          <w:b w:val="1"/>
          <w:bCs w:val="1"/>
          <w:color w:val="auto"/>
        </w:rPr>
        <w:t xml:space="preserve"> </w:t>
      </w:r>
      <w:r>
        <w:rPr>
          <w:rFonts w:ascii="Arial" w:cs="Arial" w:eastAsia="Arial" w:hAnsi="Arial"/>
          <w:sz w:val="18"/>
          <w:szCs w:val="18"/>
          <w:color w:val="auto"/>
        </w:rPr>
        <w:t>statute, or common law rights, including those relating to the provisions of any law or statute concerning employment actions, or of any other possible or claimed violation of law or rights.</w:t>
      </w:r>
    </w:p>
    <w:p>
      <w:pPr>
        <w:spacing w:after="0" w:line="67" w:lineRule="exact"/>
        <w:rPr>
          <w:rFonts w:ascii="Arial" w:cs="Arial" w:eastAsia="Arial" w:hAnsi="Arial"/>
          <w:sz w:val="18"/>
          <w:szCs w:val="18"/>
          <w:b w:val="1"/>
          <w:bCs w:val="1"/>
          <w:color w:val="auto"/>
        </w:rPr>
      </w:pPr>
    </w:p>
    <w:p>
      <w:pPr>
        <w:ind w:left="4" w:hanging="4"/>
        <w:spacing w:after="0" w:line="254" w:lineRule="auto"/>
        <w:tabs>
          <w:tab w:leader="none" w:pos="27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Breach. </w:t>
      </w:r>
      <w:r>
        <w:rPr>
          <w:rFonts w:ascii="Arial" w:cs="Arial" w:eastAsia="Arial" w:hAnsi="Arial"/>
          <w:sz w:val="18"/>
          <w:szCs w:val="18"/>
          <w:color w:val="auto"/>
        </w:rPr>
        <w:t>You agree that upon any breach of this Agreement you will forfeit all amounts paid or owing to you under this Agreement. Further, you</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83" w:lineRule="exact"/>
        <w:rPr>
          <w:rFonts w:ascii="Arial" w:cs="Arial" w:eastAsia="Arial" w:hAnsi="Arial"/>
          <w:sz w:val="18"/>
          <w:szCs w:val="18"/>
          <w:b w:val="1"/>
          <w:bCs w:val="1"/>
          <w:color w:val="auto"/>
        </w:rPr>
      </w:pPr>
    </w:p>
    <w:p>
      <w:pPr>
        <w:ind w:left="4" w:right="60" w:hanging="4"/>
        <w:spacing w:after="0" w:line="271" w:lineRule="auto"/>
        <w:tabs>
          <w:tab w:leader="none" w:pos="274"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This Agreement, including any exhibits, constitutes the complete, final and exclusive embodiment of the entire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69" w:lineRule="exact"/>
        <w:rPr>
          <w:rFonts w:ascii="Arial" w:cs="Arial" w:eastAsia="Arial" w:hAnsi="Arial"/>
          <w:sz w:val="17"/>
          <w:szCs w:val="17"/>
          <w:b w:val="1"/>
          <w:bCs w:val="1"/>
          <w:color w:val="auto"/>
        </w:rPr>
      </w:pPr>
    </w:p>
    <w:p>
      <w:pPr>
        <w:ind w:left="264" w:hanging="264"/>
        <w:spacing w:after="0"/>
        <w:tabs>
          <w:tab w:leader="none" w:pos="264"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To ensure the rapid and economical resolution of disputes that may arise in connection with your employment with the Company, you and the</w:t>
      </w:r>
    </w:p>
    <w:p>
      <w:pPr>
        <w:spacing w:after="0" w:line="34" w:lineRule="exact"/>
        <w:rPr>
          <w:rFonts w:ascii="Arial" w:cs="Arial" w:eastAsia="Arial" w:hAnsi="Arial"/>
          <w:sz w:val="17"/>
          <w:szCs w:val="17"/>
          <w:b w:val="1"/>
          <w:bCs w:val="1"/>
          <w:color w:val="auto"/>
        </w:rPr>
      </w:pPr>
    </w:p>
    <w:p>
      <w:pPr>
        <w:jc w:val="both"/>
        <w:ind w:left="4" w:right="220"/>
        <w:spacing w:after="0" w:line="277" w:lineRule="auto"/>
        <w:rPr>
          <w:rFonts w:ascii="Arial" w:cs="Arial" w:eastAsia="Arial" w:hAnsi="Arial"/>
          <w:sz w:val="17"/>
          <w:szCs w:val="17"/>
          <w:b w:val="1"/>
          <w:bCs w:val="1"/>
          <w:color w:val="auto"/>
        </w:rPr>
      </w:pPr>
      <w:r>
        <w:rPr>
          <w:rFonts w:ascii="Arial" w:cs="Arial" w:eastAsia="Arial" w:hAnsi="Arial"/>
          <w:sz w:val="17"/>
          <w:szCs w:val="17"/>
          <w:color w:val="auto"/>
        </w:rPr>
        <w:t>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w:t>
      </w:r>
    </w:p>
    <w:p>
      <w:pPr>
        <w:spacing w:after="0" w:line="10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4"/>
          </w:cols>
          <w:pgMar w:left="436" w:top="274" w:right="499" w:bottom="1440" w:gutter="0" w:footer="0" w:header="0"/>
        </w:sectPr>
      </w:pPr>
    </w:p>
    <w:bookmarkStart w:id="34" w:name="page35"/>
    <w:bookmarkEnd w:id="3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w:t>
      </w:r>
      <w:r>
        <w:rPr>
          <w:rFonts w:ascii="Arial" w:cs="Arial" w:eastAsia="Arial" w:hAnsi="Arial"/>
          <w:sz w:val="16"/>
          <w:szCs w:val="16"/>
          <w:u w:val="single" w:color="auto"/>
          <w:color w:val="auto"/>
        </w:rPr>
        <w:t>http://www.jamsadr.com/rules-employment-arbitration/</w:t>
      </w:r>
      <w:r>
        <w:rPr>
          <w:rFonts w:ascii="Arial" w:cs="Arial" w:eastAsia="Arial" w:hAnsi="Arial"/>
          <w:sz w:val="16"/>
          <w:szCs w:val="16"/>
          <w:color w:val="auto"/>
        </w:rPr>
        <w:t xml:space="preserve">). </w:t>
      </w:r>
      <w:r>
        <w:rPr>
          <w:rFonts w:ascii="Arial" w:cs="Arial" w:eastAsia="Arial" w:hAnsi="Arial"/>
          <w:sz w:val="16"/>
          <w:szCs w:val="16"/>
          <w:b w:val="1"/>
          <w:bCs w:val="1"/>
          <w:color w:val="auto"/>
        </w:rPr>
        <w:t>You acknowledge that by agreeing to this arbitration procedure,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both you and the Company waive the right to resolve any such dispute through a trial by jury or judge or administrative proceeding. </w:t>
      </w:r>
      <w:r>
        <w:rPr>
          <w:rFonts w:ascii="Arial" w:cs="Arial" w:eastAsia="Arial" w:hAnsi="Arial"/>
          <w:sz w:val="16"/>
          <w:szCs w:val="16"/>
          <w:color w:val="auto"/>
        </w:rPr>
        <w:t>You will</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right to be represented 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17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If this Agreement is acceptable to you, please sign below and return the original to me on or after your Separation Date, but no later than the date that is twenty-one (21) days after you receive this Agreement. This offer will expire if we have not received your executed copy by that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 wish you good luck in your future endeavors.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Adagio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GREED TO AND</w:t>
      </w:r>
      <w:r>
        <w:rPr>
          <w:rFonts w:ascii="Arial" w:cs="Arial" w:eastAsia="Arial" w:hAnsi="Arial"/>
          <w:sz w:val="18"/>
          <w:szCs w:val="18"/>
          <w:color w:val="auto"/>
        </w:rPr>
        <w:t xml:space="preserve"> A</w:t>
      </w:r>
      <w:r>
        <w:rPr>
          <w:rFonts w:ascii="Arial" w:cs="Arial" w:eastAsia="Arial" w:hAnsi="Arial"/>
          <w:sz w:val="14"/>
          <w:szCs w:val="14"/>
          <w:color w:val="auto"/>
        </w:rPr>
        <w:t>CCEPTED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CONSIDERATION PERIOD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____________________, understand that I have the right to take at least 21 days to consider whether to sign this Agreement, which I received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 __, 20__. If I elect to sign this Agreement before 21 days have passed, I understand I am to sign and date below this paragraph to confirm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I knowingly and voluntarily agree to waive the 21-day consideration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27946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27946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40" w:top="270" w:right="51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PROPRIETARY INFORMATION AND INVENTIONS ASSIGNMENT AGREEMENT</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consideration and as a condition of my employment by Adagio Therapeutics, Inc., a Delaware corporation (together with any of its subsidiaries or parent companies, and any of their successors or assigns collectively, the “</w:t>
      </w:r>
      <w:r>
        <w:rPr>
          <w:rFonts w:ascii="Arial" w:cs="Arial" w:eastAsia="Arial" w:hAnsi="Arial"/>
          <w:sz w:val="18"/>
          <w:szCs w:val="18"/>
          <w:u w:val="single" w:color="auto"/>
          <w:color w:val="auto"/>
        </w:rPr>
        <w:t>Company</w:t>
      </w:r>
      <w:r>
        <w:rPr>
          <w:rFonts w:ascii="Arial" w:cs="Arial" w:eastAsia="Arial" w:hAnsi="Arial"/>
          <w:sz w:val="18"/>
          <w:szCs w:val="18"/>
          <w:color w:val="auto"/>
        </w:rPr>
        <w:t>”), and my receipt of the compensation paid to me by the Company in the context of that employment and the issuance to me of an option to purchase shares of common stock of the Company, and for other good and valuable consideration, the receipt and sufficiency of which is hereby acknowledged, effective as of the date of my signature below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unless specified otherwise in this Employee Proprietary Information and Inventions Assignment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 the undersigned, agree as follows:</w:t>
      </w:r>
    </w:p>
    <w:p>
      <w:pPr>
        <w:spacing w:after="0" w:line="84" w:lineRule="exact"/>
        <w:rPr>
          <w:sz w:val="20"/>
          <w:szCs w:val="20"/>
          <w:color w:val="auto"/>
        </w:rPr>
      </w:pPr>
    </w:p>
    <w:p>
      <w:pPr>
        <w:ind w:firstLine="436"/>
        <w:spacing w:after="0" w:line="284" w:lineRule="auto"/>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Proprietary Information</w:t>
      </w:r>
      <w:r>
        <w:rPr>
          <w:rFonts w:ascii="Arial" w:cs="Arial" w:eastAsia="Arial" w:hAnsi="Arial"/>
          <w:sz w:val="16"/>
          <w:szCs w:val="16"/>
          <w:color w:val="auto"/>
        </w:rPr>
        <w:t>. During the term of my employment, I may receive and otherwise be exposed, directly or indirectly, to confidential and proprietary information of the Company whether in graphic, written, electronic or oral form, including without limitation information relating to the Company’s business, strategies, designs, products, services and technologies and any derivatives, improvements and enhancements relating to any of the foregoing, or to the Company’s suppliers, customers or business partners (collectively “</w:t>
      </w:r>
      <w:r>
        <w:rPr>
          <w:rFonts w:ascii="Arial" w:cs="Arial" w:eastAsia="Arial" w:hAnsi="Arial"/>
          <w:sz w:val="16"/>
          <w:szCs w:val="16"/>
          <w:u w:val="single" w:color="auto"/>
          <w:color w:val="auto"/>
        </w:rPr>
        <w:t>Proprietary Information</w:t>
      </w:r>
      <w:r>
        <w:rPr>
          <w:rFonts w:ascii="Arial" w:cs="Arial" w:eastAsia="Arial" w:hAnsi="Arial"/>
          <w:sz w:val="16"/>
          <w:szCs w:val="16"/>
          <w:color w:val="auto"/>
        </w:rPr>
        <w:t>”). Proprietary Information may be identified at the time of disclosure as confidential or proprietary or information which by its context would reasonably be deemed to be confidential or proprietary. “Proprietary Information” may also include without limitation (a)(i) unpublished patent disclosures and patent applications and other filings, know-how, trade secrets, works of authorship and other intellectual property, as well as any information regarding ideas, Inventions (as defined in Section 5), technology, and processes, including without limitation assays, sketches, schematics, techniques, drawings, designs, descriptions, specifications and technical documentation, (ii) information relating to physical, chemical or biological materials and compounds (including without limitation reagents, gene sequences, nucleic acids, amino acids, cell lines, media, antibodies, antibody fragments, compounds, c-DNAs, antisense nucleotides, proteins, peptides and vectors), their structures, compositions, and formulations, and methods for their handling, use, and manufacture, and processes, apparatus, models relating thereto, (iii) specifications, protocols, models, designs, equipment, engineering, algorithms, software programs, software source documents, formulae, (iv) information concerning or resulting from any research and development or other project, including without limitation nonclinical and clinical data, experimental work, clinical and product development plans, results from clinical studies, regulatory compliance information, and research, development and regulatory strategies, and (v) business and financial information, including without limitation purchasing, procurement, manufacturing, customer lists, information relating to investors, employees, business and contractual relationships, business forecasts, sales and merchandising, business and marketing plans, product plans, and business strategies, including without limitation information the Company provides regarding third parties, such as, but not limited to, suppliers, customers, employees, investors, or vendors; and (b) any other information, to the extent such information contains, reflects or is based upon any of the foregoing Proprietary Information. The Proprietary Information may also include information of a third party that is disclosed to me by the Company or such third party at the Company’s direction.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0" w:right="459" w:bottom="1440" w:gutter="0" w:footer="0" w:header="0"/>
        </w:sectPr>
      </w:pPr>
    </w:p>
    <w:bookmarkStart w:id="37" w:name="page38"/>
    <w:bookmarkEnd w:id="37"/>
    <w:p>
      <w:pPr>
        <w:ind w:firstLine="436"/>
        <w:spacing w:after="0" w:line="267" w:lineRule="auto"/>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of Non-Use and Nondisclosure</w:t>
      </w:r>
      <w:r>
        <w:rPr>
          <w:rFonts w:ascii="Arial" w:cs="Arial" w:eastAsia="Arial" w:hAnsi="Arial"/>
          <w:sz w:val="17"/>
          <w:szCs w:val="17"/>
          <w:color w:val="auto"/>
        </w:rPr>
        <w:t>. I acknowledge the confidential and secret character of the Proprietary Information, and agree that the Proprietary Information is the sole, exclusive and valuable property of the Company. Accordingly, I agree not to use the Proprietary Information except in the performance of my authorized duties as an employee of the Company, and not to disclose all or any part of the Proprietary Information in any form to any third party, either during or after the term of my employment, without the prior written consent of the Company on a case-by-case basis. Upon termination of my employment, I agree to cease using and to return to the Company all whole and partial copies and derivatives of the Proprietary Information, whether in my possession or under my direct or indirect control, provided that I am entitled to retain my personal copies of (a) my compensation records, (b) materials distributed to stockholders generally, and (c) this Agreement. I understand that my obligations of nondisclosure with respect to Proprietary Information shall not apply to information that I can establish by competent proof (x) was actually in the public domain at the time of disclosure or enters the public domain following disclosure other than as a result of a breach of this Agreement, (y) is already in my possession without breach of any obligations of confidentiality at the time of disclosure by the Company as shown by my files and records immediately prior to the time of disclosure, or (z) is obtained by me from a third party not under confidentiality obligations and without a breach of any obligations of confidentiality. If I become compelled by law, regulation (including without limitation the rules of any applicable securities exchange), court order, or other governmental authority to disclose the Proprietary Information, I shall, to the extent possible and permissible under applicable law, first give the Company prompt notice. I agree to cooperate reasonably with the Company in any proceeding to obtain a protective order or other remedy. If such protective order or other remedy is not obtained, I shall only disclose that portion of such Proprietary Information required to be disclosed, in the opinion of my legal counsel. I shall request that confidential treatment be accorded such Proprietary Information, where available. Compulsory disclosures made pursuant to this section shall not relieve me of my obligations of confidentiality and non-use with respect to non-compulsory disclosures. I understand that nothing herein is intended to or shall prevent me from communicating directly with, cooperating with, or providing information to, any federal, state or local government regulator, including, but not limited to, the U.S. Securities and Exchange Commission, the U.S. Commodity Futures Trading Commission, or the U.S. Department of Justice. I shall promptly notify my supervisor or any officer of the Company if I learn of any possible unauthorized use or disclosure of Proprietary Information and shall cooperate fully with the Company to enforce its rights in such information.</w:t>
      </w:r>
    </w:p>
    <w:p>
      <w:pPr>
        <w:spacing w:after="0" w:line="75" w:lineRule="exact"/>
        <w:rPr>
          <w:rFonts w:ascii="Arial" w:cs="Arial" w:eastAsia="Arial" w:hAnsi="Arial"/>
          <w:sz w:val="17"/>
          <w:szCs w:val="17"/>
          <w:color w:val="auto"/>
        </w:rPr>
      </w:pPr>
    </w:p>
    <w:p>
      <w:pPr>
        <w:ind w:right="20" w:firstLine="436"/>
        <w:spacing w:after="0" w:line="296" w:lineRule="auto"/>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Defend Trade Secrets Act Notice of Immunity Rights</w:t>
      </w:r>
      <w:r>
        <w:rPr>
          <w:rFonts w:ascii="Arial" w:cs="Arial" w:eastAsia="Arial" w:hAnsi="Arial"/>
          <w:sz w:val="16"/>
          <w:szCs w:val="16"/>
          <w:color w:val="auto"/>
        </w:rPr>
        <w:t>. I acknowledge that the Company has provided me with the following notice of immunity rights in compliance with the requirements of the Defend Trade Secrets Act: (a) I shall not be held criminally or civilly liable under any Federal or State trade secret law for the disclosure of Proprietary Information that is made in confidence to a Federal, State, or local government official or to an attorney solely for the purpose of reporting or investigating a suspected violation of law, (b) I shall not be held criminally or civilly liable under any Federal or State trade secret law for the disclosure of Proprietary Information that is made in a complaint or other document filed in a lawsuit or other proceeding,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8" w:name="page39"/>
    <w:bookmarkEnd w:id="38"/>
    <w:p>
      <w:pPr>
        <w:jc w:val="both"/>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filing is made under seal and (c) if I file a lawsuit for retaliation by my employer for reporting a suspected violation of law, I may disclose the Proprietary Information to my attorney and use the Proprietary Information in the court proceeding, if I file any document containing the Proprietary Information under seal, and do not disclose the Proprietary Information, except pursuant to court order.</w:t>
      </w:r>
    </w:p>
    <w:p>
      <w:pPr>
        <w:spacing w:after="0" w:line="76" w:lineRule="exact"/>
        <w:rPr>
          <w:sz w:val="20"/>
          <w:szCs w:val="20"/>
          <w:color w:val="auto"/>
        </w:rPr>
      </w:pPr>
    </w:p>
    <w:p>
      <w:pPr>
        <w:ind w:right="180" w:firstLine="436"/>
        <w:spacing w:after="0" w:line="291" w:lineRule="auto"/>
        <w:tabs>
          <w:tab w:leader="none" w:pos="62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Property of the Company</w:t>
      </w:r>
      <w:r>
        <w:rPr>
          <w:rFonts w:ascii="Arial" w:cs="Arial" w:eastAsia="Arial" w:hAnsi="Arial"/>
          <w:sz w:val="16"/>
          <w:szCs w:val="16"/>
          <w:color w:val="auto"/>
        </w:rPr>
        <w:t>. I acknowledge and agree that all notes, memoranda, reports, drawings, blueprints, manuals, materials, data, emails and other papers and records of every kind, or other tangible or intangible materials which shall come into my possession in the course of my employment with the Company, relating to any Proprietary Information, shall be the sole and exclusive property of the Company and I hereby assign any rights or interests I may obtain in any of the foregoing to my employer, subject to the collaboration agreement entered into by the Company and Adimab LLC. I agree to surrender this property to my employer upon termination of my employment, or at any time upon request by my employer. I further agree that any property situated on my employer’s data systems or on my employer’s premises and owned by my employer, including without limitation electronic storage media, filing cabinets or other work areas, is subject to inspection by my employer at any time with or without notice.</w:t>
      </w:r>
    </w:p>
    <w:p>
      <w:pPr>
        <w:spacing w:after="0" w:line="58" w:lineRule="exact"/>
        <w:rPr>
          <w:rFonts w:ascii="Arial" w:cs="Arial" w:eastAsia="Arial" w:hAnsi="Arial"/>
          <w:sz w:val="16"/>
          <w:szCs w:val="16"/>
          <w:color w:val="auto"/>
        </w:rPr>
      </w:pPr>
    </w:p>
    <w:p>
      <w:pPr>
        <w:ind w:left="620" w:hanging="184"/>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Inventions</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Disclosure and Assignment of Inventions</w:t>
      </w:r>
      <w:r>
        <w:rPr>
          <w:rFonts w:ascii="Arial" w:cs="Arial" w:eastAsia="Arial" w:hAnsi="Arial"/>
          <w:sz w:val="17"/>
          <w:szCs w:val="17"/>
          <w:color w:val="auto"/>
        </w:rPr>
        <w:t>. For purposes of this Agreement, an “Invention” shall mean any idea, invention or work of authorship, including, without limitation, any documentation, formula, design, device, code, method, software, technique, process, discovery, concept, improvement, enhancement, development, machine or contribution, in each case whether or not patentable or copyrightable and for purposes of this Section 5, “</w:t>
      </w:r>
      <w:r>
        <w:rPr>
          <w:rFonts w:ascii="Arial" w:cs="Arial" w:eastAsia="Arial" w:hAnsi="Arial"/>
          <w:sz w:val="17"/>
          <w:szCs w:val="17"/>
          <w:u w:val="single" w:color="auto"/>
          <w:color w:val="auto"/>
        </w:rPr>
        <w:t>Company</w:t>
      </w:r>
      <w:r>
        <w:rPr>
          <w:rFonts w:ascii="Arial" w:cs="Arial" w:eastAsia="Arial" w:hAnsi="Arial"/>
          <w:sz w:val="17"/>
          <w:szCs w:val="17"/>
          <w:color w:val="auto"/>
        </w:rPr>
        <w:t>” shall mean the Company entity that is my employer as of the Effective Date or, if I am subsequently employed by any subsidiary or parent of such Company entity, the applicable subsidiary or parent by which I am employed. I will disclose all Inventions promptly in writing to an officer of the Company or to attorneys of the Company in accordance with the Company’s policies and procedures. I will, and hereby do, assign to the Company, without requirement of further writing, without royalty or any other further consideration, my entire right, title and interest throughout the world in and to all Inventions created, conceived, made, developed, and/or reduced to practice by me in the course of my employment by the Company and all intellectual property rights therein, subject to the collaboration agreement entered into by the Company and Adimab LLC. I hereby waive, and agree to waive, any moral rights I may have in any copyrightable work I create or have created on behalf of the Company. I also hereby agree, that for a period of one year after my employment with the Company, I shall disclose to the Company any Inventions that I create, conceive, make, develop, reduce to practice or work on that relate to the work I performed for the Company. The Company agrees that it will use commercially reasonable measures to keep Inventions disclosed to it pursuant to this Section 5.1 that do not constitute Inventions to be owned by the Company in confidence and shall not use any Inventions for its own advantage, unless in either case those Inventions are assigned or assignable to the Company pursuant to this Section 5.1 or otherwise.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440" w:top="274" w:right="519" w:bottom="1440" w:gutter="0" w:footer="0" w:header="0"/>
        </w:sectPr>
      </w:pPr>
    </w:p>
    <w:bookmarkStart w:id="39" w:name="page40"/>
    <w:bookmarkEnd w:id="39"/>
    <w:p>
      <w:pPr>
        <w:ind w:right="2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Arial" w:cs="Arial" w:eastAsia="Arial" w:hAnsi="Arial"/>
          <w:sz w:val="16"/>
          <w:szCs w:val="16"/>
          <w:u w:val="single" w:color="auto"/>
          <w:color w:val="auto"/>
        </w:rPr>
        <w:t>Certain Exemptions</w:t>
      </w:r>
      <w:r>
        <w:rPr>
          <w:rFonts w:ascii="Arial" w:cs="Arial" w:eastAsia="Arial" w:hAnsi="Arial"/>
          <w:sz w:val="16"/>
          <w:szCs w:val="16"/>
          <w:color w:val="auto"/>
        </w:rPr>
        <w:t>. The obligations to assign Inventions set forth in Section 5.1 apply with respect to all Inventions (a) whether or not such Inventions are conceived, made, developed or worked on by me during my regular hours of employment with the Company; (b) whether or not the Invention was made at the suggestion of the Company; (c) whether or not the Invention was reduced to drawings, written description, documentation, models or other tangible form; and (d) whether or not the Invention is related to the general line of business engaged in by the Company, but do not apply to Inventions that (x) I develop entirely on my own time or after the date of this Agreement without using the Company’s equipment, supplies, facilities or Proprietary Information; (y) do not relate to the Company’s business, or actual or demonstrably anticipated research or development of the Company at the time of conception or reduction to practice of the Invention; and (z) do not result from and are not related to any work performed by me for the Company. I hereby acknowledge and agree that the Company has notified me that, if I reside in the state of California, assignments provided for in Section 5.1 do not apply to any Invention which qualifies fully for exemption from assignment under the provisions of Section 2870 of the California Labor Code (“</w:t>
      </w:r>
      <w:r>
        <w:rPr>
          <w:rFonts w:ascii="Arial" w:cs="Arial" w:eastAsia="Arial" w:hAnsi="Arial"/>
          <w:sz w:val="16"/>
          <w:szCs w:val="16"/>
          <w:u w:val="single" w:color="auto"/>
          <w:color w:val="auto"/>
        </w:rPr>
        <w:t>Section 2870</w:t>
      </w:r>
      <w:r>
        <w:rPr>
          <w:rFonts w:ascii="Arial" w:cs="Arial" w:eastAsia="Arial" w:hAnsi="Arial"/>
          <w:sz w:val="16"/>
          <w:szCs w:val="16"/>
          <w:color w:val="auto"/>
        </w:rPr>
        <w:t xml:space="preserve">”), a copy of which is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If applicable, at the time of disclosure of an Invention that I believe qualifies under Section 2870, I shall provide to the Company, in writing, evidence to substantiate the belief that such Invention qualifies under Section 2870. I further understand that, to the extent this Agreement shall be construed in accordance with the laws of any state which precludes a requirement in an employee agreement to assign certain classes of inventions made by an employee, Section 5.1 shall be interpreted not to apply to any Invention which a court rules and/or the Company agrees falls within such classes.</w:t>
      </w:r>
    </w:p>
    <w:p>
      <w:pPr>
        <w:spacing w:after="0" w:line="63"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Records</w:t>
      </w:r>
      <w:r>
        <w:rPr>
          <w:rFonts w:ascii="Arial" w:cs="Arial" w:eastAsia="Arial" w:hAnsi="Arial"/>
          <w:sz w:val="18"/>
          <w:szCs w:val="18"/>
          <w:color w:val="auto"/>
        </w:rPr>
        <w:t>. I will make and maintain adequate and current written records of all Inventions covered by Section 5.1. These records may be in the form of notes, sketches, drawings, flow charts, electronic data or recordings, notebooks and any other format. These records shall be and remain the property of the Company at all times and shall be made available to the Company at all times.</w:t>
      </w:r>
    </w:p>
    <w:p>
      <w:pPr>
        <w:spacing w:after="0" w:line="76"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Patents and Other Rights</w:t>
      </w:r>
      <w:r>
        <w:rPr>
          <w:rFonts w:ascii="Arial" w:cs="Arial" w:eastAsia="Arial" w:hAnsi="Arial"/>
          <w:sz w:val="17"/>
          <w:szCs w:val="17"/>
          <w:color w:val="auto"/>
        </w:rPr>
        <w:t>. I agree to assist the Company in obtaining, maintaining and enforcing patents, invention assignments and copyright assignments, and other proprietary rights in connection with any Invention covered by Section 5.1, and will otherwise assist the Company as reasonably required by the Company to perfect in the Company the rights, title and other interests in my work product granted to the Company under this Agreement (both in the United States and foreign countries). I further agree that my obligations under this Section 5.4 shall continue beyond the termination of my employment with the Company, but if I am requested by the Company to render such assistance after the termination of such employment, I shall be entitled to a fair and reasonable rate of compensation for such assistance, and to reimbursement of any expenses incurred at the request of the Company relating to such assistance. If the Company is unable for any reason, after reasonable effort, to secure my signature on any document needed in connection with the actions specified above, I hereby irrevocably designate and appoint the Company and its duly authorized officers and agents as my agent and attorney in fact, which appointment is coupled with an interest, to act for and in my behalf to execute, verify and file any such documents and to do all other lawfully permitted acts to further the purposes of this Section 5.4 with the same legal force and effect as if executed by 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0" w:name="page41"/>
    <w:bookmarkEnd w:id="40"/>
    <w:p>
      <w:pPr>
        <w:ind w:firstLine="99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5.5 </w:t>
      </w:r>
      <w:r>
        <w:rPr>
          <w:rFonts w:ascii="Arial" w:cs="Arial" w:eastAsia="Arial" w:hAnsi="Arial"/>
          <w:sz w:val="16"/>
          <w:szCs w:val="16"/>
          <w:u w:val="single" w:color="auto"/>
          <w:color w:val="auto"/>
        </w:rPr>
        <w:t>Prior Contracts and Inventions; Information Belonging to Third Parties</w:t>
      </w:r>
      <w:r>
        <w:rPr>
          <w:rFonts w:ascii="Arial" w:cs="Arial" w:eastAsia="Arial" w:hAnsi="Arial"/>
          <w:sz w:val="16"/>
          <w:szCs w:val="16"/>
          <w:color w:val="auto"/>
        </w:rPr>
        <w:t xml:space="preserve">. I represent and warrant that, except as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(which shall not include agreements entered into by me in connection with the Approved Outside Activities, as defined in the employment agreement dated August 5, 2021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xml:space="preserve">”) between the Company and me), I am not required, and I have not been required during the course of work for the Company or its predecessors, to assign Inventions under any other contracts that are now or were previously in existence between me and any other person or entity. I further represent that (a) I am not obligated under any consulting, employment or other agreement that would affect the Company’s rights or my duties under this Agreement, and I shall not enter into any such agreement or obligation during the period of my employment by the Company, (b) there is no action, investigation, or proceeding pending or threatened, or any basis therefor known to me involving my prior employment or any consultancy or the use of any information or techniques alleged to be proprietary to any former employer, and (c) the performance of my duties as an employee of the Company do not and will not breach, or constitute a default under any agreement to which I am bound, including any agreement limiting the use or disclosure of proprietary information acquired in confidence prior to engagement by the Company or if applicable, any agreement to refrain from competing, directly or indirectly, with the business of such previous employer or any other party or to refrain from soliciting employees, customers or suppliers of such previous employer or other party. I will not, in connection with my employment by the Company, use or disclose to the Company any confidential, trade secret or other proprietary information of any previous employer or other person to which I am not lawfully entitled. As a matter of record, I attach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 brief description of all Inventions made or conceived by me prior to my employment with the Company which I desire to be excluded from this Agreement (“</w:t>
      </w:r>
      <w:r>
        <w:rPr>
          <w:rFonts w:ascii="Arial" w:cs="Arial" w:eastAsia="Arial" w:hAnsi="Arial"/>
          <w:sz w:val="16"/>
          <w:szCs w:val="16"/>
          <w:u w:val="single" w:color="auto"/>
          <w:color w:val="auto"/>
        </w:rPr>
        <w:t>Background Technology</w:t>
      </w:r>
      <w:r>
        <w:rPr>
          <w:rFonts w:ascii="Arial" w:cs="Arial" w:eastAsia="Arial" w:hAnsi="Arial"/>
          <w:sz w:val="16"/>
          <w:szCs w:val="16"/>
          <w:color w:val="auto"/>
        </w:rPr>
        <w:t>”). If full disclosure of any Background Technology would breach or constitute a default under any agreement to which I am bound, including any agreement limiting the use or disclosure of proprietary information acquired in confidence prior to engagement by the Company, I understand that I am to describe such Background Technology in Exhibit B at the most specific level possible without violating any such prior agreement. Without limiting my obligations or representations under this Section 5.5, if I use (i) any Background Technology or (ii) any other Inventions in which I have an interest and that are excluded from the assignment of Inventions set forth in Section 5.1 (collectively (i) and (ii), the “</w:t>
      </w:r>
      <w:r>
        <w:rPr>
          <w:rFonts w:ascii="Arial" w:cs="Arial" w:eastAsia="Arial" w:hAnsi="Arial"/>
          <w:sz w:val="16"/>
          <w:szCs w:val="16"/>
          <w:u w:val="single" w:color="auto"/>
          <w:color w:val="auto"/>
        </w:rPr>
        <w:t>Excluded Technology</w:t>
      </w:r>
      <w:r>
        <w:rPr>
          <w:rFonts w:ascii="Arial" w:cs="Arial" w:eastAsia="Arial" w:hAnsi="Arial"/>
          <w:sz w:val="16"/>
          <w:szCs w:val="16"/>
          <w:color w:val="auto"/>
        </w:rPr>
        <w:t>”) in the course of my employment or incorporate any Excluded Technology in any product, service or other offering of the Company, I hereby grant the Company a non-exclusive, royalty-free, perpetual and irrevocable, worldwide right to use and sublicense the use of Excluded Technology for the purpose of developing, marketing, selling and supporting Company technology, products and services, either directly or through multiple tiers of distribution, but not for the purpose of marketing Excluded Technology separately from Company products or services.</w:t>
      </w:r>
    </w:p>
    <w:p>
      <w:pPr>
        <w:spacing w:after="0" w:line="285"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Works Made for Hire</w:t>
      </w:r>
      <w:r>
        <w:rPr>
          <w:rFonts w:ascii="Arial" w:cs="Arial" w:eastAsia="Arial" w:hAnsi="Arial"/>
          <w:sz w:val="18"/>
          <w:szCs w:val="18"/>
          <w:color w:val="auto"/>
        </w:rPr>
        <w:t>. I acknowledge that all original works of authorship which are made by me (solely or jointly with others) within the scope of my employment with the Company and which are eligible for copyright protection are “works made for hire” as that term is defined in the United States Copyright Act (17 U.S.C., Section 101).</w:t>
      </w:r>
    </w:p>
    <w:p>
      <w:pPr>
        <w:spacing w:after="0" w:line="76" w:lineRule="exact"/>
        <w:rPr>
          <w:sz w:val="20"/>
          <w:szCs w:val="20"/>
          <w:color w:val="auto"/>
        </w:rPr>
      </w:pPr>
    </w:p>
    <w:p>
      <w:pPr>
        <w:ind w:firstLine="436"/>
        <w:spacing w:after="0" w:line="255"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I agree to fully comply with the covenants set forth in this Section 6 (the “</w:t>
      </w:r>
      <w:r>
        <w:rPr>
          <w:rFonts w:ascii="Arial" w:cs="Arial" w:eastAsia="Arial" w:hAnsi="Arial"/>
          <w:sz w:val="18"/>
          <w:szCs w:val="18"/>
          <w:u w:val="single" w:color="auto"/>
          <w:color w:val="auto"/>
        </w:rPr>
        <w:t>Restrictive Covenants</w:t>
      </w:r>
      <w:r>
        <w:rPr>
          <w:rFonts w:ascii="Arial" w:cs="Arial" w:eastAsia="Arial" w:hAnsi="Arial"/>
          <w:sz w:val="18"/>
          <w:szCs w:val="18"/>
          <w:color w:val="auto"/>
        </w:rPr>
        <w:t>”), which shall become effective 10 business days from the Effective Date. I further acknowledge and agree that the Restrictive Covenants are reasonable and necessary to protect the Company’s legitimate business interests, including its Proprietary Information and goodwill, and that the Restrictive Covenants are supported by the option to purchase the common stock of the Company noted above, and the increased salary and bonus provisions and severance payments and benefits to be provided pursuant to the Employment Agreement for other good and valuable consideration, which I acknowledge is fair and reasonable consideration independent from my employment.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1" w:name="page42"/>
    <w:bookmarkEnd w:id="41"/>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 </w:t>
      </w: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117" w:lineRule="exact"/>
        <w:rPr>
          <w:sz w:val="20"/>
          <w:szCs w:val="20"/>
          <w:color w:val="auto"/>
        </w:rPr>
      </w:pPr>
    </w:p>
    <w:p>
      <w:pPr>
        <w:ind w:left="-20" w:firstLine="1428"/>
        <w:spacing w:after="0" w:line="285" w:lineRule="auto"/>
        <w:tabs>
          <w:tab w:leader="none" w:pos="1657"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term of my employment with the Company, and, if I am terminated by the Company for Cause or if I resign for any reason, for a period of one year immediately following the termination of such employment (the “</w:t>
      </w:r>
      <w:r>
        <w:rPr>
          <w:rFonts w:ascii="Arial" w:cs="Arial" w:eastAsia="Arial" w:hAnsi="Arial"/>
          <w:sz w:val="16"/>
          <w:szCs w:val="16"/>
          <w:u w:val="single" w:color="auto"/>
          <w:color w:val="auto"/>
        </w:rPr>
        <w:t>Non-Competition Restricted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I will not, directly or indirectly, for my own benefit or for the benefit of any other individual or entity other than the Company: (i) operate, conduct, or engage in, or prepare to operate, conduct, or engage in the Business; (ii) own, finance, or invest in (except as the holder of not more than one percent of the outstanding stock of a publicly-held company) any Business, or (iii) participate in, render services to, or assist any person or entity that engages in or is preparing to engage in the Business in any capacity (whether as an employee, consultant, contractor, partner, officer, director, or otherwise) (x) which involves the same or similar types of services I performed for the Company at any time during the last two years of my employment with the Company or (y) in which I could reasonably be expected to use or disclose Proprietary Information, in each case (i), (ii), or (iii) in the Restricted Territory; provided, however, that the restriction in this Section 6 shall not apply to any of the Approved Outside Activities, as defined in the Employment Agreement. For the avoidance of doubt, if I reside in the Commonwealth of Massachusetts, the non-competition obligations set forth above in this Section 6.1(a) shall not apply to me following the termination of my employment with the Company if I am terminated by the Company without Cause or if and to the extent the Company elects to waive any of such obligations as provided in Section 6.6 below. If I reside in the Commonwealth of Massachusetts, in the event the Company determines at any time that I engaged in conduct constituting Cause during or after my employment has ended, then the Company may retroactively designate my termination as a termination with Cause, and the non-competition covenants set forth in this Section 6. 1, and each subpart, shall remain in full force and effect pursuant to their terms. Notwithstanding the foregoing, if I reside in the Commonwealth of Massachusetts and I am (x) classified as non-exempt under the Fair Labor Standards Act or (y) an undergraduate or graduate student partaking in an internship or short-term employment with the Company while enrolled in a full-time or part-time undergraduate or graduate educational institution, then Section 6.1 shall not apply to me after the termination of my employment with the Company for any reason.</w:t>
      </w:r>
    </w:p>
    <w:p>
      <w:pPr>
        <w:spacing w:after="0" w:line="63" w:lineRule="exact"/>
        <w:rPr>
          <w:rFonts w:ascii="Arial" w:cs="Arial" w:eastAsia="Arial" w:hAnsi="Arial"/>
          <w:sz w:val="16"/>
          <w:szCs w:val="16"/>
          <w:color w:val="auto"/>
        </w:rPr>
      </w:pPr>
    </w:p>
    <w:p>
      <w:pPr>
        <w:ind w:left="-20" w:firstLine="1428"/>
        <w:spacing w:after="0" w:line="259" w:lineRule="auto"/>
        <w:tabs>
          <w:tab w:leader="none" w:pos="166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Extension of Non-Competition Restricted Period</w:t>
      </w:r>
      <w:r>
        <w:rPr>
          <w:rFonts w:ascii="Arial" w:cs="Arial" w:eastAsia="Arial" w:hAnsi="Arial"/>
          <w:sz w:val="18"/>
          <w:szCs w:val="18"/>
          <w:color w:val="auto"/>
        </w:rPr>
        <w:t>. In the event I breach my fiduciary duty to the Company or unlawfully take, physically or electronically, property belonging to the Company as reasonably determined by the Company, the Non-Competition Restricted Period as defined above shall be extended for one additional year, for a maximum period of two years immediately following my termination of employment from the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60" w:top="274" w:right="479" w:bottom="1440" w:gutter="0" w:footer="0" w:header="0"/>
        </w:sectPr>
      </w:pPr>
    </w:p>
    <w:bookmarkStart w:id="42" w:name="page43"/>
    <w:bookmarkEnd w:id="42"/>
    <w:p>
      <w:pPr>
        <w:ind w:left="4" w:firstLine="1428"/>
        <w:spacing w:after="0" w:line="287" w:lineRule="auto"/>
        <w:tabs>
          <w:tab w:leader="none" w:pos="1681"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Garden Leave</w:t>
      </w:r>
      <w:r>
        <w:rPr>
          <w:rFonts w:ascii="Arial" w:cs="Arial" w:eastAsia="Arial" w:hAnsi="Arial"/>
          <w:sz w:val="16"/>
          <w:szCs w:val="16"/>
          <w:color w:val="auto"/>
        </w:rPr>
        <w:t xml:space="preserve">. The Company agrees to pay me during the post-termination Non-Competition Restricted Period at a rate that equals fifty (50) percent of my highest annualized base salary within the two years prior to my termination, less applicable taxes and withholdings, in accordance with the Company’s regular payroll procedure;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Company shall not be required to provide such pay (i) if my employment with the Company is terminated by the Company without Cause; (ii) if, for either reason set forth in clauses (x) or (y) of Section 6.1(a), the post-termination non-competition covenants set forth in Section 6.1(a) shall not apply to me; (iii) if on or prior to my termination date, the Company elects pursuant to Section 6.6 to waive my non-competition covenants set forth in Section 6.1(a); (iv) if I violate any of my non-competition covenants set forth in Section 6.1(a) as reasonably determined by the Company; (v) during any Non-Competition Restricted Period that has been increased beyond one year post-termination for the reasons set forth in Section 6.1(b); or (vi) if on or following my termination date, the Company and I so mutually agree. I expressly acknowledge and agree that, in the event the Company reasonably determines that I have breached any of my non-competition covenants set forth in Section 6.1(a), the Company may refuse to make any payments, and I shall immediately return to the Company any payments already received, pursuant to this Section 6.1(c), in addition to and without limiting any other legal or equitable relief available to the Company. Notwithstanding the foregoing, this Subsection 6.1(c) shall only apply if I reside in the Commonwealth of Massachusetts.</w:t>
      </w:r>
    </w:p>
    <w:p>
      <w:pPr>
        <w:spacing w:after="0" w:line="60" w:lineRule="exact"/>
        <w:rPr>
          <w:sz w:val="20"/>
          <w:szCs w:val="20"/>
          <w:color w:val="auto"/>
        </w:rPr>
      </w:pPr>
    </w:p>
    <w:p>
      <w:pPr>
        <w:ind w:left="4" w:right="40" w:firstLine="991"/>
        <w:spacing w:after="0" w:line="29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Non-Solicitation of Company Personnel</w:t>
      </w:r>
      <w:r>
        <w:rPr>
          <w:rFonts w:ascii="Arial" w:cs="Arial" w:eastAsia="Arial" w:hAnsi="Arial"/>
          <w:sz w:val="16"/>
          <w:szCs w:val="16"/>
          <w:color w:val="auto"/>
        </w:rPr>
        <w:t>. During the term of my employment with the Company, and for a period of one year immediately following the termination of such employment for any reason (the “</w:t>
      </w:r>
      <w:r>
        <w:rPr>
          <w:rFonts w:ascii="Arial" w:cs="Arial" w:eastAsia="Arial" w:hAnsi="Arial"/>
          <w:sz w:val="16"/>
          <w:szCs w:val="16"/>
          <w:u w:val="single" w:color="auto"/>
          <w:color w:val="auto"/>
        </w:rPr>
        <w:t>Non-Solicitation Restricted Period</w:t>
      </w:r>
      <w:r>
        <w:rPr>
          <w:rFonts w:ascii="Arial" w:cs="Arial" w:eastAsia="Arial" w:hAnsi="Arial"/>
          <w:sz w:val="16"/>
          <w:szCs w:val="16"/>
          <w:color w:val="auto"/>
        </w:rPr>
        <w:t>”), I will not, directly or indirectly, for my own benefit or for the benefit of any other individual or entity: (a) solicit or attempt to solicit for employment or hire any Company Personnel in any capacity; (b) entice or induce any Company Personnel to leave his or her or their employment with the Company; or (c) otherwise negatively interfere with the Company’s relationship with any Company Personnel. Notwithstanding the foregoing, a general solicitation or advertisement for job opportunities that I may publish without targeting any Company Personnel shall not be considered a violation of Section 6.2(b).</w:t>
      </w:r>
    </w:p>
    <w:p>
      <w:pPr>
        <w:spacing w:after="0" w:line="56" w:lineRule="exact"/>
        <w:rPr>
          <w:sz w:val="20"/>
          <w:szCs w:val="20"/>
          <w:color w:val="auto"/>
        </w:rPr>
      </w:pPr>
    </w:p>
    <w:p>
      <w:pPr>
        <w:ind w:left="4" w:right="100" w:firstLine="991"/>
        <w:spacing w:after="0" w:line="28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Non-Solicitation of Company Customer</w:t>
      </w:r>
      <w:r>
        <w:rPr>
          <w:rFonts w:ascii="Arial" w:cs="Arial" w:eastAsia="Arial" w:hAnsi="Arial"/>
          <w:sz w:val="16"/>
          <w:szCs w:val="16"/>
          <w:color w:val="auto"/>
        </w:rPr>
        <w:t xml:space="preserve">. During the </w:t>
      </w:r>
      <w:r>
        <w:rPr>
          <w:rFonts w:ascii="Arial" w:cs="Arial" w:eastAsia="Arial" w:hAnsi="Arial"/>
          <w:sz w:val="16"/>
          <w:szCs w:val="16"/>
          <w:u w:val="single" w:color="auto"/>
          <w:color w:val="auto"/>
        </w:rPr>
        <w:t>Non-Solicitation Restricted Period</w:t>
      </w:r>
      <w:r>
        <w:rPr>
          <w:rFonts w:ascii="Arial" w:cs="Arial" w:eastAsia="Arial" w:hAnsi="Arial"/>
          <w:sz w:val="16"/>
          <w:szCs w:val="16"/>
          <w:color w:val="auto"/>
        </w:rPr>
        <w:t>, I will not, directly or indirectly, for my own benefit or for the benefit of any other individual or entity: (a) solicit business from, or offer to provide products or services that are similar to any product or service provided or that could be provided by the Company or that are otherwise competitive with the Business to, any Company Customer;</w:t>
      </w:r>
    </w:p>
    <w:p>
      <w:pPr>
        <w:spacing w:after="0" w:line="2" w:lineRule="exact"/>
        <w:rPr>
          <w:sz w:val="20"/>
          <w:szCs w:val="20"/>
          <w:color w:val="auto"/>
        </w:rPr>
      </w:pPr>
    </w:p>
    <w:p>
      <w:pPr>
        <w:ind w:left="4" w:right="420" w:hanging="4"/>
        <w:spacing w:after="0" w:line="260" w:lineRule="auto"/>
        <w:tabs>
          <w:tab w:leader="none" w:pos="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cause or encourage any Company Customer to reduce or cease doing business with the Company, or (c) otherwise negatively interfere with the Company’s relationships with any Company Customer.</w:t>
      </w:r>
    </w:p>
    <w:p>
      <w:pPr>
        <w:spacing w:after="0" w:line="77" w:lineRule="exact"/>
        <w:rPr>
          <w:sz w:val="20"/>
          <w:szCs w:val="20"/>
          <w:color w:val="auto"/>
        </w:rPr>
      </w:pPr>
    </w:p>
    <w:p>
      <w:pPr>
        <w:ind w:left="4" w:right="200" w:firstLine="991"/>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Tolling Period</w:t>
      </w:r>
      <w:r>
        <w:rPr>
          <w:rFonts w:ascii="Arial" w:cs="Arial" w:eastAsia="Arial" w:hAnsi="Arial"/>
          <w:sz w:val="18"/>
          <w:szCs w:val="18"/>
          <w:color w:val="auto"/>
        </w:rPr>
        <w:t>. Without limiting the Company’s ability to seek other remedies available in law or equity, if I violate any of the provisions of Sections 6.2 or 6.3, the Non- Solicitation Restricted Period shall be extended by one day for each day that I am in violation of such provisions, up to a maximum extension equal to the length of the Non-Solicitation Restricted Period, so as to give the Company the full benefit of the bargained-for length of forbearance.</w:t>
      </w:r>
    </w:p>
    <w:p>
      <w:pPr>
        <w:spacing w:after="0" w:line="79" w:lineRule="exact"/>
        <w:rPr>
          <w:sz w:val="20"/>
          <w:szCs w:val="20"/>
          <w:color w:val="auto"/>
        </w:rPr>
      </w:pPr>
    </w:p>
    <w:p>
      <w:pPr>
        <w:ind w:left="4" w:right="600" w:firstLine="991"/>
        <w:spacing w:after="0" w:line="31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Interpretation</w:t>
      </w:r>
      <w:r>
        <w:rPr>
          <w:rFonts w:ascii="Arial" w:cs="Arial" w:eastAsia="Arial" w:hAnsi="Arial"/>
          <w:sz w:val="16"/>
          <w:szCs w:val="16"/>
          <w:color w:val="auto"/>
        </w:rPr>
        <w:t>. If any restriction set forth in the Restrictive Covenants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8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4"/>
          </w:cols>
          <w:pgMar w:left="436" w:top="274" w:right="499" w:bottom="1440" w:gutter="0" w:footer="0" w:header="0"/>
        </w:sectPr>
      </w:pPr>
    </w:p>
    <w:bookmarkStart w:id="43" w:name="page44"/>
    <w:bookmarkEnd w:id="43"/>
    <w:p>
      <w:pPr>
        <w:ind w:right="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6.6 </w:t>
      </w:r>
      <w:r>
        <w:rPr>
          <w:rFonts w:ascii="Arial" w:cs="Arial" w:eastAsia="Arial" w:hAnsi="Arial"/>
          <w:sz w:val="18"/>
          <w:szCs w:val="18"/>
          <w:u w:val="single" w:color="auto"/>
          <w:color w:val="auto"/>
        </w:rPr>
        <w:t>Waiver</w:t>
      </w:r>
      <w:r>
        <w:rPr>
          <w:rFonts w:ascii="Arial" w:cs="Arial" w:eastAsia="Arial" w:hAnsi="Arial"/>
          <w:sz w:val="18"/>
          <w:szCs w:val="18"/>
          <w:color w:val="auto"/>
        </w:rPr>
        <w:t>. At any time, the Company may in its sole discretion elect to waive any or part of the Restrictive Covenants, provided any such waiver is expressly agreed to in writing by an executive officer of the Company, or, if I am an executive officer of the Company, by the Board of Directors of the Company.</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the Restrictive Covenants:</w:t>
      </w:r>
    </w:p>
    <w:p>
      <w:pPr>
        <w:spacing w:after="0" w:line="117" w:lineRule="exact"/>
        <w:rPr>
          <w:sz w:val="20"/>
          <w:szCs w:val="20"/>
          <w:color w:val="auto"/>
        </w:rPr>
      </w:pPr>
    </w:p>
    <w:p>
      <w:pPr>
        <w:ind w:firstLine="1428"/>
        <w:spacing w:after="0" w:line="311" w:lineRule="auto"/>
        <w:tabs>
          <w:tab w:leader="none" w:pos="167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Business</w:t>
      </w:r>
      <w:r>
        <w:rPr>
          <w:rFonts w:ascii="Arial" w:cs="Arial" w:eastAsia="Arial" w:hAnsi="Arial"/>
          <w:sz w:val="16"/>
          <w:szCs w:val="16"/>
          <w:color w:val="auto"/>
        </w:rPr>
        <w:t>” means any business or part thereof that develops, manufactures, markets, licenses, sells or provides any product or service that competes with any product or service developed, manufactured, marketed, licensed, sold or provided, or planned to be developed, manufactured, marketed, licensed, sold or provided, by the Company, in each case at any time during my employment with the Company.</w:t>
      </w:r>
    </w:p>
    <w:p>
      <w:pPr>
        <w:spacing w:after="0" w:line="40" w:lineRule="exact"/>
        <w:rPr>
          <w:rFonts w:ascii="Arial" w:cs="Arial" w:eastAsia="Arial" w:hAnsi="Arial"/>
          <w:sz w:val="16"/>
          <w:szCs w:val="16"/>
          <w:color w:val="auto"/>
        </w:rPr>
      </w:pPr>
    </w:p>
    <w:p>
      <w:pPr>
        <w:ind w:right="120" w:firstLine="1428"/>
        <w:spacing w:after="0" w:line="273" w:lineRule="auto"/>
        <w:tabs>
          <w:tab w:leader="none" w:pos="1687"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Cause</w:t>
      </w:r>
      <w:r>
        <w:rPr>
          <w:rFonts w:ascii="Arial" w:cs="Arial" w:eastAsia="Arial" w:hAnsi="Arial"/>
          <w:sz w:val="17"/>
          <w:szCs w:val="17"/>
          <w:color w:val="auto"/>
        </w:rPr>
        <w:t>” means Cause as defined in any employment agreement or offer letter between me and the Company that contains a definition of Cause or, if no such agreement or offer letter exists, or if such agreement or offer letter does not contain a definition of Cause, then Cause means (i) a material breach of this Agreement or any other agreement I may have entered into with the Company; (ii) the commission of fraud, embezzlement, or other intentional act that could reasonably harm the Company or third parties; (iii) a material violation of the Company’s personnel policies, my ethical obligations, or applicable laws or regulations; or (iv) willful or gross negligence in the performance of my job duties that could reasonably harm the Company or third parties, in each case as reasonably determined by the Company.</w:t>
      </w:r>
    </w:p>
    <w:p>
      <w:pPr>
        <w:spacing w:after="0" w:line="69" w:lineRule="exact"/>
        <w:rPr>
          <w:rFonts w:ascii="Arial" w:cs="Arial" w:eastAsia="Arial" w:hAnsi="Arial"/>
          <w:sz w:val="17"/>
          <w:szCs w:val="17"/>
          <w:color w:val="auto"/>
        </w:rPr>
      </w:pPr>
    </w:p>
    <w:p>
      <w:pPr>
        <w:ind w:firstLine="1428"/>
        <w:spacing w:after="0" w:line="296" w:lineRule="auto"/>
        <w:tabs>
          <w:tab w:leader="none" w:pos="167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Company Customer</w:t>
      </w:r>
      <w:r>
        <w:rPr>
          <w:rFonts w:ascii="Arial" w:cs="Arial" w:eastAsia="Arial" w:hAnsi="Arial"/>
          <w:sz w:val="16"/>
          <w:szCs w:val="16"/>
          <w:color w:val="auto"/>
        </w:rPr>
        <w:t>” means any individual or entity who (i) is, or was at any time during the one year period prior to the termination of my employment with the Company, a customer, supplier, or vendor of the Company of whom I learned, with whom I had business contact or about whom I obtained Proprietary Information at any time during my employment with the Company, or (ii) is a prospective customer, supplier, or vendor of the Company of whom I learned, with whom I had business contact, or about whom I obtained Proprietary Information as part of a solicitation of business on behalf of the Company at any time during the one year period prior to my termination of employment with the Company.</w:t>
      </w:r>
    </w:p>
    <w:p>
      <w:pPr>
        <w:spacing w:after="0" w:line="53" w:lineRule="exact"/>
        <w:rPr>
          <w:rFonts w:ascii="Arial" w:cs="Arial" w:eastAsia="Arial" w:hAnsi="Arial"/>
          <w:sz w:val="16"/>
          <w:szCs w:val="16"/>
          <w:color w:val="auto"/>
        </w:rPr>
      </w:pPr>
    </w:p>
    <w:p>
      <w:pPr>
        <w:ind w:right="140" w:firstLine="1428"/>
        <w:spacing w:after="0" w:line="263" w:lineRule="auto"/>
        <w:tabs>
          <w:tab w:leader="none" w:pos="168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Company Personnel</w:t>
      </w:r>
      <w:r>
        <w:rPr>
          <w:rFonts w:ascii="Arial" w:cs="Arial" w:eastAsia="Arial" w:hAnsi="Arial"/>
          <w:sz w:val="18"/>
          <w:szCs w:val="18"/>
          <w:color w:val="auto"/>
        </w:rPr>
        <w:t>” means any individual or entity who is or was at any time during the six-month period prior to my solicitation or other activity prohibited by Section 6.2, employed or engaged (whether as an employee, consultant, independent contractor or in any other capacity) by the Company.</w:t>
      </w:r>
    </w:p>
    <w:p>
      <w:pPr>
        <w:spacing w:after="0" w:line="75" w:lineRule="exact"/>
        <w:rPr>
          <w:rFonts w:ascii="Arial" w:cs="Arial" w:eastAsia="Arial" w:hAnsi="Arial"/>
          <w:sz w:val="18"/>
          <w:szCs w:val="18"/>
          <w:color w:val="auto"/>
        </w:rPr>
      </w:pPr>
    </w:p>
    <w:p>
      <w:pPr>
        <w:ind w:right="20" w:firstLine="1428"/>
        <w:spacing w:after="0" w:line="263" w:lineRule="auto"/>
        <w:tabs>
          <w:tab w:leader="none" w:pos="167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Territory</w:t>
      </w:r>
      <w:r>
        <w:rPr>
          <w:rFonts w:ascii="Arial" w:cs="Arial" w:eastAsia="Arial" w:hAnsi="Arial"/>
          <w:sz w:val="18"/>
          <w:szCs w:val="18"/>
          <w:color w:val="auto"/>
        </w:rPr>
        <w:t>” means each city, county, state, territory and country in which (i) I provided services or had a material presence or influence at any time during the last two years of my employment with the Company or (ii) the Company is engaged in or has plans to engage in the Business as of the termination of my employment with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4" w:name="page45"/>
    <w:bookmarkEnd w:id="44"/>
    <w:p>
      <w:pPr>
        <w:ind w:right="140" w:firstLine="436"/>
        <w:spacing w:after="0" w:line="277" w:lineRule="auto"/>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Notification to Other Parties</w:t>
      </w:r>
      <w:r>
        <w:rPr>
          <w:rFonts w:ascii="Arial" w:cs="Arial" w:eastAsia="Arial" w:hAnsi="Arial"/>
          <w:sz w:val="18"/>
          <w:szCs w:val="18"/>
          <w:color w:val="auto"/>
        </w:rPr>
        <w:t>. In the event of termination of my employment with the Company for any reason, I hereby consent to notification by the Company to my new employer or other party for whom I work about my rights and obligations under this Agreement.</w:t>
      </w:r>
    </w:p>
    <w:p>
      <w:pPr>
        <w:spacing w:after="0" w:line="62" w:lineRule="exact"/>
        <w:rPr>
          <w:rFonts w:ascii="Arial" w:cs="Arial" w:eastAsia="Arial" w:hAnsi="Arial"/>
          <w:sz w:val="18"/>
          <w:szCs w:val="18"/>
          <w:color w:val="auto"/>
        </w:rPr>
      </w:pPr>
    </w:p>
    <w:p>
      <w:pPr>
        <w:ind w:firstLine="436"/>
        <w:spacing w:after="0" w:line="291" w:lineRule="auto"/>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Employment at Will</w:t>
      </w:r>
      <w:r>
        <w:rPr>
          <w:rFonts w:ascii="Arial" w:cs="Arial" w:eastAsia="Arial" w:hAnsi="Arial"/>
          <w:sz w:val="16"/>
          <w:szCs w:val="16"/>
          <w:color w:val="auto"/>
        </w:rPr>
        <w:t>. I understand and agree that my employment with the Company is at will. Accordingly, my employment can be terminated at any time, without Cause or notice, at my option or the Company’s option. The at-will nature of my employment also means that I can be transferred or demoted, and my job title, compensation, benefits and other terms and conditions of employment can be reduced, at any time with or without Cause. I acknowledge that such changes shall not affect the enforceability of the Restrictive Covenants or other terms of this Agreement. This at-will status of my employment relationship with the Company shall remain in full force and effect throughout my employment with the Company, and the Restrictive Covenants shall remain in full force and effect pursuant to their terms. The at-will status of my employment can be modified only in a written agreement that expressly alters such status and which is signed by both an authorized officer of the Company and me.</w:t>
      </w:r>
    </w:p>
    <w:p>
      <w:pPr>
        <w:spacing w:after="0" w:line="58" w:lineRule="exact"/>
        <w:rPr>
          <w:rFonts w:ascii="Arial" w:cs="Arial" w:eastAsia="Arial" w:hAnsi="Arial"/>
          <w:sz w:val="16"/>
          <w:szCs w:val="16"/>
          <w:color w:val="auto"/>
        </w:rPr>
      </w:pPr>
    </w:p>
    <w:p>
      <w:pPr>
        <w:ind w:left="620" w:hanging="184"/>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220" w:firstLine="991"/>
        <w:spacing w:after="0" w:line="296" w:lineRule="auto"/>
        <w:rPr>
          <w:sz w:val="20"/>
          <w:szCs w:val="20"/>
          <w:color w:val="auto"/>
        </w:rPr>
      </w:pPr>
      <w:r>
        <w:rPr>
          <w:rFonts w:ascii="Arial" w:cs="Arial" w:eastAsia="Arial" w:hAnsi="Arial"/>
          <w:sz w:val="16"/>
          <w:szCs w:val="16"/>
          <w:color w:val="auto"/>
        </w:rPr>
        <w:t>9.1 The parties’ rights and obligations under this Agreement will bind and inure to the benefit of their respective successors, heirs, executors, and administrators and permitted assigns. I will not assign this Agreement or my obligations hereunder without the prior written consent of the Company, which consent may be withheld in the Company’s sole discretion, and any such purported assignment without consent shall be null and void from the beginning. I agree that the Company may freely assign or otherwise transfer this Agreement to any affiliate or successor in interest (whether by way of merger, sale, acquisition or corporate re-organization or any substantially similar process) of the Company.</w:t>
      </w:r>
    </w:p>
    <w:p>
      <w:pPr>
        <w:spacing w:after="0" w:line="53" w:lineRule="exact"/>
        <w:rPr>
          <w:sz w:val="20"/>
          <w:szCs w:val="20"/>
          <w:color w:val="auto"/>
        </w:rPr>
      </w:pPr>
    </w:p>
    <w:p>
      <w:pPr>
        <w:ind w:right="160" w:firstLine="991"/>
        <w:spacing w:after="0" w:line="342" w:lineRule="auto"/>
        <w:rPr>
          <w:sz w:val="20"/>
          <w:szCs w:val="20"/>
          <w:color w:val="auto"/>
        </w:rPr>
      </w:pPr>
      <w:r>
        <w:rPr>
          <w:rFonts w:ascii="Arial" w:cs="Arial" w:eastAsia="Arial" w:hAnsi="Arial"/>
          <w:sz w:val="16"/>
          <w:szCs w:val="16"/>
          <w:color w:val="auto"/>
        </w:rPr>
        <w:t>9.2 This Agreement constitutes the parties’ final, exclusive and complete understanding and agreement with respect to the subject matter hereof, and supersedes all prior and contemporaneous understandings and agreements, whether oral or written, relating to its subject matter.</w:t>
      </w:r>
    </w:p>
    <w:p>
      <w:pPr>
        <w:spacing w:after="0" w:line="16"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9.3 Any subsequent change or changes in my duties, obligations, rights or compensation will not affect the validity or scope of this Agreement. This Agreement may not be waived, modified or amended unless mutually agreed upon in writing by both parties. No delay or omission by the Company in exercising any right under this Agreement will operate as a waiver of that or any other right. A waiver or consent given by the Company on any one occasion is effective only in that instance and will not be construed as a bar to or waiver of any right on any other occasion.</w:t>
      </w:r>
    </w:p>
    <w:p>
      <w:pPr>
        <w:spacing w:after="0" w:line="49"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9.4 If any provision of this Agreement is found by a proper authority to be unenforceable or invalid such unenforceability or invalidity shall not render this Agreement unenforceable or invalid as a whole and in such event, such provision shall be changed and interpreted so as to best accomplish the objectives of such unenforceable or invalid provision within the limits of applicable law or applicable court decisions and the remainder of the terms, provisions, covenants and restrictions of this Agreement shall remain in full force and effect and shall in no way be affected, impaired or invalidated.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5" w:name="page46"/>
    <w:bookmarkEnd w:id="45"/>
    <w:p>
      <w:pPr>
        <w:ind w:right="10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9.5 I acknowledge that the Company will suffer substantial damages not readily ascertainable or compensable in terms of money in the event of the breach of any of my obligations under this Agreement. I therefore agree that the Company shall be entitled (without limitation of any other rights or remedies otherwise available to the Company) to obtain an injunction from any court of competent jurisdiction prohibiting the continuance or recurrence of any breach of this Agreement.</w:t>
      </w:r>
    </w:p>
    <w:p>
      <w:pPr>
        <w:spacing w:after="0" w:line="79"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9.6 The rights and obligations of the parties under this Agreement shall be governed in all respects by the laws of the Commonwealth of Massachusetts exclusively, without reference to any conflict of laws rule that would result in the application of the laws of any other jurisdiction. The parties agree that all disputes arising under this Agreement shall be adjudicated in the state and federal courts having jurisdiction over disputes arising in Suffolk County, and I hereby agree to consent to the personal jurisdiction of such court. The Company and I each hereby irrevocably waive any right to a trial by jury in any action, suit or other legal proceeding arising under or relating to any provision of this Agreement.</w:t>
      </w:r>
    </w:p>
    <w:p>
      <w:pPr>
        <w:spacing w:after="0" w:line="53"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9.7 Any notices required or permitted hereunder shall be given to the appropriate party at the address specified on the signature page to this Agreement or at such other address as the party shall specify in writing. Such notice shall be deemed given upon personal delivery, or sent by certified or registered mail, postage prepaid, three days after the date of mailing.</w:t>
      </w:r>
    </w:p>
    <w:p>
      <w:pPr>
        <w:spacing w:after="0" w:line="76"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9.8 Except as otherwise provided herein, the provisions of this Agreement shall survive the termination of my employment with the Company for any reason.</w:t>
      </w:r>
    </w:p>
    <w:p>
      <w:pPr>
        <w:spacing w:after="0" w:line="62"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9.9 This Agreement may be executed in any number of counterparts, each of which shall be deemed to be an original and all of which together shall be deemed to be one and the same instrument. A facsimile, PDF (or any electronic signature complying with the U.S. federal ESIGN Act of 2000, e.g., www.docusign.com) or any other type of copy of an executed version of this Agreement signed by a party is binding upon the signing party to the same extent as the original of the signed agreement.</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I ACKNOWLEDGE THAT I HAVE THE RIGHT TO CONSULT WITH INDEPENDENT LEGAL COUNSEL PRIOR TO SIGNING THIS AGREEMENT AND HAVE HAD A REASONABLE OPPORTUNITY TO DO SO, AND THAT I EITHER HAVE CONSULTED, OR ON MY OWN VOLITION CHOSEN NOT TO CONSULT, WITH SUCH COUNSEL. I FURTHER ACKNOWLEDGE THAT I HAVE READ THIS AGREEMENT CAREFULLY AND I UNDERSTAND AND ACCEPT THE OBLIGATIONS WHICH IT IMPOSES UPON ME WITHOUT RESERVATION. NO PROMISES OR REPRESENTATIONS HAVE BEEN MADE TO ME TO INDUCE ME TO SIGN THIS AGREEMENT. I SIGN THIS AGREEMENT VOLUNTARILY AND FREELY, IN DUPLICATE, WITH THE UNDERSTANDING THAT THE COMPANY WILL RETAIN ONE COUNTERPART AND THE OTHER COUNTERPART WILL BE RETAINED BY ME.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4" w:right="47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I have executed this document as of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Employee: Tillman Gerngross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ADAGIO THERAPEUTICS,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Address: 303 Wyman Street, Waltham, Ma 02451</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00"/>
          </w:cols>
          <w:pgMar w:left="440" w:top="274" w:right="12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 LABOR CODE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California Labor Code § 2870</w:t>
      </w:r>
      <w:r>
        <w:rPr>
          <w:rFonts w:ascii="Arial" w:cs="Arial" w:eastAsia="Arial" w:hAnsi="Arial"/>
          <w:sz w:val="17"/>
          <w:szCs w:val="17"/>
          <w:color w:val="auto"/>
        </w:rPr>
        <w:t>. Application of provision providing that employee shall assign or offer to assign rights in invention to employer.</w:t>
      </w:r>
    </w:p>
    <w:p>
      <w:pPr>
        <w:spacing w:after="0" w:line="129" w:lineRule="exact"/>
        <w:rPr>
          <w:sz w:val="20"/>
          <w:szCs w:val="20"/>
          <w:color w:val="auto"/>
        </w:rPr>
      </w:pPr>
    </w:p>
    <w:p>
      <w:pPr>
        <w:ind w:right="200" w:firstLine="1428"/>
        <w:spacing w:after="0" w:line="286" w:lineRule="auto"/>
        <w:tabs>
          <w:tab w:leader="none" w:pos="1677" w:val="left"/>
        </w:tabs>
        <w:numPr>
          <w:ilvl w:val="1"/>
          <w:numId w:val="60"/>
        </w:numPr>
        <w:rPr>
          <w:rFonts w:ascii="Arial" w:cs="Arial" w:eastAsia="Arial" w:hAnsi="Arial"/>
          <w:sz w:val="17"/>
          <w:szCs w:val="17"/>
          <w:color w:val="auto"/>
        </w:rPr>
      </w:pPr>
      <w:r>
        <w:rPr>
          <w:rFonts w:ascii="Arial" w:cs="Arial" w:eastAsia="Arial" w:hAnsi="Arial"/>
          <w:sz w:val="17"/>
          <w:szCs w:val="17"/>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70" w:lineRule="exact"/>
        <w:rPr>
          <w:rFonts w:ascii="Arial" w:cs="Arial" w:eastAsia="Arial" w:hAnsi="Arial"/>
          <w:sz w:val="17"/>
          <w:szCs w:val="17"/>
          <w:color w:val="auto"/>
        </w:rPr>
      </w:pPr>
    </w:p>
    <w:p>
      <w:pPr>
        <w:ind w:left="960" w:right="120" w:hanging="532"/>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Relate at the time of conception or reduction to practice of the invention to the employer’s business, or actual or demonstrably anticipated research or development of the employer; or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Result from any work performed by the employee for the employer.</w:t>
      </w:r>
    </w:p>
    <w:p>
      <w:pPr>
        <w:spacing w:after="0" w:line="117" w:lineRule="exact"/>
        <w:rPr>
          <w:rFonts w:ascii="Arial" w:cs="Arial" w:eastAsia="Arial" w:hAnsi="Arial"/>
          <w:sz w:val="18"/>
          <w:szCs w:val="18"/>
          <w:color w:val="auto"/>
        </w:rPr>
      </w:pPr>
    </w:p>
    <w:p>
      <w:pPr>
        <w:ind w:firstLine="1428"/>
        <w:spacing w:after="0" w:line="308" w:lineRule="auto"/>
        <w:tabs>
          <w:tab w:leader="none" w:pos="1687" w:val="left"/>
        </w:tabs>
        <w:numPr>
          <w:ilvl w:val="1"/>
          <w:numId w:val="61"/>
        </w:numPr>
        <w:rPr>
          <w:rFonts w:ascii="Arial" w:cs="Arial" w:eastAsia="Arial" w:hAnsi="Arial"/>
          <w:sz w:val="17"/>
          <w:szCs w:val="17"/>
          <w:color w:val="auto"/>
        </w:rPr>
      </w:pPr>
      <w:r>
        <w:rPr>
          <w:rFonts w:ascii="Arial" w:cs="Arial" w:eastAsia="Arial" w:hAnsi="Arial"/>
          <w:sz w:val="17"/>
          <w:szCs w:val="17"/>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8" w:name="page49"/>
    <w:bookmarkEnd w:id="48"/>
    <w:p>
      <w:pPr>
        <w:jc w:val="center"/>
        <w:ind w:right="-7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BACKGROUND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 here prior contracts to assign Inventions that are now in existence between any other person or entity and you.</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List here previous Inventions which you desire to have specifically excluded from the operation of this Agreement. Continue on reverse side if necessary.</w:t>
      </w:r>
    </w:p>
    <w:p>
      <w:pPr>
        <w:spacing w:after="0" w:line="10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60"/>
          </w:cols>
          <w:pgMar w:left="440" w:top="274" w:right="11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This Amended and Restated Employment Agreement (“</w:t>
      </w:r>
      <w:r>
        <w:rPr>
          <w:rFonts w:ascii="Arial" w:cs="Arial" w:eastAsia="Arial" w:hAnsi="Arial"/>
          <w:sz w:val="17"/>
          <w:szCs w:val="17"/>
          <w:b w:val="1"/>
          <w:bCs w:val="1"/>
          <w:i w:val="1"/>
          <w:iCs w:val="1"/>
          <w:u w:val="single" w:color="auto"/>
          <w:color w:val="auto"/>
        </w:rPr>
        <w:t>Agreement</w:t>
      </w:r>
      <w:r>
        <w:rPr>
          <w:rFonts w:ascii="Arial" w:cs="Arial" w:eastAsia="Arial" w:hAnsi="Arial"/>
          <w:sz w:val="17"/>
          <w:szCs w:val="17"/>
          <w:color w:val="auto"/>
        </w:rPr>
        <w:t>”) is made between Adagio Therapeutics, Inc., a Delaware corporation (the “</w:t>
      </w:r>
      <w:r>
        <w:rPr>
          <w:rFonts w:ascii="Arial" w:cs="Arial" w:eastAsia="Arial" w:hAnsi="Arial"/>
          <w:sz w:val="17"/>
          <w:szCs w:val="17"/>
          <w:b w:val="1"/>
          <w:bCs w:val="1"/>
          <w:i w:val="1"/>
          <w:iCs w:val="1"/>
          <w:u w:val="single" w:color="auto"/>
          <w:color w:val="auto"/>
        </w:rPr>
        <w:t>Company</w:t>
      </w:r>
      <w:r>
        <w:rPr>
          <w:rFonts w:ascii="Arial" w:cs="Arial" w:eastAsia="Arial" w:hAnsi="Arial"/>
          <w:sz w:val="17"/>
          <w:szCs w:val="17"/>
          <w:color w:val="auto"/>
        </w:rPr>
        <w:t>”), and Lynn Connolly (the “</w:t>
      </w:r>
      <w:r>
        <w:rPr>
          <w:rFonts w:ascii="Arial" w:cs="Arial" w:eastAsia="Arial" w:hAnsi="Arial"/>
          <w:sz w:val="17"/>
          <w:szCs w:val="17"/>
          <w:b w:val="1"/>
          <w:bCs w:val="1"/>
          <w:i w:val="1"/>
          <w:iCs w:val="1"/>
          <w:u w:val="single" w:color="auto"/>
          <w:color w:val="auto"/>
        </w:rPr>
        <w:t>Executive</w:t>
      </w:r>
      <w:r>
        <w:rPr>
          <w:rFonts w:ascii="Arial" w:cs="Arial" w:eastAsia="Arial" w:hAnsi="Arial"/>
          <w:sz w:val="17"/>
          <w:szCs w:val="17"/>
          <w:color w:val="auto"/>
        </w:rPr>
        <w:t>”), this 5th day of August, 2021. This Agreement amends, restates, and supersedes in its entirety that certain Employment Agreement, dated November 9, 2020 (the “</w:t>
      </w:r>
      <w:r>
        <w:rPr>
          <w:rFonts w:ascii="Arial" w:cs="Arial" w:eastAsia="Arial" w:hAnsi="Arial"/>
          <w:sz w:val="17"/>
          <w:szCs w:val="17"/>
          <w:b w:val="1"/>
          <w:bCs w:val="1"/>
          <w:i w:val="1"/>
          <w:iCs w:val="1"/>
          <w:u w:val="single" w:color="auto"/>
          <w:color w:val="auto"/>
        </w:rPr>
        <w:t>Prior Agreement</w:t>
      </w:r>
      <w:r>
        <w:rPr>
          <w:rFonts w:ascii="Arial" w:cs="Arial" w:eastAsia="Arial" w:hAnsi="Arial"/>
          <w:sz w:val="17"/>
          <w:szCs w:val="17"/>
          <w:color w:val="auto"/>
        </w:rPr>
        <w:t>”), between the Executive and the Company.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is planning an initial public offering (the “</w:t>
      </w:r>
      <w:r>
        <w:rPr>
          <w:rFonts w:ascii="Arial" w:cs="Arial" w:eastAsia="Arial" w:hAnsi="Arial"/>
          <w:sz w:val="18"/>
          <w:szCs w:val="18"/>
          <w:b w:val="1"/>
          <w:bCs w:val="1"/>
          <w:i w:val="1"/>
          <w:iCs w:val="1"/>
          <w:u w:val="single" w:color="auto"/>
          <w:color w:val="auto"/>
        </w:rPr>
        <w:t>Offering</w:t>
      </w:r>
      <w:r>
        <w:rPr>
          <w:rFonts w:ascii="Arial" w:cs="Arial" w:eastAsia="Arial" w:hAnsi="Arial"/>
          <w:sz w:val="18"/>
          <w:szCs w:val="18"/>
          <w:color w:val="auto"/>
        </w:rPr>
        <w:t>”) of its shares of common stock;</w:t>
      </w:r>
    </w:p>
    <w:p>
      <w:pPr>
        <w:spacing w:after="0" w:line="225"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WHEREAS, the Company and the Executive desire to amend and restate the Prior Agreement in the manner set forth herein in connection with the Offering, effective as of the date on which the registration statement relating to the Offering is effective (the “</w:t>
      </w:r>
      <w:r>
        <w:rPr>
          <w:rFonts w:ascii="Arial" w:cs="Arial" w:eastAsia="Arial" w:hAnsi="Arial"/>
          <w:sz w:val="16"/>
          <w:szCs w:val="16"/>
          <w:b w:val="1"/>
          <w:bCs w:val="1"/>
          <w:i w:val="1"/>
          <w:iCs w:val="1"/>
          <w:u w:val="single" w:color="auto"/>
          <w:color w:val="auto"/>
        </w:rPr>
        <w:t>Effective Date</w:t>
      </w:r>
      <w:r>
        <w:rPr>
          <w:rFonts w:ascii="Arial" w:cs="Arial" w:eastAsia="Arial" w:hAnsi="Arial"/>
          <w:sz w:val="16"/>
          <w:szCs w:val="16"/>
          <w:color w:val="auto"/>
        </w:rPr>
        <w:t>”).</w:t>
      </w:r>
    </w:p>
    <w:p>
      <w:pPr>
        <w:spacing w:after="0" w:line="12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62" w:lineRule="exact"/>
        <w:rPr>
          <w:sz w:val="20"/>
          <w:szCs w:val="20"/>
          <w:color w:val="auto"/>
        </w:rPr>
      </w:pPr>
    </w:p>
    <w:p>
      <w:pPr>
        <w:ind w:left="620" w:hanging="184"/>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87"/>
        <w:spacing w:after="0" w:line="259" w:lineRule="auto"/>
        <w:tabs>
          <w:tab w:leader="none" w:pos="1236"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Arial" w:cs="Arial" w:eastAsia="Arial" w:hAnsi="Arial"/>
          <w:sz w:val="18"/>
          <w:szCs w:val="18"/>
          <w:b w:val="1"/>
          <w:bCs w:val="1"/>
          <w:i w:val="1"/>
          <w:iCs w:val="1"/>
          <w:u w:val="single" w:color="auto"/>
          <w:color w:val="auto"/>
        </w:rPr>
        <w:t>Term</w:t>
      </w:r>
      <w:r>
        <w:rPr>
          <w:rFonts w:ascii="Arial" w:cs="Arial" w:eastAsia="Arial" w:hAnsi="Arial"/>
          <w:sz w:val="18"/>
          <w:szCs w:val="18"/>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Executive shall serve as the Chief Medical Officer of the Company and shall have such powers and duties as customarily associated with the office of Chief Medical Officer, and as may from time to time be prescribed by the Chief Executive Officer of the Company (the “</w:t>
      </w:r>
      <w:r>
        <w:rPr>
          <w:rFonts w:ascii="Arial" w:cs="Arial" w:eastAsia="Arial" w:hAnsi="Arial"/>
          <w:sz w:val="18"/>
          <w:szCs w:val="18"/>
          <w:b w:val="1"/>
          <w:bCs w:val="1"/>
          <w:i w:val="1"/>
          <w:iCs w:val="1"/>
          <w:u w:val="single" w:color="auto"/>
          <w:color w:val="auto"/>
        </w:rPr>
        <w:t>CEO</w:t>
      </w:r>
      <w:r>
        <w:rPr>
          <w:rFonts w:ascii="Arial" w:cs="Arial" w:eastAsia="Arial" w:hAnsi="Arial"/>
          <w:sz w:val="18"/>
          <w:szCs w:val="18"/>
          <w:color w:val="auto"/>
        </w:rPr>
        <w:t>”), subject to the direction and control of the CEO. The Executive shall report to the CEO.</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Nothing in this Agreement shall prohibit the Executive from reasonably delegating parts of the responsibilities set forth in or contemplated by this Section 1(b) to other employees of the Company or its subsidiaries. Upon the termination of Executive’s service for any reason, unless otherwise determined by the Board, Executive will be deemed to have resigned from any other positions held at the Company or any of its subsidiaries or affiliates voluntarily, without any further required action by Executive, as of the cessation of Executive’s services, and Executive, at the Board’s request, will execute any documents deemed in the discretion of the Company to be reasonably necessary to reflect Executive’s resignation(s).</w:t>
      </w:r>
    </w:p>
    <w:p>
      <w:pPr>
        <w:sectPr>
          <w:pgSz w:w="11900" w:h="16838" w:orient="portrait"/>
          <w:cols w:equalWidth="0" w:num="1">
            <w:col w:w="11020"/>
          </w:cols>
          <w:pgMar w:left="440" w:top="121" w:right="439" w:bottom="1440" w:gutter="0" w:footer="0" w:header="0"/>
        </w:sectPr>
      </w:pPr>
    </w:p>
    <w:bookmarkStart w:id="50" w:name="page51"/>
    <w:bookmarkEnd w:id="50"/>
    <w:p>
      <w:pPr>
        <w:ind w:right="520" w:firstLine="987"/>
        <w:spacing w:after="0" w:line="277" w:lineRule="auto"/>
        <w:tabs>
          <w:tab w:leader="none" w:pos="1236"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Outside Activities</w:t>
      </w:r>
      <w:r>
        <w:rPr>
          <w:rFonts w:ascii="Arial" w:cs="Arial" w:eastAsia="Arial" w:hAnsi="Arial"/>
          <w:sz w:val="18"/>
          <w:szCs w:val="18"/>
          <w:color w:val="auto"/>
        </w:rPr>
        <w:t>. Executive will use good faith efforts to discharge Executive’s obligations under this Agreement to the best of Executive’s ability. Executive will devote substantially all of Executive’s business efforts and time to the Company.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Executive agrees not to engage actively in any other employment, occupation, or consulting activity for any direct or indirect remuneration without the prior approval of the CEO; provided, however, that Executive may, without such approval, serve in any capacity with any civic, educational, or charitable organization, participate in industry affairs and manage Executive’s family’s personal passive investments, and engage in the activities set forth in Appendix A to this Agreement, provided that in each case such services do not materially interfere with Executive’s obligations to the Company, create a conflict of interest, violate any of the Executive’s Continuing Obligations (as defined in Section 9 below) or cause any reputational damage to the Company as reasonably determined by the Board.</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Executive may retain any compensation or benefits received as a result of consented to service as a director without any offset in respect of any compensation or benefits to be provided hereunder.</w:t>
      </w:r>
    </w:p>
    <w:p>
      <w:pPr>
        <w:spacing w:after="0" w:line="62" w:lineRule="exact"/>
        <w:rPr>
          <w:sz w:val="20"/>
          <w:szCs w:val="20"/>
          <w:color w:val="auto"/>
        </w:rPr>
      </w:pPr>
    </w:p>
    <w:p>
      <w:pPr>
        <w:ind w:left="620" w:hanging="184"/>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Compensation and Related Matters</w:t>
      </w:r>
      <w:r>
        <w:rPr>
          <w:rFonts w:ascii="Arial" w:cs="Arial" w:eastAsia="Arial" w:hAnsi="Arial"/>
          <w:sz w:val="16"/>
          <w:szCs w:val="16"/>
          <w:color w:val="auto"/>
        </w:rPr>
        <w:t>. This Section 2 sets forth the compensation and benefits to be provided to the Executive during the Term.</w:t>
      </w:r>
    </w:p>
    <w:p>
      <w:pPr>
        <w:spacing w:after="0" w:line="140" w:lineRule="exact"/>
        <w:rPr>
          <w:rFonts w:ascii="Arial" w:cs="Arial" w:eastAsia="Arial" w:hAnsi="Arial"/>
          <w:sz w:val="16"/>
          <w:szCs w:val="16"/>
          <w:color w:val="auto"/>
        </w:rPr>
      </w:pPr>
    </w:p>
    <w:p>
      <w:pPr>
        <w:ind w:right="100" w:firstLine="987"/>
        <w:spacing w:after="0" w:line="275" w:lineRule="auto"/>
        <w:tabs>
          <w:tab w:leader="none" w:pos="1236"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Executive will continue to pay Executive, as compensation for the performance of the Executive’s duties and obligations hereunder, salary at the rate of $440,000 per year. The Executive’s salary shall be subject to annual review not later than March 31</w:t>
      </w:r>
      <w:r>
        <w:rPr>
          <w:rFonts w:ascii="Arial" w:cs="Arial" w:eastAsia="Arial" w:hAnsi="Arial"/>
          <w:sz w:val="14"/>
          <w:szCs w:val="14"/>
          <w:color w:val="auto"/>
        </w:rPr>
        <w:t>st</w:t>
      </w:r>
      <w:r>
        <w:rPr>
          <w:rFonts w:ascii="Arial" w:cs="Arial" w:eastAsia="Arial" w:hAnsi="Arial"/>
          <w:sz w:val="17"/>
          <w:szCs w:val="17"/>
          <w:color w:val="auto"/>
        </w:rPr>
        <w:t xml:space="preserve"> of each year for possible increase by the Board or the Compensation Committee of the Board (the “</w:t>
      </w:r>
      <w:r>
        <w:rPr>
          <w:rFonts w:ascii="Arial" w:cs="Arial" w:eastAsia="Arial" w:hAnsi="Arial"/>
          <w:sz w:val="17"/>
          <w:szCs w:val="17"/>
          <w:b w:val="1"/>
          <w:bCs w:val="1"/>
          <w:i w:val="1"/>
          <w:iCs w:val="1"/>
          <w:u w:val="single" w:color="auto"/>
          <w:color w:val="auto"/>
        </w:rPr>
        <w:t>Compensation Committee</w:t>
      </w:r>
      <w:r>
        <w:rPr>
          <w:rFonts w:ascii="Arial" w:cs="Arial" w:eastAsia="Arial" w:hAnsi="Arial"/>
          <w:sz w:val="17"/>
          <w:szCs w:val="17"/>
          <w:color w:val="auto"/>
        </w:rPr>
        <w:t>”), which may be adjusted from time to time. The base salary in effect at any given time is referred to herein as “</w:t>
      </w:r>
      <w:r>
        <w:rPr>
          <w:rFonts w:ascii="Arial" w:cs="Arial" w:eastAsia="Arial" w:hAnsi="Arial"/>
          <w:sz w:val="17"/>
          <w:szCs w:val="17"/>
          <w:b w:val="1"/>
          <w:bCs w:val="1"/>
          <w:i w:val="1"/>
          <w:iCs w:val="1"/>
          <w:u w:val="single" w:color="auto"/>
          <w:color w:val="auto"/>
        </w:rPr>
        <w:t>Base Salary</w:t>
      </w:r>
      <w:r>
        <w:rPr>
          <w:rFonts w:ascii="Arial" w:cs="Arial" w:eastAsia="Arial" w:hAnsi="Arial"/>
          <w:sz w:val="17"/>
          <w:szCs w:val="17"/>
          <w:color w:val="auto"/>
        </w:rPr>
        <w:t>.” The Base Salary shall be payable in a manner that is consistent with the Company’s usual payroll practices for its executive officers</w:t>
      </w:r>
    </w:p>
    <w:p>
      <w:pPr>
        <w:spacing w:after="0" w:line="68" w:lineRule="exact"/>
        <w:rPr>
          <w:rFonts w:ascii="Arial" w:cs="Arial" w:eastAsia="Arial" w:hAnsi="Arial"/>
          <w:sz w:val="17"/>
          <w:szCs w:val="17"/>
          <w:color w:val="auto"/>
        </w:rPr>
      </w:pPr>
    </w:p>
    <w:p>
      <w:pPr>
        <w:ind w:right="20" w:firstLine="987"/>
        <w:spacing w:after="0" w:line="270" w:lineRule="auto"/>
        <w:tabs>
          <w:tab w:leader="none" w:pos="1246"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The Executive shall participate in an annual cash incentive compensation plan (the “</w:t>
      </w:r>
      <w:r>
        <w:rPr>
          <w:rFonts w:ascii="Arial" w:cs="Arial" w:eastAsia="Arial" w:hAnsi="Arial"/>
          <w:sz w:val="17"/>
          <w:szCs w:val="17"/>
          <w:b w:val="1"/>
          <w:bCs w:val="1"/>
          <w:i w:val="1"/>
          <w:iCs w:val="1"/>
          <w:u w:val="single" w:color="auto"/>
          <w:color w:val="auto"/>
        </w:rPr>
        <w:t>Annual Bonus Plan</w:t>
      </w:r>
      <w:r>
        <w:rPr>
          <w:rFonts w:ascii="Arial" w:cs="Arial" w:eastAsia="Arial" w:hAnsi="Arial"/>
          <w:sz w:val="17"/>
          <w:szCs w:val="17"/>
          <w:color w:val="auto"/>
        </w:rPr>
        <w:t>”). The Executive will be eligible to earn an annual bonus for each full calendar year completed (the “</w:t>
      </w:r>
      <w:r>
        <w:rPr>
          <w:rFonts w:ascii="Arial" w:cs="Arial" w:eastAsia="Arial" w:hAnsi="Arial"/>
          <w:sz w:val="17"/>
          <w:szCs w:val="17"/>
          <w:b w:val="1"/>
          <w:bCs w:val="1"/>
          <w:i w:val="1"/>
          <w:iCs w:val="1"/>
          <w:u w:val="single" w:color="auto"/>
          <w:color w:val="auto"/>
        </w:rPr>
        <w:t>Annual Bonus</w:t>
      </w:r>
      <w:r>
        <w:rPr>
          <w:rFonts w:ascii="Arial" w:cs="Arial" w:eastAsia="Arial" w:hAnsi="Arial"/>
          <w:sz w:val="17"/>
          <w:szCs w:val="17"/>
          <w:color w:val="auto"/>
        </w:rPr>
        <w:t>”). The Executive’s target Annual Bonus will be forty percent (40%) of Executive’s Base Salary (the “</w:t>
      </w:r>
      <w:r>
        <w:rPr>
          <w:rFonts w:ascii="Arial" w:cs="Arial" w:eastAsia="Arial" w:hAnsi="Arial"/>
          <w:sz w:val="17"/>
          <w:szCs w:val="17"/>
          <w:b w:val="1"/>
          <w:bCs w:val="1"/>
          <w:i w:val="1"/>
          <w:iCs w:val="1"/>
          <w:u w:val="single" w:color="auto"/>
          <w:color w:val="auto"/>
        </w:rPr>
        <w:t>Target Bonus</w:t>
      </w:r>
      <w:r>
        <w:rPr>
          <w:rFonts w:ascii="Arial" w:cs="Arial" w:eastAsia="Arial" w:hAnsi="Arial"/>
          <w:sz w:val="17"/>
          <w:szCs w:val="17"/>
          <w:color w:val="auto"/>
        </w:rPr>
        <w:t>”) based on Base Salary in effect on January 1st of the applicable performance period. The actual Annual Bonus payable to the Executive with respect to a performance period will be determined by the Compensation Committee based on achieving performance goals and objectives for such calendar year as reasonably determined by the Compensation Committee. The Executive’s Annual Bonus shall be paid as soon as administratively practicable after the end of the performance period, but in no event later than the March 15</w:t>
      </w:r>
      <w:r>
        <w:rPr>
          <w:rFonts w:ascii="Arial" w:cs="Arial" w:eastAsia="Arial" w:hAnsi="Arial"/>
          <w:sz w:val="14"/>
          <w:szCs w:val="14"/>
          <w:color w:val="auto"/>
        </w:rPr>
        <w:t>th</w:t>
      </w:r>
      <w:r>
        <w:rPr>
          <w:rFonts w:ascii="Arial" w:cs="Arial" w:eastAsia="Arial" w:hAnsi="Arial"/>
          <w:sz w:val="17"/>
          <w:szCs w:val="17"/>
          <w:color w:val="auto"/>
        </w:rPr>
        <w:t xml:space="preserve"> immediately following such period; provided, that the Executive must remain continuously employed by the Company through the date on which the Board approves the actual Annual Bonus amount payable to the Executive to be eligible to receive bonus (except as otherwise provided in Section 4(c) or 5(a)).</w:t>
      </w:r>
    </w:p>
    <w:p>
      <w:pPr>
        <w:spacing w:after="0" w:line="72" w:lineRule="exact"/>
        <w:rPr>
          <w:rFonts w:ascii="Arial" w:cs="Arial" w:eastAsia="Arial" w:hAnsi="Arial"/>
          <w:sz w:val="17"/>
          <w:szCs w:val="17"/>
          <w:color w:val="auto"/>
        </w:rPr>
      </w:pPr>
    </w:p>
    <w:p>
      <w:pPr>
        <w:ind w:right="260" w:firstLine="987"/>
        <w:spacing w:after="0" w:line="259" w:lineRule="auto"/>
        <w:tabs>
          <w:tab w:leader="none" w:pos="1236"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promptly pay or reimburse the Executive for all reasonable expenses incurred by the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1" w:name="page52"/>
    <w:bookmarkEnd w:id="51"/>
    <w:p>
      <w:pPr>
        <w:ind w:right="360" w:firstLine="987"/>
        <w:spacing w:after="0" w:line="277" w:lineRule="auto"/>
        <w:tabs>
          <w:tab w:leader="none" w:pos="124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Benefits</w:t>
      </w:r>
      <w:r>
        <w:rPr>
          <w:rFonts w:ascii="Arial" w:cs="Arial" w:eastAsia="Arial" w:hAnsi="Arial"/>
          <w:sz w:val="18"/>
          <w:szCs w:val="18"/>
          <w:color w:val="auto"/>
        </w:rPr>
        <w:t>. The Executive shall be eligible to participate in or receive benefits under the Company’s employee benefit plans in effect from time to time, subject to the terms of such plans.</w:t>
      </w:r>
    </w:p>
    <w:p>
      <w:pPr>
        <w:spacing w:after="0" w:line="62" w:lineRule="exact"/>
        <w:rPr>
          <w:rFonts w:ascii="Arial" w:cs="Arial" w:eastAsia="Arial" w:hAnsi="Arial"/>
          <w:sz w:val="18"/>
          <w:szCs w:val="18"/>
          <w:color w:val="auto"/>
        </w:rPr>
      </w:pPr>
    </w:p>
    <w:p>
      <w:pPr>
        <w:ind w:right="140" w:firstLine="987"/>
        <w:spacing w:after="0" w:line="277" w:lineRule="auto"/>
        <w:tabs>
          <w:tab w:leader="none" w:pos="123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take paid time off in accordance with the Company’s applicable paid time off policy for executives, as may be in effect from time to time.</w:t>
      </w:r>
    </w:p>
    <w:p>
      <w:pPr>
        <w:spacing w:after="0" w:line="62" w:lineRule="exact"/>
        <w:rPr>
          <w:rFonts w:ascii="Arial" w:cs="Arial" w:eastAsia="Arial" w:hAnsi="Arial"/>
          <w:sz w:val="18"/>
          <w:szCs w:val="18"/>
          <w:color w:val="auto"/>
        </w:rPr>
      </w:pPr>
    </w:p>
    <w:p>
      <w:pPr>
        <w:ind w:right="40" w:firstLine="987"/>
        <w:spacing w:after="0" w:line="277" w:lineRule="auto"/>
        <w:tabs>
          <w:tab w:leader="none" w:pos="121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The Executive shall be subject to the Company’s Executive Stock Ownership Guidelines while providing services under this Agreement.</w:t>
      </w:r>
    </w:p>
    <w:p>
      <w:pPr>
        <w:spacing w:after="0" w:line="62" w:lineRule="exact"/>
        <w:rPr>
          <w:rFonts w:ascii="Arial" w:cs="Arial" w:eastAsia="Arial" w:hAnsi="Arial"/>
          <w:sz w:val="18"/>
          <w:szCs w:val="18"/>
          <w:color w:val="auto"/>
        </w:rPr>
      </w:pPr>
    </w:p>
    <w:p>
      <w:pPr>
        <w:ind w:firstLine="987"/>
        <w:spacing w:after="0" w:line="257" w:lineRule="auto"/>
        <w:tabs>
          <w:tab w:leader="none" w:pos="124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Treatment of Equity Awards upon a Change in Control</w:t>
      </w:r>
      <w:r>
        <w:rPr>
          <w:rFonts w:ascii="Arial" w:cs="Arial" w:eastAsia="Arial" w:hAnsi="Arial"/>
          <w:sz w:val="18"/>
          <w:szCs w:val="18"/>
          <w:color w:val="auto"/>
        </w:rPr>
        <w:t>. The following provisions shall apply to any award granted under the Adagio Therapeutics, Inc. 2021 Equity Incentive Plan (the “</w:t>
      </w:r>
      <w:r>
        <w:rPr>
          <w:rFonts w:ascii="Arial" w:cs="Arial" w:eastAsia="Arial" w:hAnsi="Arial"/>
          <w:sz w:val="18"/>
          <w:szCs w:val="18"/>
          <w:b w:val="1"/>
          <w:bCs w:val="1"/>
          <w:i w:val="1"/>
          <w:iCs w:val="1"/>
          <w:u w:val="single" w:color="auto"/>
          <w:color w:val="auto"/>
        </w:rPr>
        <w:t>Plan</w:t>
      </w:r>
      <w:r>
        <w:rPr>
          <w:rFonts w:ascii="Arial" w:cs="Arial" w:eastAsia="Arial" w:hAnsi="Arial"/>
          <w:sz w:val="18"/>
          <w:szCs w:val="18"/>
          <w:color w:val="auto"/>
        </w:rPr>
        <w:t>”) or any other plan, agreement or arrangement based on the value of a share of the Company’s common stock on or after the Effective Date (collectively, the “</w:t>
      </w:r>
      <w:r>
        <w:rPr>
          <w:rFonts w:ascii="Arial" w:cs="Arial" w:eastAsia="Arial" w:hAnsi="Arial"/>
          <w:sz w:val="18"/>
          <w:szCs w:val="18"/>
          <w:b w:val="1"/>
          <w:bCs w:val="1"/>
          <w:i w:val="1"/>
          <w:iCs w:val="1"/>
          <w:u w:val="single" w:color="auto"/>
          <w:color w:val="auto"/>
        </w:rPr>
        <w:t>Equity Awards</w:t>
      </w:r>
      <w:r>
        <w:rPr>
          <w:rFonts w:ascii="Arial" w:cs="Arial" w:eastAsia="Arial" w:hAnsi="Arial"/>
          <w:sz w:val="18"/>
          <w:szCs w:val="18"/>
          <w:color w:val="auto"/>
        </w:rPr>
        <w:t>”) to the extent the Equity Awards are assumed, continued or substituted by the surviving or acquiring entity (or its parent) in connection with a Change in Control (as defined in the Plan) and the Executive continues to provide services to the Company or its successor following such Change in Control:</w:t>
      </w:r>
    </w:p>
    <w:p>
      <w:pPr>
        <w:spacing w:after="0" w:line="79" w:lineRule="exact"/>
        <w:rPr>
          <w:rFonts w:ascii="Arial" w:cs="Arial" w:eastAsia="Arial" w:hAnsi="Arial"/>
          <w:sz w:val="18"/>
          <w:szCs w:val="18"/>
          <w:color w:val="auto"/>
        </w:rPr>
      </w:pPr>
    </w:p>
    <w:p>
      <w:pPr>
        <w:ind w:left="440" w:right="20" w:firstLine="948"/>
        <w:spacing w:after="0" w:line="259" w:lineRule="auto"/>
        <w:tabs>
          <w:tab w:leader="none" w:pos="1607" w:val="left"/>
        </w:tabs>
        <w:numPr>
          <w:ilvl w:val="1"/>
          <w:numId w:val="65"/>
        </w:numPr>
        <w:rPr>
          <w:rFonts w:ascii="Arial" w:cs="Arial" w:eastAsia="Arial" w:hAnsi="Arial"/>
          <w:sz w:val="18"/>
          <w:szCs w:val="18"/>
          <w:color w:val="auto"/>
        </w:rPr>
      </w:pPr>
      <w:r>
        <w:rPr>
          <w:rFonts w:ascii="Arial" w:cs="Arial" w:eastAsia="Arial" w:hAnsi="Arial"/>
          <w:sz w:val="18"/>
          <w:szCs w:val="18"/>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Arial" w:cs="Arial" w:eastAsia="Arial" w:hAnsi="Arial"/>
          <w:sz w:val="18"/>
          <w:szCs w:val="18"/>
          <w:b w:val="1"/>
          <w:bCs w:val="1"/>
          <w:i w:val="1"/>
          <w:iCs w:val="1"/>
          <w:u w:val="single" w:color="auto"/>
          <w:color w:val="auto"/>
        </w:rPr>
        <w:t>Time-Based Equity Awards</w:t>
      </w:r>
      <w:r>
        <w:rPr>
          <w:rFonts w:ascii="Arial" w:cs="Arial" w:eastAsia="Arial" w:hAnsi="Arial"/>
          <w:sz w:val="18"/>
          <w:szCs w:val="18"/>
          <w:color w:val="auto"/>
        </w:rPr>
        <w:t>”) shall not immediately accelerate and become fully vested and exercisable or non-forfeitable on such a Change in Control, and</w:t>
      </w:r>
    </w:p>
    <w:p>
      <w:pPr>
        <w:spacing w:after="0" w:line="78" w:lineRule="exact"/>
        <w:rPr>
          <w:rFonts w:ascii="Arial" w:cs="Arial" w:eastAsia="Arial" w:hAnsi="Arial"/>
          <w:sz w:val="18"/>
          <w:szCs w:val="18"/>
          <w:color w:val="auto"/>
        </w:rPr>
      </w:pPr>
    </w:p>
    <w:p>
      <w:pPr>
        <w:ind w:left="440" w:right="200" w:firstLine="948"/>
        <w:spacing w:after="0" w:line="263" w:lineRule="auto"/>
        <w:tabs>
          <w:tab w:leader="none" w:pos="1657"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other Equity Awards, including but not limited to performance stock units vesting based on achieving pre-established performance goals (collectively, the “</w:t>
      </w:r>
      <w:r>
        <w:rPr>
          <w:rFonts w:ascii="Arial" w:cs="Arial" w:eastAsia="Arial" w:hAnsi="Arial"/>
          <w:sz w:val="18"/>
          <w:szCs w:val="18"/>
          <w:b w:val="1"/>
          <w:bCs w:val="1"/>
          <w:i w:val="1"/>
          <w:iCs w:val="1"/>
          <w:u w:val="single" w:color="auto"/>
          <w:color w:val="auto"/>
        </w:rPr>
        <w:t>Performance-Based Equity Awards</w:t>
      </w:r>
      <w:r>
        <w:rPr>
          <w:rFonts w:ascii="Arial" w:cs="Arial" w:eastAsia="Arial" w:hAnsi="Arial"/>
          <w:sz w:val="18"/>
          <w:szCs w:val="18"/>
          <w:color w:val="auto"/>
        </w:rPr>
        <w:t>”) shall be governed by the terms of the Plan and the applicable award agreement.</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Executive’s employment hereunder may be terminated without any breach of this Agreement under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circumstances:</w:t>
      </w:r>
    </w:p>
    <w:p>
      <w:pPr>
        <w:spacing w:after="0" w:line="102" w:lineRule="exact"/>
        <w:rPr>
          <w:rFonts w:ascii="Arial" w:cs="Arial" w:eastAsia="Arial" w:hAnsi="Arial"/>
          <w:sz w:val="16"/>
          <w:szCs w:val="16"/>
          <w:color w:val="auto"/>
        </w:rPr>
      </w:pPr>
    </w:p>
    <w:p>
      <w:pPr>
        <w:ind w:left="1200" w:hanging="213"/>
        <w:spacing w:after="0"/>
        <w:tabs>
          <w:tab w:leader="none" w:pos="12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death.</w:t>
      </w:r>
    </w:p>
    <w:p>
      <w:pPr>
        <w:spacing w:after="0" w:line="117" w:lineRule="exact"/>
        <w:rPr>
          <w:rFonts w:ascii="Arial" w:cs="Arial" w:eastAsia="Arial" w:hAnsi="Arial"/>
          <w:sz w:val="18"/>
          <w:szCs w:val="18"/>
          <w:color w:val="auto"/>
        </w:rPr>
      </w:pPr>
    </w:p>
    <w:p>
      <w:pPr>
        <w:ind w:right="100" w:firstLine="987"/>
        <w:spacing w:after="0" w:line="259" w:lineRule="auto"/>
        <w:tabs>
          <w:tab w:leader="none" w:pos="120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52" w:name="page53"/>
    <w:bookmarkEnd w:id="52"/>
    <w:p>
      <w:pPr>
        <w:ind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Americans with Disabilities Act, 42 U.S.C. §12101 </w:t>
      </w:r>
      <w:r>
        <w:rPr>
          <w:rFonts w:ascii="Arial" w:cs="Arial" w:eastAsia="Arial" w:hAnsi="Arial"/>
          <w:sz w:val="17"/>
          <w:szCs w:val="17"/>
          <w:i w:val="1"/>
          <w:iCs w:val="1"/>
          <w:color w:val="auto"/>
        </w:rPr>
        <w:t>et seq.</w:t>
      </w:r>
    </w:p>
    <w:p>
      <w:pPr>
        <w:spacing w:after="0" w:line="178" w:lineRule="exact"/>
        <w:rPr>
          <w:sz w:val="20"/>
          <w:szCs w:val="20"/>
          <w:color w:val="auto"/>
        </w:rPr>
      </w:pPr>
    </w:p>
    <w:p>
      <w:pPr>
        <w:ind w:right="60" w:firstLine="987"/>
        <w:spacing w:after="0" w:line="277" w:lineRule="auto"/>
        <w:tabs>
          <w:tab w:leader="none" w:pos="124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The Company may terminate the Executive’s employment hereunder for Cause. For purposes of this Agreement, “</w:t>
      </w:r>
      <w:r>
        <w:rPr>
          <w:rFonts w:ascii="Arial" w:cs="Arial" w:eastAsia="Arial" w:hAnsi="Arial"/>
          <w:sz w:val="18"/>
          <w:szCs w:val="18"/>
          <w:b w:val="1"/>
          <w:bCs w:val="1"/>
          <w:i w:val="1"/>
          <w:iCs w:val="1"/>
          <w:u w:val="single" w:color="auto"/>
          <w:color w:val="auto"/>
        </w:rPr>
        <w:t>Cause</w:t>
      </w:r>
      <w:r>
        <w:rPr>
          <w:rFonts w:ascii="Arial" w:cs="Arial" w:eastAsia="Arial" w:hAnsi="Arial"/>
          <w:sz w:val="18"/>
          <w:szCs w:val="18"/>
          <w:color w:val="auto"/>
        </w:rPr>
        <w:t>” shall mean any of the following:</w:t>
      </w:r>
    </w:p>
    <w:p>
      <w:pPr>
        <w:spacing w:after="0" w:line="62" w:lineRule="exact"/>
        <w:rPr>
          <w:rFonts w:ascii="Arial" w:cs="Arial" w:eastAsia="Arial" w:hAnsi="Arial"/>
          <w:sz w:val="18"/>
          <w:szCs w:val="18"/>
          <w:color w:val="auto"/>
        </w:rPr>
      </w:pPr>
    </w:p>
    <w:p>
      <w:pPr>
        <w:ind w:left="980" w:firstLine="408"/>
        <w:spacing w:after="0" w:line="263" w:lineRule="auto"/>
        <w:tabs>
          <w:tab w:leader="none" w:pos="159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Executive’s unauthorized use or disclosure of confidential information or trade secrets of the Company for Executive’s benefit or any material breach of a written agreement between the Executive and the Company, including without limitation a material breach of this Agreement or the Restrictive Covenants Agreement;</w:t>
      </w:r>
    </w:p>
    <w:p>
      <w:pPr>
        <w:spacing w:after="0" w:line="75" w:lineRule="exact"/>
        <w:rPr>
          <w:rFonts w:ascii="Arial" w:cs="Arial" w:eastAsia="Arial" w:hAnsi="Arial"/>
          <w:sz w:val="18"/>
          <w:szCs w:val="18"/>
          <w:color w:val="auto"/>
        </w:rPr>
      </w:pPr>
    </w:p>
    <w:p>
      <w:pPr>
        <w:ind w:left="980" w:firstLine="408"/>
        <w:spacing w:after="0" w:line="263" w:lineRule="auto"/>
        <w:tabs>
          <w:tab w:leader="none" w:pos="164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Executive’s conviction of, or pleading no contest to, a felony under the laws of the United States or any state thereof (other than in connection with a traffic violation that does not result in imprisonment) or any crime that results in the Executive’s incarceration in a federal, state, or local jail or prison;</w:t>
      </w:r>
    </w:p>
    <w:p>
      <w:pPr>
        <w:spacing w:after="0" w:line="75" w:lineRule="exact"/>
        <w:rPr>
          <w:rFonts w:ascii="Arial" w:cs="Arial" w:eastAsia="Arial" w:hAnsi="Arial"/>
          <w:sz w:val="18"/>
          <w:szCs w:val="18"/>
          <w:color w:val="auto"/>
        </w:rPr>
      </w:pPr>
    </w:p>
    <w:p>
      <w:pPr>
        <w:ind w:left="980" w:right="160" w:firstLine="408"/>
        <w:spacing w:after="0" w:line="275" w:lineRule="auto"/>
        <w:tabs>
          <w:tab w:leader="none" w:pos="1696"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Executive’s material and willful misconduct in the performance of the Executive’s duties or the Executive’s willful or repeated failure or refusal to substantially perform assigned duties (other than any such failure of refusal resulting from the Executive’s incapacity due to physical or mental illness or any such actual or anticipated failure after the issuance of a notice of Good Reason by the Executive pursuant to Section 3(e) hereof), in any case, which willful misconduct, failure or refusal has continued for more than thirty (30) days following written notice from the CEO of such willful misconduct, failure or refusal;</w:t>
      </w:r>
    </w:p>
    <w:p>
      <w:pPr>
        <w:spacing w:after="0" w:line="68" w:lineRule="exact"/>
        <w:rPr>
          <w:rFonts w:ascii="Arial" w:cs="Arial" w:eastAsia="Arial" w:hAnsi="Arial"/>
          <w:sz w:val="17"/>
          <w:szCs w:val="17"/>
          <w:color w:val="auto"/>
        </w:rPr>
      </w:pPr>
    </w:p>
    <w:p>
      <w:pPr>
        <w:ind w:left="980" w:right="40" w:firstLine="408"/>
        <w:spacing w:after="0" w:line="277" w:lineRule="auto"/>
        <w:tabs>
          <w:tab w:leader="none" w:pos="1686"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act of fraud, embezzlement or material misappropriation committed by the Executive against the Company (other than good faith expense account disputes);</w:t>
      </w:r>
    </w:p>
    <w:p>
      <w:pPr>
        <w:spacing w:after="0" w:line="62" w:lineRule="exact"/>
        <w:rPr>
          <w:rFonts w:ascii="Arial" w:cs="Arial" w:eastAsia="Arial" w:hAnsi="Arial"/>
          <w:sz w:val="18"/>
          <w:szCs w:val="18"/>
          <w:color w:val="auto"/>
        </w:rPr>
      </w:pPr>
    </w:p>
    <w:p>
      <w:pPr>
        <w:ind w:left="980" w:firstLine="408"/>
        <w:spacing w:after="0" w:line="277" w:lineRule="auto"/>
        <w:tabs>
          <w:tab w:leader="none" w:pos="1636" w:val="left"/>
        </w:tabs>
        <w:numPr>
          <w:ilvl w:val="1"/>
          <w:numId w:val="66"/>
        </w:numPr>
        <w:rPr>
          <w:rFonts w:ascii="Arial" w:cs="Arial" w:eastAsia="Arial" w:hAnsi="Arial"/>
          <w:sz w:val="18"/>
          <w:szCs w:val="18"/>
          <w:color w:val="auto"/>
        </w:rPr>
      </w:pPr>
      <w:r>
        <w:rPr>
          <w:rFonts w:ascii="Arial" w:cs="Arial" w:eastAsia="Arial" w:hAnsi="Arial"/>
          <w:sz w:val="18"/>
          <w:szCs w:val="18"/>
          <w:color w:val="auto"/>
        </w:rPr>
        <w:t>willful engaging by the Executive in any act that brings the Company into public disrepute or disgrace or causes material harm to the customer relations, operations or business prospects of the Company;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53" w:name="page54"/>
    <w:bookmarkEnd w:id="53"/>
    <w:p>
      <w:pPr>
        <w:ind w:left="980" w:right="100" w:firstLine="408"/>
        <w:spacing w:after="0" w:line="259" w:lineRule="auto"/>
        <w:tabs>
          <w:tab w:leader="none" w:pos="1686"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For purposes of this Section 3(c), no act, or failure to act, on the Executive’s part shall be deemed “willful” if done, or omitted to be done, by the Executive in good faith and with reasonable belief that the Executive’s act, or failure to act, was in the best interest of the Company.</w:t>
      </w:r>
    </w:p>
    <w:p>
      <w:pPr>
        <w:spacing w:after="0" w:line="14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the case of any termination for Cause, the Company shall provide written notice to the Executive setting forth to a reasonable extent at least the principal acts or omissions of the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termination for Cause under this Section 3(c) (other than with respect to Section 3(c)(ii) shall in no event become effective under the Agreement unless the provisions of this paragraph are complied with. The Executive must be given written notice by the Board of the intention to terminate Executive’s employment for Cause, such notice (A) to state in detail the act or acts or failure or failures to act that constitute the grounds on which the proposed termination for Cause is based and (B) to be given within three (3) months of the Board learning of such act or acts or failure or failures to act. The Executive shall have ten (10) days after the date that such written notice has been given to the Executive in which to cure such conduct, to the extent such cure is possible. If the Executive fails to cure such conduct, the Executive shall thereupon be terminated for Cause.</w:t>
      </w:r>
    </w:p>
    <w:p>
      <w:pPr>
        <w:spacing w:after="0" w:line="56" w:lineRule="exact"/>
        <w:rPr>
          <w:sz w:val="20"/>
          <w:szCs w:val="20"/>
          <w:color w:val="auto"/>
        </w:rPr>
      </w:pPr>
    </w:p>
    <w:p>
      <w:pPr>
        <w:jc w:val="both"/>
        <w:ind w:right="60" w:firstLine="987"/>
        <w:spacing w:after="0" w:line="311" w:lineRule="auto"/>
        <w:tabs>
          <w:tab w:leader="none" w:pos="1206"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w:t>
      </w:r>
      <w:r>
        <w:rPr>
          <w:rFonts w:ascii="Arial" w:cs="Arial" w:eastAsia="Arial" w:hAnsi="Arial"/>
          <w:sz w:val="16"/>
          <w:szCs w:val="16"/>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3(b) shall be deemed a termination without Cause.</w:t>
      </w:r>
    </w:p>
    <w:p>
      <w:pPr>
        <w:spacing w:after="0" w:line="40" w:lineRule="exact"/>
        <w:rPr>
          <w:rFonts w:ascii="Arial" w:cs="Arial" w:eastAsia="Arial" w:hAnsi="Arial"/>
          <w:sz w:val="16"/>
          <w:szCs w:val="16"/>
          <w:color w:val="auto"/>
        </w:rPr>
      </w:pPr>
    </w:p>
    <w:p>
      <w:pPr>
        <w:ind w:right="240" w:firstLine="987"/>
        <w:spacing w:after="0" w:line="259" w:lineRule="auto"/>
        <w:tabs>
          <w:tab w:leader="none" w:pos="129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employment hereunder at any time for any reason, including but not limited to, Good Reason. For purposes of this Agreement,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shall mean that the Executive has completed all steps of the Good Reason Process (hereinafter defined) following the occurrence of any of the following events without the Executive’s consent (each, a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Condition</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980" w:right="140" w:firstLine="408"/>
        <w:spacing w:after="0" w:line="277" w:lineRule="auto"/>
        <w:tabs>
          <w:tab w:leader="none" w:pos="1596"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material diminution in the Executive’s title, responsibilities, authority or duties; or a material reduction in the authority, duties, or responsibilities of the CEO to whom the Executive is required to report;</w:t>
      </w:r>
    </w:p>
    <w:p>
      <w:pPr>
        <w:spacing w:after="0" w:line="62" w:lineRule="exact"/>
        <w:rPr>
          <w:rFonts w:ascii="Arial" w:cs="Arial" w:eastAsia="Arial" w:hAnsi="Arial"/>
          <w:sz w:val="18"/>
          <w:szCs w:val="18"/>
          <w:color w:val="auto"/>
        </w:rPr>
      </w:pPr>
    </w:p>
    <w:p>
      <w:pPr>
        <w:jc w:val="both"/>
        <w:ind w:left="980" w:right="380" w:firstLine="408"/>
        <w:spacing w:after="0" w:line="286" w:lineRule="auto"/>
        <w:tabs>
          <w:tab w:leader="none" w:pos="1646" w:val="left"/>
        </w:tabs>
        <w:numPr>
          <w:ilvl w:val="1"/>
          <w:numId w:val="68"/>
        </w:numPr>
        <w:rPr>
          <w:rFonts w:ascii="Arial" w:cs="Arial" w:eastAsia="Arial" w:hAnsi="Arial"/>
          <w:sz w:val="17"/>
          <w:szCs w:val="17"/>
          <w:color w:val="auto"/>
        </w:rPr>
      </w:pPr>
      <w:r>
        <w:rPr>
          <w:rFonts w:ascii="Arial" w:cs="Arial" w:eastAsia="Arial" w:hAnsi="Arial"/>
          <w:sz w:val="17"/>
          <w:szCs w:val="17"/>
          <w:color w:val="auto"/>
        </w:rPr>
        <w:t>a Change in Control following which either: (A) there is a material reduction in the budget over which the Executive retains authority or (B) the Executive is not Chief Medical Officer of the Company or, if the Company becomes a subsidiary of one or more entities following the Change in Control, the post-consummation ultimate parent entity of the Company; 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54" w:name="page55"/>
    <w:bookmarkEnd w:id="54"/>
    <w:p>
      <w:pPr>
        <w:ind w:left="980" w:firstLine="408"/>
        <w:spacing w:after="0" w:line="255" w:lineRule="auto"/>
        <w:tabs>
          <w:tab w:leader="none" w:pos="1696" w:val="left"/>
        </w:tabs>
        <w:numPr>
          <w:ilvl w:val="1"/>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material breach of this Agreement by the Company, including without limitation, a reduction of the Executive’s Base Salary or Target Bonus in violation of Section 2(a) or 2(b) (except for across-the-board salary reductions of not more than ten percent (10%) similarly affecting all or substantially all senior management employees of the Company), a relocation of the Executive’s place of employment to any location that is greater than twenty (20) miles from the Executive’s home office, or the failure of the Company to obtain the assumption in writing of the Company’s obligations to the Executive under this Agreement by any successor as required under Section 13 below.</w:t>
      </w:r>
    </w:p>
    <w:p>
      <w:pPr>
        <w:spacing w:after="0" w:line="84" w:lineRule="exact"/>
        <w:rPr>
          <w:rFonts w:ascii="Arial" w:cs="Arial" w:eastAsia="Arial" w:hAnsi="Arial"/>
          <w:sz w:val="18"/>
          <w:szCs w:val="18"/>
          <w:color w:val="auto"/>
        </w:rPr>
      </w:pPr>
    </w:p>
    <w:p>
      <w:pPr>
        <w:ind w:left="1240" w:hanging="253"/>
        <w:spacing w:after="0"/>
        <w:tabs>
          <w:tab w:leader="none" w:pos="12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Good Reason Process</w:t>
      </w:r>
      <w:r>
        <w:rPr>
          <w:rFonts w:ascii="Arial" w:cs="Arial" w:eastAsia="Arial" w:hAnsi="Arial"/>
          <w:sz w:val="18"/>
          <w:szCs w:val="18"/>
          <w:color w:val="auto"/>
        </w:rPr>
        <w:t>. The “</w:t>
      </w:r>
      <w:r>
        <w:rPr>
          <w:rFonts w:ascii="Arial" w:cs="Arial" w:eastAsia="Arial" w:hAnsi="Arial"/>
          <w:sz w:val="18"/>
          <w:szCs w:val="18"/>
          <w:b w:val="1"/>
          <w:bCs w:val="1"/>
          <w:i w:val="1"/>
          <w:iCs w:val="1"/>
          <w:u w:val="single" w:color="auto"/>
          <w:color w:val="auto"/>
        </w:rPr>
        <w:t>Good Reason Process</w:t>
      </w:r>
      <w:r>
        <w:rPr>
          <w:rFonts w:ascii="Arial" w:cs="Arial" w:eastAsia="Arial" w:hAnsi="Arial"/>
          <w:sz w:val="18"/>
          <w:szCs w:val="18"/>
          <w:color w:val="auto"/>
        </w:rPr>
        <w:t>” consists of the following steps:</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Executive reasonably determines in good faith that a Good Reason Condition has occurred;</w:t>
      </w:r>
    </w:p>
    <w:p>
      <w:pPr>
        <w:spacing w:after="0" w:line="117" w:lineRule="exact"/>
        <w:rPr>
          <w:sz w:val="20"/>
          <w:szCs w:val="20"/>
          <w:color w:val="auto"/>
        </w:rPr>
      </w:pPr>
    </w:p>
    <w:p>
      <w:pPr>
        <w:ind w:left="980" w:right="20" w:firstLine="408"/>
        <w:spacing w:after="0" w:line="277" w:lineRule="auto"/>
        <w:tabs>
          <w:tab w:leader="none" w:pos="16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Executive notifies the Company in writing of the first occurrence of the Good Reason Condition within sixty (60) days of the first occurrence of such condition;</w:t>
      </w:r>
    </w:p>
    <w:p>
      <w:pPr>
        <w:spacing w:after="0" w:line="62" w:lineRule="exact"/>
        <w:rPr>
          <w:rFonts w:ascii="Arial" w:cs="Arial" w:eastAsia="Arial" w:hAnsi="Arial"/>
          <w:sz w:val="18"/>
          <w:szCs w:val="18"/>
          <w:color w:val="auto"/>
        </w:rPr>
      </w:pPr>
    </w:p>
    <w:p>
      <w:pPr>
        <w:ind w:left="980" w:right="140" w:firstLine="408"/>
        <w:spacing w:after="0" w:line="277" w:lineRule="auto"/>
        <w:tabs>
          <w:tab w:leader="none" w:pos="169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Executive cooperates in good faith with the Company’s efforts, for a period of not less than thirty (30) days following such notice (the “</w:t>
      </w:r>
      <w:r>
        <w:rPr>
          <w:rFonts w:ascii="Arial" w:cs="Arial" w:eastAsia="Arial" w:hAnsi="Arial"/>
          <w:sz w:val="18"/>
          <w:szCs w:val="18"/>
          <w:b w:val="1"/>
          <w:bCs w:val="1"/>
          <w:i w:val="1"/>
          <w:iCs w:val="1"/>
          <w:u w:val="single" w:color="auto"/>
          <w:color w:val="auto"/>
        </w:rPr>
        <w:t>Cure Period</w:t>
      </w:r>
      <w:r>
        <w:rPr>
          <w:rFonts w:ascii="Arial" w:cs="Arial" w:eastAsia="Arial" w:hAnsi="Arial"/>
          <w:sz w:val="18"/>
          <w:szCs w:val="18"/>
          <w:color w:val="auto"/>
        </w:rPr>
        <w:t>”), to remedy the Good Reason Condition;</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notwithstanding such efforts, the Good Reason Condition continues to exist at the end of the Cure Period; and</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Executive terminates employment within sixty (60) days after the end of the Cure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the Company cures the Good Reason Condition during the Cure Period, Good Reason shall be deemed not to have occurred.</w:t>
      </w:r>
    </w:p>
    <w:p>
      <w:pPr>
        <w:spacing w:after="0" w:line="117" w:lineRule="exact"/>
        <w:rPr>
          <w:sz w:val="20"/>
          <w:szCs w:val="20"/>
          <w:color w:val="auto"/>
        </w:rPr>
      </w:pPr>
    </w:p>
    <w:p>
      <w:pPr>
        <w:ind w:left="620" w:hanging="184"/>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Matters Related to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987"/>
        <w:spacing w:after="0" w:line="311" w:lineRule="auto"/>
        <w:tabs>
          <w:tab w:leader="none" w:pos="1236"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Arial" w:cs="Arial" w:eastAsia="Arial" w:hAnsi="Arial"/>
          <w:sz w:val="16"/>
          <w:szCs w:val="16"/>
          <w:b w:val="1"/>
          <w:bCs w:val="1"/>
          <w:i w:val="1"/>
          <w:iCs w:val="1"/>
          <w:u w:val="single" w:color="auto"/>
          <w:color w:val="auto"/>
        </w:rPr>
        <w:t>Notice of Termination</w:t>
      </w:r>
      <w:r>
        <w:rPr>
          <w:rFonts w:ascii="Arial" w:cs="Arial" w:eastAsia="Arial" w:hAnsi="Arial"/>
          <w:sz w:val="16"/>
          <w:szCs w:val="16"/>
          <w:color w:val="auto"/>
        </w:rPr>
        <w:t>” shall mean a notice which shall indicate the specific termination provision in this Agreement relied upon.</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55" w:name="page56"/>
    <w:bookmarkEnd w:id="55"/>
    <w:p>
      <w:pPr>
        <w:ind w:left="1244" w:hanging="253"/>
        <w:spacing w:after="0"/>
        <w:tabs>
          <w:tab w:leader="none" w:pos="1244" w:val="left"/>
        </w:tabs>
        <w:numPr>
          <w:ilvl w:val="2"/>
          <w:numId w:val="7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of Termination</w:t>
      </w:r>
      <w:r>
        <w:rPr>
          <w:rFonts w:ascii="Arial" w:cs="Arial" w:eastAsia="Arial" w:hAnsi="Arial"/>
          <w:sz w:val="16"/>
          <w:szCs w:val="16"/>
          <w:color w:val="auto"/>
        </w:rPr>
        <w:t>. “</w:t>
      </w:r>
      <w:r>
        <w:rPr>
          <w:rFonts w:ascii="Arial" w:cs="Arial" w:eastAsia="Arial" w:hAnsi="Arial"/>
          <w:sz w:val="16"/>
          <w:szCs w:val="16"/>
          <w:b w:val="1"/>
          <w:bCs w:val="1"/>
          <w:i w:val="1"/>
          <w:iCs w:val="1"/>
          <w:u w:val="single" w:color="auto"/>
          <w:color w:val="auto"/>
        </w:rPr>
        <w:t>Date of Termination</w:t>
      </w:r>
      <w:r>
        <w:rPr>
          <w:rFonts w:ascii="Arial" w:cs="Arial" w:eastAsia="Arial" w:hAnsi="Arial"/>
          <w:sz w:val="16"/>
          <w:szCs w:val="16"/>
          <w:color w:val="auto"/>
        </w:rPr>
        <w:t>” shall mean: (i) if the Executive’s employment is terminated by death, the date of death;</w:t>
      </w:r>
    </w:p>
    <w:p>
      <w:pPr>
        <w:spacing w:after="0" w:line="46" w:lineRule="exact"/>
        <w:rPr>
          <w:rFonts w:ascii="Arial" w:cs="Arial" w:eastAsia="Arial" w:hAnsi="Arial"/>
          <w:sz w:val="16"/>
          <w:szCs w:val="16"/>
          <w:color w:val="auto"/>
        </w:rPr>
      </w:pPr>
    </w:p>
    <w:p>
      <w:pPr>
        <w:ind w:left="4" w:right="20" w:hanging="4"/>
        <w:spacing w:after="0" w:line="281" w:lineRule="auto"/>
        <w:tabs>
          <w:tab w:leader="none" w:pos="269"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Executive’s employment is terminated on account of disability under Section 3(b) or by the Company for Cause under Section 3(c), the date on which Notice of Termination is given; (iii) if the Executive’s employment is terminated by the Company without Cause under Section 3(d), thirty</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(30) days after the date on which a Notice of Termination is given or a later date otherwise specified by the Company in the Notice of Termination;</w:t>
      </w:r>
    </w:p>
    <w:p>
      <w:pPr>
        <w:spacing w:after="0" w:line="20" w:lineRule="exact"/>
        <w:rPr>
          <w:rFonts w:ascii="Arial" w:cs="Arial" w:eastAsia="Arial" w:hAnsi="Arial"/>
          <w:sz w:val="16"/>
          <w:szCs w:val="16"/>
          <w:color w:val="auto"/>
        </w:rPr>
      </w:pPr>
    </w:p>
    <w:p>
      <w:pPr>
        <w:ind w:left="304" w:hanging="304"/>
        <w:spacing w:after="0"/>
        <w:tabs>
          <w:tab w:leader="none" w:pos="3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the Executive’s employment is terminated by the Executive under Section 3(e) other than for Good Reason, thirty (30) days after the date on</w:t>
      </w:r>
    </w:p>
    <w:p>
      <w:pPr>
        <w:spacing w:after="0" w:line="20" w:lineRule="exact"/>
        <w:rPr>
          <w:rFonts w:ascii="Arial" w:cs="Arial" w:eastAsia="Arial" w:hAnsi="Arial"/>
          <w:sz w:val="17"/>
          <w:szCs w:val="17"/>
          <w:color w:val="auto"/>
        </w:rPr>
      </w:pPr>
    </w:p>
    <w:p>
      <w:pPr>
        <w:ind w:left="4" w:right="140"/>
        <w:spacing w:after="0" w:line="253" w:lineRule="auto"/>
        <w:rPr>
          <w:rFonts w:ascii="Arial" w:cs="Arial" w:eastAsia="Arial" w:hAnsi="Arial"/>
          <w:sz w:val="17"/>
          <w:szCs w:val="17"/>
          <w:color w:val="auto"/>
        </w:rPr>
      </w:pPr>
      <w:r>
        <w:rPr>
          <w:rFonts w:ascii="Arial" w:cs="Arial" w:eastAsia="Arial" w:hAnsi="Arial"/>
          <w:sz w:val="18"/>
          <w:szCs w:val="18"/>
          <w:color w:val="auto"/>
        </w:rPr>
        <w:t>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84" w:lineRule="exact"/>
        <w:rPr>
          <w:rFonts w:ascii="Arial" w:cs="Arial" w:eastAsia="Arial" w:hAnsi="Arial"/>
          <w:sz w:val="17"/>
          <w:szCs w:val="17"/>
          <w:color w:val="auto"/>
        </w:rPr>
      </w:pPr>
    </w:p>
    <w:p>
      <w:pPr>
        <w:ind w:left="4" w:firstLine="987"/>
        <w:spacing w:after="0" w:line="290" w:lineRule="auto"/>
        <w:tabs>
          <w:tab w:leader="none" w:pos="1240" w:val="left"/>
        </w:tabs>
        <w:numPr>
          <w:ilvl w:val="2"/>
          <w:numId w:val="75"/>
        </w:numPr>
        <w:rPr>
          <w:rFonts w:ascii="Arial" w:cs="Arial" w:eastAsia="Arial" w:hAnsi="Arial"/>
          <w:sz w:val="16"/>
          <w:szCs w:val="16"/>
          <w:color w:val="auto"/>
        </w:rPr>
      </w:pPr>
      <w:r>
        <w:rPr>
          <w:rFonts w:ascii="Arial" w:cs="Arial" w:eastAsia="Arial" w:hAnsi="Arial"/>
          <w:sz w:val="16"/>
          <w:szCs w:val="16"/>
          <w:u w:val="single" w:color="auto"/>
          <w:color w:val="auto"/>
        </w:rPr>
        <w:t>Accrued Obligations</w:t>
      </w:r>
      <w:r>
        <w:rPr>
          <w:rFonts w:ascii="Arial" w:cs="Arial" w:eastAsia="Arial" w:hAnsi="Arial"/>
          <w:sz w:val="16"/>
          <w:szCs w:val="16"/>
          <w:color w:val="auto"/>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the Executive terminates employment due to death or Disability (as defined in Section 3(b) above), the Executive (or in the case of death, the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Arial" w:cs="Arial" w:eastAsia="Arial" w:hAnsi="Arial"/>
          <w:sz w:val="16"/>
          <w:szCs w:val="16"/>
          <w:b w:val="1"/>
          <w:bCs w:val="1"/>
          <w:i w:val="1"/>
          <w:iCs w:val="1"/>
          <w:u w:val="single" w:color="auto"/>
          <w:color w:val="auto"/>
        </w:rPr>
        <w:t>Accrued Obligations</w:t>
      </w:r>
      <w:r>
        <w:rPr>
          <w:rFonts w:ascii="Arial" w:cs="Arial" w:eastAsia="Arial" w:hAnsi="Arial"/>
          <w:sz w:val="16"/>
          <w:szCs w:val="16"/>
          <w:color w:val="auto"/>
        </w:rPr>
        <w:t>.”</w:t>
      </w:r>
    </w:p>
    <w:p>
      <w:pPr>
        <w:spacing w:after="0" w:line="57" w:lineRule="exact"/>
        <w:rPr>
          <w:rFonts w:ascii="Arial" w:cs="Arial" w:eastAsia="Arial" w:hAnsi="Arial"/>
          <w:sz w:val="16"/>
          <w:szCs w:val="16"/>
          <w:color w:val="auto"/>
        </w:rPr>
      </w:pPr>
    </w:p>
    <w:p>
      <w:pPr>
        <w:ind w:left="4" w:right="60" w:firstLine="987"/>
        <w:spacing w:after="0" w:line="259" w:lineRule="auto"/>
        <w:tabs>
          <w:tab w:leader="none" w:pos="1250" w:val="left"/>
        </w:tabs>
        <w:numPr>
          <w:ilvl w:val="2"/>
          <w:numId w:val="75"/>
        </w:numPr>
        <w:rPr>
          <w:rFonts w:ascii="Arial" w:cs="Arial" w:eastAsia="Arial" w:hAnsi="Arial"/>
          <w:sz w:val="18"/>
          <w:szCs w:val="18"/>
          <w:color w:val="auto"/>
        </w:rPr>
      </w:pPr>
      <w:r>
        <w:rPr>
          <w:rFonts w:ascii="Arial" w:cs="Arial" w:eastAsia="Arial" w:hAnsi="Arial"/>
          <w:sz w:val="18"/>
          <w:szCs w:val="18"/>
          <w:u w:val="single" w:color="auto"/>
          <w:color w:val="auto"/>
        </w:rPr>
        <w:t>Resignation of All Other Positions</w:t>
      </w:r>
      <w:r>
        <w:rPr>
          <w:rFonts w:ascii="Arial" w:cs="Arial" w:eastAsia="Arial" w:hAnsi="Arial"/>
          <w:sz w:val="18"/>
          <w:szCs w:val="18"/>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78" w:lineRule="exact"/>
        <w:rPr>
          <w:rFonts w:ascii="Arial" w:cs="Arial" w:eastAsia="Arial" w:hAnsi="Arial"/>
          <w:sz w:val="18"/>
          <w:szCs w:val="18"/>
          <w:color w:val="auto"/>
        </w:rPr>
      </w:pPr>
    </w:p>
    <w:p>
      <w:pPr>
        <w:ind w:left="4" w:right="180" w:firstLine="436"/>
        <w:spacing w:after="0" w:line="293" w:lineRule="auto"/>
        <w:tabs>
          <w:tab w:leader="none" w:pos="624"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w:t>
      </w:r>
      <w:r>
        <w:rPr>
          <w:rFonts w:ascii="Arial" w:cs="Arial" w:eastAsia="Arial" w:hAnsi="Arial"/>
          <w:sz w:val="16"/>
          <w:szCs w:val="16"/>
          <w:color w:val="auto"/>
        </w:rPr>
        <w:t xml:space="preserve">. If the Executive’s employment is terminated by the Company without Cause as provided in Section 3(d), or the Executive terminates employment for Good Reason as provided in Section 3(e), then, in addition to the Accrued Obligations, and subject to (i) the Executive signing a separation agreement and release in a form substantially the same as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w:t>
      </w:r>
      <w:r>
        <w:rPr>
          <w:rFonts w:ascii="Arial" w:cs="Arial" w:eastAsia="Arial" w:hAnsi="Arial"/>
          <w:sz w:val="16"/>
          <w:szCs w:val="16"/>
          <w:b w:val="1"/>
          <w:bCs w:val="1"/>
          <w:i w:val="1"/>
          <w:iCs w:val="1"/>
          <w:u w:val="single" w:color="auto"/>
          <w:color w:val="auto"/>
        </w:rPr>
        <w:t>Separation Agreement</w:t>
      </w:r>
      <w:r>
        <w:rPr>
          <w:rFonts w:ascii="Arial" w:cs="Arial" w:eastAsia="Arial" w:hAnsi="Arial"/>
          <w:sz w:val="16"/>
          <w:szCs w:val="16"/>
          <w:color w:val="auto"/>
        </w:rPr>
        <w:t>”), which provides that if the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56" w:lineRule="exact"/>
        <w:rPr>
          <w:rFonts w:ascii="Arial" w:cs="Arial" w:eastAsia="Arial" w:hAnsi="Arial"/>
          <w:sz w:val="16"/>
          <w:szCs w:val="16"/>
          <w:color w:val="auto"/>
        </w:rPr>
      </w:pPr>
    </w:p>
    <w:p>
      <w:pPr>
        <w:ind w:left="1244" w:hanging="253"/>
        <w:spacing w:after="0"/>
        <w:tabs>
          <w:tab w:leader="none" w:pos="1244" w:val="left"/>
        </w:tabs>
        <w:numPr>
          <w:ilvl w:val="2"/>
          <w:numId w:val="76"/>
        </w:numPr>
        <w:rPr>
          <w:rFonts w:ascii="Arial" w:cs="Arial" w:eastAsia="Arial" w:hAnsi="Arial"/>
          <w:sz w:val="17"/>
          <w:szCs w:val="17"/>
          <w:color w:val="auto"/>
        </w:rPr>
      </w:pPr>
      <w:r>
        <w:rPr>
          <w:rFonts w:ascii="Arial" w:cs="Arial" w:eastAsia="Arial" w:hAnsi="Arial"/>
          <w:sz w:val="17"/>
          <w:szCs w:val="17"/>
          <w:u w:val="single" w:color="auto"/>
          <w:color w:val="auto"/>
        </w:rPr>
        <w:t>Cash Severance</w:t>
      </w:r>
      <w:r>
        <w:rPr>
          <w:rFonts w:ascii="Arial" w:cs="Arial" w:eastAsia="Arial" w:hAnsi="Arial"/>
          <w:sz w:val="17"/>
          <w:szCs w:val="17"/>
          <w:color w:val="auto"/>
        </w:rPr>
        <w:t>. The Company shall pay the Executive an amount equal to nine (9) months’ of the Executive’s Base Salary (the</w:t>
      </w:r>
    </w:p>
    <w:p>
      <w:pPr>
        <w:spacing w:after="0" w:line="35"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Severance Amount</w:t>
      </w:r>
      <w:r>
        <w:rPr>
          <w:rFonts w:ascii="Arial" w:cs="Arial" w:eastAsia="Arial" w:hAnsi="Arial"/>
          <w:sz w:val="18"/>
          <w:szCs w:val="18"/>
          <w:color w:val="auto"/>
        </w:rPr>
        <w:t>”) and, in the event that the Executive’s employment is terminated after the end of the calendar year but prior to the payment of any Annual Bonus for the immediately preceding calendar year, the Executive shall be entitled to receive a lump sum payment of any unpaid Annual Bonus earned based on achievement of the applicable performance goals and objectives, without any reduction for individual performance, with respect to such immediately preceding calendar year (the “Earned Bonus”).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56" w:name="page57"/>
    <w:bookmarkEnd w:id="56"/>
    <w:p>
      <w:pPr>
        <w:jc w:val="both"/>
        <w:ind w:left="4" w:right="160" w:firstLine="987"/>
        <w:spacing w:after="0" w:line="286" w:lineRule="auto"/>
        <w:tabs>
          <w:tab w:leader="none" w:pos="1250"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COBRA Premiums</w:t>
      </w:r>
      <w:r>
        <w:rPr>
          <w:rFonts w:ascii="Arial" w:cs="Arial" w:eastAsia="Arial" w:hAnsi="Arial"/>
          <w:sz w:val="16"/>
          <w:szCs w:val="16"/>
          <w:color w:val="auto"/>
        </w:rPr>
        <w:t>. Subject to the Executive’s copayment of premium amounts at the applicable active employees’ rate and the Executive’s proper election to receive benefits under the Consolidated Omnibus Budget Reconciliation Act of 1985, as amended (“</w:t>
      </w:r>
      <w:r>
        <w:rPr>
          <w:rFonts w:ascii="Arial" w:cs="Arial" w:eastAsia="Arial" w:hAnsi="Arial"/>
          <w:sz w:val="16"/>
          <w:szCs w:val="16"/>
          <w:b w:val="1"/>
          <w:bCs w:val="1"/>
          <w:i w:val="1"/>
          <w:iCs w:val="1"/>
          <w:u w:val="single" w:color="auto"/>
          <w:color w:val="auto"/>
        </w:rPr>
        <w:t>COBRA</w:t>
      </w:r>
      <w:r>
        <w:rPr>
          <w:rFonts w:ascii="Arial" w:cs="Arial" w:eastAsia="Arial" w:hAnsi="Arial"/>
          <w:sz w:val="16"/>
          <w:szCs w:val="16"/>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w:t>
      </w:r>
    </w:p>
    <w:p>
      <w:pPr>
        <w:spacing w:after="0" w:line="1" w:lineRule="exact"/>
        <w:rPr>
          <w:rFonts w:ascii="Arial" w:cs="Arial" w:eastAsia="Arial" w:hAnsi="Arial"/>
          <w:sz w:val="16"/>
          <w:szCs w:val="16"/>
          <w:color w:val="auto"/>
        </w:rPr>
      </w:pPr>
    </w:p>
    <w:p>
      <w:pPr>
        <w:ind w:left="4" w:right="120" w:hanging="4"/>
        <w:spacing w:after="0" w:line="270" w:lineRule="auto"/>
        <w:tabs>
          <w:tab w:leader="none" w:pos="299"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nine (9)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70" w:lineRule="exact"/>
        <w:rPr>
          <w:rFonts w:ascii="Arial" w:cs="Arial" w:eastAsia="Arial" w:hAnsi="Arial"/>
          <w:sz w:val="17"/>
          <w:szCs w:val="17"/>
          <w:color w:val="auto"/>
        </w:rPr>
      </w:pPr>
    </w:p>
    <w:p>
      <w:pPr>
        <w:ind w:left="4" w:firstLine="987"/>
        <w:spacing w:after="0" w:line="287" w:lineRule="auto"/>
        <w:tabs>
          <w:tab w:leader="none" w:pos="1240"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Delayed Forfeiture of Time-Based Equity Awards</w:t>
      </w:r>
      <w:r>
        <w:rPr>
          <w:rFonts w:ascii="Arial" w:cs="Arial" w:eastAsia="Arial" w:hAnsi="Arial"/>
          <w:sz w:val="16"/>
          <w:szCs w:val="16"/>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ninety (90) days after the Date of Termination (the “</w:t>
      </w:r>
      <w:r>
        <w:rPr>
          <w:rFonts w:ascii="Arial" w:cs="Arial" w:eastAsia="Arial" w:hAnsi="Arial"/>
          <w:sz w:val="16"/>
          <w:szCs w:val="16"/>
          <w:b w:val="1"/>
          <w:bCs w:val="1"/>
          <w:i w:val="1"/>
          <w:iCs w:val="1"/>
          <w:u w:val="single" w:color="auto"/>
          <w:color w:val="auto"/>
        </w:rPr>
        <w:t>Pre-CIC Protection Period</w:t>
      </w:r>
      <w:r>
        <w:rPr>
          <w:rFonts w:ascii="Arial" w:cs="Arial" w:eastAsia="Arial" w:hAnsi="Arial"/>
          <w:sz w:val="16"/>
          <w:szCs w:val="16"/>
          <w:color w:val="auto"/>
        </w:rPr>
        <w:t>”). If the Company has not, prior to the end of the Pre-CIC Protection Period, entered into a definitive agreement that, if closed, would result in a Change in Control (a “</w:t>
      </w:r>
      <w:r>
        <w:rPr>
          <w:rFonts w:ascii="Arial" w:cs="Arial" w:eastAsia="Arial" w:hAnsi="Arial"/>
          <w:sz w:val="16"/>
          <w:szCs w:val="16"/>
          <w:b w:val="1"/>
          <w:bCs w:val="1"/>
          <w:i w:val="1"/>
          <w:iCs w:val="1"/>
          <w:u w:val="single" w:color="auto"/>
          <w:color w:val="auto"/>
        </w:rPr>
        <w:t>P&amp;S Agreement</w:t>
      </w:r>
      <w:r>
        <w:rPr>
          <w:rFonts w:ascii="Arial" w:cs="Arial" w:eastAsia="Arial" w:hAnsi="Arial"/>
          <w:sz w:val="16"/>
          <w:szCs w:val="16"/>
          <w:color w:val="auto"/>
        </w:rPr>
        <w:t>”), then the unvested portion of the Time-Based Equity Awards shall terminate and be forfeited. If the Company, prior the end of the Pre-CIC Protection Period, enters into a P&amp;S Agreement, then the Time-Based Equity Awards shall remain outstanding and become fully vested upon a Change in Control resulting from such agreement.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w:t>
      </w:r>
    </w:p>
    <w:p>
      <w:pPr>
        <w:spacing w:after="0" w:line="63" w:lineRule="exact"/>
        <w:rPr>
          <w:rFonts w:ascii="Arial" w:cs="Arial" w:eastAsia="Arial" w:hAnsi="Arial"/>
          <w:sz w:val="16"/>
          <w:szCs w:val="16"/>
          <w:color w:val="auto"/>
        </w:rPr>
      </w:pPr>
    </w:p>
    <w:p>
      <w:pPr>
        <w:ind w:left="4" w:right="120" w:firstLine="987"/>
        <w:spacing w:after="0" w:line="259" w:lineRule="auto"/>
        <w:tabs>
          <w:tab w:leader="none" w:pos="125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Severance Payment Timing</w:t>
      </w:r>
      <w:r>
        <w:rPr>
          <w:rFonts w:ascii="Arial" w:cs="Arial" w:eastAsia="Arial" w:hAnsi="Arial"/>
          <w:sz w:val="18"/>
          <w:szCs w:val="18"/>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sixty (60) days after the Date of Termination); provided, however, that if the period applicable to Executive’s termination of</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57" w:name="page58"/>
    <w:bookmarkEnd w:id="57"/>
    <w:p>
      <w:pPr>
        <w:ind w:left="4"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employment begins in one calendar year and ends in a second calendar year, such payments to the extent they qualify as “non-qualified deferred compensation” within the meaning of Section 409A of the Internal Revenue Code of 1986, as amended (the “</w:t>
      </w:r>
      <w:r>
        <w:rPr>
          <w:rFonts w:ascii="Arial" w:cs="Arial" w:eastAsia="Arial" w:hAnsi="Arial"/>
          <w:sz w:val="17"/>
          <w:szCs w:val="17"/>
          <w:b w:val="1"/>
          <w:bCs w:val="1"/>
          <w:i w:val="1"/>
          <w:iCs w:val="1"/>
          <w:u w:val="single" w:color="auto"/>
          <w:color w:val="auto"/>
        </w:rPr>
        <w:t>Code</w:t>
      </w:r>
      <w:r>
        <w:rPr>
          <w:rFonts w:ascii="Arial" w:cs="Arial" w:eastAsia="Arial" w:hAnsi="Arial"/>
          <w:sz w:val="17"/>
          <w:szCs w:val="17"/>
          <w:color w:val="auto"/>
        </w:rPr>
        <w:t>”), shall be paid or commence to be paid in the second calendar year by the last day of such period. The Severance Amount shall be paid in a single lump sum and the Earned Bonus, if any, shall be paid at the same time as if the Executive had remained employed with the Company through the payment date.</w:t>
      </w:r>
    </w:p>
    <w:p>
      <w:pPr>
        <w:spacing w:after="0" w:line="63" w:lineRule="exact"/>
        <w:rPr>
          <w:sz w:val="20"/>
          <w:szCs w:val="20"/>
          <w:color w:val="auto"/>
        </w:rPr>
      </w:pPr>
    </w:p>
    <w:p>
      <w:pPr>
        <w:ind w:left="4" w:firstLine="436"/>
        <w:spacing w:after="0" w:line="286" w:lineRule="auto"/>
        <w:tabs>
          <w:tab w:leader="none" w:pos="624"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 within the Change in Control Period</w:t>
      </w:r>
      <w:r>
        <w:rPr>
          <w:rFonts w:ascii="Arial" w:cs="Arial" w:eastAsia="Arial" w:hAnsi="Arial"/>
          <w:sz w:val="16"/>
          <w:szCs w:val="16"/>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during the Change in Control Period. The “</w:t>
      </w:r>
      <w:r>
        <w:rPr>
          <w:rFonts w:ascii="Arial" w:cs="Arial" w:eastAsia="Arial" w:hAnsi="Arial"/>
          <w:sz w:val="16"/>
          <w:szCs w:val="16"/>
          <w:b w:val="1"/>
          <w:bCs w:val="1"/>
          <w:i w:val="1"/>
          <w:iCs w:val="1"/>
          <w:u w:val="single" w:color="auto"/>
          <w:color w:val="auto"/>
        </w:rPr>
        <w:t>Change in Control Period</w:t>
      </w:r>
      <w:r>
        <w:rPr>
          <w:rFonts w:ascii="Arial" w:cs="Arial" w:eastAsia="Arial" w:hAnsi="Arial"/>
          <w:sz w:val="16"/>
          <w:szCs w:val="16"/>
          <w:color w:val="auto"/>
        </w:rPr>
        <w:t>” shall begin on the earlier of</w:t>
      </w:r>
    </w:p>
    <w:p>
      <w:pPr>
        <w:spacing w:after="0" w:line="1" w:lineRule="exact"/>
        <w:rPr>
          <w:rFonts w:ascii="Arial" w:cs="Arial" w:eastAsia="Arial" w:hAnsi="Arial"/>
          <w:sz w:val="16"/>
          <w:szCs w:val="16"/>
          <w:color w:val="auto"/>
        </w:rPr>
      </w:pPr>
    </w:p>
    <w:p>
      <w:pPr>
        <w:ind w:left="4" w:right="40" w:hanging="4"/>
        <w:spacing w:after="0" w:line="270" w:lineRule="auto"/>
        <w:tabs>
          <w:tab w:leader="none" w:pos="249"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the Executive be entitled to severance benefits under both Section 5 and Section 6 of this Agreement.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178" w:lineRule="exact"/>
        <w:rPr>
          <w:sz w:val="20"/>
          <w:szCs w:val="20"/>
          <w:color w:val="auto"/>
        </w:rPr>
      </w:pPr>
    </w:p>
    <w:p>
      <w:pPr>
        <w:ind w:left="4" w:right="80"/>
        <w:spacing w:after="0" w:line="301" w:lineRule="auto"/>
        <w:rPr>
          <w:sz w:val="20"/>
          <w:szCs w:val="20"/>
          <w:color w:val="auto"/>
        </w:rPr>
      </w:pPr>
      <w:r>
        <w:rPr>
          <w:rFonts w:ascii="Arial" w:cs="Arial" w:eastAsia="Arial" w:hAnsi="Arial"/>
          <w:sz w:val="16"/>
          <w:szCs w:val="16"/>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the Separation Agreement by the Executive and the Separation Agreement becoming fully effective, all within the time frame set forth in the Separation Agreement but in no event more than sixty (60) days after the Date of Termination:</w:t>
      </w:r>
    </w:p>
    <w:p>
      <w:pPr>
        <w:spacing w:after="0" w:line="49" w:lineRule="exact"/>
        <w:rPr>
          <w:sz w:val="20"/>
          <w:szCs w:val="20"/>
          <w:color w:val="auto"/>
        </w:rPr>
      </w:pPr>
    </w:p>
    <w:p>
      <w:pPr>
        <w:jc w:val="both"/>
        <w:ind w:left="4" w:right="80" w:firstLine="987"/>
        <w:spacing w:after="0" w:line="259" w:lineRule="auto"/>
        <w:tabs>
          <w:tab w:leader="none" w:pos="12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Cash Severance</w:t>
      </w:r>
      <w:r>
        <w:rPr>
          <w:rFonts w:ascii="Arial" w:cs="Arial" w:eastAsia="Arial" w:hAnsi="Arial"/>
          <w:sz w:val="18"/>
          <w:szCs w:val="18"/>
          <w:color w:val="auto"/>
        </w:rPr>
        <w:t>. The Company shall pay the Executive a lump sum in cash in an amount equal to the sum of (A) twelve (12) months’ of the Executive’s then-current Base Salary (or the Executive’s Base Salary in effect immediately prior to the Change in Control, if higher), and (B) the Executive’s Target Bonus for the then-current year (or the Executive’s Target Bonus in effect immediately prior to the Change in Control, if higher), plus, if applicable, any Earned Bonus (the “</w:t>
      </w:r>
      <w:r>
        <w:rPr>
          <w:rFonts w:ascii="Arial" w:cs="Arial" w:eastAsia="Arial" w:hAnsi="Arial"/>
          <w:sz w:val="18"/>
          <w:szCs w:val="18"/>
          <w:b w:val="1"/>
          <w:bCs w:val="1"/>
          <w:i w:val="1"/>
          <w:iCs w:val="1"/>
          <w:u w:val="single" w:color="auto"/>
          <w:color w:val="auto"/>
        </w:rPr>
        <w:t>Change in Control Payment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 w:right="120" w:firstLine="987"/>
        <w:spacing w:after="0" w:line="257" w:lineRule="auto"/>
        <w:tabs>
          <w:tab w:leader="none" w:pos="125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COBRA Premiums</w:t>
      </w:r>
      <w:r>
        <w:rPr>
          <w:rFonts w:ascii="Arial" w:cs="Arial" w:eastAsia="Arial" w:hAnsi="Arial"/>
          <w:sz w:val="18"/>
          <w:szCs w:val="18"/>
          <w:color w:val="auto"/>
        </w:rPr>
        <w:t>. 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twelve (12) month anniversary of the Date of Termination; (B) the date that the Executive becomes eligible for group medical plan benefits</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4" w:right="499" w:bottom="1440" w:gutter="0" w:footer="0" w:header="0"/>
        </w:sectPr>
      </w:pPr>
    </w:p>
    <w:bookmarkStart w:id="58" w:name="page59"/>
    <w:bookmarkEnd w:id="58"/>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68" w:lineRule="exact"/>
        <w:rPr>
          <w:sz w:val="20"/>
          <w:szCs w:val="20"/>
          <w:color w:val="auto"/>
        </w:rPr>
      </w:pPr>
    </w:p>
    <w:p>
      <w:pPr>
        <w:ind w:firstLine="987"/>
        <w:spacing w:after="0" w:line="270" w:lineRule="auto"/>
        <w:tabs>
          <w:tab w:leader="none" w:pos="1236"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Notwithstanding anything to the contrary in any Equity Award, the Time-Based Equity Awards shall immediately accelerate and become fully vested and exercisable or nonforfeitable as if the Executive had remained employed with the Company as of the later of (i) the Date of Termination (or, if later, the Change in Control) or (ii) the effective date of the Separation Agreement (the “</w:t>
      </w:r>
      <w:r>
        <w:rPr>
          <w:rFonts w:ascii="Arial" w:cs="Arial" w:eastAsia="Arial" w:hAnsi="Arial"/>
          <w:sz w:val="17"/>
          <w:szCs w:val="17"/>
          <w:b w:val="1"/>
          <w:bCs w:val="1"/>
          <w:i w:val="1"/>
          <w:iCs w:val="1"/>
          <w:u w:val="single" w:color="auto"/>
          <w:color w:val="auto"/>
        </w:rPr>
        <w:t>Accelerated</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Vesting Date</w:t>
      </w:r>
      <w:r>
        <w:rPr>
          <w:rFonts w:ascii="Arial" w:cs="Arial" w:eastAsia="Arial" w:hAnsi="Arial"/>
          <w:sz w:val="17"/>
          <w:szCs w:val="17"/>
          <w:color w:val="auto"/>
        </w:rPr>
        <w:t>”), provided that in order to effectuate the accelerated vesting contemplated by this subsection, the unvested portion of such Equity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the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72" w:lineRule="exact"/>
        <w:rPr>
          <w:rFonts w:ascii="Arial" w:cs="Arial" w:eastAsia="Arial" w:hAnsi="Arial"/>
          <w:sz w:val="17"/>
          <w:szCs w:val="17"/>
          <w:color w:val="auto"/>
        </w:rPr>
      </w:pPr>
    </w:p>
    <w:p>
      <w:pPr>
        <w:ind w:firstLine="987"/>
        <w:spacing w:after="0" w:line="301" w:lineRule="auto"/>
        <w:tabs>
          <w:tab w:leader="none" w:pos="1246"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Change in Control Payment Timing</w:t>
      </w:r>
      <w:r>
        <w:rPr>
          <w:rFonts w:ascii="Arial" w:cs="Arial" w:eastAsia="Arial" w:hAnsi="Arial"/>
          <w:sz w:val="16"/>
          <w:szCs w:val="16"/>
          <w:color w:val="auto"/>
        </w:rPr>
        <w:t>. The amounts payable under this Section 6, to the extent taxable, shall be paid or commence to be paid within sixty (60)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49" w:lineRule="exact"/>
        <w:rPr>
          <w:rFonts w:ascii="Arial" w:cs="Arial" w:eastAsia="Arial" w:hAnsi="Arial"/>
          <w:sz w:val="16"/>
          <w:szCs w:val="16"/>
          <w:color w:val="auto"/>
        </w:rPr>
      </w:pPr>
    </w:p>
    <w:p>
      <w:pPr>
        <w:ind w:left="620" w:hanging="184"/>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280G Limitation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87"/>
        <w:spacing w:after="0" w:line="253" w:lineRule="auto"/>
        <w:tabs>
          <w:tab w:leader="none" w:pos="1236"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8"/>
          <w:szCs w:val="18"/>
          <w:b w:val="1"/>
          <w:bCs w:val="1"/>
          <w:i w:val="1"/>
          <w:iCs w:val="1"/>
          <w:u w:val="single" w:color="auto"/>
          <w:color w:val="auto"/>
        </w:rPr>
        <w:t>Aggregate Payments</w:t>
      </w:r>
      <w:r>
        <w:rPr>
          <w:rFonts w:ascii="Arial" w:cs="Arial" w:eastAsia="Arial" w:hAnsi="Arial"/>
          <w:sz w:val="18"/>
          <w:szCs w:val="18"/>
          <w:color w:val="auto"/>
        </w:rPr>
        <w:t>”),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59" w:name="page60"/>
    <w:bookmarkEnd w:id="5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from consummation of the transaction that is subject to Section 280G of the Code: (1) cash payments not subject to Section 409A of the Code;</w:t>
      </w:r>
    </w:p>
    <w:p>
      <w:pPr>
        <w:spacing w:after="0" w:line="46" w:lineRule="exact"/>
        <w:rPr>
          <w:sz w:val="20"/>
          <w:szCs w:val="20"/>
          <w:color w:val="auto"/>
        </w:rPr>
      </w:pPr>
    </w:p>
    <w:p>
      <w:pPr>
        <w:ind w:left="4" w:hanging="4"/>
        <w:spacing w:after="0" w:line="277" w:lineRule="auto"/>
        <w:tabs>
          <w:tab w:leader="none" w:pos="259" w:val="left"/>
        </w:tabs>
        <w:numPr>
          <w:ilvl w:val="0"/>
          <w:numId w:val="84"/>
        </w:numPr>
        <w:rPr>
          <w:rFonts w:ascii="Arial" w:cs="Arial" w:eastAsia="Arial" w:hAnsi="Arial"/>
          <w:sz w:val="17"/>
          <w:szCs w:val="17"/>
          <w:color w:val="auto"/>
        </w:rPr>
      </w:pPr>
      <w:r>
        <w:rPr>
          <w:rFonts w:ascii="Arial" w:cs="Arial" w:eastAsia="Arial" w:hAnsi="Arial"/>
          <w:sz w:val="17"/>
          <w:szCs w:val="17"/>
          <w:color w:val="auto"/>
        </w:rPr>
        <w:t>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64" w:lineRule="exact"/>
        <w:rPr>
          <w:rFonts w:ascii="Arial" w:cs="Arial" w:eastAsia="Arial" w:hAnsi="Arial"/>
          <w:sz w:val="17"/>
          <w:szCs w:val="17"/>
          <w:color w:val="auto"/>
        </w:rPr>
      </w:pPr>
    </w:p>
    <w:p>
      <w:pPr>
        <w:ind w:left="4" w:right="60" w:firstLine="987"/>
        <w:spacing w:after="0" w:line="255" w:lineRule="auto"/>
        <w:tabs>
          <w:tab w:leader="none" w:pos="1250" w:val="left"/>
        </w:tabs>
        <w:numPr>
          <w:ilvl w:val="2"/>
          <w:numId w:val="84"/>
        </w:numPr>
        <w:rPr>
          <w:rFonts w:ascii="Arial" w:cs="Arial" w:eastAsia="Arial" w:hAnsi="Arial"/>
          <w:sz w:val="18"/>
          <w:szCs w:val="18"/>
          <w:color w:val="auto"/>
        </w:rPr>
      </w:pPr>
      <w:r>
        <w:rPr>
          <w:rFonts w:ascii="Arial" w:cs="Arial" w:eastAsia="Arial" w:hAnsi="Arial"/>
          <w:sz w:val="18"/>
          <w:szCs w:val="18"/>
          <w:color w:val="auto"/>
        </w:rPr>
        <w:t>For purposes of this Section 7, the “</w:t>
      </w:r>
      <w:r>
        <w:rPr>
          <w:rFonts w:ascii="Arial" w:cs="Arial" w:eastAsia="Arial" w:hAnsi="Arial"/>
          <w:sz w:val="18"/>
          <w:szCs w:val="18"/>
          <w:b w:val="1"/>
          <w:bCs w:val="1"/>
          <w:i w:val="1"/>
          <w:iCs w:val="1"/>
          <w:u w:val="single" w:color="auto"/>
          <w:color w:val="auto"/>
        </w:rPr>
        <w:t>After Tax Amount</w:t>
      </w:r>
      <w:r>
        <w:rPr>
          <w:rFonts w:ascii="Arial" w:cs="Arial" w:eastAsia="Arial" w:hAnsi="Arial"/>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84" w:lineRule="exact"/>
        <w:rPr>
          <w:rFonts w:ascii="Arial" w:cs="Arial" w:eastAsia="Arial" w:hAnsi="Arial"/>
          <w:sz w:val="18"/>
          <w:szCs w:val="18"/>
          <w:color w:val="auto"/>
        </w:rPr>
      </w:pPr>
    </w:p>
    <w:p>
      <w:pPr>
        <w:ind w:left="4" w:right="20" w:firstLine="987"/>
        <w:spacing w:after="0" w:line="284" w:lineRule="auto"/>
        <w:tabs>
          <w:tab w:leader="none" w:pos="1240" w:val="left"/>
        </w:tabs>
        <w:numPr>
          <w:ilvl w:val="2"/>
          <w:numId w:val="84"/>
        </w:numPr>
        <w:rPr>
          <w:rFonts w:ascii="Arial" w:cs="Arial" w:eastAsia="Arial" w:hAnsi="Arial"/>
          <w:sz w:val="16"/>
          <w:szCs w:val="16"/>
          <w:color w:val="auto"/>
        </w:rPr>
      </w:pPr>
      <w:r>
        <w:rPr>
          <w:rFonts w:ascii="Arial" w:cs="Arial" w:eastAsia="Arial" w:hAnsi="Arial"/>
          <w:sz w:val="16"/>
          <w:szCs w:val="16"/>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Arial" w:cs="Arial" w:eastAsia="Arial" w:hAnsi="Arial"/>
          <w:sz w:val="16"/>
          <w:szCs w:val="16"/>
          <w:b w:val="1"/>
          <w:bCs w:val="1"/>
          <w:i w:val="1"/>
          <w:iCs w:val="1"/>
          <w:color w:val="auto"/>
        </w:rPr>
        <w:t>Independent Advisors</w:t>
      </w:r>
      <w:r>
        <w:rPr>
          <w:rFonts w:ascii="Arial" w:cs="Arial" w:eastAsia="Arial" w:hAnsi="Arial"/>
          <w:sz w:val="16"/>
          <w:szCs w:val="16"/>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w:t>
      </w:r>
    </w:p>
    <w:p>
      <w:pPr>
        <w:spacing w:after="0" w:line="2"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the Executive within fifteen (15) business days of the Date of Termination, if applicable, or at such earlier time as is reasonably requested by the Company or the Executive. Any determination by the Independent Advisors shall be binding upon the Company and the Executive.</w:t>
      </w:r>
    </w:p>
    <w:p>
      <w:pPr>
        <w:spacing w:after="0" w:line="85" w:lineRule="exact"/>
        <w:rPr>
          <w:rFonts w:ascii="Arial" w:cs="Arial" w:eastAsia="Arial" w:hAnsi="Arial"/>
          <w:sz w:val="16"/>
          <w:szCs w:val="16"/>
          <w:color w:val="auto"/>
        </w:rPr>
      </w:pPr>
    </w:p>
    <w:p>
      <w:pPr>
        <w:ind w:left="624" w:hanging="184"/>
        <w:spacing w:after="0"/>
        <w:tabs>
          <w:tab w:leader="none" w:pos="624"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987"/>
        <w:spacing w:after="0" w:line="279" w:lineRule="auto"/>
        <w:tabs>
          <w:tab w:leader="none" w:pos="1240" w:val="left"/>
        </w:tabs>
        <w:numPr>
          <w:ilvl w:val="2"/>
          <w:numId w:val="85"/>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additional</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60" w:name="page61"/>
    <w:bookmarkEnd w:id="60"/>
    <w:p>
      <w:pPr>
        <w:jc w:val="both"/>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imposed pursuant to Section 409A(a) of the Code as a result of the application of Section 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68" w:lineRule="exact"/>
        <w:rPr>
          <w:sz w:val="20"/>
          <w:szCs w:val="20"/>
          <w:color w:val="auto"/>
        </w:rPr>
      </w:pPr>
    </w:p>
    <w:p>
      <w:pPr>
        <w:ind w:right="40" w:firstLine="987"/>
        <w:spacing w:after="0" w:line="273" w:lineRule="auto"/>
        <w:tabs>
          <w:tab w:leader="none" w:pos="1246" w:val="left"/>
        </w:tabs>
        <w:numPr>
          <w:ilvl w:val="0"/>
          <w:numId w:val="86"/>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69" w:lineRule="exact"/>
        <w:rPr>
          <w:rFonts w:ascii="Arial" w:cs="Arial" w:eastAsia="Arial" w:hAnsi="Arial"/>
          <w:sz w:val="17"/>
          <w:szCs w:val="17"/>
          <w:color w:val="auto"/>
        </w:rPr>
      </w:pPr>
    </w:p>
    <w:p>
      <w:pPr>
        <w:jc w:val="both"/>
        <w:ind w:right="160" w:firstLine="987"/>
        <w:spacing w:after="0" w:line="279" w:lineRule="auto"/>
        <w:tabs>
          <w:tab w:leader="none" w:pos="1236"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63" w:lineRule="exact"/>
        <w:rPr>
          <w:rFonts w:ascii="Arial" w:cs="Arial" w:eastAsia="Arial" w:hAnsi="Arial"/>
          <w:sz w:val="17"/>
          <w:szCs w:val="17"/>
          <w:color w:val="auto"/>
        </w:rPr>
      </w:pPr>
    </w:p>
    <w:p>
      <w:pPr>
        <w:ind w:right="220" w:firstLine="987"/>
        <w:spacing w:after="0" w:line="290" w:lineRule="auto"/>
        <w:tabs>
          <w:tab w:leader="none" w:pos="124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57" w:lineRule="exact"/>
        <w:rPr>
          <w:rFonts w:ascii="Arial" w:cs="Arial" w:eastAsia="Arial" w:hAnsi="Arial"/>
          <w:sz w:val="16"/>
          <w:szCs w:val="16"/>
          <w:color w:val="auto"/>
        </w:rPr>
      </w:pPr>
    </w:p>
    <w:p>
      <w:pPr>
        <w:ind w:firstLine="987"/>
        <w:spacing w:after="0" w:line="263" w:lineRule="auto"/>
        <w:tabs>
          <w:tab w:leader="none" w:pos="12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61" w:name="page62"/>
    <w:bookmarkEnd w:id="61"/>
    <w:p>
      <w:pPr>
        <w:ind w:left="580" w:hanging="184"/>
        <w:spacing w:after="0"/>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Continuing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right="120" w:firstLine="987"/>
        <w:spacing w:after="0" w:line="275" w:lineRule="auto"/>
        <w:tabs>
          <w:tab w:leader="none" w:pos="1196"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Restrictive Covenants Agreement</w:t>
      </w:r>
      <w:r>
        <w:rPr>
          <w:rFonts w:ascii="Arial" w:cs="Arial" w:eastAsia="Arial" w:hAnsi="Arial"/>
          <w:sz w:val="17"/>
          <w:szCs w:val="17"/>
          <w:color w:val="auto"/>
        </w:rPr>
        <w:t>. By signing this Agreement, the Executive reaffirms that the terms of the Employee Proprietary Information and Inventions Assignment Agreement, dated July 12, 2020 between the Company and the Executive (the “</w:t>
      </w:r>
      <w:r>
        <w:rPr>
          <w:rFonts w:ascii="Arial" w:cs="Arial" w:eastAsia="Arial" w:hAnsi="Arial"/>
          <w:sz w:val="17"/>
          <w:szCs w:val="17"/>
          <w:b w:val="1"/>
          <w:bCs w:val="1"/>
          <w:i w:val="1"/>
          <w:iCs w:val="1"/>
          <w:u w:val="single" w:color="auto"/>
          <w:color w:val="auto"/>
        </w:rPr>
        <w:t>Restrictive Covenants</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Agreement</w:t>
      </w:r>
      <w:r>
        <w:rPr>
          <w:rFonts w:ascii="Arial" w:cs="Arial" w:eastAsia="Arial" w:hAnsi="Arial"/>
          <w:sz w:val="17"/>
          <w:szCs w:val="17"/>
          <w:color w:val="auto"/>
        </w:rPr>
        <w:t>”) continues to be in full force and effect. For purposes of this Agreement, the obligations in this Section 9 and those that arise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Restrictive Covenants Agreement and any other agreement relating to confidentiality, assignment of inventions, or other restrictive covenants that may later be agreed to by the Executive shall collectively be referred to as the “</w:t>
      </w:r>
      <w:r>
        <w:rPr>
          <w:rFonts w:ascii="Arial" w:cs="Arial" w:eastAsia="Arial" w:hAnsi="Arial"/>
          <w:sz w:val="17"/>
          <w:szCs w:val="17"/>
          <w:b w:val="1"/>
          <w:bCs w:val="1"/>
          <w:i w:val="1"/>
          <w:iCs w:val="1"/>
          <w:u w:val="single" w:color="auto"/>
          <w:color w:val="auto"/>
        </w:rPr>
        <w:t>Continuing Obligations</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40" w:right="100" w:firstLine="987"/>
        <w:spacing w:after="0" w:line="254" w:lineRule="auto"/>
        <w:tabs>
          <w:tab w:leader="none" w:pos="1206"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Third-Party Agreements and Rights</w:t>
      </w:r>
      <w:r>
        <w:rPr>
          <w:rFonts w:ascii="Arial" w:cs="Arial" w:eastAsia="Arial" w:hAnsi="Arial"/>
          <w:sz w:val="18"/>
          <w:szCs w:val="18"/>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83" w:lineRule="exact"/>
        <w:rPr>
          <w:rFonts w:ascii="Arial" w:cs="Arial" w:eastAsia="Arial" w:hAnsi="Arial"/>
          <w:sz w:val="18"/>
          <w:szCs w:val="18"/>
          <w:color w:val="auto"/>
        </w:rPr>
      </w:pPr>
    </w:p>
    <w:p>
      <w:pPr>
        <w:ind w:left="-40" w:firstLine="987"/>
        <w:spacing w:after="0" w:line="269" w:lineRule="auto"/>
        <w:tabs>
          <w:tab w:leader="none" w:pos="1196"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Litigation and Regulatory Cooperation</w:t>
      </w:r>
      <w:r>
        <w:rPr>
          <w:rFonts w:ascii="Arial" w:cs="Arial" w:eastAsia="Arial" w:hAnsi="Arial"/>
          <w:sz w:val="17"/>
          <w:szCs w:val="17"/>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9(c), which shall be in addition to its obligations to provide indemnification to the Executive.</w:t>
      </w:r>
    </w:p>
    <w:p>
      <w:pPr>
        <w:spacing w:after="0" w:line="73" w:lineRule="exact"/>
        <w:rPr>
          <w:rFonts w:ascii="Arial" w:cs="Arial" w:eastAsia="Arial" w:hAnsi="Arial"/>
          <w:sz w:val="17"/>
          <w:szCs w:val="17"/>
          <w:color w:val="auto"/>
        </w:rPr>
      </w:pPr>
    </w:p>
    <w:p>
      <w:pPr>
        <w:ind w:left="-40" w:right="120" w:firstLine="987"/>
        <w:spacing w:after="0" w:line="257" w:lineRule="auto"/>
        <w:tabs>
          <w:tab w:leader="none" w:pos="1206"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Relief</w:t>
      </w:r>
      <w:r>
        <w:rPr>
          <w:rFonts w:ascii="Arial" w:cs="Arial" w:eastAsia="Arial" w:hAnsi="Arial"/>
          <w:sz w:val="18"/>
          <w:szCs w:val="18"/>
          <w:color w:val="auto"/>
        </w:rPr>
        <w:t>. The Executive agrees that it would be difficult to measure any damages caused to the Company which might result from any breach by the Executive of the Continuing Obligations, and that in any event monetary damages would be an inadequate remedy for any such breach. Accordingly</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4" w:right="499" w:bottom="1440" w:gutter="0" w:footer="0" w:header="0"/>
        </w:sectPr>
      </w:pPr>
    </w:p>
    <w:bookmarkStart w:id="62" w:name="page63"/>
    <w:bookmarkEnd w:id="62"/>
    <w:p>
      <w:pPr>
        <w:ind w:left="4" w:right="40" w:firstLine="436"/>
        <w:spacing w:after="0" w:line="291" w:lineRule="auto"/>
        <w:tabs>
          <w:tab w:leader="none" w:pos="624"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to Jurisdiction</w:t>
      </w:r>
      <w:r>
        <w:rPr>
          <w:rFonts w:ascii="Arial" w:cs="Arial" w:eastAsia="Arial" w:hAnsi="Arial"/>
          <w:sz w:val="16"/>
          <w:szCs w:val="16"/>
          <w:color w:val="auto"/>
        </w:rPr>
        <w:t>. The parties hereby consent to the jurisdiction of the state and federal courts of the California. Accordingly, with respect to any such court action, the Executive (a) submits to the exclusive personal jurisdiction of such courts; (b) consents to service of process; and</w:t>
      </w:r>
    </w:p>
    <w:p>
      <w:pPr>
        <w:ind w:left="244" w:hanging="244"/>
        <w:spacing w:after="0"/>
        <w:tabs>
          <w:tab w:leader="none" w:pos="244" w:val="left"/>
        </w:tabs>
        <w:numPr>
          <w:ilvl w:val="0"/>
          <w:numId w:val="89"/>
        </w:numPr>
        <w:rPr>
          <w:rFonts w:ascii="Arial" w:cs="Arial" w:eastAsia="Arial" w:hAnsi="Arial"/>
          <w:sz w:val="16"/>
          <w:szCs w:val="16"/>
          <w:color w:val="auto"/>
        </w:rPr>
      </w:pPr>
      <w:r>
        <w:rPr>
          <w:rFonts w:ascii="Arial" w:cs="Arial" w:eastAsia="Arial" w:hAnsi="Arial"/>
          <w:sz w:val="16"/>
          <w:szCs w:val="16"/>
          <w:color w:val="auto"/>
        </w:rPr>
        <w:t>waives any other requirement (whether imposed by statute, rule of court, or otherwise) with respect to personal jurisdiction or service of process.</w:t>
      </w:r>
    </w:p>
    <w:p>
      <w:pPr>
        <w:spacing w:after="0" w:line="125" w:lineRule="exact"/>
        <w:rPr>
          <w:rFonts w:ascii="Arial" w:cs="Arial" w:eastAsia="Arial" w:hAnsi="Arial"/>
          <w:sz w:val="16"/>
          <w:szCs w:val="16"/>
          <w:color w:val="auto"/>
        </w:rPr>
      </w:pPr>
    </w:p>
    <w:p>
      <w:pPr>
        <w:ind w:left="4" w:right="20" w:firstLine="436"/>
        <w:spacing w:after="0" w:line="263" w:lineRule="auto"/>
        <w:tabs>
          <w:tab w:leader="none" w:pos="714"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 prior agreements between the parties concerning such subject matter, including the Prior Agreement, provided that the Restrictive Covenants Agreement and the agreements governing any Equity Awards remain in full force and effect.</w:t>
      </w:r>
    </w:p>
    <w:p>
      <w:pPr>
        <w:spacing w:after="0" w:line="75" w:lineRule="exact"/>
        <w:rPr>
          <w:rFonts w:ascii="Arial" w:cs="Arial" w:eastAsia="Arial" w:hAnsi="Arial"/>
          <w:sz w:val="18"/>
          <w:szCs w:val="18"/>
          <w:color w:val="auto"/>
        </w:rPr>
      </w:pPr>
    </w:p>
    <w:p>
      <w:pPr>
        <w:ind w:left="4" w:right="20" w:firstLine="436"/>
        <w:spacing w:after="0" w:line="259" w:lineRule="auto"/>
        <w:tabs>
          <w:tab w:leader="none" w:pos="707"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Withholding; Tax Effect</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78" w:lineRule="exact"/>
        <w:rPr>
          <w:rFonts w:ascii="Arial" w:cs="Arial" w:eastAsia="Arial" w:hAnsi="Arial"/>
          <w:sz w:val="18"/>
          <w:szCs w:val="18"/>
          <w:color w:val="auto"/>
        </w:rPr>
      </w:pPr>
    </w:p>
    <w:p>
      <w:pPr>
        <w:ind w:left="4" w:right="140" w:firstLine="436"/>
        <w:spacing w:after="0" w:line="291" w:lineRule="auto"/>
        <w:tabs>
          <w:tab w:leader="none" w:pos="714"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w:t>
      </w:r>
    </w:p>
    <w:p>
      <w:pPr>
        <w:ind w:left="4" w:hanging="4"/>
        <w:spacing w:after="0" w:line="267" w:lineRule="auto"/>
        <w:tabs>
          <w:tab w:leader="none" w:pos="259"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 The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the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63" w:name="page64"/>
    <w:bookmarkEnd w:id="63"/>
    <w:p>
      <w:pPr>
        <w:ind w:left="4" w:right="140" w:firstLine="436"/>
        <w:spacing w:after="0" w:line="279" w:lineRule="auto"/>
        <w:tabs>
          <w:tab w:leader="none" w:pos="714"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63" w:lineRule="exact"/>
        <w:rPr>
          <w:rFonts w:ascii="Arial" w:cs="Arial" w:eastAsia="Arial" w:hAnsi="Arial"/>
          <w:sz w:val="17"/>
          <w:szCs w:val="17"/>
          <w:color w:val="auto"/>
        </w:rPr>
      </w:pPr>
    </w:p>
    <w:p>
      <w:pPr>
        <w:ind w:left="4" w:right="80" w:firstLine="436"/>
        <w:spacing w:after="0" w:line="286" w:lineRule="auto"/>
        <w:tabs>
          <w:tab w:leader="none" w:pos="714"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shall survive the termination of this Agreement and/or the termination of the Executive’s employment to the extent necessary to effectuate the terms contained herein, including but not limited to the Company’s obligation to make severance payments or provide indemnification and the Executive’s obligations to comply with the Continuing Obligations.</w:t>
      </w:r>
    </w:p>
    <w:p>
      <w:pPr>
        <w:spacing w:after="0" w:line="57" w:lineRule="exact"/>
        <w:rPr>
          <w:rFonts w:ascii="Arial" w:cs="Arial" w:eastAsia="Arial" w:hAnsi="Arial"/>
          <w:sz w:val="17"/>
          <w:szCs w:val="17"/>
          <w:color w:val="auto"/>
        </w:rPr>
      </w:pPr>
    </w:p>
    <w:p>
      <w:pPr>
        <w:ind w:left="4" w:firstLine="436"/>
        <w:spacing w:after="0" w:line="263" w:lineRule="auto"/>
        <w:tabs>
          <w:tab w:leader="none" w:pos="714"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75" w:lineRule="exact"/>
        <w:rPr>
          <w:rFonts w:ascii="Arial" w:cs="Arial" w:eastAsia="Arial" w:hAnsi="Arial"/>
          <w:sz w:val="18"/>
          <w:szCs w:val="18"/>
          <w:color w:val="auto"/>
        </w:rPr>
      </w:pPr>
    </w:p>
    <w:p>
      <w:pPr>
        <w:ind w:left="704" w:hanging="264"/>
        <w:spacing w:after="0"/>
        <w:tabs>
          <w:tab w:leader="none" w:pos="704"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requests, demands and other communications provided for by this Agreement shall be sufficient if in writing and</w:t>
      </w:r>
    </w:p>
    <w:p>
      <w:pPr>
        <w:spacing w:after="0" w:line="34" w:lineRule="exact"/>
        <w:rPr>
          <w:rFonts w:ascii="Arial" w:cs="Arial" w:eastAsia="Arial" w:hAnsi="Arial"/>
          <w:sz w:val="17"/>
          <w:szCs w:val="17"/>
          <w:color w:val="auto"/>
        </w:rPr>
      </w:pPr>
    </w:p>
    <w:p>
      <w:pPr>
        <w:jc w:val="both"/>
        <w:ind w:left="4" w:right="160" w:hanging="4"/>
        <w:spacing w:after="0" w:line="253" w:lineRule="auto"/>
        <w:tabs>
          <w:tab w:leader="none" w:pos="219"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delivered in person, (ii)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or (iii) sent via email to the Executive at the Executive’s Company email address or, in the case of the Company, to the CEO’s Company email address.</w:t>
      </w:r>
    </w:p>
    <w:p>
      <w:pPr>
        <w:spacing w:after="0" w:line="84" w:lineRule="exact"/>
        <w:rPr>
          <w:rFonts w:ascii="Arial" w:cs="Arial" w:eastAsia="Arial" w:hAnsi="Arial"/>
          <w:sz w:val="18"/>
          <w:szCs w:val="18"/>
          <w:color w:val="auto"/>
        </w:rPr>
      </w:pPr>
    </w:p>
    <w:p>
      <w:pPr>
        <w:ind w:left="4" w:right="200" w:firstLine="436"/>
        <w:spacing w:after="0" w:line="277" w:lineRule="auto"/>
        <w:tabs>
          <w:tab w:leader="none" w:pos="714"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62" w:lineRule="exact"/>
        <w:rPr>
          <w:rFonts w:ascii="Arial" w:cs="Arial" w:eastAsia="Arial" w:hAnsi="Arial"/>
          <w:sz w:val="18"/>
          <w:szCs w:val="18"/>
          <w:color w:val="auto"/>
        </w:rPr>
      </w:pPr>
    </w:p>
    <w:p>
      <w:pPr>
        <w:ind w:left="4" w:firstLine="436"/>
        <w:spacing w:after="0" w:line="270" w:lineRule="auto"/>
        <w:tabs>
          <w:tab w:leader="none" w:pos="714" w:val="left"/>
        </w:tabs>
        <w:numPr>
          <w:ilvl w:val="1"/>
          <w:numId w:val="92"/>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The Company will (i) indemnify the Executive with respect to claims arising out of any action taken or not taken in Executive’s capacity as an officer or employee of the Company or its subsidiaries; provided, that the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the Executive all reasonable and documented out of pocket costs and expenses incurred by the Executive in connection with the foregoing clause (i), including but not limited to attorneys’ fees, and (iii) provide for the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the Executive if it shall ultimately be determined that the Executive is not entitled to be indemnified by the Company pursuant to this Section 19. Nothing</w:t>
      </w:r>
    </w:p>
    <w:p>
      <w:pPr>
        <w:spacing w:after="0" w:line="11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4"/>
          </w:cols>
          <w:pgMar w:left="436" w:top="274" w:right="579" w:bottom="1440" w:gutter="0" w:footer="0" w:header="0"/>
        </w:sectPr>
      </w:pPr>
    </w:p>
    <w:bookmarkStart w:id="64" w:name="page65"/>
    <w:bookmarkEnd w:id="6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herein shall limit any right that the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the Executive after his or her termination of employment.</w:t>
      </w:r>
    </w:p>
    <w:p>
      <w:pPr>
        <w:spacing w:after="0" w:line="79" w:lineRule="exact"/>
        <w:rPr>
          <w:sz w:val="20"/>
          <w:szCs w:val="20"/>
          <w:color w:val="auto"/>
        </w:rPr>
      </w:pPr>
    </w:p>
    <w:p>
      <w:pPr>
        <w:ind w:right="280" w:firstLine="436"/>
        <w:spacing w:after="0" w:line="301" w:lineRule="auto"/>
        <w:tabs>
          <w:tab w:leader="none" w:pos="71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No Mitigation; Offset</w:t>
      </w:r>
      <w:r>
        <w:rPr>
          <w:rFonts w:ascii="Arial" w:cs="Arial" w:eastAsia="Arial" w:hAnsi="Arial"/>
          <w:sz w:val="16"/>
          <w:szCs w:val="16"/>
          <w:color w:val="auto"/>
        </w:rPr>
        <w:t>. In the event of any termination of employment and service hereunder, the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49" w:lineRule="exact"/>
        <w:rPr>
          <w:rFonts w:ascii="Arial" w:cs="Arial" w:eastAsia="Arial" w:hAnsi="Arial"/>
          <w:sz w:val="16"/>
          <w:szCs w:val="16"/>
          <w:color w:val="auto"/>
        </w:rPr>
      </w:pPr>
    </w:p>
    <w:p>
      <w:pPr>
        <w:ind w:right="80" w:firstLine="436"/>
        <w:spacing w:after="0" w:line="270" w:lineRule="auto"/>
        <w:tabs>
          <w:tab w:leader="none" w:pos="71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Effect on Other Plans and Agreements</w:t>
      </w:r>
      <w:r>
        <w:rPr>
          <w:rFonts w:ascii="Arial" w:cs="Arial" w:eastAsia="Arial" w:hAnsi="Arial"/>
          <w:sz w:val="17"/>
          <w:szCs w:val="17"/>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to the extent specifically provided in Section 7 hereof, and except that the Executive shall have no rights to continue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cash severance payments or benefits pursuant to both Section 5 and Section 6 of this Agreement.</w:t>
      </w:r>
    </w:p>
    <w:p>
      <w:pPr>
        <w:spacing w:after="0" w:line="72" w:lineRule="exact"/>
        <w:rPr>
          <w:rFonts w:ascii="Arial" w:cs="Arial" w:eastAsia="Arial" w:hAnsi="Arial"/>
          <w:sz w:val="17"/>
          <w:szCs w:val="17"/>
          <w:color w:val="auto"/>
        </w:rPr>
      </w:pPr>
    </w:p>
    <w:p>
      <w:pPr>
        <w:ind w:left="700" w:hanging="264"/>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Governing Law; Venue and Enforcement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87"/>
        <w:spacing w:after="0" w:line="259" w:lineRule="auto"/>
        <w:tabs>
          <w:tab w:leader="none" w:pos="1236"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applicable federal laws and, to the extent not inconsistent therewith or preempted thereby, with the laws of the State of California, including any applicable statutes of limitation, without regard to any otherwise applicable principles of conflicts of laws or choice of law rules (whether of California or any other jurisdiction) that would result in the application of the substantive or procedural rules or law of any other jurisdiction.</w:t>
      </w:r>
    </w:p>
    <w:p>
      <w:pPr>
        <w:spacing w:after="0" w:line="78" w:lineRule="exact"/>
        <w:rPr>
          <w:rFonts w:ascii="Arial" w:cs="Arial" w:eastAsia="Arial" w:hAnsi="Arial"/>
          <w:sz w:val="18"/>
          <w:szCs w:val="18"/>
          <w:color w:val="auto"/>
        </w:rPr>
      </w:pPr>
    </w:p>
    <w:p>
      <w:pPr>
        <w:ind w:firstLine="987"/>
        <w:spacing w:after="0" w:line="257" w:lineRule="auto"/>
        <w:tabs>
          <w:tab w:leader="none" w:pos="1246"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party agrees that any controversy or claim arising out of or relating to this Agreement or the alleged breach hereof shall be instituted in the United States District Court for the Northern District of California, or if that court does not have or will not accept jurisdiction, in any court of general jurisdiction in the State of California,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65" w:name="page66"/>
    <w:bookmarkEnd w:id="65"/>
    <w:p>
      <w:pPr>
        <w:ind w:left="4" w:right="20" w:firstLine="987"/>
        <w:spacing w:after="0" w:line="259" w:lineRule="auto"/>
        <w:tabs>
          <w:tab w:leader="none" w:pos="1240" w:val="left"/>
        </w:tabs>
        <w:numPr>
          <w:ilvl w:val="2"/>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78" w:lineRule="exact"/>
        <w:rPr>
          <w:rFonts w:ascii="Arial" w:cs="Arial" w:eastAsia="Arial" w:hAnsi="Arial"/>
          <w:sz w:val="18"/>
          <w:szCs w:val="18"/>
          <w:color w:val="auto"/>
        </w:rPr>
      </w:pPr>
    </w:p>
    <w:p>
      <w:pPr>
        <w:ind w:left="4" w:right="20" w:firstLine="987"/>
        <w:spacing w:after="0" w:line="269" w:lineRule="auto"/>
        <w:tabs>
          <w:tab w:leader="none" w:pos="1250" w:val="left"/>
        </w:tabs>
        <w:numPr>
          <w:ilvl w:val="2"/>
          <w:numId w:val="94"/>
        </w:numPr>
        <w:rPr>
          <w:rFonts w:ascii="Arial" w:cs="Arial" w:eastAsia="Arial" w:hAnsi="Arial"/>
          <w:sz w:val="17"/>
          <w:szCs w:val="17"/>
          <w:color w:val="auto"/>
        </w:rPr>
      </w:pPr>
      <w:r>
        <w:rPr>
          <w:rFonts w:ascii="Arial" w:cs="Arial" w:eastAsia="Arial" w:hAnsi="Arial"/>
          <w:sz w:val="17"/>
          <w:szCs w:val="17"/>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77" w:lineRule="exact"/>
        <w:rPr>
          <w:rFonts w:ascii="Arial" w:cs="Arial" w:eastAsia="Arial" w:hAnsi="Arial"/>
          <w:sz w:val="17"/>
          <w:szCs w:val="17"/>
          <w:color w:val="auto"/>
        </w:rPr>
      </w:pPr>
    </w:p>
    <w:p>
      <w:pPr>
        <w:ind w:left="4" w:firstLine="436"/>
        <w:spacing w:after="0" w:line="285" w:lineRule="auto"/>
        <w:tabs>
          <w:tab w:leader="none" w:pos="714"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Recoupment</w:t>
      </w:r>
      <w:r>
        <w:rPr>
          <w:rFonts w:ascii="Arial" w:cs="Arial" w:eastAsia="Arial" w:hAnsi="Arial"/>
          <w:sz w:val="16"/>
          <w:szCs w:val="16"/>
          <w:color w:val="auto"/>
        </w:rPr>
        <w:t>. Executive shall be required to repay incentive pay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Arial" w:cs="Arial" w:eastAsia="Arial" w:hAnsi="Arial"/>
          <w:sz w:val="16"/>
          <w:szCs w:val="16"/>
          <w:b w:val="1"/>
          <w:bCs w:val="1"/>
          <w:i w:val="1"/>
          <w:iCs w:val="1"/>
          <w:color w:val="auto"/>
        </w:rPr>
        <w:t>Recoupment Policy</w:t>
      </w:r>
      <w:r>
        <w:rPr>
          <w:rFonts w:ascii="Arial" w:cs="Arial" w:eastAsia="Arial" w:hAnsi="Arial"/>
          <w:sz w:val="16"/>
          <w:szCs w:val="16"/>
          <w:color w:val="auto"/>
        </w:rPr>
        <w:t>”). Where the result of a performance measure was a factor in determining the compensation awarded or paid, but</w:t>
      </w:r>
    </w:p>
    <w:p>
      <w:pPr>
        <w:spacing w:after="0" w:line="1" w:lineRule="exact"/>
        <w:rPr>
          <w:rFonts w:ascii="Arial" w:cs="Arial" w:eastAsia="Arial" w:hAnsi="Arial"/>
          <w:sz w:val="16"/>
          <w:szCs w:val="16"/>
          <w:color w:val="auto"/>
        </w:rPr>
      </w:pPr>
    </w:p>
    <w:p>
      <w:pPr>
        <w:ind w:left="4" w:hanging="4"/>
        <w:spacing w:after="0" w:line="288" w:lineRule="auto"/>
        <w:tabs>
          <w:tab w:leader="none" w:pos="219"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66" w:name="page67"/>
    <w:bookmarkEnd w:id="66"/>
    <w:p>
      <w:pPr>
        <w:ind w:left="-180" w:firstLine="436"/>
        <w:spacing w:after="0" w:line="277" w:lineRule="auto"/>
        <w:tabs>
          <w:tab w:leader="none" w:pos="53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parties have executed this Agreement effective on the Effective Date.</w:t>
      </w:r>
    </w:p>
    <w:p>
      <w:pPr>
        <w:spacing w:after="0" w:line="24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14605</wp:posOffset>
            </wp:positionV>
            <wp:extent cx="2562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14605</wp:posOffset>
            </wp:positionV>
            <wp:extent cx="2562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Lynn Connolly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14605</wp:posOffset>
            </wp:positionV>
            <wp:extent cx="27946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60"/>
          </w:cols>
          <w:pgMar w:left="620" w:top="274" w:right="61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Outside Activities</w:t>
      </w:r>
    </w:p>
    <w:p>
      <w:pPr>
        <w:sectPr>
          <w:pgSz w:w="11900" w:h="16838" w:orient="portrait"/>
          <w:cols w:equalWidth="0" w:num="1">
            <w:col w:w="9019"/>
          </w:cols>
          <w:pgMar w:left="1440" w:top="270" w:right="1440" w:bottom="1440" w:gutter="0" w:footer="0" w:header="0"/>
        </w:sectPr>
      </w:pPr>
    </w:p>
    <w:bookmarkStart w:id="68" w:name="page69"/>
    <w:bookmarkEnd w:id="6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SEPARATION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11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Separation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[Name]:</w:t>
      </w:r>
    </w:p>
    <w:p>
      <w:pPr>
        <w:spacing w:after="0" w:line="117"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This letter sets forth the substance of the separation agreement (the “Agreement”) which Adagio Therapeutics, Inc. (the “Company”) is offering to you to aid in your employment transition.</w:t>
      </w:r>
    </w:p>
    <w:p>
      <w:pPr>
        <w:spacing w:after="0" w:line="58" w:lineRule="exact"/>
        <w:rPr>
          <w:sz w:val="20"/>
          <w:szCs w:val="20"/>
          <w:color w:val="auto"/>
        </w:rPr>
      </w:pPr>
    </w:p>
    <w:p>
      <w:pPr>
        <w:ind w:left="184" w:hanging="184"/>
        <w:spacing w:after="0"/>
        <w:tabs>
          <w:tab w:leader="none" w:pos="184"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Your last day of work with the Company and your employment termination date will be [Date] (the “Separation Date”).</w:t>
      </w:r>
    </w:p>
    <w:p>
      <w:pPr>
        <w:spacing w:after="0" w:line="117" w:lineRule="exact"/>
        <w:rPr>
          <w:rFonts w:ascii="Arial" w:cs="Arial" w:eastAsia="Arial" w:hAnsi="Arial"/>
          <w:sz w:val="18"/>
          <w:szCs w:val="18"/>
          <w:b w:val="1"/>
          <w:bCs w:val="1"/>
          <w:color w:val="auto"/>
        </w:rPr>
      </w:pPr>
    </w:p>
    <w:p>
      <w:pPr>
        <w:ind w:left="4" w:right="540" w:hanging="4"/>
        <w:spacing w:after="0" w:line="312" w:lineRule="auto"/>
        <w:tabs>
          <w:tab w:leader="none" w:pos="184"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Salary. </w:t>
      </w:r>
      <w:r>
        <w:rPr>
          <w:rFonts w:ascii="Arial" w:cs="Arial" w:eastAsia="Arial" w:hAnsi="Arial"/>
          <w:sz w:val="17"/>
          <w:szCs w:val="17"/>
          <w:color w:val="auto"/>
        </w:rPr>
        <w:t>On the Separation Date, the Company will pay you all accrued salary earned through the Separation Date, subject to standard</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deductions and withholdings. You will receive these payments regardless of whether or not you sign this Agreement.</w:t>
      </w:r>
    </w:p>
    <w:p>
      <w:pPr>
        <w:spacing w:after="0" w:line="31" w:lineRule="exact"/>
        <w:rPr>
          <w:rFonts w:ascii="Arial" w:cs="Arial" w:eastAsia="Arial" w:hAnsi="Arial"/>
          <w:sz w:val="17"/>
          <w:szCs w:val="17"/>
          <w:b w:val="1"/>
          <w:bCs w:val="1"/>
          <w:color w:val="auto"/>
        </w:rPr>
      </w:pPr>
    </w:p>
    <w:p>
      <w:pPr>
        <w:ind w:left="4" w:right="20" w:hanging="4"/>
        <w:spacing w:after="0" w:line="282" w:lineRule="auto"/>
        <w:tabs>
          <w:tab w:leader="none" w:pos="184"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you execute and do not revoke this Agreement, the Company will provide you with the following Severance Benefits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your [month, date, year] Employment Agreement.</w:t>
      </w:r>
    </w:p>
    <w:p>
      <w:pPr>
        <w:spacing w:after="0" w:line="16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 Benefit Plans.</w:t>
      </w:r>
    </w:p>
    <w:p>
      <w:pPr>
        <w:spacing w:after="0" w:line="121"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 xml:space="preserve">If you are currently participating in the Company’s group health insurance plans, your participation as an employee will end on [the Separation Date] </w:t>
      </w:r>
      <w:r>
        <w:rPr>
          <w:rFonts w:ascii="Arial" w:cs="Arial" w:eastAsia="Arial" w:hAnsi="Arial"/>
          <w:sz w:val="16"/>
          <w:szCs w:val="16"/>
          <w:i w:val="1"/>
          <w:iCs w:val="1"/>
          <w:color w:val="auto"/>
        </w:rPr>
        <w:t>or</w:t>
      </w:r>
      <w:r>
        <w:rPr>
          <w:rFonts w:ascii="Arial" w:cs="Arial" w:eastAsia="Arial" w:hAnsi="Arial"/>
          <w:sz w:val="16"/>
          <w:szCs w:val="16"/>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69" w:name="page70"/>
    <w:bookmarkEnd w:id="69"/>
    <w:p>
      <w:pPr>
        <w:ind w:left="4" w:right="7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Deductions for the 401(k) Plan will end with your last regular paycheck. You will receive information by mail concerning 401(k) plan rollover procedures should you be a participant in this program.</w:t>
      </w:r>
    </w:p>
    <w:p>
      <w:pPr>
        <w:spacing w:after="0" w:line="170"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You may be eligible for unemployment insurance benefits after the Separation Date. The Massachusetts Department of Unemployment Assistance, not the Company, will determine your eligibility for such benefits.</w:t>
      </w:r>
    </w:p>
    <w:p>
      <w:pPr>
        <w:spacing w:after="0" w:line="58" w:lineRule="exact"/>
        <w:rPr>
          <w:sz w:val="20"/>
          <w:szCs w:val="20"/>
          <w:color w:val="auto"/>
        </w:rPr>
      </w:pPr>
    </w:p>
    <w:p>
      <w:pPr>
        <w:ind w:left="4" w:right="60" w:hanging="4"/>
        <w:spacing w:after="0" w:line="347" w:lineRule="auto"/>
        <w:tabs>
          <w:tab w:leader="none" w:pos="184"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You were granted an option to purchase ________ shares of the Company’s common stock, pursuant to the Company’s [correct name</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or incentive plan] (the “Plan”). Under the terms of the Plan and your stock option grant, vesting will cease as of the Separation Date.</w:t>
      </w:r>
    </w:p>
    <w:p>
      <w:pPr>
        <w:spacing w:after="0" w:line="7" w:lineRule="exact"/>
        <w:rPr>
          <w:rFonts w:ascii="Arial" w:cs="Arial" w:eastAsia="Arial" w:hAnsi="Arial"/>
          <w:sz w:val="16"/>
          <w:szCs w:val="16"/>
          <w:b w:val="1"/>
          <w:bCs w:val="1"/>
          <w:color w:val="auto"/>
        </w:rPr>
      </w:pPr>
    </w:p>
    <w:p>
      <w:pPr>
        <w:ind w:left="4" w:right="560" w:hanging="4"/>
        <w:spacing w:after="0" w:line="282" w:lineRule="auto"/>
        <w:tabs>
          <w:tab w:leader="none" w:pos="184"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Compensation or Benefits. </w:t>
      </w:r>
      <w:r>
        <w:rPr>
          <w:rFonts w:ascii="Arial" w:cs="Arial" w:eastAsia="Arial" w:hAnsi="Arial"/>
          <w:sz w:val="18"/>
          <w:szCs w:val="18"/>
          <w:color w:val="auto"/>
        </w:rPr>
        <w:t>You acknowledge that, except as expressly provided in this Agreement, you will not receive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severance or benefits after the Separation Date.</w:t>
      </w:r>
    </w:p>
    <w:p>
      <w:pPr>
        <w:spacing w:after="0" w:line="53" w:lineRule="exact"/>
        <w:rPr>
          <w:rFonts w:ascii="Arial" w:cs="Arial" w:eastAsia="Arial" w:hAnsi="Arial"/>
          <w:sz w:val="18"/>
          <w:szCs w:val="18"/>
          <w:b w:val="1"/>
          <w:bCs w:val="1"/>
          <w:color w:val="auto"/>
        </w:rPr>
      </w:pPr>
    </w:p>
    <w:p>
      <w:pPr>
        <w:ind w:left="4" w:right="420" w:hanging="4"/>
        <w:spacing w:after="0" w:line="266" w:lineRule="auto"/>
        <w:tabs>
          <w:tab w:leader="none" w:pos="184"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Reimbursements. </w:t>
      </w:r>
      <w:r>
        <w:rPr>
          <w:rFonts w:ascii="Arial" w:cs="Arial" w:eastAsia="Arial" w:hAnsi="Arial"/>
          <w:sz w:val="18"/>
          <w:szCs w:val="18"/>
          <w:color w:val="auto"/>
        </w:rPr>
        <w:t>You agree that, within ten (10) days of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67" w:lineRule="exact"/>
        <w:rPr>
          <w:rFonts w:ascii="Arial" w:cs="Arial" w:eastAsia="Arial" w:hAnsi="Arial"/>
          <w:sz w:val="18"/>
          <w:szCs w:val="18"/>
          <w:b w:val="1"/>
          <w:bCs w:val="1"/>
          <w:color w:val="auto"/>
        </w:rPr>
      </w:pPr>
    </w:p>
    <w:p>
      <w:pPr>
        <w:ind w:left="4" w:right="60" w:hanging="4"/>
        <w:spacing w:after="0" w:line="294" w:lineRule="auto"/>
        <w:tabs>
          <w:tab w:leader="none" w:pos="184"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Return of Company Property</w:t>
      </w:r>
      <w:r>
        <w:rPr>
          <w:rFonts w:ascii="Arial" w:cs="Arial" w:eastAsia="Arial" w:hAnsi="Arial"/>
          <w:sz w:val="16"/>
          <w:szCs w:val="16"/>
          <w:color w:val="auto"/>
        </w:rPr>
        <w:t>. By the Separation Date, you agree to return to the Company all Company documents (and all copies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Receipt of the severance benefits described in Section 3 of this Agreement is expressly conditioned upon return of all Company Property.</w:t>
      </w:r>
    </w:p>
    <w:p>
      <w:pPr>
        <w:spacing w:after="0" w:line="51" w:lineRule="exact"/>
        <w:rPr>
          <w:rFonts w:ascii="Arial" w:cs="Arial" w:eastAsia="Arial" w:hAnsi="Arial"/>
          <w:sz w:val="16"/>
          <w:szCs w:val="16"/>
          <w:b w:val="1"/>
          <w:bCs w:val="1"/>
          <w:color w:val="auto"/>
        </w:rPr>
      </w:pPr>
    </w:p>
    <w:p>
      <w:pPr>
        <w:ind w:left="4" w:hanging="4"/>
        <w:spacing w:after="0" w:line="284" w:lineRule="auto"/>
        <w:tabs>
          <w:tab w:leader="none" w:pos="184"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Confidential Information and Post-Termination Obligations. </w:t>
      </w:r>
      <w:r>
        <w:rPr>
          <w:rFonts w:ascii="Arial" w:cs="Arial" w:eastAsia="Arial" w:hAnsi="Arial"/>
          <w:sz w:val="16"/>
          <w:szCs w:val="16"/>
          <w:color w:val="auto"/>
        </w:rPr>
        <w:t>Both during and after your employment you acknowledge your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w:t>
      </w:r>
    </w:p>
    <w:p>
      <w:pPr>
        <w:spacing w:after="0" w:line="1"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(B) do not disclose the trade secret, except pursuant to court order.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4" w:right="439" w:bottom="1440" w:gutter="0" w:footer="0" w:header="0"/>
        </w:sectPr>
      </w:pPr>
    </w:p>
    <w:bookmarkStart w:id="70" w:name="page71"/>
    <w:bookmarkEnd w:id="70"/>
    <w:p>
      <w:pPr>
        <w:ind w:left="4" w:right="40" w:hanging="4"/>
        <w:spacing w:after="0" w:line="273" w:lineRule="auto"/>
        <w:tabs>
          <w:tab w:leader="none" w:pos="274"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Confidentiality. </w:t>
      </w:r>
      <w:r>
        <w:rPr>
          <w:rFonts w:ascii="Arial" w:cs="Arial" w:eastAsia="Arial" w:hAnsi="Arial"/>
          <w:sz w:val="17"/>
          <w:szCs w:val="17"/>
          <w:color w:val="auto"/>
        </w:rPr>
        <w:t>The provisions of this Agreement will be held in strictest confidence by you and will not be publicized or disclosed in any manner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whatsoever;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63" w:lineRule="exact"/>
        <w:rPr>
          <w:rFonts w:ascii="Arial" w:cs="Arial" w:eastAsia="Arial" w:hAnsi="Arial"/>
          <w:sz w:val="17"/>
          <w:szCs w:val="17"/>
          <w:b w:val="1"/>
          <w:bCs w:val="1"/>
          <w:color w:val="auto"/>
        </w:rPr>
      </w:pPr>
    </w:p>
    <w:p>
      <w:pPr>
        <w:ind w:left="4" w:right="80" w:hanging="4"/>
        <w:spacing w:after="0" w:line="271" w:lineRule="auto"/>
        <w:tabs>
          <w:tab w:leader="none" w:pos="264"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Non-Disparagement. </w:t>
      </w:r>
      <w:r>
        <w:rPr>
          <w:rFonts w:ascii="Arial" w:cs="Arial" w:eastAsia="Arial" w:hAnsi="Arial"/>
          <w:sz w:val="17"/>
          <w:szCs w:val="17"/>
          <w:color w:val="auto"/>
        </w:rPr>
        <w:t>You agree not to disparage the Company, and the Company’s attorneys, directors, managers, partners, employees, agents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 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65" w:lineRule="exact"/>
        <w:rPr>
          <w:rFonts w:ascii="Arial" w:cs="Arial" w:eastAsia="Arial" w:hAnsi="Arial"/>
          <w:sz w:val="17"/>
          <w:szCs w:val="17"/>
          <w:b w:val="1"/>
          <w:bCs w:val="1"/>
          <w:color w:val="auto"/>
        </w:rPr>
      </w:pPr>
    </w:p>
    <w:p>
      <w:pPr>
        <w:ind w:left="4" w:right="320" w:hanging="4"/>
        <w:spacing w:after="0" w:line="261" w:lineRule="auto"/>
        <w:tabs>
          <w:tab w:leader="none" w:pos="274"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after Termination. </w:t>
      </w:r>
      <w:r>
        <w:rPr>
          <w:rFonts w:ascii="Arial" w:cs="Arial" w:eastAsia="Arial" w:hAnsi="Arial"/>
          <w:sz w:val="18"/>
          <w:szCs w:val="18"/>
          <w:color w:val="auto"/>
        </w:rPr>
        <w:t>You agree to cooperate fully with the Company in all matters relating to the transition of your work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71" w:lineRule="exact"/>
        <w:rPr>
          <w:rFonts w:ascii="Arial" w:cs="Arial" w:eastAsia="Arial" w:hAnsi="Arial"/>
          <w:sz w:val="18"/>
          <w:szCs w:val="18"/>
          <w:b w:val="1"/>
          <w:bCs w:val="1"/>
          <w:color w:val="auto"/>
        </w:rPr>
      </w:pPr>
    </w:p>
    <w:p>
      <w:pPr>
        <w:ind w:left="4" w:hanging="4"/>
        <w:spacing w:after="0" w:line="294" w:lineRule="auto"/>
        <w:tabs>
          <w:tab w:leader="none" w:pos="274"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Release. </w:t>
      </w:r>
      <w:r>
        <w:rPr>
          <w:rFonts w:ascii="Arial" w:cs="Arial" w:eastAsia="Arial" w:hAnsi="Arial"/>
          <w:sz w:val="16"/>
          <w:szCs w:val="16"/>
          <w:color w:val="auto"/>
        </w:rPr>
        <w:t>In exchange for the payments and other consideration under this Agreement, to which you would not otherwise be entitled, and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0" w:right="459" w:bottom="1440" w:gutter="0" w:footer="0" w:header="0"/>
        </w:sectPr>
      </w:pPr>
    </w:p>
    <w:bookmarkStart w:id="71" w:name="page72"/>
    <w:bookmarkEnd w:id="7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84" w:lineRule="exact"/>
        <w:rPr>
          <w:sz w:val="20"/>
          <w:szCs w:val="20"/>
          <w:color w:val="auto"/>
        </w:rPr>
      </w:pPr>
    </w:p>
    <w:p>
      <w:pPr>
        <w:ind w:left="960" w:hanging="532"/>
        <w:spacing w:after="0"/>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has violated its personnel policies, handbooks, contracts of employment, or covenants of good faith and fair dealing;</w:t>
      </w:r>
    </w:p>
    <w:p>
      <w:pPr>
        <w:spacing w:after="0" w:line="130" w:lineRule="exact"/>
        <w:rPr>
          <w:rFonts w:ascii="Arial" w:cs="Arial" w:eastAsia="Arial" w:hAnsi="Arial"/>
          <w:sz w:val="18"/>
          <w:szCs w:val="18"/>
          <w:color w:val="auto"/>
        </w:rPr>
      </w:pPr>
    </w:p>
    <w:p>
      <w:pPr>
        <w:ind w:left="960" w:right="60" w:hanging="532"/>
        <w:spacing w:after="0" w:line="287" w:lineRule="auto"/>
        <w:tabs>
          <w:tab w:leader="none" w:pos="9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73" w:lineRule="exact"/>
        <w:rPr>
          <w:rFonts w:ascii="Arial" w:cs="Arial" w:eastAsia="Arial" w:hAnsi="Arial"/>
          <w:sz w:val="16"/>
          <w:szCs w:val="16"/>
          <w:color w:val="auto"/>
        </w:rPr>
      </w:pPr>
    </w:p>
    <w:p>
      <w:pPr>
        <w:ind w:left="960" w:right="100" w:hanging="532"/>
        <w:spacing w:after="0" w:line="253" w:lineRule="auto"/>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72" w:name="page73"/>
    <w:bookmarkEnd w:id="72"/>
    <w:p>
      <w:pPr>
        <w:ind w:left="960" w:right="20" w:hanging="532"/>
        <w:spacing w:after="0" w:line="272" w:lineRule="auto"/>
        <w:tabs>
          <w:tab w:leader="none" w:pos="9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7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73" w:name="page74"/>
    <w:bookmarkEnd w:id="73"/>
    <w:p>
      <w:pPr>
        <w:ind w:left="4" w:hanging="4"/>
        <w:spacing w:after="0" w:line="285" w:lineRule="auto"/>
        <w:tabs>
          <w:tab w:leader="none" w:pos="274"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Your Acknowledgments and Affirmations/ Effective Date of Agreement. </w:t>
      </w:r>
      <w:r>
        <w:rPr>
          <w:rFonts w:ascii="Arial" w:cs="Arial" w:eastAsia="Arial" w:hAnsi="Arial"/>
          <w:sz w:val="16"/>
          <w:szCs w:val="16"/>
          <w:color w:val="auto"/>
        </w:rPr>
        <w:t>You acknowledge that you are knowingly and voluntarily waiving and</w:t>
      </w:r>
      <w:r>
        <w:rPr>
          <w:rFonts w:ascii="Arial" w:cs="Arial" w:eastAsia="Arial" w:hAnsi="Arial"/>
          <w:sz w:val="16"/>
          <w:szCs w:val="16"/>
          <w:b w:val="1"/>
          <w:bCs w:val="1"/>
          <w:color w:val="auto"/>
        </w:rPr>
        <w:t xml:space="preserve"> </w:t>
      </w:r>
      <w:r>
        <w:rPr>
          <w:rFonts w:ascii="Arial" w:cs="Arial" w:eastAsia="Arial" w:hAnsi="Arial"/>
          <w:sz w:val="16"/>
          <w:szCs w:val="16"/>
          <w:color w:val="auto"/>
        </w:rPr>
        <w:t>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 days to consider this Agreement (although you may choose to voluntarily execute this Agreement earlier and if you do you will sign the Consideration Period waiver below); (d) you have seven (7) business days following your execution of this Agreement to revoke this Agreement; and (e) this Agreement shall not be effective until the date upon which the revocation period has expired unexercised (the “Effective Date”), which shall be the eighth business day after this Agreement is executed by you.</w:t>
      </w:r>
    </w:p>
    <w:p>
      <w:pPr>
        <w:spacing w:after="0" w:line="65" w:lineRule="exact"/>
        <w:rPr>
          <w:rFonts w:ascii="Arial" w:cs="Arial" w:eastAsia="Arial" w:hAnsi="Arial"/>
          <w:sz w:val="16"/>
          <w:szCs w:val="16"/>
          <w:b w:val="1"/>
          <w:bCs w:val="1"/>
          <w:color w:val="auto"/>
        </w:rPr>
      </w:pPr>
    </w:p>
    <w:p>
      <w:pPr>
        <w:jc w:val="both"/>
        <w:ind w:left="4" w:right="100" w:hanging="4"/>
        <w:spacing w:after="0" w:line="266" w:lineRule="auto"/>
        <w:tabs>
          <w:tab w:leader="none" w:pos="274"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Admission. </w:t>
      </w:r>
      <w:r>
        <w:rPr>
          <w:rFonts w:ascii="Arial" w:cs="Arial" w:eastAsia="Arial" w:hAnsi="Arial"/>
          <w:sz w:val="18"/>
          <w:szCs w:val="18"/>
          <w:color w:val="auto"/>
        </w:rPr>
        <w:t>This Agreement does not constitute an admission by the Company of any wrongful action or violation of any federal, state, or local</w:t>
      </w:r>
      <w:r>
        <w:rPr>
          <w:rFonts w:ascii="Arial" w:cs="Arial" w:eastAsia="Arial" w:hAnsi="Arial"/>
          <w:sz w:val="18"/>
          <w:szCs w:val="18"/>
          <w:b w:val="1"/>
          <w:bCs w:val="1"/>
          <w:color w:val="auto"/>
        </w:rPr>
        <w:t xml:space="preserve"> </w:t>
      </w:r>
      <w:r>
        <w:rPr>
          <w:rFonts w:ascii="Arial" w:cs="Arial" w:eastAsia="Arial" w:hAnsi="Arial"/>
          <w:sz w:val="18"/>
          <w:szCs w:val="18"/>
          <w:color w:val="auto"/>
        </w:rPr>
        <w:t>statute, or common law rights, including those relating to the provisions of any law or statute concerning employment actions, or of any other possible or claimed violation of law or rights.</w:t>
      </w:r>
    </w:p>
    <w:p>
      <w:pPr>
        <w:spacing w:after="0" w:line="67" w:lineRule="exact"/>
        <w:rPr>
          <w:rFonts w:ascii="Arial" w:cs="Arial" w:eastAsia="Arial" w:hAnsi="Arial"/>
          <w:sz w:val="18"/>
          <w:szCs w:val="18"/>
          <w:b w:val="1"/>
          <w:bCs w:val="1"/>
          <w:color w:val="auto"/>
        </w:rPr>
      </w:pPr>
    </w:p>
    <w:p>
      <w:pPr>
        <w:ind w:left="4" w:right="20" w:hanging="4"/>
        <w:spacing w:after="0" w:line="254" w:lineRule="auto"/>
        <w:tabs>
          <w:tab w:leader="none" w:pos="274"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Breach. </w:t>
      </w:r>
      <w:r>
        <w:rPr>
          <w:rFonts w:ascii="Arial" w:cs="Arial" w:eastAsia="Arial" w:hAnsi="Arial"/>
          <w:sz w:val="18"/>
          <w:szCs w:val="18"/>
          <w:color w:val="auto"/>
        </w:rPr>
        <w:t>You agree that upon any breach of this Agreement you will forfeit all amounts paid or owing to you under this Agreement. Further, you</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12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0" w:right="479" w:bottom="1440" w:gutter="0" w:footer="0" w:header="0"/>
        </w:sectPr>
      </w:pPr>
    </w:p>
    <w:bookmarkStart w:id="74" w:name="page75"/>
    <w:bookmarkEnd w:id="74"/>
    <w:p>
      <w:pPr>
        <w:ind w:left="4" w:right="100" w:hanging="4"/>
        <w:spacing w:after="0" w:line="271" w:lineRule="auto"/>
        <w:tabs>
          <w:tab w:leader="none" w:pos="274"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Miscellaneous. </w:t>
      </w:r>
      <w:r>
        <w:rPr>
          <w:rFonts w:ascii="Arial" w:cs="Arial" w:eastAsia="Arial" w:hAnsi="Arial"/>
          <w:sz w:val="17"/>
          <w:szCs w:val="17"/>
          <w:color w:val="auto"/>
        </w:rPr>
        <w:t>This Agreement, including any exhibits, constitutes the complete, final and exclusive embodiment of the entire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69" w:lineRule="exact"/>
        <w:rPr>
          <w:rFonts w:ascii="Arial" w:cs="Arial" w:eastAsia="Arial" w:hAnsi="Arial"/>
          <w:sz w:val="17"/>
          <w:szCs w:val="17"/>
          <w:b w:val="1"/>
          <w:bCs w:val="1"/>
          <w:color w:val="auto"/>
        </w:rPr>
      </w:pPr>
    </w:p>
    <w:p>
      <w:pPr>
        <w:ind w:left="264" w:hanging="264"/>
        <w:spacing w:after="0"/>
        <w:tabs>
          <w:tab w:leader="none" w:pos="264" w:val="left"/>
        </w:tabs>
        <w:numPr>
          <w:ilvl w:val="0"/>
          <w:numId w:val="104"/>
        </w:numPr>
        <w:rPr>
          <w:rFonts w:ascii="Arial" w:cs="Arial" w:eastAsia="Arial" w:hAnsi="Arial"/>
          <w:sz w:val="17"/>
          <w:szCs w:val="17"/>
          <w:b w:val="1"/>
          <w:bCs w:val="1"/>
          <w:color w:val="auto"/>
        </w:rPr>
      </w:pPr>
      <w:r>
        <w:rPr>
          <w:rFonts w:ascii="Arial" w:cs="Arial" w:eastAsia="Arial" w:hAnsi="Arial"/>
          <w:sz w:val="17"/>
          <w:szCs w:val="17"/>
          <w:color w:val="auto"/>
        </w:rPr>
        <w:t>To ensure the rapid and economical resolution of disputes that may arise in connection with your employment with the Company, you and the</w:t>
      </w:r>
    </w:p>
    <w:p>
      <w:pPr>
        <w:spacing w:after="0" w:line="34" w:lineRule="exact"/>
        <w:rPr>
          <w:rFonts w:ascii="Arial" w:cs="Arial" w:eastAsia="Arial" w:hAnsi="Arial"/>
          <w:sz w:val="17"/>
          <w:szCs w:val="17"/>
          <w:b w:val="1"/>
          <w:bCs w:val="1"/>
          <w:color w:val="auto"/>
        </w:rPr>
      </w:pPr>
    </w:p>
    <w:p>
      <w:pPr>
        <w:ind w:left="4"/>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 xml:space="preserve">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w:t>
      </w:r>
      <w:r>
        <w:rPr>
          <w:rFonts w:ascii="Arial" w:cs="Arial" w:eastAsia="Arial" w:hAnsi="Arial"/>
          <w:sz w:val="17"/>
          <w:szCs w:val="17"/>
          <w:u w:val="single" w:color="auto"/>
          <w:color w:val="auto"/>
        </w:rPr>
        <w:t>http://www.jamsadr.com/rules-employment-arbitration/</w:t>
      </w:r>
      <w:r>
        <w:rPr>
          <w:rFonts w:ascii="Arial" w:cs="Arial" w:eastAsia="Arial" w:hAnsi="Arial"/>
          <w:sz w:val="17"/>
          <w:szCs w:val="17"/>
          <w:color w:val="auto"/>
        </w:rPr>
        <w:t xml:space="preserve">). </w:t>
      </w:r>
      <w:r>
        <w:rPr>
          <w:rFonts w:ascii="Arial" w:cs="Arial" w:eastAsia="Arial" w:hAnsi="Arial"/>
          <w:sz w:val="17"/>
          <w:szCs w:val="17"/>
          <w:b w:val="1"/>
          <w:bCs w:val="1"/>
          <w:color w:val="auto"/>
        </w:rPr>
        <w:t>You acknowledge that by agreeing to this arbitration procedure, both you and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Company waive the right to resolve any such dispute through a trial by jury or judge or administrative proceeding. </w:t>
      </w:r>
      <w:r>
        <w:rPr>
          <w:rFonts w:ascii="Arial" w:cs="Arial" w:eastAsia="Arial" w:hAnsi="Arial"/>
          <w:sz w:val="17"/>
          <w:szCs w:val="17"/>
          <w:color w:val="auto"/>
        </w:rPr>
        <w:t>You will have the right to be</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represented 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181" w:lineRule="exact"/>
        <w:rPr>
          <w:sz w:val="20"/>
          <w:szCs w:val="20"/>
          <w:color w:val="auto"/>
        </w:rPr>
      </w:pPr>
    </w:p>
    <w:p>
      <w:pPr>
        <w:ind w:left="4" w:right="80"/>
        <w:spacing w:after="0" w:line="308" w:lineRule="auto"/>
        <w:rPr>
          <w:sz w:val="20"/>
          <w:szCs w:val="20"/>
          <w:color w:val="auto"/>
        </w:rPr>
      </w:pPr>
      <w:r>
        <w:rPr>
          <w:rFonts w:ascii="Arial" w:cs="Arial" w:eastAsia="Arial" w:hAnsi="Arial"/>
          <w:sz w:val="17"/>
          <w:szCs w:val="17"/>
          <w:color w:val="auto"/>
        </w:rPr>
        <w:t>If this Agreement is acceptable to you, please sign below and return the original to me on or after your Separation Date, but no later than the date that is twenty-one (21) days after you receive this Agreement. This offer will expire if we have not received your executed copy by that date.</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 wish you good luck in your future endeavors.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Adagio Therapeutics, Inc.</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0"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GREED TO AND</w:t>
      </w:r>
      <w:r>
        <w:rPr>
          <w:rFonts w:ascii="Arial" w:cs="Arial" w:eastAsia="Arial" w:hAnsi="Arial"/>
          <w:sz w:val="18"/>
          <w:szCs w:val="18"/>
          <w:color w:val="auto"/>
        </w:rPr>
        <w:t xml:space="preserve"> A</w:t>
      </w:r>
      <w:r>
        <w:rPr>
          <w:rFonts w:ascii="Arial" w:cs="Arial" w:eastAsia="Arial" w:hAnsi="Arial"/>
          <w:sz w:val="14"/>
          <w:szCs w:val="14"/>
          <w:color w:val="auto"/>
        </w:rPr>
        <w:t>CCEPTED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CONSIDERATION PERIOD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____________________, understand that I have the right to take at least 21 days to consider whether to sign this Agreement, which I received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 __, 20__. If I elect to sign this Agreement before 21 days have passed, I understand I am to sign and date below this paragraph to confirm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I knowingly and voluntarily agree to waive the 21-day consideration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440" w:top="274" w:right="51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This Employment Agreement (“</w:t>
      </w:r>
      <w:r>
        <w:rPr>
          <w:rFonts w:ascii="Arial" w:cs="Arial" w:eastAsia="Arial" w:hAnsi="Arial"/>
          <w:sz w:val="18"/>
          <w:szCs w:val="18"/>
          <w:b w:val="1"/>
          <w:bCs w:val="1"/>
          <w:i w:val="1"/>
          <w:iCs w:val="1"/>
          <w:u w:val="single" w:color="auto"/>
          <w:color w:val="auto"/>
        </w:rPr>
        <w:t>Agreement</w:t>
      </w:r>
      <w:r>
        <w:rPr>
          <w:rFonts w:ascii="Arial" w:cs="Arial" w:eastAsia="Arial" w:hAnsi="Arial"/>
          <w:sz w:val="18"/>
          <w:szCs w:val="18"/>
          <w:color w:val="auto"/>
        </w:rPr>
        <w:t>”) is made between Adagio Therapeutics, Inc., a Delaware corporation (the “</w:t>
      </w:r>
      <w:r>
        <w:rPr>
          <w:rFonts w:ascii="Arial" w:cs="Arial" w:eastAsia="Arial" w:hAnsi="Arial"/>
          <w:sz w:val="18"/>
          <w:szCs w:val="18"/>
          <w:b w:val="1"/>
          <w:bCs w:val="1"/>
          <w:i w:val="1"/>
          <w:iCs w:val="1"/>
          <w:u w:val="single" w:color="auto"/>
          <w:color w:val="auto"/>
        </w:rPr>
        <w:t>Company</w:t>
      </w:r>
      <w:r>
        <w:rPr>
          <w:rFonts w:ascii="Arial" w:cs="Arial" w:eastAsia="Arial" w:hAnsi="Arial"/>
          <w:sz w:val="18"/>
          <w:szCs w:val="18"/>
          <w:color w:val="auto"/>
        </w:rPr>
        <w:t>”), and Rebecca Dabora (the “</w:t>
      </w:r>
      <w:r>
        <w:rPr>
          <w:rFonts w:ascii="Arial" w:cs="Arial" w:eastAsia="Arial" w:hAnsi="Arial"/>
          <w:sz w:val="18"/>
          <w:szCs w:val="18"/>
          <w:b w:val="1"/>
          <w:bCs w:val="1"/>
          <w:i w:val="1"/>
          <w:iCs w:val="1"/>
          <w:u w:val="single" w:color="auto"/>
          <w:color w:val="auto"/>
        </w:rPr>
        <w:t>Executive</w:t>
      </w:r>
      <w:r>
        <w:rPr>
          <w:rFonts w:ascii="Arial" w:cs="Arial" w:eastAsia="Arial" w:hAnsi="Arial"/>
          <w:sz w:val="18"/>
          <w:szCs w:val="18"/>
          <w:color w:val="auto"/>
        </w:rPr>
        <w:t>”), this 5th day of August, 2021. This Agreement supersedes in its entirety that certain Offer Letter, dated May 10, 2021 (the “</w:t>
      </w:r>
      <w:r>
        <w:rPr>
          <w:rFonts w:ascii="Arial" w:cs="Arial" w:eastAsia="Arial" w:hAnsi="Arial"/>
          <w:sz w:val="18"/>
          <w:szCs w:val="18"/>
          <w:b w:val="1"/>
          <w:bCs w:val="1"/>
          <w:i w:val="1"/>
          <w:iCs w:val="1"/>
          <w:u w:val="single" w:color="auto"/>
          <w:color w:val="auto"/>
        </w:rPr>
        <w:t>Prior Agreement</w:t>
      </w:r>
      <w:r>
        <w:rPr>
          <w:rFonts w:ascii="Arial" w:cs="Arial" w:eastAsia="Arial" w:hAnsi="Arial"/>
          <w:sz w:val="18"/>
          <w:szCs w:val="18"/>
          <w:color w:val="auto"/>
        </w:rPr>
        <w:t>”), between the Executive and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is planning an initial public offering (the “</w:t>
      </w:r>
      <w:r>
        <w:rPr>
          <w:rFonts w:ascii="Arial" w:cs="Arial" w:eastAsia="Arial" w:hAnsi="Arial"/>
          <w:sz w:val="18"/>
          <w:szCs w:val="18"/>
          <w:b w:val="1"/>
          <w:bCs w:val="1"/>
          <w:i w:val="1"/>
          <w:iCs w:val="1"/>
          <w:u w:val="single" w:color="auto"/>
          <w:color w:val="auto"/>
        </w:rPr>
        <w:t>Offering</w:t>
      </w:r>
      <w:r>
        <w:rPr>
          <w:rFonts w:ascii="Arial" w:cs="Arial" w:eastAsia="Arial" w:hAnsi="Arial"/>
          <w:sz w:val="18"/>
          <w:szCs w:val="18"/>
          <w:color w:val="auto"/>
        </w:rPr>
        <w:t>”) of its shares of common stock;</w:t>
      </w:r>
    </w:p>
    <w:p>
      <w:pPr>
        <w:spacing w:after="0" w:line="225"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WHEREAS, the Company and the Executive desire to enter into this Agreement and supersede in its entirety the Prior Agreement in connection with the Offering, effective as of the date on which the registration statement relating to the Offering is effective (the “</w:t>
      </w:r>
      <w:r>
        <w:rPr>
          <w:rFonts w:ascii="Arial" w:cs="Arial" w:eastAsia="Arial" w:hAnsi="Arial"/>
          <w:sz w:val="16"/>
          <w:szCs w:val="16"/>
          <w:b w:val="1"/>
          <w:bCs w:val="1"/>
          <w:i w:val="1"/>
          <w:iCs w:val="1"/>
          <w:u w:val="single" w:color="auto"/>
          <w:color w:val="auto"/>
        </w:rPr>
        <w:t>Effective Date</w:t>
      </w:r>
      <w:r>
        <w:rPr>
          <w:rFonts w:ascii="Arial" w:cs="Arial" w:eastAsia="Arial" w:hAnsi="Arial"/>
          <w:sz w:val="16"/>
          <w:szCs w:val="16"/>
          <w:color w:val="auto"/>
        </w:rPr>
        <w:t>”).</w:t>
      </w:r>
    </w:p>
    <w:p>
      <w:pPr>
        <w:spacing w:after="0" w:line="12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0" w:lineRule="exact"/>
        <w:rPr>
          <w:sz w:val="20"/>
          <w:szCs w:val="20"/>
          <w:color w:val="auto"/>
        </w:rPr>
      </w:pPr>
    </w:p>
    <w:p>
      <w:pPr>
        <w:ind w:left="620" w:hanging="184"/>
        <w:spacing w:after="0"/>
        <w:tabs>
          <w:tab w:leader="none" w:pos="6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87"/>
        <w:spacing w:after="0" w:line="259" w:lineRule="auto"/>
        <w:tabs>
          <w:tab w:leader="none" w:pos="1236"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Arial" w:cs="Arial" w:eastAsia="Arial" w:hAnsi="Arial"/>
          <w:sz w:val="18"/>
          <w:szCs w:val="18"/>
          <w:b w:val="1"/>
          <w:bCs w:val="1"/>
          <w:i w:val="1"/>
          <w:iCs w:val="1"/>
          <w:u w:val="single" w:color="auto"/>
          <w:color w:val="auto"/>
        </w:rPr>
        <w:t>Term</w:t>
      </w:r>
      <w:r>
        <w:rPr>
          <w:rFonts w:ascii="Arial" w:cs="Arial" w:eastAsia="Arial" w:hAnsi="Arial"/>
          <w:sz w:val="18"/>
          <w:szCs w:val="18"/>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Executive shall serve as the Chief Technology and Manufacturing Officer of the Company and shall have such powers and duties as customarily associated with the office of Chief Technology and Manufacturing Officer, and as may from time to time be prescribed by the Chief Executive Officer of the Company (the “</w:t>
      </w:r>
      <w:r>
        <w:rPr>
          <w:rFonts w:ascii="Arial" w:cs="Arial" w:eastAsia="Arial" w:hAnsi="Arial"/>
          <w:sz w:val="17"/>
          <w:szCs w:val="17"/>
          <w:b w:val="1"/>
          <w:bCs w:val="1"/>
          <w:i w:val="1"/>
          <w:iCs w:val="1"/>
          <w:u w:val="single" w:color="auto"/>
          <w:color w:val="auto"/>
        </w:rPr>
        <w:t>CEO</w:t>
      </w:r>
      <w:r>
        <w:rPr>
          <w:rFonts w:ascii="Arial" w:cs="Arial" w:eastAsia="Arial" w:hAnsi="Arial"/>
          <w:sz w:val="17"/>
          <w:szCs w:val="17"/>
          <w:color w:val="auto"/>
        </w:rPr>
        <w:t>”), subject to the direction and control of the CEO. The Executive shall report to the CEO.</w:t>
      </w:r>
    </w:p>
    <w:p>
      <w:pPr>
        <w:spacing w:after="0" w:line="16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Nothing in this Agreement shall prohibit the Executive from reasonably delegating parts of the responsibilities set forth in or contemplated by this Section 1(b) to other employees of the Company or its subsidiaries. Upon the termination of Executive’s service for any reason, unless otherwise determined by the Board, Executive will be deemed to have resigned from any other positions held at the Company or any of its subsidiaries or affiliates voluntarily, without any further required action by Executive, as of the cessation of Executive’s services, and Executive, at the Board’s request, will execute any documents deemed in the discretion of the Company to be reasonably necessary to reflect Executive’s resignation(s).</w:t>
      </w:r>
    </w:p>
    <w:p>
      <w:pPr>
        <w:sectPr>
          <w:pgSz w:w="11900" w:h="16838" w:orient="portrait"/>
          <w:cols w:equalWidth="0" w:num="1">
            <w:col w:w="11020"/>
          </w:cols>
          <w:pgMar w:left="440" w:top="121" w:right="439" w:bottom="1440" w:gutter="0" w:footer="0" w:header="0"/>
        </w:sectPr>
      </w:pPr>
    </w:p>
    <w:bookmarkStart w:id="77" w:name="page78"/>
    <w:bookmarkEnd w:id="77"/>
    <w:p>
      <w:pPr>
        <w:ind w:right="520" w:firstLine="987"/>
        <w:spacing w:after="0" w:line="277" w:lineRule="auto"/>
        <w:tabs>
          <w:tab w:leader="none" w:pos="123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Outside Activities</w:t>
      </w:r>
      <w:r>
        <w:rPr>
          <w:rFonts w:ascii="Arial" w:cs="Arial" w:eastAsia="Arial" w:hAnsi="Arial"/>
          <w:sz w:val="18"/>
          <w:szCs w:val="18"/>
          <w:color w:val="auto"/>
        </w:rPr>
        <w:t>. Executive will use good faith efforts to discharge Executive’s obligations under this Agreement to the best of Executive’s ability. Executive will devote substantially all of Executive’s business efforts and time to the Company.</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Executive agrees not to engage actively in any other employment, occupation, or consulting activity for any direct or indirect remuneration without the prior approval of the CEO; provided, however, that Executive may, without such approval, serve in any capacity with any civic, educational, or charitable organization, participate in industry affairs and manage Executive’s family’s personal passive investments, and engage in the activities set forth in Appendix A to this Agreement, provided that in each case such services do not materially interfere with Executive’s obligations to the Company, create a conflict of interest, violate any of the Executive’s Continuing Obligations (as defined in Section 9 below) or cause any reputational damage to the Company as reasonably determined by the Board.</w:t>
      </w:r>
    </w:p>
    <w:p>
      <w:pPr>
        <w:spacing w:after="0" w:line="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Executive may retain any compensation or benefits received as a result of consented to service as a director without any offset in respect of any compensation or benefits to be provided hereunder.</w:t>
      </w:r>
    </w:p>
    <w:p>
      <w:pPr>
        <w:spacing w:after="0" w:line="62" w:lineRule="exact"/>
        <w:rPr>
          <w:sz w:val="20"/>
          <w:szCs w:val="20"/>
          <w:color w:val="auto"/>
        </w:rPr>
      </w:pPr>
    </w:p>
    <w:p>
      <w:pPr>
        <w:ind w:left="620" w:hanging="184"/>
        <w:spacing w:after="0"/>
        <w:tabs>
          <w:tab w:leader="none" w:pos="62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Compensation and Related Matters</w:t>
      </w:r>
      <w:r>
        <w:rPr>
          <w:rFonts w:ascii="Arial" w:cs="Arial" w:eastAsia="Arial" w:hAnsi="Arial"/>
          <w:sz w:val="16"/>
          <w:szCs w:val="16"/>
          <w:color w:val="auto"/>
        </w:rPr>
        <w:t>. This Section 2 sets forth the compensation and benefits to be provided to the Executive during the Term.</w:t>
      </w:r>
    </w:p>
    <w:p>
      <w:pPr>
        <w:spacing w:after="0" w:line="140" w:lineRule="exact"/>
        <w:rPr>
          <w:rFonts w:ascii="Arial" w:cs="Arial" w:eastAsia="Arial" w:hAnsi="Arial"/>
          <w:sz w:val="16"/>
          <w:szCs w:val="16"/>
          <w:color w:val="auto"/>
        </w:rPr>
      </w:pPr>
    </w:p>
    <w:p>
      <w:pPr>
        <w:ind w:right="100" w:firstLine="987"/>
        <w:spacing w:after="0" w:line="275" w:lineRule="auto"/>
        <w:tabs>
          <w:tab w:leader="none" w:pos="1236"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Executive will continue to pay Executive, as compensation for the performance of the Executive’s duties and obligations hereunder, salary at the rate of $400,000 per year. The Executive’s salary shall be subject to annual review not later than March 31</w:t>
      </w:r>
      <w:r>
        <w:rPr>
          <w:rFonts w:ascii="Arial" w:cs="Arial" w:eastAsia="Arial" w:hAnsi="Arial"/>
          <w:sz w:val="14"/>
          <w:szCs w:val="14"/>
          <w:color w:val="auto"/>
        </w:rPr>
        <w:t>st</w:t>
      </w:r>
      <w:r>
        <w:rPr>
          <w:rFonts w:ascii="Arial" w:cs="Arial" w:eastAsia="Arial" w:hAnsi="Arial"/>
          <w:sz w:val="17"/>
          <w:szCs w:val="17"/>
          <w:color w:val="auto"/>
        </w:rPr>
        <w:t xml:space="preserve"> of each year for possible increase by the Board or the Compensation Committee of the Board (the “</w:t>
      </w:r>
      <w:r>
        <w:rPr>
          <w:rFonts w:ascii="Arial" w:cs="Arial" w:eastAsia="Arial" w:hAnsi="Arial"/>
          <w:sz w:val="17"/>
          <w:szCs w:val="17"/>
          <w:b w:val="1"/>
          <w:bCs w:val="1"/>
          <w:i w:val="1"/>
          <w:iCs w:val="1"/>
          <w:u w:val="single" w:color="auto"/>
          <w:color w:val="auto"/>
        </w:rPr>
        <w:t>Compensation Committee</w:t>
      </w:r>
      <w:r>
        <w:rPr>
          <w:rFonts w:ascii="Arial" w:cs="Arial" w:eastAsia="Arial" w:hAnsi="Arial"/>
          <w:sz w:val="17"/>
          <w:szCs w:val="17"/>
          <w:color w:val="auto"/>
        </w:rPr>
        <w:t>”), which may be adjusted from time to time. The base salary in effect at any given time is referred to herein as “</w:t>
      </w:r>
      <w:r>
        <w:rPr>
          <w:rFonts w:ascii="Arial" w:cs="Arial" w:eastAsia="Arial" w:hAnsi="Arial"/>
          <w:sz w:val="17"/>
          <w:szCs w:val="17"/>
          <w:b w:val="1"/>
          <w:bCs w:val="1"/>
          <w:i w:val="1"/>
          <w:iCs w:val="1"/>
          <w:u w:val="single" w:color="auto"/>
          <w:color w:val="auto"/>
        </w:rPr>
        <w:t>Base Salary</w:t>
      </w:r>
      <w:r>
        <w:rPr>
          <w:rFonts w:ascii="Arial" w:cs="Arial" w:eastAsia="Arial" w:hAnsi="Arial"/>
          <w:sz w:val="17"/>
          <w:szCs w:val="17"/>
          <w:color w:val="auto"/>
        </w:rPr>
        <w:t>.” The Base Salary shall be payable in a manner that is consistent with the Company’s usual payroll practices for its executive officers</w:t>
      </w:r>
    </w:p>
    <w:p>
      <w:pPr>
        <w:spacing w:after="0" w:line="68" w:lineRule="exact"/>
        <w:rPr>
          <w:rFonts w:ascii="Arial" w:cs="Arial" w:eastAsia="Arial" w:hAnsi="Arial"/>
          <w:sz w:val="17"/>
          <w:szCs w:val="17"/>
          <w:color w:val="auto"/>
        </w:rPr>
      </w:pPr>
    </w:p>
    <w:p>
      <w:pPr>
        <w:ind w:right="20" w:firstLine="987"/>
        <w:spacing w:after="0" w:line="270" w:lineRule="auto"/>
        <w:tabs>
          <w:tab w:leader="none" w:pos="1246"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The Executive shall participate in an annual cash incentive compensation plan (the “</w:t>
      </w:r>
      <w:r>
        <w:rPr>
          <w:rFonts w:ascii="Arial" w:cs="Arial" w:eastAsia="Arial" w:hAnsi="Arial"/>
          <w:sz w:val="17"/>
          <w:szCs w:val="17"/>
          <w:b w:val="1"/>
          <w:bCs w:val="1"/>
          <w:i w:val="1"/>
          <w:iCs w:val="1"/>
          <w:u w:val="single" w:color="auto"/>
          <w:color w:val="auto"/>
        </w:rPr>
        <w:t>Annual Bonus Plan</w:t>
      </w:r>
      <w:r>
        <w:rPr>
          <w:rFonts w:ascii="Arial" w:cs="Arial" w:eastAsia="Arial" w:hAnsi="Arial"/>
          <w:sz w:val="17"/>
          <w:szCs w:val="17"/>
          <w:color w:val="auto"/>
        </w:rPr>
        <w:t>”). The Executive will be eligible to earn an annual bonus for each full calendar year completed (the “</w:t>
      </w:r>
      <w:r>
        <w:rPr>
          <w:rFonts w:ascii="Arial" w:cs="Arial" w:eastAsia="Arial" w:hAnsi="Arial"/>
          <w:sz w:val="17"/>
          <w:szCs w:val="17"/>
          <w:b w:val="1"/>
          <w:bCs w:val="1"/>
          <w:i w:val="1"/>
          <w:iCs w:val="1"/>
          <w:u w:val="single" w:color="auto"/>
          <w:color w:val="auto"/>
        </w:rPr>
        <w:t>Annual Bonus</w:t>
      </w:r>
      <w:r>
        <w:rPr>
          <w:rFonts w:ascii="Arial" w:cs="Arial" w:eastAsia="Arial" w:hAnsi="Arial"/>
          <w:sz w:val="17"/>
          <w:szCs w:val="17"/>
          <w:color w:val="auto"/>
        </w:rPr>
        <w:t>”). The Executive’s target Annual Bonus will be forty percent (40%) of Executive’s Base Salary (the “</w:t>
      </w:r>
      <w:r>
        <w:rPr>
          <w:rFonts w:ascii="Arial" w:cs="Arial" w:eastAsia="Arial" w:hAnsi="Arial"/>
          <w:sz w:val="17"/>
          <w:szCs w:val="17"/>
          <w:b w:val="1"/>
          <w:bCs w:val="1"/>
          <w:i w:val="1"/>
          <w:iCs w:val="1"/>
          <w:u w:val="single" w:color="auto"/>
          <w:color w:val="auto"/>
        </w:rPr>
        <w:t>Target Bonus</w:t>
      </w:r>
      <w:r>
        <w:rPr>
          <w:rFonts w:ascii="Arial" w:cs="Arial" w:eastAsia="Arial" w:hAnsi="Arial"/>
          <w:sz w:val="17"/>
          <w:szCs w:val="17"/>
          <w:color w:val="auto"/>
        </w:rPr>
        <w:t>”) based on Base Salary in effect on January 1st of the applicable performance period. The actual Annual Bonus payable to the Executive with respect to a performance period will be determined by the Compensation Committee based on achieving performance goals and objectives for such calendar year as reasonably determined by the Compensation Committee. The Executive’s Annual Bonus shall be paid as soon as administratively practicable after the end of the performance period, but in no event later than the March 15</w:t>
      </w:r>
      <w:r>
        <w:rPr>
          <w:rFonts w:ascii="Arial" w:cs="Arial" w:eastAsia="Arial" w:hAnsi="Arial"/>
          <w:sz w:val="14"/>
          <w:szCs w:val="14"/>
          <w:color w:val="auto"/>
        </w:rPr>
        <w:t>th</w:t>
      </w:r>
      <w:r>
        <w:rPr>
          <w:rFonts w:ascii="Arial" w:cs="Arial" w:eastAsia="Arial" w:hAnsi="Arial"/>
          <w:sz w:val="17"/>
          <w:szCs w:val="17"/>
          <w:color w:val="auto"/>
        </w:rPr>
        <w:t xml:space="preserve"> immediately following such period; provided, that the Executive must remain continuously employed by the Company through the date on which the Board approves the actual Annual Bonus amount payable to the Executive to be eligible to receive bonus (except as otherwise provided in Section 4(c) or 5(a)).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78" w:name="page79"/>
    <w:bookmarkEnd w:id="78"/>
    <w:p>
      <w:pPr>
        <w:ind w:right="260" w:firstLine="987"/>
        <w:spacing w:after="0" w:line="259" w:lineRule="auto"/>
        <w:tabs>
          <w:tab w:leader="none" w:pos="123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w:t>
      </w:r>
      <w:r>
        <w:rPr>
          <w:rFonts w:ascii="Arial" w:cs="Arial" w:eastAsia="Arial" w:hAnsi="Arial"/>
          <w:sz w:val="18"/>
          <w:szCs w:val="18"/>
          <w:color w:val="auto"/>
        </w:rPr>
        <w:t>. The Company shall promptly pay or reimburse the Executive for all reasonable expenses incurred by the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78" w:lineRule="exact"/>
        <w:rPr>
          <w:rFonts w:ascii="Arial" w:cs="Arial" w:eastAsia="Arial" w:hAnsi="Arial"/>
          <w:sz w:val="18"/>
          <w:szCs w:val="18"/>
          <w:color w:val="auto"/>
        </w:rPr>
      </w:pPr>
    </w:p>
    <w:p>
      <w:pPr>
        <w:ind w:right="360" w:firstLine="987"/>
        <w:spacing w:after="0" w:line="277" w:lineRule="auto"/>
        <w:tabs>
          <w:tab w:leader="none" w:pos="124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The Executive shall be eligible to participate in or receive benefits under the Company’s employee benefit plans in effect from time to time, subject to the terms of such plans.</w:t>
      </w:r>
    </w:p>
    <w:p>
      <w:pPr>
        <w:spacing w:after="0" w:line="62" w:lineRule="exact"/>
        <w:rPr>
          <w:rFonts w:ascii="Arial" w:cs="Arial" w:eastAsia="Arial" w:hAnsi="Arial"/>
          <w:sz w:val="18"/>
          <w:szCs w:val="18"/>
          <w:color w:val="auto"/>
        </w:rPr>
      </w:pPr>
    </w:p>
    <w:p>
      <w:pPr>
        <w:ind w:right="140" w:firstLine="987"/>
        <w:spacing w:after="0" w:line="277" w:lineRule="auto"/>
        <w:tabs>
          <w:tab w:leader="none" w:pos="123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take paid time off in accordance with the Company’s applicable paid time off policy for executives, as may be in effect from time to time.</w:t>
      </w:r>
    </w:p>
    <w:p>
      <w:pPr>
        <w:spacing w:after="0" w:line="62" w:lineRule="exact"/>
        <w:rPr>
          <w:rFonts w:ascii="Arial" w:cs="Arial" w:eastAsia="Arial" w:hAnsi="Arial"/>
          <w:sz w:val="18"/>
          <w:szCs w:val="18"/>
          <w:color w:val="auto"/>
        </w:rPr>
      </w:pPr>
    </w:p>
    <w:p>
      <w:pPr>
        <w:ind w:right="40" w:firstLine="987"/>
        <w:spacing w:after="0" w:line="277" w:lineRule="auto"/>
        <w:tabs>
          <w:tab w:leader="none" w:pos="121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The Executive shall be subject to the Company’s Executive Stock Ownership Guidelines while providing services under this Agreement.</w:t>
      </w:r>
    </w:p>
    <w:p>
      <w:pPr>
        <w:spacing w:after="0" w:line="62" w:lineRule="exact"/>
        <w:rPr>
          <w:rFonts w:ascii="Arial" w:cs="Arial" w:eastAsia="Arial" w:hAnsi="Arial"/>
          <w:sz w:val="18"/>
          <w:szCs w:val="18"/>
          <w:color w:val="auto"/>
        </w:rPr>
      </w:pPr>
    </w:p>
    <w:p>
      <w:pPr>
        <w:ind w:firstLine="987"/>
        <w:spacing w:after="0" w:line="257" w:lineRule="auto"/>
        <w:tabs>
          <w:tab w:leader="none" w:pos="124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Treatment of Equity Awards upon a Change in Control</w:t>
      </w:r>
      <w:r>
        <w:rPr>
          <w:rFonts w:ascii="Arial" w:cs="Arial" w:eastAsia="Arial" w:hAnsi="Arial"/>
          <w:sz w:val="18"/>
          <w:szCs w:val="18"/>
          <w:color w:val="auto"/>
        </w:rPr>
        <w:t>. The following provisions shall apply to any award granted under the Adagio Therapeutics, Inc. 2021 Equity Incentive Plan (the “</w:t>
      </w:r>
      <w:r>
        <w:rPr>
          <w:rFonts w:ascii="Arial" w:cs="Arial" w:eastAsia="Arial" w:hAnsi="Arial"/>
          <w:sz w:val="18"/>
          <w:szCs w:val="18"/>
          <w:b w:val="1"/>
          <w:bCs w:val="1"/>
          <w:i w:val="1"/>
          <w:iCs w:val="1"/>
          <w:u w:val="single" w:color="auto"/>
          <w:color w:val="auto"/>
        </w:rPr>
        <w:t>Plan</w:t>
      </w:r>
      <w:r>
        <w:rPr>
          <w:rFonts w:ascii="Arial" w:cs="Arial" w:eastAsia="Arial" w:hAnsi="Arial"/>
          <w:sz w:val="18"/>
          <w:szCs w:val="18"/>
          <w:color w:val="auto"/>
        </w:rPr>
        <w:t>”) or any other plan, agreement or arrangement based on the value of a share of the Company’s common stock on or after the Effective Date (collectively, the “</w:t>
      </w:r>
      <w:r>
        <w:rPr>
          <w:rFonts w:ascii="Arial" w:cs="Arial" w:eastAsia="Arial" w:hAnsi="Arial"/>
          <w:sz w:val="18"/>
          <w:szCs w:val="18"/>
          <w:b w:val="1"/>
          <w:bCs w:val="1"/>
          <w:i w:val="1"/>
          <w:iCs w:val="1"/>
          <w:u w:val="single" w:color="auto"/>
          <w:color w:val="auto"/>
        </w:rPr>
        <w:t>Equity Awards</w:t>
      </w:r>
      <w:r>
        <w:rPr>
          <w:rFonts w:ascii="Arial" w:cs="Arial" w:eastAsia="Arial" w:hAnsi="Arial"/>
          <w:sz w:val="18"/>
          <w:szCs w:val="18"/>
          <w:color w:val="auto"/>
        </w:rPr>
        <w:t>”) to the extent the Equity Awards are assumed, continued or substituted by the surviving or acquiring entity (or its parent) in connection with a Change in Control (as defined in the Plan) and the Executive continues to provide services to the Company or its successor following such Change in Control:</w:t>
      </w:r>
    </w:p>
    <w:p>
      <w:pPr>
        <w:spacing w:after="0" w:line="79" w:lineRule="exact"/>
        <w:rPr>
          <w:rFonts w:ascii="Arial" w:cs="Arial" w:eastAsia="Arial" w:hAnsi="Arial"/>
          <w:sz w:val="18"/>
          <w:szCs w:val="18"/>
          <w:color w:val="auto"/>
        </w:rPr>
      </w:pPr>
    </w:p>
    <w:p>
      <w:pPr>
        <w:ind w:left="440" w:right="20" w:firstLine="948"/>
        <w:spacing w:after="0" w:line="259" w:lineRule="auto"/>
        <w:tabs>
          <w:tab w:leader="none" w:pos="1607" w:val="left"/>
        </w:tabs>
        <w:numPr>
          <w:ilvl w:val="2"/>
          <w:numId w:val="108"/>
        </w:numPr>
        <w:rPr>
          <w:rFonts w:ascii="Arial" w:cs="Arial" w:eastAsia="Arial" w:hAnsi="Arial"/>
          <w:sz w:val="18"/>
          <w:szCs w:val="18"/>
          <w:color w:val="auto"/>
        </w:rPr>
      </w:pPr>
      <w:r>
        <w:rPr>
          <w:rFonts w:ascii="Arial" w:cs="Arial" w:eastAsia="Arial" w:hAnsi="Arial"/>
          <w:sz w:val="18"/>
          <w:szCs w:val="18"/>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Arial" w:cs="Arial" w:eastAsia="Arial" w:hAnsi="Arial"/>
          <w:sz w:val="18"/>
          <w:szCs w:val="18"/>
          <w:b w:val="1"/>
          <w:bCs w:val="1"/>
          <w:i w:val="1"/>
          <w:iCs w:val="1"/>
          <w:u w:val="single" w:color="auto"/>
          <w:color w:val="auto"/>
        </w:rPr>
        <w:t>Time-Based Equity Awards</w:t>
      </w:r>
      <w:r>
        <w:rPr>
          <w:rFonts w:ascii="Arial" w:cs="Arial" w:eastAsia="Arial" w:hAnsi="Arial"/>
          <w:sz w:val="18"/>
          <w:szCs w:val="18"/>
          <w:color w:val="auto"/>
        </w:rPr>
        <w:t>”) shall not immediately accelerate and become fully vested and exercisable or non-forfeitable on such a Change in Control, and</w:t>
      </w:r>
    </w:p>
    <w:p>
      <w:pPr>
        <w:spacing w:after="0" w:line="78" w:lineRule="exact"/>
        <w:rPr>
          <w:rFonts w:ascii="Arial" w:cs="Arial" w:eastAsia="Arial" w:hAnsi="Arial"/>
          <w:sz w:val="18"/>
          <w:szCs w:val="18"/>
          <w:color w:val="auto"/>
        </w:rPr>
      </w:pPr>
    </w:p>
    <w:p>
      <w:pPr>
        <w:ind w:left="440" w:right="200" w:firstLine="948"/>
        <w:spacing w:after="0" w:line="263" w:lineRule="auto"/>
        <w:tabs>
          <w:tab w:leader="none" w:pos="1657" w:val="left"/>
        </w:tabs>
        <w:numPr>
          <w:ilvl w:val="2"/>
          <w:numId w:val="108"/>
        </w:numPr>
        <w:rPr>
          <w:rFonts w:ascii="Arial" w:cs="Arial" w:eastAsia="Arial" w:hAnsi="Arial"/>
          <w:sz w:val="18"/>
          <w:szCs w:val="18"/>
          <w:color w:val="auto"/>
        </w:rPr>
      </w:pPr>
      <w:r>
        <w:rPr>
          <w:rFonts w:ascii="Arial" w:cs="Arial" w:eastAsia="Arial" w:hAnsi="Arial"/>
          <w:sz w:val="18"/>
          <w:szCs w:val="18"/>
          <w:color w:val="auto"/>
        </w:rPr>
        <w:t>all other Equity Awards, including but not limited to performance stock units vesting based on achieving pre-established performance goals (collectively, the “</w:t>
      </w:r>
      <w:r>
        <w:rPr>
          <w:rFonts w:ascii="Arial" w:cs="Arial" w:eastAsia="Arial" w:hAnsi="Arial"/>
          <w:sz w:val="18"/>
          <w:szCs w:val="18"/>
          <w:b w:val="1"/>
          <w:bCs w:val="1"/>
          <w:i w:val="1"/>
          <w:iCs w:val="1"/>
          <w:u w:val="single" w:color="auto"/>
          <w:color w:val="auto"/>
        </w:rPr>
        <w:t>Performance-Based Equity Awards</w:t>
      </w:r>
      <w:r>
        <w:rPr>
          <w:rFonts w:ascii="Arial" w:cs="Arial" w:eastAsia="Arial" w:hAnsi="Arial"/>
          <w:sz w:val="18"/>
          <w:szCs w:val="18"/>
          <w:color w:val="auto"/>
        </w:rPr>
        <w:t>”) shall be governed by the terms of the Plan and the applicable award agreement.</w:t>
      </w:r>
    </w:p>
    <w:p>
      <w:pPr>
        <w:spacing w:after="0" w:line="75" w:lineRule="exact"/>
        <w:rPr>
          <w:rFonts w:ascii="Arial" w:cs="Arial" w:eastAsia="Arial" w:hAnsi="Arial"/>
          <w:sz w:val="18"/>
          <w:szCs w:val="18"/>
          <w:color w:val="auto"/>
        </w:rPr>
      </w:pPr>
    </w:p>
    <w:p>
      <w:pPr>
        <w:ind w:right="920" w:firstLine="436"/>
        <w:spacing w:after="0" w:line="277" w:lineRule="auto"/>
        <w:tabs>
          <w:tab w:leader="none" w:pos="6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employment hereunder may be terminated without any breach of this Agreement under the following circumstances: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death.</w:t>
      </w:r>
    </w:p>
    <w:p>
      <w:pPr>
        <w:spacing w:after="0" w:line="117" w:lineRule="exact"/>
        <w:rPr>
          <w:rFonts w:ascii="Arial" w:cs="Arial" w:eastAsia="Arial" w:hAnsi="Arial"/>
          <w:sz w:val="18"/>
          <w:szCs w:val="18"/>
          <w:color w:val="auto"/>
        </w:rPr>
      </w:pPr>
    </w:p>
    <w:p>
      <w:pPr>
        <w:ind w:right="60" w:firstLine="987"/>
        <w:spacing w:after="0" w:line="259" w:lineRule="auto"/>
        <w:tabs>
          <w:tab w:leader="none" w:pos="1246"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9" w:name="page80"/>
    <w:bookmarkEnd w:id="79"/>
    <w:p>
      <w:pPr>
        <w:ind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Americans with Disabilities Act, 42 U.S.C. §12101 </w:t>
      </w:r>
      <w:r>
        <w:rPr>
          <w:rFonts w:ascii="Arial" w:cs="Arial" w:eastAsia="Arial" w:hAnsi="Arial"/>
          <w:sz w:val="17"/>
          <w:szCs w:val="17"/>
          <w:i w:val="1"/>
          <w:iCs w:val="1"/>
          <w:color w:val="auto"/>
        </w:rPr>
        <w:t>et seq.</w:t>
      </w:r>
    </w:p>
    <w:p>
      <w:pPr>
        <w:spacing w:after="0" w:line="70" w:lineRule="exact"/>
        <w:rPr>
          <w:sz w:val="20"/>
          <w:szCs w:val="20"/>
          <w:color w:val="auto"/>
        </w:rPr>
      </w:pPr>
    </w:p>
    <w:p>
      <w:pPr>
        <w:ind w:right="60" w:firstLine="987"/>
        <w:spacing w:after="0" w:line="277" w:lineRule="auto"/>
        <w:tabs>
          <w:tab w:leader="none" w:pos="123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The Company may terminate the Executive’s employment hereunder for Cause. For purposes of this Agreement, “</w:t>
      </w:r>
      <w:r>
        <w:rPr>
          <w:rFonts w:ascii="Arial" w:cs="Arial" w:eastAsia="Arial" w:hAnsi="Arial"/>
          <w:sz w:val="18"/>
          <w:szCs w:val="18"/>
          <w:b w:val="1"/>
          <w:bCs w:val="1"/>
          <w:i w:val="1"/>
          <w:iCs w:val="1"/>
          <w:u w:val="single" w:color="auto"/>
          <w:color w:val="auto"/>
        </w:rPr>
        <w:t>Cause</w:t>
      </w:r>
      <w:r>
        <w:rPr>
          <w:rFonts w:ascii="Arial" w:cs="Arial" w:eastAsia="Arial" w:hAnsi="Arial"/>
          <w:sz w:val="18"/>
          <w:szCs w:val="18"/>
          <w:color w:val="auto"/>
        </w:rPr>
        <w:t>” shall mean any of the following:</w:t>
      </w:r>
    </w:p>
    <w:p>
      <w:pPr>
        <w:spacing w:after="0" w:line="62" w:lineRule="exact"/>
        <w:rPr>
          <w:rFonts w:ascii="Arial" w:cs="Arial" w:eastAsia="Arial" w:hAnsi="Arial"/>
          <w:sz w:val="18"/>
          <w:szCs w:val="18"/>
          <w:color w:val="auto"/>
        </w:rPr>
      </w:pPr>
    </w:p>
    <w:p>
      <w:pPr>
        <w:ind w:left="980" w:firstLine="408"/>
        <w:spacing w:after="0" w:line="263" w:lineRule="auto"/>
        <w:tabs>
          <w:tab w:leader="none" w:pos="159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Executive’s unauthorized use or disclosure of confidential information or trade secrets of the Company for Executive’s benefit or any material breach of a written agreement between the Executive and the Company, including without limitation a material breach of this Agreement or the Restrictive Covenants Agreement;</w:t>
      </w:r>
    </w:p>
    <w:p>
      <w:pPr>
        <w:spacing w:after="0" w:line="75" w:lineRule="exact"/>
        <w:rPr>
          <w:rFonts w:ascii="Arial" w:cs="Arial" w:eastAsia="Arial" w:hAnsi="Arial"/>
          <w:sz w:val="18"/>
          <w:szCs w:val="18"/>
          <w:color w:val="auto"/>
        </w:rPr>
      </w:pPr>
    </w:p>
    <w:p>
      <w:pPr>
        <w:ind w:left="980" w:firstLine="408"/>
        <w:spacing w:after="0" w:line="263" w:lineRule="auto"/>
        <w:tabs>
          <w:tab w:leader="none" w:pos="164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Executive’s conviction of, or pleading no contest to, a felony under the laws of the United States or any state thereof (other than in connection with a traffic violation that does not result in imprisonment) or any crime that results in the Executive’s incarceration in a federal, state, or local jail or prison;</w:t>
      </w:r>
    </w:p>
    <w:p>
      <w:pPr>
        <w:spacing w:after="0" w:line="75" w:lineRule="exact"/>
        <w:rPr>
          <w:rFonts w:ascii="Arial" w:cs="Arial" w:eastAsia="Arial" w:hAnsi="Arial"/>
          <w:sz w:val="18"/>
          <w:szCs w:val="18"/>
          <w:color w:val="auto"/>
        </w:rPr>
      </w:pPr>
    </w:p>
    <w:p>
      <w:pPr>
        <w:ind w:left="980" w:right="160" w:firstLine="408"/>
        <w:spacing w:after="0" w:line="275" w:lineRule="auto"/>
        <w:tabs>
          <w:tab w:leader="none" w:pos="1696"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the Executive’s material and willful misconduct in the performance of the Executive’s duties or the Executive’s willful or repeated failure or refusal to substantially perform assigned duties (other than any such failure of refusal resulting from the Executive’s incapacity due to physical or mental illness or any such actual or anticipated failure after the issuance of a notice of Good Reason by the Executive pursuant to Section 3(e) hereof), in any case, which willful misconduct, failure or refusal has continued for more than thirty (30) days following written notice from the CEO of such willful misconduct, failure or refusal;</w:t>
      </w:r>
    </w:p>
    <w:p>
      <w:pPr>
        <w:spacing w:after="0" w:line="68" w:lineRule="exact"/>
        <w:rPr>
          <w:rFonts w:ascii="Arial" w:cs="Arial" w:eastAsia="Arial" w:hAnsi="Arial"/>
          <w:sz w:val="17"/>
          <w:szCs w:val="17"/>
          <w:color w:val="auto"/>
        </w:rPr>
      </w:pPr>
    </w:p>
    <w:p>
      <w:pPr>
        <w:ind w:left="980" w:right="40" w:firstLine="408"/>
        <w:spacing w:after="0" w:line="277" w:lineRule="auto"/>
        <w:tabs>
          <w:tab w:leader="none" w:pos="168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act of fraud, embezzlement or material misappropriation committed by the Executive against the Company (other than good faith expense account disputes);</w:t>
      </w:r>
    </w:p>
    <w:p>
      <w:pPr>
        <w:spacing w:after="0" w:line="62" w:lineRule="exact"/>
        <w:rPr>
          <w:rFonts w:ascii="Arial" w:cs="Arial" w:eastAsia="Arial" w:hAnsi="Arial"/>
          <w:sz w:val="18"/>
          <w:szCs w:val="18"/>
          <w:color w:val="auto"/>
        </w:rPr>
      </w:pPr>
    </w:p>
    <w:p>
      <w:pPr>
        <w:ind w:left="980" w:firstLine="408"/>
        <w:spacing w:after="0" w:line="277" w:lineRule="auto"/>
        <w:tabs>
          <w:tab w:leader="none" w:pos="163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willful engaging by the Executive in any act that brings the Company into public disrepute or disgrace or causes material harm to the customer relations, operations or business prospects of the Company;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80" w:name="page81"/>
    <w:bookmarkEnd w:id="80"/>
    <w:p>
      <w:pPr>
        <w:ind w:left="980" w:right="100" w:firstLine="408"/>
        <w:spacing w:after="0" w:line="259" w:lineRule="auto"/>
        <w:tabs>
          <w:tab w:leader="none" w:pos="1686"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For purposes of this Section 3(c), no act, or failure to act, on the Executive’s part shall be deemed “willful” if done, or omitted to be done, by the Executive in good faith and with reasonable belief that the Executive’s act, or failure to act, was in the best interest of the Company.</w:t>
      </w:r>
    </w:p>
    <w:p>
      <w:pPr>
        <w:spacing w:after="0" w:line="14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the case of any termination for Cause, the Company shall provide written notice to the Executive setting forth to a reasonable extent at least the principal acts or omissions of the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termination for Cause under this Section 3(c) (other than with respect to Section 3(c)(ii) shall in no event become effective under the Agreement unless the provisions of this paragraph are complied with. The Executive must be given written notice by the Board of the intention to terminate Executive’s employment for Cause, such notice (A) to state in detail the act or acts or failure or failures to act that constitute the grounds on which the proposed termination for Cause is based and (B) to be given within three (3) months of the Board learning of such act or acts or failure or failures to act. The Executive shall have ten (10) days after the date that such written notice has been given to the Executive in which to cure such conduct, to the extent such cure is possible. If the Executive fails to cure such conduct, the Executive shall thereupon be terminated for Cause.</w:t>
      </w:r>
    </w:p>
    <w:p>
      <w:pPr>
        <w:spacing w:after="0" w:line="164" w:lineRule="exact"/>
        <w:rPr>
          <w:sz w:val="20"/>
          <w:szCs w:val="20"/>
          <w:color w:val="auto"/>
        </w:rPr>
      </w:pPr>
    </w:p>
    <w:p>
      <w:pPr>
        <w:jc w:val="both"/>
        <w:ind w:right="40" w:firstLine="987"/>
        <w:spacing w:after="0" w:line="311" w:lineRule="auto"/>
        <w:tabs>
          <w:tab w:leader="none" w:pos="1246"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w:t>
      </w:r>
      <w:r>
        <w:rPr>
          <w:rFonts w:ascii="Arial" w:cs="Arial" w:eastAsia="Arial" w:hAnsi="Arial"/>
          <w:sz w:val="16"/>
          <w:szCs w:val="16"/>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3(b) shall be deemed a termination without Cause.</w:t>
      </w:r>
    </w:p>
    <w:p>
      <w:pPr>
        <w:spacing w:after="0" w:line="40" w:lineRule="exact"/>
        <w:rPr>
          <w:rFonts w:ascii="Arial" w:cs="Arial" w:eastAsia="Arial" w:hAnsi="Arial"/>
          <w:sz w:val="16"/>
          <w:szCs w:val="16"/>
          <w:color w:val="auto"/>
        </w:rPr>
      </w:pPr>
    </w:p>
    <w:p>
      <w:pPr>
        <w:ind w:right="240" w:firstLine="987"/>
        <w:spacing w:after="0" w:line="259" w:lineRule="auto"/>
        <w:tabs>
          <w:tab w:leader="none" w:pos="1236"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employment hereunder at any time for any reason, including but not limited to, Good Reason. For purposes of this Agreement,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shall mean that the Executive has completed all steps of the Good Reason Process (hereinafter defined) following the occurrence of any of the following events without the Executive’s consent (each, a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Condition</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980" w:right="140" w:firstLine="408"/>
        <w:spacing w:after="0" w:line="277" w:lineRule="auto"/>
        <w:tabs>
          <w:tab w:leader="none" w:pos="159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material diminution in the Executive’s title, responsibilities, authority or duties; or a material reduction in the authority, duties, or responsibilities of the CEO to whom the Executive is required to report;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81" w:name="page82"/>
    <w:bookmarkEnd w:id="81"/>
    <w:p>
      <w:pPr>
        <w:ind w:left="980" w:right="340" w:firstLine="408"/>
        <w:spacing w:after="0" w:line="311" w:lineRule="auto"/>
        <w:tabs>
          <w:tab w:leader="none" w:pos="1646" w:val="left"/>
        </w:tabs>
        <w:numPr>
          <w:ilvl w:val="1"/>
          <w:numId w:val="1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Change in Control following which either: (A) there is a material reduction in the budget over which the Executive retains authority or (B) the Executive is not Chief Technology and Manufacturing Officer of the Company or, if the Company becomes a subsidiary of one or more entities following the Change in Control, the post-consummation ultimate parent entity of the Company; or</w:t>
      </w:r>
    </w:p>
    <w:p>
      <w:pPr>
        <w:spacing w:after="0" w:line="40" w:lineRule="exact"/>
        <w:rPr>
          <w:rFonts w:ascii="Arial" w:cs="Arial" w:eastAsia="Arial" w:hAnsi="Arial"/>
          <w:sz w:val="16"/>
          <w:szCs w:val="16"/>
          <w:color w:val="auto"/>
        </w:rPr>
      </w:pPr>
    </w:p>
    <w:p>
      <w:pPr>
        <w:ind w:left="980" w:firstLine="408"/>
        <w:spacing w:after="0" w:line="255" w:lineRule="auto"/>
        <w:tabs>
          <w:tab w:leader="none" w:pos="169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material breach of this Agreement by the Company, including without limitation, a reduction of the Executive’s Base Salary or Target Bonus in violation of Section 2(a) or 2(b) (except for across-the-board salary reductions of not more than ten percent (10%) similarly affecting all or substantially all senior management employees of the Company), a relocation of the Executive’s place of employment to any location that is greater than twenty (20) miles from the Executive’s home office, or the failure of the Company to obtain the assumption in writing of the Company’s obligations to the Executive under this Agreement by any successor as required under Section 13 below.</w:t>
      </w:r>
    </w:p>
    <w:p>
      <w:pPr>
        <w:spacing w:after="0" w:line="192" w:lineRule="exact"/>
        <w:rPr>
          <w:rFonts w:ascii="Arial" w:cs="Arial" w:eastAsia="Arial" w:hAnsi="Arial"/>
          <w:sz w:val="18"/>
          <w:szCs w:val="18"/>
          <w:color w:val="auto"/>
        </w:rPr>
      </w:pPr>
    </w:p>
    <w:p>
      <w:pPr>
        <w:ind w:left="1220" w:hanging="233"/>
        <w:spacing w:after="0"/>
        <w:tabs>
          <w:tab w:leader="none" w:pos="122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Good Reason Process</w:t>
      </w:r>
      <w:r>
        <w:rPr>
          <w:rFonts w:ascii="Arial" w:cs="Arial" w:eastAsia="Arial" w:hAnsi="Arial"/>
          <w:sz w:val="18"/>
          <w:szCs w:val="18"/>
          <w:color w:val="auto"/>
        </w:rPr>
        <w:t>. The “</w:t>
      </w:r>
      <w:r>
        <w:rPr>
          <w:rFonts w:ascii="Arial" w:cs="Arial" w:eastAsia="Arial" w:hAnsi="Arial"/>
          <w:sz w:val="18"/>
          <w:szCs w:val="18"/>
          <w:b w:val="1"/>
          <w:bCs w:val="1"/>
          <w:i w:val="1"/>
          <w:iCs w:val="1"/>
          <w:u w:val="single" w:color="auto"/>
          <w:color w:val="auto"/>
        </w:rPr>
        <w:t>Good Reason Process</w:t>
      </w:r>
      <w:r>
        <w:rPr>
          <w:rFonts w:ascii="Arial" w:cs="Arial" w:eastAsia="Arial" w:hAnsi="Arial"/>
          <w:sz w:val="18"/>
          <w:szCs w:val="18"/>
          <w:color w:val="auto"/>
        </w:rPr>
        <w:t>” consists of the following steps:</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Executive reasonably determines in good faith that a Good Reason Condition has occurred;</w:t>
      </w:r>
    </w:p>
    <w:p>
      <w:pPr>
        <w:spacing w:after="0" w:line="117" w:lineRule="exact"/>
        <w:rPr>
          <w:rFonts w:ascii="Arial" w:cs="Arial" w:eastAsia="Arial" w:hAnsi="Arial"/>
          <w:sz w:val="18"/>
          <w:szCs w:val="18"/>
          <w:color w:val="auto"/>
        </w:rPr>
      </w:pPr>
    </w:p>
    <w:p>
      <w:pPr>
        <w:ind w:left="980" w:firstLine="408"/>
        <w:spacing w:after="0" w:line="277" w:lineRule="auto"/>
        <w:tabs>
          <w:tab w:leader="none" w:pos="164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Executive notifies the Company in writing of the first occurrence of the Good Reason Condition within sixty (60) days of the first occurrence of such condition;</w:t>
      </w:r>
    </w:p>
    <w:p>
      <w:pPr>
        <w:spacing w:after="0" w:line="62" w:lineRule="exact"/>
        <w:rPr>
          <w:rFonts w:ascii="Arial" w:cs="Arial" w:eastAsia="Arial" w:hAnsi="Arial"/>
          <w:sz w:val="18"/>
          <w:szCs w:val="18"/>
          <w:color w:val="auto"/>
        </w:rPr>
      </w:pPr>
    </w:p>
    <w:p>
      <w:pPr>
        <w:ind w:left="980" w:right="120" w:firstLine="408"/>
        <w:spacing w:after="0" w:line="277" w:lineRule="auto"/>
        <w:tabs>
          <w:tab w:leader="none" w:pos="169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Executive cooperates in good faith with the Company’s efforts, for a period of not less than thirty (30) days following such notice (the “</w:t>
      </w:r>
      <w:r>
        <w:rPr>
          <w:rFonts w:ascii="Arial" w:cs="Arial" w:eastAsia="Arial" w:hAnsi="Arial"/>
          <w:sz w:val="18"/>
          <w:szCs w:val="18"/>
          <w:b w:val="1"/>
          <w:bCs w:val="1"/>
          <w:i w:val="1"/>
          <w:iCs w:val="1"/>
          <w:u w:val="single" w:color="auto"/>
          <w:color w:val="auto"/>
        </w:rPr>
        <w:t>Cure Period</w:t>
      </w:r>
      <w:r>
        <w:rPr>
          <w:rFonts w:ascii="Arial" w:cs="Arial" w:eastAsia="Arial" w:hAnsi="Arial"/>
          <w:sz w:val="18"/>
          <w:szCs w:val="18"/>
          <w:color w:val="auto"/>
        </w:rPr>
        <w:t>”), to remedy the Good Reason Condition;</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notwithstanding such efforts, the Good Reason Condition continues to exist at the end of the Cure Period; and</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Executive terminates employment within sixty (60) days after the end of the Cure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ind w:left="620" w:hanging="184"/>
        <w:spacing w:after="0"/>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Matters Related to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987"/>
        <w:spacing w:after="0" w:line="311" w:lineRule="auto"/>
        <w:tabs>
          <w:tab w:leader="none" w:pos="1236"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Arial" w:cs="Arial" w:eastAsia="Arial" w:hAnsi="Arial"/>
          <w:sz w:val="16"/>
          <w:szCs w:val="16"/>
          <w:b w:val="1"/>
          <w:bCs w:val="1"/>
          <w:i w:val="1"/>
          <w:iCs w:val="1"/>
          <w:u w:val="single" w:color="auto"/>
          <w:color w:val="auto"/>
        </w:rPr>
        <w:t>Notice of Termination</w:t>
      </w:r>
      <w:r>
        <w:rPr>
          <w:rFonts w:ascii="Arial" w:cs="Arial" w:eastAsia="Arial" w:hAnsi="Arial"/>
          <w:sz w:val="16"/>
          <w:szCs w:val="16"/>
          <w:color w:val="auto"/>
        </w:rPr>
        <w:t>” shall mean a notice which shall indicate the specific termination provision in this Agreement relied upon.</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40" w:top="274" w:right="519" w:bottom="1440" w:gutter="0" w:footer="0" w:header="0"/>
        </w:sectPr>
      </w:pPr>
    </w:p>
    <w:bookmarkStart w:id="82" w:name="page83"/>
    <w:bookmarkEnd w:id="82"/>
    <w:p>
      <w:pPr>
        <w:ind w:left="1244" w:hanging="253"/>
        <w:spacing w:after="0"/>
        <w:tabs>
          <w:tab w:leader="none" w:pos="1244" w:val="left"/>
        </w:tabs>
        <w:numPr>
          <w:ilvl w:val="2"/>
          <w:numId w:val="1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of Termination</w:t>
      </w:r>
      <w:r>
        <w:rPr>
          <w:rFonts w:ascii="Arial" w:cs="Arial" w:eastAsia="Arial" w:hAnsi="Arial"/>
          <w:sz w:val="16"/>
          <w:szCs w:val="16"/>
          <w:color w:val="auto"/>
        </w:rPr>
        <w:t>. “</w:t>
      </w:r>
      <w:r>
        <w:rPr>
          <w:rFonts w:ascii="Arial" w:cs="Arial" w:eastAsia="Arial" w:hAnsi="Arial"/>
          <w:sz w:val="16"/>
          <w:szCs w:val="16"/>
          <w:b w:val="1"/>
          <w:bCs w:val="1"/>
          <w:i w:val="1"/>
          <w:iCs w:val="1"/>
          <w:u w:val="single" w:color="auto"/>
          <w:color w:val="auto"/>
        </w:rPr>
        <w:t>Date of Termination</w:t>
      </w:r>
      <w:r>
        <w:rPr>
          <w:rFonts w:ascii="Arial" w:cs="Arial" w:eastAsia="Arial" w:hAnsi="Arial"/>
          <w:sz w:val="16"/>
          <w:szCs w:val="16"/>
          <w:color w:val="auto"/>
        </w:rPr>
        <w:t>” shall mean: (i) if the Executive’s employment is terminated by death, the date of death;</w:t>
      </w:r>
    </w:p>
    <w:p>
      <w:pPr>
        <w:spacing w:after="0" w:line="46" w:lineRule="exact"/>
        <w:rPr>
          <w:rFonts w:ascii="Arial" w:cs="Arial" w:eastAsia="Arial" w:hAnsi="Arial"/>
          <w:sz w:val="16"/>
          <w:szCs w:val="16"/>
          <w:color w:val="auto"/>
        </w:rPr>
      </w:pPr>
    </w:p>
    <w:p>
      <w:pPr>
        <w:ind w:left="4" w:right="20" w:hanging="4"/>
        <w:spacing w:after="0" w:line="281" w:lineRule="auto"/>
        <w:tabs>
          <w:tab w:leader="none" w:pos="26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the Executive’s employment is terminated on account of disability under Section 3(b) or by the Company for Cause under Section 3(c), the date on which Notice of Termination is given; (iii) if the Executive’s employment is terminated by the Company without Cause under Section 3(d), thirty</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(30) days after the date on which a Notice of Termination is given or a later date otherwise specified by the Company in the Notice of Termination;</w:t>
      </w:r>
    </w:p>
    <w:p>
      <w:pPr>
        <w:spacing w:after="0" w:line="20" w:lineRule="exact"/>
        <w:rPr>
          <w:rFonts w:ascii="Arial" w:cs="Arial" w:eastAsia="Arial" w:hAnsi="Arial"/>
          <w:sz w:val="16"/>
          <w:szCs w:val="16"/>
          <w:color w:val="auto"/>
        </w:rPr>
      </w:pPr>
    </w:p>
    <w:p>
      <w:pPr>
        <w:ind w:left="304" w:hanging="304"/>
        <w:spacing w:after="0"/>
        <w:tabs>
          <w:tab w:leader="none" w:pos="30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if the Executive’s employment is terminated by the Executive under Section 3(e) other than for Good Reason, thirty (30) days after the date on</w:t>
      </w:r>
    </w:p>
    <w:p>
      <w:pPr>
        <w:spacing w:after="0" w:line="20" w:lineRule="exact"/>
        <w:rPr>
          <w:rFonts w:ascii="Arial" w:cs="Arial" w:eastAsia="Arial" w:hAnsi="Arial"/>
          <w:sz w:val="17"/>
          <w:szCs w:val="17"/>
          <w:color w:val="auto"/>
        </w:rPr>
      </w:pPr>
    </w:p>
    <w:p>
      <w:pPr>
        <w:ind w:left="4" w:right="140"/>
        <w:spacing w:after="0" w:line="253" w:lineRule="auto"/>
        <w:rPr>
          <w:rFonts w:ascii="Arial" w:cs="Arial" w:eastAsia="Arial" w:hAnsi="Arial"/>
          <w:sz w:val="17"/>
          <w:szCs w:val="17"/>
          <w:color w:val="auto"/>
        </w:rPr>
      </w:pPr>
      <w:r>
        <w:rPr>
          <w:rFonts w:ascii="Arial" w:cs="Arial" w:eastAsia="Arial" w:hAnsi="Arial"/>
          <w:sz w:val="18"/>
          <w:szCs w:val="18"/>
          <w:color w:val="auto"/>
        </w:rPr>
        <w:t>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84" w:lineRule="exact"/>
        <w:rPr>
          <w:rFonts w:ascii="Arial" w:cs="Arial" w:eastAsia="Arial" w:hAnsi="Arial"/>
          <w:sz w:val="17"/>
          <w:szCs w:val="17"/>
          <w:color w:val="auto"/>
        </w:rPr>
      </w:pPr>
    </w:p>
    <w:p>
      <w:pPr>
        <w:ind w:left="4" w:firstLine="987"/>
        <w:spacing w:after="0" w:line="290" w:lineRule="auto"/>
        <w:tabs>
          <w:tab w:leader="none" w:pos="1240" w:val="left"/>
        </w:tabs>
        <w:numPr>
          <w:ilvl w:val="2"/>
          <w:numId w:val="118"/>
        </w:numPr>
        <w:rPr>
          <w:rFonts w:ascii="Arial" w:cs="Arial" w:eastAsia="Arial" w:hAnsi="Arial"/>
          <w:sz w:val="16"/>
          <w:szCs w:val="16"/>
          <w:color w:val="auto"/>
        </w:rPr>
      </w:pPr>
      <w:r>
        <w:rPr>
          <w:rFonts w:ascii="Arial" w:cs="Arial" w:eastAsia="Arial" w:hAnsi="Arial"/>
          <w:sz w:val="16"/>
          <w:szCs w:val="16"/>
          <w:u w:val="single" w:color="auto"/>
          <w:color w:val="auto"/>
        </w:rPr>
        <w:t>Accrued Obligations</w:t>
      </w:r>
      <w:r>
        <w:rPr>
          <w:rFonts w:ascii="Arial" w:cs="Arial" w:eastAsia="Arial" w:hAnsi="Arial"/>
          <w:sz w:val="16"/>
          <w:szCs w:val="16"/>
          <w:color w:val="auto"/>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the Executive terminates employment due to death or Disability (as defined in Section 3(b) above), the Executive (or in the case of death, the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Arial" w:cs="Arial" w:eastAsia="Arial" w:hAnsi="Arial"/>
          <w:sz w:val="16"/>
          <w:szCs w:val="16"/>
          <w:b w:val="1"/>
          <w:bCs w:val="1"/>
          <w:i w:val="1"/>
          <w:iCs w:val="1"/>
          <w:u w:val="single" w:color="auto"/>
          <w:color w:val="auto"/>
        </w:rPr>
        <w:t>Accrued Obligations</w:t>
      </w:r>
      <w:r>
        <w:rPr>
          <w:rFonts w:ascii="Arial" w:cs="Arial" w:eastAsia="Arial" w:hAnsi="Arial"/>
          <w:sz w:val="16"/>
          <w:szCs w:val="16"/>
          <w:color w:val="auto"/>
        </w:rPr>
        <w:t>.”</w:t>
      </w:r>
    </w:p>
    <w:p>
      <w:pPr>
        <w:spacing w:after="0" w:line="57" w:lineRule="exact"/>
        <w:rPr>
          <w:rFonts w:ascii="Arial" w:cs="Arial" w:eastAsia="Arial" w:hAnsi="Arial"/>
          <w:sz w:val="16"/>
          <w:szCs w:val="16"/>
          <w:color w:val="auto"/>
        </w:rPr>
      </w:pPr>
    </w:p>
    <w:p>
      <w:pPr>
        <w:ind w:left="4" w:right="60" w:firstLine="987"/>
        <w:spacing w:after="0" w:line="259" w:lineRule="auto"/>
        <w:tabs>
          <w:tab w:leader="none" w:pos="1250" w:val="left"/>
        </w:tabs>
        <w:numPr>
          <w:ilvl w:val="2"/>
          <w:numId w:val="118"/>
        </w:numPr>
        <w:rPr>
          <w:rFonts w:ascii="Arial" w:cs="Arial" w:eastAsia="Arial" w:hAnsi="Arial"/>
          <w:sz w:val="18"/>
          <w:szCs w:val="18"/>
          <w:color w:val="auto"/>
        </w:rPr>
      </w:pPr>
      <w:r>
        <w:rPr>
          <w:rFonts w:ascii="Arial" w:cs="Arial" w:eastAsia="Arial" w:hAnsi="Arial"/>
          <w:sz w:val="18"/>
          <w:szCs w:val="18"/>
          <w:u w:val="single" w:color="auto"/>
          <w:color w:val="auto"/>
        </w:rPr>
        <w:t>Resignation of All Other Positions</w:t>
      </w:r>
      <w:r>
        <w:rPr>
          <w:rFonts w:ascii="Arial" w:cs="Arial" w:eastAsia="Arial" w:hAnsi="Arial"/>
          <w:sz w:val="18"/>
          <w:szCs w:val="18"/>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78" w:lineRule="exact"/>
        <w:rPr>
          <w:rFonts w:ascii="Arial" w:cs="Arial" w:eastAsia="Arial" w:hAnsi="Arial"/>
          <w:sz w:val="18"/>
          <w:szCs w:val="18"/>
          <w:color w:val="auto"/>
        </w:rPr>
      </w:pPr>
    </w:p>
    <w:p>
      <w:pPr>
        <w:ind w:left="4" w:right="180" w:firstLine="436"/>
        <w:spacing w:after="0" w:line="293" w:lineRule="auto"/>
        <w:tabs>
          <w:tab w:leader="none" w:pos="624"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w:t>
      </w:r>
      <w:r>
        <w:rPr>
          <w:rFonts w:ascii="Arial" w:cs="Arial" w:eastAsia="Arial" w:hAnsi="Arial"/>
          <w:sz w:val="16"/>
          <w:szCs w:val="16"/>
          <w:color w:val="auto"/>
        </w:rPr>
        <w:t xml:space="preserve">. If the Executive’s employment is terminated by the Company without Cause as provided in Section 3(d), or the Executive terminates employment for Good Reason as provided in Section 3(e), then, in addition to the Accrued Obligations, and subject to (i) the Executive signing a separation agreement and release in a form substantially the same as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w:t>
      </w:r>
      <w:r>
        <w:rPr>
          <w:rFonts w:ascii="Arial" w:cs="Arial" w:eastAsia="Arial" w:hAnsi="Arial"/>
          <w:sz w:val="16"/>
          <w:szCs w:val="16"/>
          <w:b w:val="1"/>
          <w:bCs w:val="1"/>
          <w:i w:val="1"/>
          <w:iCs w:val="1"/>
          <w:u w:val="single" w:color="auto"/>
          <w:color w:val="auto"/>
        </w:rPr>
        <w:t>Separation Agreement</w:t>
      </w:r>
      <w:r>
        <w:rPr>
          <w:rFonts w:ascii="Arial" w:cs="Arial" w:eastAsia="Arial" w:hAnsi="Arial"/>
          <w:sz w:val="16"/>
          <w:szCs w:val="16"/>
          <w:color w:val="auto"/>
        </w:rPr>
        <w:t>”), which provides that if the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83" w:name="page84"/>
    <w:bookmarkEnd w:id="83"/>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w:t>
      </w:r>
      <w:r>
        <w:rPr>
          <w:rFonts w:ascii="Arial" w:cs="Arial" w:eastAsia="Arial" w:hAnsi="Arial"/>
          <w:sz w:val="17"/>
          <w:szCs w:val="17"/>
          <w:u w:val="single" w:color="auto"/>
          <w:color w:val="auto"/>
        </w:rPr>
        <w:t>Cash Severance</w:t>
      </w:r>
      <w:r>
        <w:rPr>
          <w:rFonts w:ascii="Arial" w:cs="Arial" w:eastAsia="Arial" w:hAnsi="Arial"/>
          <w:sz w:val="17"/>
          <w:szCs w:val="17"/>
          <w:color w:val="auto"/>
        </w:rPr>
        <w:t>. The Company shall pay the Executive an amount equal to nine (9) months’ of the Executive’s Base Salary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u w:val="single" w:color="auto"/>
          <w:color w:val="auto"/>
        </w:rPr>
        <w:t>Severance Amount</w:t>
      </w:r>
      <w:r>
        <w:rPr>
          <w:rFonts w:ascii="Arial" w:cs="Arial" w:eastAsia="Arial" w:hAnsi="Arial"/>
          <w:sz w:val="16"/>
          <w:szCs w:val="16"/>
          <w:color w:val="auto"/>
        </w:rPr>
        <w:t>”) and, in the event that the Executive’s employment is terminated after the end of the calendar year but prior to the payment of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Annual Bonus for the immediately preceding calendar year, the Executive shall be entitled to receive a lump sum payment of any unpaid Annual Bonus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earned based on achievement of the applicable performance goals and objectives, without any reduction for individual performance, with respect to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immediately preceding calendar year (the “</w:t>
      </w:r>
      <w:r>
        <w:rPr>
          <w:rFonts w:ascii="Arial" w:cs="Arial" w:eastAsia="Arial" w:hAnsi="Arial"/>
          <w:sz w:val="18"/>
          <w:szCs w:val="18"/>
          <w:b w:val="1"/>
          <w:bCs w:val="1"/>
          <w:i w:val="1"/>
          <w:iCs w:val="1"/>
          <w:u w:val="single" w:color="auto"/>
          <w:color w:val="auto"/>
        </w:rPr>
        <w:t>Earned Bonus</w:t>
      </w:r>
      <w:r>
        <w:rPr>
          <w:rFonts w:ascii="Arial" w:cs="Arial" w:eastAsia="Arial" w:hAnsi="Arial"/>
          <w:sz w:val="18"/>
          <w:szCs w:val="18"/>
          <w:color w:val="auto"/>
        </w:rPr>
        <w:t>”).</w:t>
      </w:r>
    </w:p>
    <w:p>
      <w:pPr>
        <w:spacing w:after="0" w:line="103" w:lineRule="exact"/>
        <w:rPr>
          <w:sz w:val="20"/>
          <w:szCs w:val="20"/>
          <w:color w:val="auto"/>
        </w:rPr>
      </w:pPr>
    </w:p>
    <w:p>
      <w:pPr>
        <w:jc w:val="both"/>
        <w:ind w:left="4" w:right="160" w:firstLine="987"/>
        <w:spacing w:after="0" w:line="286" w:lineRule="auto"/>
        <w:tabs>
          <w:tab w:leader="none" w:pos="1250"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COBRA Premiums</w:t>
      </w:r>
      <w:r>
        <w:rPr>
          <w:rFonts w:ascii="Arial" w:cs="Arial" w:eastAsia="Arial" w:hAnsi="Arial"/>
          <w:sz w:val="16"/>
          <w:szCs w:val="16"/>
          <w:color w:val="auto"/>
        </w:rPr>
        <w:t>. Subject to the Executive’s copayment of premium amounts at the applicable active employees’ rate and the Executive’s proper election to receive benefits under the Consolidated Omnibus Budget Reconciliation Act of 1985, as amended (“</w:t>
      </w:r>
      <w:r>
        <w:rPr>
          <w:rFonts w:ascii="Arial" w:cs="Arial" w:eastAsia="Arial" w:hAnsi="Arial"/>
          <w:sz w:val="16"/>
          <w:szCs w:val="16"/>
          <w:b w:val="1"/>
          <w:bCs w:val="1"/>
          <w:i w:val="1"/>
          <w:iCs w:val="1"/>
          <w:u w:val="single" w:color="auto"/>
          <w:color w:val="auto"/>
        </w:rPr>
        <w:t>COBRA</w:t>
      </w:r>
      <w:r>
        <w:rPr>
          <w:rFonts w:ascii="Arial" w:cs="Arial" w:eastAsia="Arial" w:hAnsi="Arial"/>
          <w:sz w:val="16"/>
          <w:szCs w:val="16"/>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w:t>
      </w:r>
    </w:p>
    <w:p>
      <w:pPr>
        <w:spacing w:after="0" w:line="1" w:lineRule="exact"/>
        <w:rPr>
          <w:rFonts w:ascii="Arial" w:cs="Arial" w:eastAsia="Arial" w:hAnsi="Arial"/>
          <w:sz w:val="16"/>
          <w:szCs w:val="16"/>
          <w:color w:val="auto"/>
        </w:rPr>
      </w:pPr>
    </w:p>
    <w:p>
      <w:pPr>
        <w:ind w:left="4" w:right="120" w:hanging="4"/>
        <w:spacing w:after="0" w:line="270" w:lineRule="auto"/>
        <w:tabs>
          <w:tab w:leader="none" w:pos="29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nine (9)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70" w:lineRule="exact"/>
        <w:rPr>
          <w:rFonts w:ascii="Arial" w:cs="Arial" w:eastAsia="Arial" w:hAnsi="Arial"/>
          <w:sz w:val="17"/>
          <w:szCs w:val="17"/>
          <w:color w:val="auto"/>
        </w:rPr>
      </w:pPr>
    </w:p>
    <w:p>
      <w:pPr>
        <w:ind w:left="4" w:firstLine="987"/>
        <w:spacing w:after="0" w:line="287" w:lineRule="auto"/>
        <w:tabs>
          <w:tab w:leader="none" w:pos="1240"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Delayed Forfeiture of Time-Based Equity Awards</w:t>
      </w:r>
      <w:r>
        <w:rPr>
          <w:rFonts w:ascii="Arial" w:cs="Arial" w:eastAsia="Arial" w:hAnsi="Arial"/>
          <w:sz w:val="16"/>
          <w:szCs w:val="16"/>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ninety (90) days after the Date of Termination (the “</w:t>
      </w:r>
      <w:r>
        <w:rPr>
          <w:rFonts w:ascii="Arial" w:cs="Arial" w:eastAsia="Arial" w:hAnsi="Arial"/>
          <w:sz w:val="16"/>
          <w:szCs w:val="16"/>
          <w:b w:val="1"/>
          <w:bCs w:val="1"/>
          <w:i w:val="1"/>
          <w:iCs w:val="1"/>
          <w:u w:val="single" w:color="auto"/>
          <w:color w:val="auto"/>
        </w:rPr>
        <w:t>Pre-CIC Protection Period</w:t>
      </w:r>
      <w:r>
        <w:rPr>
          <w:rFonts w:ascii="Arial" w:cs="Arial" w:eastAsia="Arial" w:hAnsi="Arial"/>
          <w:sz w:val="16"/>
          <w:szCs w:val="16"/>
          <w:color w:val="auto"/>
        </w:rPr>
        <w:t>”). If the Company has not, prior to the end of the Pre-CIC Protection Period, entered into a definitive agreement that, if closed, would result in a Change in Control (a “</w:t>
      </w:r>
      <w:r>
        <w:rPr>
          <w:rFonts w:ascii="Arial" w:cs="Arial" w:eastAsia="Arial" w:hAnsi="Arial"/>
          <w:sz w:val="16"/>
          <w:szCs w:val="16"/>
          <w:b w:val="1"/>
          <w:bCs w:val="1"/>
          <w:i w:val="1"/>
          <w:iCs w:val="1"/>
          <w:u w:val="single" w:color="auto"/>
          <w:color w:val="auto"/>
        </w:rPr>
        <w:t>P&amp;S Agreement</w:t>
      </w:r>
      <w:r>
        <w:rPr>
          <w:rFonts w:ascii="Arial" w:cs="Arial" w:eastAsia="Arial" w:hAnsi="Arial"/>
          <w:sz w:val="16"/>
          <w:szCs w:val="16"/>
          <w:color w:val="auto"/>
        </w:rPr>
        <w:t>”), then the unvested portion of the Time-Based Equity Awards shall terminate and be forfeited. If the Company, prior the end of the Pre-CIC Protection Period, enters into a P&amp;S Agreement, then the Time-Based Equity Awards shall remain outstanding and become fully vested upon a Change in Control resulting from such agreement.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Plan or the applicable the award agreement.</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84" w:name="page85"/>
    <w:bookmarkEnd w:id="84"/>
    <w:p>
      <w:pPr>
        <w:ind w:left="4" w:right="100" w:firstLine="987"/>
        <w:spacing w:after="0" w:line="291" w:lineRule="auto"/>
        <w:tabs>
          <w:tab w:leader="none" w:pos="1250" w:val="left"/>
        </w:tabs>
        <w:numPr>
          <w:ilvl w:val="2"/>
          <w:numId w:val="1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Severance Payment Timing</w:t>
      </w:r>
      <w:r>
        <w:rPr>
          <w:rFonts w:ascii="Arial" w:cs="Arial" w:eastAsia="Arial" w:hAnsi="Arial"/>
          <w:sz w:val="16"/>
          <w:szCs w:val="16"/>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sixty (60)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Arial" w:cs="Arial" w:eastAsia="Arial" w:hAnsi="Arial"/>
          <w:sz w:val="16"/>
          <w:szCs w:val="16"/>
          <w:b w:val="1"/>
          <w:bCs w:val="1"/>
          <w:i w:val="1"/>
          <w:iCs w:val="1"/>
          <w:u w:val="single" w:color="auto"/>
          <w:color w:val="auto"/>
        </w:rPr>
        <w:t>Code</w:t>
      </w:r>
      <w:r>
        <w:rPr>
          <w:rFonts w:ascii="Arial" w:cs="Arial" w:eastAsia="Arial" w:hAnsi="Arial"/>
          <w:sz w:val="16"/>
          <w:szCs w:val="16"/>
          <w:color w:val="auto"/>
        </w:rPr>
        <w:t>”), shall be paid or commence to be paid in the second calendar year by the last day of such period. The Severance Amount shall be paid in a single lump sum and the Earned Bonus, if any, shall be paid at the same time as if the Executive had remained employed with the Company through the payment date.</w:t>
      </w:r>
    </w:p>
    <w:p>
      <w:pPr>
        <w:spacing w:after="0" w:line="58" w:lineRule="exact"/>
        <w:rPr>
          <w:rFonts w:ascii="Arial" w:cs="Arial" w:eastAsia="Arial" w:hAnsi="Arial"/>
          <w:sz w:val="16"/>
          <w:szCs w:val="16"/>
          <w:color w:val="auto"/>
        </w:rPr>
      </w:pPr>
    </w:p>
    <w:p>
      <w:pPr>
        <w:ind w:left="4" w:firstLine="436"/>
        <w:spacing w:after="0" w:line="286" w:lineRule="auto"/>
        <w:tabs>
          <w:tab w:leader="none" w:pos="624"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 within the Change in Control Period</w:t>
      </w:r>
      <w:r>
        <w:rPr>
          <w:rFonts w:ascii="Arial" w:cs="Arial" w:eastAsia="Arial" w:hAnsi="Arial"/>
          <w:sz w:val="16"/>
          <w:szCs w:val="16"/>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during the Change in Control Period. The “</w:t>
      </w:r>
      <w:r>
        <w:rPr>
          <w:rFonts w:ascii="Arial" w:cs="Arial" w:eastAsia="Arial" w:hAnsi="Arial"/>
          <w:sz w:val="16"/>
          <w:szCs w:val="16"/>
          <w:b w:val="1"/>
          <w:bCs w:val="1"/>
          <w:i w:val="1"/>
          <w:iCs w:val="1"/>
          <w:u w:val="single" w:color="auto"/>
          <w:color w:val="auto"/>
        </w:rPr>
        <w:t>Change in Control Period</w:t>
      </w:r>
      <w:r>
        <w:rPr>
          <w:rFonts w:ascii="Arial" w:cs="Arial" w:eastAsia="Arial" w:hAnsi="Arial"/>
          <w:sz w:val="16"/>
          <w:szCs w:val="16"/>
          <w:color w:val="auto"/>
        </w:rPr>
        <w:t>” shall begin on the earlier of</w:t>
      </w:r>
    </w:p>
    <w:p>
      <w:pPr>
        <w:spacing w:after="0" w:line="1" w:lineRule="exact"/>
        <w:rPr>
          <w:rFonts w:ascii="Arial" w:cs="Arial" w:eastAsia="Arial" w:hAnsi="Arial"/>
          <w:sz w:val="16"/>
          <w:szCs w:val="16"/>
          <w:color w:val="auto"/>
        </w:rPr>
      </w:pPr>
    </w:p>
    <w:p>
      <w:pPr>
        <w:ind w:left="4" w:right="40" w:hanging="4"/>
        <w:spacing w:after="0" w:line="270" w:lineRule="auto"/>
        <w:tabs>
          <w:tab w:leader="none" w:pos="24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the Executive be entitled to severance benefits under both Section 5 and Section 6 of this Agreement.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70" w:lineRule="exact"/>
        <w:rPr>
          <w:sz w:val="20"/>
          <w:szCs w:val="20"/>
          <w:color w:val="auto"/>
        </w:rPr>
      </w:pPr>
    </w:p>
    <w:p>
      <w:pPr>
        <w:ind w:left="4" w:right="80"/>
        <w:spacing w:after="0" w:line="301" w:lineRule="auto"/>
        <w:rPr>
          <w:sz w:val="20"/>
          <w:szCs w:val="20"/>
          <w:color w:val="auto"/>
        </w:rPr>
      </w:pPr>
      <w:r>
        <w:rPr>
          <w:rFonts w:ascii="Arial" w:cs="Arial" w:eastAsia="Arial" w:hAnsi="Arial"/>
          <w:sz w:val="16"/>
          <w:szCs w:val="16"/>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the Separation Agreement by the Executive and the Separation Agreement becoming fully effective, all within the time frame set forth in the Separation Agreement but in no event more than sixty (60) days after the Date of Termination:</w:t>
      </w:r>
    </w:p>
    <w:p>
      <w:pPr>
        <w:spacing w:after="0" w:line="49" w:lineRule="exact"/>
        <w:rPr>
          <w:sz w:val="20"/>
          <w:szCs w:val="20"/>
          <w:color w:val="auto"/>
        </w:rPr>
      </w:pPr>
    </w:p>
    <w:p>
      <w:pPr>
        <w:jc w:val="both"/>
        <w:ind w:left="4" w:right="80" w:firstLine="987"/>
        <w:spacing w:after="0" w:line="259" w:lineRule="auto"/>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Cash Severance</w:t>
      </w:r>
      <w:r>
        <w:rPr>
          <w:rFonts w:ascii="Arial" w:cs="Arial" w:eastAsia="Arial" w:hAnsi="Arial"/>
          <w:sz w:val="18"/>
          <w:szCs w:val="18"/>
          <w:color w:val="auto"/>
        </w:rPr>
        <w:t>. The Company shall pay the Executive a lump sum in cash in an amount equal to the sum of (A) twelve (12) months’ of the Executive’s then-current Base Salary (or the Executive’s Base Salary in effect immediately prior to the Change in Control, if higher), and (B) the Executive’s Target Bonus for the then-current year (or the Executive’s Target Bonus in effect immediately prior to the Change in Control, if higher), plus, if applicable, any Earned Bonus (the “</w:t>
      </w:r>
      <w:r>
        <w:rPr>
          <w:rFonts w:ascii="Arial" w:cs="Arial" w:eastAsia="Arial" w:hAnsi="Arial"/>
          <w:sz w:val="18"/>
          <w:szCs w:val="18"/>
          <w:b w:val="1"/>
          <w:bCs w:val="1"/>
          <w:i w:val="1"/>
          <w:iCs w:val="1"/>
          <w:u w:val="single" w:color="auto"/>
          <w:color w:val="auto"/>
        </w:rPr>
        <w:t>Change in Control Payment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 w:right="260" w:firstLine="987"/>
        <w:spacing w:after="0" w:line="279" w:lineRule="auto"/>
        <w:tabs>
          <w:tab w:leader="none" w:pos="125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COBRA Premiums</w:t>
      </w:r>
      <w:r>
        <w:rPr>
          <w:rFonts w:ascii="Arial" w:cs="Arial" w:eastAsia="Arial" w:hAnsi="Arial"/>
          <w:sz w:val="17"/>
          <w:szCs w:val="17"/>
          <w:color w:val="auto"/>
        </w:rPr>
        <w:t>. 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twelve (12) month anniversary of the Date</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4" w:right="499" w:bottom="1440" w:gutter="0" w:footer="0" w:header="0"/>
        </w:sectPr>
      </w:pPr>
    </w:p>
    <w:bookmarkStart w:id="85" w:name="page86"/>
    <w:bookmarkEnd w:id="85"/>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Termination; (B) the date that the Executive becomes eligible for group medical plan benefits under any other employer’s group medical plan; or</w:t>
      </w:r>
    </w:p>
    <w:p>
      <w:pPr>
        <w:spacing w:after="0" w:line="35" w:lineRule="exact"/>
        <w:rPr>
          <w:sz w:val="20"/>
          <w:szCs w:val="20"/>
          <w:color w:val="auto"/>
        </w:rPr>
      </w:pPr>
    </w:p>
    <w:p>
      <w:pPr>
        <w:ind w:left="4" w:hanging="4"/>
        <w:spacing w:after="0" w:line="253" w:lineRule="auto"/>
        <w:tabs>
          <w:tab w:leader="none" w:pos="28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82" w:lineRule="exact"/>
        <w:rPr>
          <w:rFonts w:ascii="Arial" w:cs="Arial" w:eastAsia="Arial" w:hAnsi="Arial"/>
          <w:sz w:val="18"/>
          <w:szCs w:val="18"/>
          <w:color w:val="auto"/>
        </w:rPr>
      </w:pPr>
    </w:p>
    <w:p>
      <w:pPr>
        <w:ind w:left="4" w:right="40" w:firstLine="987"/>
        <w:spacing w:after="0" w:line="270" w:lineRule="auto"/>
        <w:tabs>
          <w:tab w:leader="none" w:pos="1240" w:val="left"/>
        </w:tabs>
        <w:numPr>
          <w:ilvl w:val="2"/>
          <w:numId w:val="125"/>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Notwithstanding anything to the contrary in any Equity Award, the Time-Based Equity Awards shall immediately accelerate and become fully vested and exercisable or nonforfeitable as if the Executive had remained employed with the Company as of the later of (i) the Date of Termination (or, if later, the Change in Control) or (ii) the effective date of the Separation Agreement (the “</w:t>
      </w:r>
      <w:r>
        <w:rPr>
          <w:rFonts w:ascii="Arial" w:cs="Arial" w:eastAsia="Arial" w:hAnsi="Arial"/>
          <w:sz w:val="17"/>
          <w:szCs w:val="17"/>
          <w:b w:val="1"/>
          <w:bCs w:val="1"/>
          <w:i w:val="1"/>
          <w:iCs w:val="1"/>
          <w:u w:val="single" w:color="auto"/>
          <w:color w:val="auto"/>
        </w:rPr>
        <w:t>Accelerated</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Vesting Date</w:t>
      </w:r>
      <w:r>
        <w:rPr>
          <w:rFonts w:ascii="Arial" w:cs="Arial" w:eastAsia="Arial" w:hAnsi="Arial"/>
          <w:sz w:val="17"/>
          <w:szCs w:val="17"/>
          <w:color w:val="auto"/>
        </w:rPr>
        <w:t>”), provided that in order to effectuate the accelerated vesting contemplated by this subsection, the unvested portion of such Equity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the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72" w:lineRule="exact"/>
        <w:rPr>
          <w:rFonts w:ascii="Arial" w:cs="Arial" w:eastAsia="Arial" w:hAnsi="Arial"/>
          <w:sz w:val="17"/>
          <w:szCs w:val="17"/>
          <w:color w:val="auto"/>
        </w:rPr>
      </w:pPr>
    </w:p>
    <w:p>
      <w:pPr>
        <w:ind w:left="4" w:right="40" w:firstLine="987"/>
        <w:spacing w:after="0" w:line="301" w:lineRule="auto"/>
        <w:tabs>
          <w:tab w:leader="none" w:pos="1250" w:val="left"/>
        </w:tabs>
        <w:numPr>
          <w:ilvl w:val="2"/>
          <w:numId w:val="125"/>
        </w:numPr>
        <w:rPr>
          <w:rFonts w:ascii="Arial" w:cs="Arial" w:eastAsia="Arial" w:hAnsi="Arial"/>
          <w:sz w:val="16"/>
          <w:szCs w:val="16"/>
          <w:color w:val="auto"/>
        </w:rPr>
      </w:pPr>
      <w:r>
        <w:rPr>
          <w:rFonts w:ascii="Arial" w:cs="Arial" w:eastAsia="Arial" w:hAnsi="Arial"/>
          <w:sz w:val="16"/>
          <w:szCs w:val="16"/>
          <w:u w:val="single" w:color="auto"/>
          <w:color w:val="auto"/>
        </w:rPr>
        <w:t>Change in Control Payment Timing</w:t>
      </w:r>
      <w:r>
        <w:rPr>
          <w:rFonts w:ascii="Arial" w:cs="Arial" w:eastAsia="Arial" w:hAnsi="Arial"/>
          <w:sz w:val="16"/>
          <w:szCs w:val="16"/>
          <w:color w:val="auto"/>
        </w:rPr>
        <w:t>. The amounts payable under this Section 6, to the extent taxable, shall be paid or commence to be paid within sixty (60)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49" w:lineRule="exact"/>
        <w:rPr>
          <w:rFonts w:ascii="Arial" w:cs="Arial" w:eastAsia="Arial" w:hAnsi="Arial"/>
          <w:sz w:val="16"/>
          <w:szCs w:val="16"/>
          <w:color w:val="auto"/>
        </w:rPr>
      </w:pPr>
    </w:p>
    <w:p>
      <w:pPr>
        <w:ind w:left="624" w:hanging="184"/>
        <w:spacing w:after="0"/>
        <w:tabs>
          <w:tab w:leader="none" w:pos="624"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280G Limitation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60" w:firstLine="987"/>
        <w:spacing w:after="0" w:line="271" w:lineRule="auto"/>
        <w:tabs>
          <w:tab w:leader="none" w:pos="1240" w:val="left"/>
        </w:tabs>
        <w:numPr>
          <w:ilvl w:val="2"/>
          <w:numId w:val="126"/>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7"/>
          <w:szCs w:val="17"/>
          <w:b w:val="1"/>
          <w:bCs w:val="1"/>
          <w:i w:val="1"/>
          <w:iCs w:val="1"/>
          <w:u w:val="single" w:color="auto"/>
          <w:color w:val="auto"/>
        </w:rPr>
        <w:t>Aggregate Payments</w:t>
      </w:r>
      <w:r>
        <w:rPr>
          <w:rFonts w:ascii="Arial" w:cs="Arial" w:eastAsia="Arial" w:hAnsi="Arial"/>
          <w:sz w:val="17"/>
          <w:szCs w:val="17"/>
          <w:color w:val="auto"/>
        </w:rPr>
        <w:t>”),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86" w:name="page87"/>
    <w:bookmarkEnd w:id="86"/>
    <w:p>
      <w:pPr>
        <w:ind w:left="4"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w:t>
      </w:r>
    </w:p>
    <w:p>
      <w:pPr>
        <w:jc w:val="both"/>
        <w:ind w:left="4" w:right="260" w:hanging="4"/>
        <w:spacing w:after="0" w:line="255" w:lineRule="auto"/>
        <w:tabs>
          <w:tab w:leader="none" w:pos="25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81" w:lineRule="exact"/>
        <w:rPr>
          <w:rFonts w:ascii="Arial" w:cs="Arial" w:eastAsia="Arial" w:hAnsi="Arial"/>
          <w:sz w:val="18"/>
          <w:szCs w:val="18"/>
          <w:color w:val="auto"/>
        </w:rPr>
      </w:pPr>
    </w:p>
    <w:p>
      <w:pPr>
        <w:ind w:left="4" w:right="60" w:firstLine="987"/>
        <w:spacing w:after="0" w:line="255" w:lineRule="auto"/>
        <w:tabs>
          <w:tab w:leader="none" w:pos="125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For purposes of this Section 7, the “</w:t>
      </w:r>
      <w:r>
        <w:rPr>
          <w:rFonts w:ascii="Arial" w:cs="Arial" w:eastAsia="Arial" w:hAnsi="Arial"/>
          <w:sz w:val="18"/>
          <w:szCs w:val="18"/>
          <w:b w:val="1"/>
          <w:bCs w:val="1"/>
          <w:i w:val="1"/>
          <w:iCs w:val="1"/>
          <w:u w:val="single" w:color="auto"/>
          <w:color w:val="auto"/>
        </w:rPr>
        <w:t>After Tax Amount</w:t>
      </w:r>
      <w:r>
        <w:rPr>
          <w:rFonts w:ascii="Arial" w:cs="Arial" w:eastAsia="Arial" w:hAnsi="Arial"/>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84" w:lineRule="exact"/>
        <w:rPr>
          <w:rFonts w:ascii="Arial" w:cs="Arial" w:eastAsia="Arial" w:hAnsi="Arial"/>
          <w:sz w:val="18"/>
          <w:szCs w:val="18"/>
          <w:color w:val="auto"/>
        </w:rPr>
      </w:pPr>
    </w:p>
    <w:p>
      <w:pPr>
        <w:ind w:left="4" w:right="20" w:firstLine="987"/>
        <w:spacing w:after="0" w:line="284" w:lineRule="auto"/>
        <w:tabs>
          <w:tab w:leader="none" w:pos="124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Arial" w:cs="Arial" w:eastAsia="Arial" w:hAnsi="Arial"/>
          <w:sz w:val="16"/>
          <w:szCs w:val="16"/>
          <w:b w:val="1"/>
          <w:bCs w:val="1"/>
          <w:i w:val="1"/>
          <w:iCs w:val="1"/>
          <w:color w:val="auto"/>
        </w:rPr>
        <w:t>Independent Advisors</w:t>
      </w:r>
      <w:r>
        <w:rPr>
          <w:rFonts w:ascii="Arial" w:cs="Arial" w:eastAsia="Arial" w:hAnsi="Arial"/>
          <w:sz w:val="16"/>
          <w:szCs w:val="16"/>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w:t>
      </w:r>
    </w:p>
    <w:p>
      <w:pPr>
        <w:spacing w:after="0" w:line="2"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the Executive within fifteen (15) business days of the Date of Termination, if applicable, or at such earlier time as is reasonably requested by the Company or the Executive. Any determination by the Independent Advisors shall be binding upon the Company and the Executive.</w:t>
      </w:r>
    </w:p>
    <w:p>
      <w:pPr>
        <w:spacing w:after="0" w:line="85" w:lineRule="exact"/>
        <w:rPr>
          <w:rFonts w:ascii="Arial" w:cs="Arial" w:eastAsia="Arial" w:hAnsi="Arial"/>
          <w:sz w:val="16"/>
          <w:szCs w:val="16"/>
          <w:color w:val="auto"/>
        </w:rPr>
      </w:pPr>
    </w:p>
    <w:p>
      <w:pPr>
        <w:ind w:left="624" w:hanging="184"/>
        <w:spacing w:after="0"/>
        <w:tabs>
          <w:tab w:leader="none" w:pos="624"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987"/>
        <w:spacing w:after="0" w:line="259" w:lineRule="auto"/>
        <w:tabs>
          <w:tab w:leader="none" w:pos="1240"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87" w:name="page88"/>
    <w:bookmarkEnd w:id="8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84" w:lineRule="exact"/>
        <w:rPr>
          <w:sz w:val="20"/>
          <w:szCs w:val="20"/>
          <w:color w:val="auto"/>
        </w:rPr>
      </w:pPr>
    </w:p>
    <w:p>
      <w:pPr>
        <w:ind w:right="40" w:firstLine="987"/>
        <w:spacing w:after="0" w:line="273" w:lineRule="auto"/>
        <w:tabs>
          <w:tab w:leader="none" w:pos="124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69" w:lineRule="exact"/>
        <w:rPr>
          <w:rFonts w:ascii="Arial" w:cs="Arial" w:eastAsia="Arial" w:hAnsi="Arial"/>
          <w:sz w:val="17"/>
          <w:szCs w:val="17"/>
          <w:color w:val="auto"/>
        </w:rPr>
      </w:pPr>
    </w:p>
    <w:p>
      <w:pPr>
        <w:jc w:val="both"/>
        <w:ind w:right="160" w:firstLine="987"/>
        <w:spacing w:after="0" w:line="279" w:lineRule="auto"/>
        <w:tabs>
          <w:tab w:leader="none" w:pos="123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63" w:lineRule="exact"/>
        <w:rPr>
          <w:rFonts w:ascii="Arial" w:cs="Arial" w:eastAsia="Arial" w:hAnsi="Arial"/>
          <w:sz w:val="17"/>
          <w:szCs w:val="17"/>
          <w:color w:val="auto"/>
        </w:rPr>
      </w:pPr>
    </w:p>
    <w:p>
      <w:pPr>
        <w:ind w:right="220" w:firstLine="987"/>
        <w:spacing w:after="0" w:line="290" w:lineRule="auto"/>
        <w:tabs>
          <w:tab w:leader="none" w:pos="124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57" w:lineRule="exact"/>
        <w:rPr>
          <w:rFonts w:ascii="Arial" w:cs="Arial" w:eastAsia="Arial" w:hAnsi="Arial"/>
          <w:sz w:val="16"/>
          <w:szCs w:val="16"/>
          <w:color w:val="auto"/>
        </w:rPr>
      </w:pPr>
    </w:p>
    <w:p>
      <w:pPr>
        <w:ind w:firstLine="987"/>
        <w:spacing w:after="0" w:line="263" w:lineRule="auto"/>
        <w:tabs>
          <w:tab w:leader="none" w:pos="123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88" w:name="page89"/>
    <w:bookmarkEnd w:id="88"/>
    <w:p>
      <w:pPr>
        <w:ind w:left="500" w:hanging="184"/>
        <w:spacing w:after="0"/>
        <w:tabs>
          <w:tab w:leader="none" w:pos="50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Continuing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 w:right="80" w:firstLine="987"/>
        <w:spacing w:after="0" w:line="259" w:lineRule="auto"/>
        <w:tabs>
          <w:tab w:leader="none" w:pos="1116"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Restrictive Covenants Agreement</w:t>
      </w:r>
      <w:r>
        <w:rPr>
          <w:rFonts w:ascii="Arial" w:cs="Arial" w:eastAsia="Arial" w:hAnsi="Arial"/>
          <w:sz w:val="18"/>
          <w:szCs w:val="18"/>
          <w:color w:val="auto"/>
        </w:rPr>
        <w:t>. By signing this Agreement, the Executive reaffirms that the terms of the Employee Proprietary Information and Inventions Assignment Agreement, dated May 10, 2021, between the Company and the Executive (the “</w:t>
      </w:r>
      <w:r>
        <w:rPr>
          <w:rFonts w:ascii="Arial" w:cs="Arial" w:eastAsia="Arial" w:hAnsi="Arial"/>
          <w:sz w:val="18"/>
          <w:szCs w:val="18"/>
          <w:b w:val="1"/>
          <w:bCs w:val="1"/>
          <w:i w:val="1"/>
          <w:iCs w:val="1"/>
          <w:u w:val="single" w:color="auto"/>
          <w:color w:val="auto"/>
        </w:rPr>
        <w:t>Restrictive Covenants</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Agreement</w:t>
      </w:r>
      <w:r>
        <w:rPr>
          <w:rFonts w:ascii="Arial" w:cs="Arial" w:eastAsia="Arial" w:hAnsi="Arial"/>
          <w:sz w:val="18"/>
          <w:szCs w:val="18"/>
          <w:color w:val="auto"/>
        </w:rPr>
        <w:t>”) continues to be in full force and effect, except for Section 9.6, which is hereby superseded in its entirety and replaced with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paragraph:</w:t>
      </w:r>
    </w:p>
    <w:p>
      <w:pPr>
        <w:spacing w:after="0" w:line="79" w:lineRule="exact"/>
        <w:rPr>
          <w:sz w:val="20"/>
          <w:szCs w:val="20"/>
          <w:color w:val="auto"/>
        </w:rPr>
      </w:pPr>
    </w:p>
    <w:p>
      <w:pPr>
        <w:ind w:left="320"/>
        <w:spacing w:after="0" w:line="275" w:lineRule="auto"/>
        <w:rPr>
          <w:sz w:val="20"/>
          <w:szCs w:val="20"/>
          <w:color w:val="auto"/>
        </w:rPr>
      </w:pPr>
      <w:r>
        <w:rPr>
          <w:rFonts w:ascii="Arial" w:cs="Arial" w:eastAsia="Arial" w:hAnsi="Arial"/>
          <w:sz w:val="17"/>
          <w:szCs w:val="17"/>
          <w:color w:val="auto"/>
        </w:rPr>
        <w:t>The rights and obligations of the parties under this Agreement shall be governed in all respects by the laws of the State of Delaware exclusively, without reference to any conflict of laws rule that would result in the application of the laws of any other jurisdiction. The parties agree that all disputes arising under this Agreement shall be adjudicated in the state and federal courts in Pennsylvania, and I hereby agree to consent to the personal jurisdiction of such court. The Company and I each hereby irrevocably waive any right to a trial by jury in any action, suit or other legal proceeding arising under or relating to any provision of this Agreement.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0"/>
          </w:cols>
          <w:pgMar w:left="560" w:top="274" w:right="579" w:bottom="1440" w:gutter="0" w:footer="0" w:header="0"/>
        </w:sectPr>
      </w:pPr>
    </w:p>
    <w:bookmarkStart w:id="89" w:name="page90"/>
    <w:bookmarkEnd w:id="89"/>
    <w:p>
      <w:pPr>
        <w:ind w:left="-140" w:firstLine="987"/>
        <w:spacing w:after="0" w:line="254" w:lineRule="auto"/>
        <w:tabs>
          <w:tab w:leader="none" w:pos="1106"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Third-Party Agreements and Rights</w:t>
      </w:r>
      <w:r>
        <w:rPr>
          <w:rFonts w:ascii="Arial" w:cs="Arial" w:eastAsia="Arial" w:hAnsi="Arial"/>
          <w:sz w:val="18"/>
          <w:szCs w:val="18"/>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20"/>
          </w:cols>
          <w:pgMar w:left="580" w:top="274" w:right="599" w:bottom="1440" w:gutter="0" w:footer="0" w:header="0"/>
        </w:sectPr>
      </w:pPr>
    </w:p>
    <w:bookmarkStart w:id="90" w:name="page91"/>
    <w:bookmarkEnd w:id="90"/>
    <w:p>
      <w:pPr>
        <w:ind w:left="-20" w:right="40" w:firstLine="987"/>
        <w:spacing w:after="0" w:line="269" w:lineRule="auto"/>
        <w:tabs>
          <w:tab w:leader="none" w:pos="1216"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Litigation and Regulatory Cooperation</w:t>
      </w:r>
      <w:r>
        <w:rPr>
          <w:rFonts w:ascii="Arial" w:cs="Arial" w:eastAsia="Arial" w:hAnsi="Arial"/>
          <w:sz w:val="17"/>
          <w:szCs w:val="17"/>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9(c), which shall be in addition to its obligations to provide indemnification to the Executive.</w:t>
      </w:r>
    </w:p>
    <w:p>
      <w:pPr>
        <w:spacing w:after="0" w:line="73" w:lineRule="exact"/>
        <w:rPr>
          <w:rFonts w:ascii="Arial" w:cs="Arial" w:eastAsia="Arial" w:hAnsi="Arial"/>
          <w:sz w:val="17"/>
          <w:szCs w:val="17"/>
          <w:color w:val="auto"/>
        </w:rPr>
      </w:pPr>
    </w:p>
    <w:p>
      <w:pPr>
        <w:ind w:left="-20" w:right="160" w:firstLine="987"/>
        <w:spacing w:after="0" w:line="257" w:lineRule="auto"/>
        <w:tabs>
          <w:tab w:leader="none" w:pos="1226"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Relief</w:t>
      </w:r>
      <w:r>
        <w:rPr>
          <w:rFonts w:ascii="Arial" w:cs="Arial" w:eastAsia="Arial" w:hAnsi="Arial"/>
          <w:sz w:val="18"/>
          <w:szCs w:val="18"/>
          <w:color w:val="auto"/>
        </w:rPr>
        <w:t>. The Executive agrees that it would be difficult to measure any damages caused to the Company which might result from any breach by the Executive of the Continuing Obligations, and that in any event monetary damages would be an inadequate remedy for any such breach. Accordingly</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79" w:lineRule="exact"/>
        <w:rPr>
          <w:rFonts w:ascii="Arial" w:cs="Arial" w:eastAsia="Arial" w:hAnsi="Arial"/>
          <w:sz w:val="18"/>
          <w:szCs w:val="18"/>
          <w:color w:val="auto"/>
        </w:rPr>
      </w:pPr>
    </w:p>
    <w:p>
      <w:pPr>
        <w:ind w:left="-20" w:firstLine="436"/>
        <w:spacing w:after="0" w:line="259" w:lineRule="auto"/>
        <w:tabs>
          <w:tab w:leader="none" w:pos="69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The parties hereby consent to the jurisdiction of the state and federal courts of the Commonwealth of Pennsylvania.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78" w:lineRule="exact"/>
        <w:rPr>
          <w:rFonts w:ascii="Arial" w:cs="Arial" w:eastAsia="Arial" w:hAnsi="Arial"/>
          <w:sz w:val="18"/>
          <w:szCs w:val="18"/>
          <w:color w:val="auto"/>
        </w:rPr>
      </w:pPr>
    </w:p>
    <w:p>
      <w:pPr>
        <w:ind w:left="-20" w:right="20" w:firstLine="436"/>
        <w:spacing w:after="0" w:line="263" w:lineRule="auto"/>
        <w:tabs>
          <w:tab w:leader="none" w:pos="683"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 prior agreements between the parties concerning such subject matter</w:t>
      </w:r>
      <w:r>
        <w:rPr>
          <w:rFonts w:ascii="Arial" w:cs="Arial" w:eastAsia="Arial" w:hAnsi="Arial"/>
          <w:sz w:val="18"/>
          <w:szCs w:val="18"/>
          <w:b w:val="1"/>
          <w:bCs w:val="1"/>
          <w:color w:val="auto"/>
        </w:rPr>
        <w:t>,</w:t>
      </w:r>
      <w:r>
        <w:rPr>
          <w:rFonts w:ascii="Arial" w:cs="Arial" w:eastAsia="Arial" w:hAnsi="Arial"/>
          <w:sz w:val="18"/>
          <w:szCs w:val="18"/>
          <w:color w:val="auto"/>
        </w:rPr>
        <w:t xml:space="preserve"> including the Prior Agreement, provided that the Restrictive Covenants Agreement and the agreements governing any Equity Awards remain in full force and effect.</w:t>
      </w:r>
    </w:p>
    <w:p>
      <w:pPr>
        <w:spacing w:after="0" w:line="75" w:lineRule="exact"/>
        <w:rPr>
          <w:rFonts w:ascii="Arial" w:cs="Arial" w:eastAsia="Arial" w:hAnsi="Arial"/>
          <w:sz w:val="18"/>
          <w:szCs w:val="18"/>
          <w:color w:val="auto"/>
        </w:rPr>
      </w:pPr>
    </w:p>
    <w:p>
      <w:pPr>
        <w:ind w:left="-20" w:right="20" w:firstLine="436"/>
        <w:spacing w:after="0" w:line="259" w:lineRule="auto"/>
        <w:tabs>
          <w:tab w:leader="none" w:pos="69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Withholding; Tax Effect</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60" w:top="274" w:right="459" w:bottom="1440" w:gutter="0" w:footer="0" w:header="0"/>
        </w:sectPr>
      </w:pPr>
    </w:p>
    <w:bookmarkStart w:id="91" w:name="page92"/>
    <w:bookmarkEnd w:id="91"/>
    <w:p>
      <w:pPr>
        <w:ind w:left="4" w:right="140" w:firstLine="436"/>
        <w:spacing w:after="0" w:line="291" w:lineRule="auto"/>
        <w:tabs>
          <w:tab w:leader="none" w:pos="714"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Arial" w:cs="Arial" w:eastAsia="Arial" w:hAnsi="Arial"/>
          <w:sz w:val="16"/>
          <w:szCs w:val="16"/>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w:t>
      </w:r>
    </w:p>
    <w:p>
      <w:pPr>
        <w:ind w:left="4" w:hanging="4"/>
        <w:spacing w:after="0" w:line="267" w:lineRule="auto"/>
        <w:tabs>
          <w:tab w:leader="none" w:pos="259"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 The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the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71" w:lineRule="exact"/>
        <w:rPr>
          <w:rFonts w:ascii="Arial" w:cs="Arial" w:eastAsia="Arial" w:hAnsi="Arial"/>
          <w:sz w:val="17"/>
          <w:szCs w:val="17"/>
          <w:color w:val="auto"/>
        </w:rPr>
      </w:pPr>
    </w:p>
    <w:p>
      <w:pPr>
        <w:ind w:left="4" w:right="260" w:firstLine="436"/>
        <w:spacing w:after="0" w:line="279" w:lineRule="auto"/>
        <w:tabs>
          <w:tab w:leader="none" w:pos="714" w:val="left"/>
        </w:tabs>
        <w:numPr>
          <w:ilvl w:val="1"/>
          <w:numId w:val="135"/>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63" w:lineRule="exact"/>
        <w:rPr>
          <w:rFonts w:ascii="Arial" w:cs="Arial" w:eastAsia="Arial" w:hAnsi="Arial"/>
          <w:sz w:val="17"/>
          <w:szCs w:val="17"/>
          <w:color w:val="auto"/>
        </w:rPr>
      </w:pPr>
    </w:p>
    <w:p>
      <w:pPr>
        <w:ind w:left="4" w:right="200" w:firstLine="436"/>
        <w:spacing w:after="0" w:line="286" w:lineRule="auto"/>
        <w:tabs>
          <w:tab w:leader="none" w:pos="714" w:val="left"/>
        </w:tabs>
        <w:numPr>
          <w:ilvl w:val="1"/>
          <w:numId w:val="13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shall survive the termination of this Agreement and/or the termination of the Executive’s employment to the extent necessary to effectuate the terms contained herein, including but not limited to the Company’s obligation to make severance payments or provide indemnification and the Executive’s obligations to comply with the Continuing Obligations.</w:t>
      </w:r>
    </w:p>
    <w:p>
      <w:pPr>
        <w:spacing w:after="0" w:line="57" w:lineRule="exact"/>
        <w:rPr>
          <w:rFonts w:ascii="Arial" w:cs="Arial" w:eastAsia="Arial" w:hAnsi="Arial"/>
          <w:sz w:val="17"/>
          <w:szCs w:val="17"/>
          <w:color w:val="auto"/>
        </w:rPr>
      </w:pPr>
    </w:p>
    <w:p>
      <w:pPr>
        <w:ind w:left="4" w:right="120" w:firstLine="436"/>
        <w:spacing w:after="0" w:line="263" w:lineRule="auto"/>
        <w:tabs>
          <w:tab w:leader="none" w:pos="714"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92" w:name="page93"/>
    <w:bookmarkEnd w:id="92"/>
    <w:p>
      <w:pPr>
        <w:ind w:left="704" w:hanging="264"/>
        <w:spacing w:after="0"/>
        <w:tabs>
          <w:tab w:leader="none" w:pos="704" w:val="left"/>
        </w:tabs>
        <w:numPr>
          <w:ilvl w:val="1"/>
          <w:numId w:val="13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Arial" w:cs="Arial" w:eastAsia="Arial" w:hAnsi="Arial"/>
          <w:sz w:val="17"/>
          <w:szCs w:val="17"/>
          <w:color w:val="auto"/>
        </w:rPr>
        <w:t>. Any notices, requests, demands and other communications provided for by this Agreement shall be sufficient if in writing and</w:t>
      </w:r>
    </w:p>
    <w:p>
      <w:pPr>
        <w:spacing w:after="0" w:line="34" w:lineRule="exact"/>
        <w:rPr>
          <w:rFonts w:ascii="Arial" w:cs="Arial" w:eastAsia="Arial" w:hAnsi="Arial"/>
          <w:sz w:val="17"/>
          <w:szCs w:val="17"/>
          <w:color w:val="auto"/>
        </w:rPr>
      </w:pPr>
    </w:p>
    <w:p>
      <w:pPr>
        <w:jc w:val="both"/>
        <w:ind w:left="4" w:right="200" w:hanging="4"/>
        <w:spacing w:after="0" w:line="253" w:lineRule="auto"/>
        <w:tabs>
          <w:tab w:leader="none" w:pos="21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delivered in person, (ii)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or (iii) sent via email to the Executive at the Executive’s Company email address or, in the case of the Company, to the CEO’s Company email address.</w:t>
      </w:r>
    </w:p>
    <w:p>
      <w:pPr>
        <w:spacing w:after="0" w:line="84" w:lineRule="exact"/>
        <w:rPr>
          <w:rFonts w:ascii="Arial" w:cs="Arial" w:eastAsia="Arial" w:hAnsi="Arial"/>
          <w:sz w:val="18"/>
          <w:szCs w:val="18"/>
          <w:color w:val="auto"/>
        </w:rPr>
      </w:pPr>
    </w:p>
    <w:p>
      <w:pPr>
        <w:ind w:left="4" w:right="240" w:firstLine="436"/>
        <w:spacing w:after="0" w:line="277" w:lineRule="auto"/>
        <w:tabs>
          <w:tab w:leader="none" w:pos="714"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62" w:lineRule="exact"/>
        <w:rPr>
          <w:rFonts w:ascii="Arial" w:cs="Arial" w:eastAsia="Arial" w:hAnsi="Arial"/>
          <w:sz w:val="18"/>
          <w:szCs w:val="18"/>
          <w:color w:val="auto"/>
        </w:rPr>
      </w:pPr>
    </w:p>
    <w:p>
      <w:pPr>
        <w:ind w:left="4" w:firstLine="436"/>
        <w:spacing w:after="0" w:line="287" w:lineRule="auto"/>
        <w:tabs>
          <w:tab w:leader="none" w:pos="714"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will (i) indemnify the Executive with respect to claims arising out of any action taken or not taken in Executive’s capacity as an officer or employee of the Company or its subsidiaries; provided, that the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the Executive all reasonable and documented out of pocket costs and expenses incurred by the Executive in connection with the foregoing clause (i), including but not limited to attorneys’ fees, and (iii) provide for the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the Executive if it shall ultimately be determined that the Executive is not entitled to be indemnified by the Company pursuant to this Section 19. Nothing herein shall limit any right that the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the Executive after his or her termination of employment.</w:t>
      </w:r>
    </w:p>
    <w:p>
      <w:pPr>
        <w:spacing w:after="0" w:line="59" w:lineRule="exact"/>
        <w:rPr>
          <w:rFonts w:ascii="Arial" w:cs="Arial" w:eastAsia="Arial" w:hAnsi="Arial"/>
          <w:sz w:val="16"/>
          <w:szCs w:val="16"/>
          <w:color w:val="auto"/>
        </w:rPr>
      </w:pPr>
    </w:p>
    <w:p>
      <w:pPr>
        <w:ind w:left="4" w:right="260" w:firstLine="436"/>
        <w:spacing w:after="0" w:line="301" w:lineRule="auto"/>
        <w:tabs>
          <w:tab w:leader="none" w:pos="714"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No Mitigation; Offset</w:t>
      </w:r>
      <w:r>
        <w:rPr>
          <w:rFonts w:ascii="Arial" w:cs="Arial" w:eastAsia="Arial" w:hAnsi="Arial"/>
          <w:sz w:val="16"/>
          <w:szCs w:val="16"/>
          <w:color w:val="auto"/>
        </w:rPr>
        <w:t>. In the event of any termination of employment and service hereunder, the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49" w:lineRule="exact"/>
        <w:rPr>
          <w:rFonts w:ascii="Arial" w:cs="Arial" w:eastAsia="Arial" w:hAnsi="Arial"/>
          <w:sz w:val="16"/>
          <w:szCs w:val="16"/>
          <w:color w:val="auto"/>
        </w:rPr>
      </w:pPr>
    </w:p>
    <w:p>
      <w:pPr>
        <w:ind w:left="4" w:right="80" w:firstLine="436"/>
        <w:spacing w:after="0" w:line="296" w:lineRule="auto"/>
        <w:tabs>
          <w:tab w:leader="none" w:pos="714"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Effect on Other Plans and Agreements</w:t>
      </w:r>
      <w:r>
        <w:rPr>
          <w:rFonts w:ascii="Arial" w:cs="Arial" w:eastAsia="Arial" w:hAnsi="Arial"/>
          <w:sz w:val="16"/>
          <w:szCs w:val="16"/>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to the extent specifically provided in Section 7 hereof, and except that the Executive shall have no rights to continue any severance benefits under any Company severance pay plan, offer letter or otherwise. Except for the Restrictive Covenants Agreement, in the event</w:t>
      </w:r>
    </w:p>
    <w:p>
      <w:pPr>
        <w:spacing w:after="0" w:line="94"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4"/>
          </w:cols>
          <w:pgMar w:left="436" w:top="274" w:right="539" w:bottom="1440" w:gutter="0" w:footer="0" w:header="0"/>
        </w:sectPr>
      </w:pPr>
    </w:p>
    <w:bookmarkStart w:id="93" w:name="page94"/>
    <w:bookmarkEnd w:id="9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cash severance payments or benefits pursuant to both Section 5 and Section 6 of this Agreement.</w:t>
      </w:r>
    </w:p>
    <w:p>
      <w:pPr>
        <w:spacing w:after="0" w:line="79" w:lineRule="exact"/>
        <w:rPr>
          <w:sz w:val="20"/>
          <w:szCs w:val="20"/>
          <w:color w:val="auto"/>
        </w:rPr>
      </w:pPr>
    </w:p>
    <w:p>
      <w:pPr>
        <w:ind w:left="700" w:hanging="264"/>
        <w:spacing w:after="0"/>
        <w:tabs>
          <w:tab w:leader="none" w:pos="70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Governing Law; Venue and Enforcement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0" w:firstLine="987"/>
        <w:spacing w:after="0" w:line="259" w:lineRule="auto"/>
        <w:tabs>
          <w:tab w:leader="none" w:pos="123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applicable federal laws and, to the extent not inconsistent therewith or preempted thereby, with the laws of the State of Vermont, including any applicable statutes of limitation, without regard to any otherwise applicable principles of conflicts of laws or choice of law rules (whether of the State of Vermont or any other jurisdiction) that would result in the application of the substantive or procedural rules or law of any other jurisdiction.</w:t>
      </w:r>
    </w:p>
    <w:p>
      <w:pPr>
        <w:spacing w:after="0" w:line="78" w:lineRule="exact"/>
        <w:rPr>
          <w:rFonts w:ascii="Arial" w:cs="Arial" w:eastAsia="Arial" w:hAnsi="Arial"/>
          <w:sz w:val="18"/>
          <w:szCs w:val="18"/>
          <w:color w:val="auto"/>
        </w:rPr>
      </w:pPr>
    </w:p>
    <w:p>
      <w:pPr>
        <w:ind w:right="140" w:firstLine="987"/>
        <w:spacing w:after="0" w:line="257" w:lineRule="auto"/>
        <w:tabs>
          <w:tab w:leader="none" w:pos="124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Each party agrees that any controversy or claim arising out of or relating to this Agreement or the alleged breach hereof shall be instituted in the United States District Court for the District of Vermont, or if that court does not have or will not accept jurisdiction, in any court of general jurisdiction in the State of Vermont,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79" w:lineRule="exact"/>
        <w:rPr>
          <w:rFonts w:ascii="Arial" w:cs="Arial" w:eastAsia="Arial" w:hAnsi="Arial"/>
          <w:sz w:val="18"/>
          <w:szCs w:val="18"/>
          <w:color w:val="auto"/>
        </w:rPr>
      </w:pPr>
    </w:p>
    <w:p>
      <w:pPr>
        <w:ind w:firstLine="987"/>
        <w:spacing w:after="0" w:line="259" w:lineRule="auto"/>
        <w:tabs>
          <w:tab w:leader="none" w:pos="123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78" w:lineRule="exact"/>
        <w:rPr>
          <w:rFonts w:ascii="Arial" w:cs="Arial" w:eastAsia="Arial" w:hAnsi="Arial"/>
          <w:sz w:val="18"/>
          <w:szCs w:val="18"/>
          <w:color w:val="auto"/>
        </w:rPr>
      </w:pPr>
    </w:p>
    <w:p>
      <w:pPr>
        <w:ind w:firstLine="987"/>
        <w:spacing w:after="0" w:line="269" w:lineRule="auto"/>
        <w:tabs>
          <w:tab w:leader="none" w:pos="1246" w:val="left"/>
        </w:tabs>
        <w:numPr>
          <w:ilvl w:val="1"/>
          <w:numId w:val="138"/>
        </w:numPr>
        <w:rPr>
          <w:rFonts w:ascii="Arial" w:cs="Arial" w:eastAsia="Arial" w:hAnsi="Arial"/>
          <w:sz w:val="17"/>
          <w:szCs w:val="17"/>
          <w:color w:val="auto"/>
        </w:rPr>
      </w:pPr>
      <w:r>
        <w:rPr>
          <w:rFonts w:ascii="Arial" w:cs="Arial" w:eastAsia="Arial" w:hAnsi="Arial"/>
          <w:sz w:val="17"/>
          <w:szCs w:val="17"/>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94" w:name="page95"/>
    <w:bookmarkEnd w:id="94"/>
    <w:p>
      <w:pPr>
        <w:ind w:left="4" w:firstLine="436"/>
        <w:spacing w:after="0" w:line="285" w:lineRule="auto"/>
        <w:tabs>
          <w:tab w:leader="none" w:pos="714"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Recoupment</w:t>
      </w:r>
      <w:r>
        <w:rPr>
          <w:rFonts w:ascii="Arial" w:cs="Arial" w:eastAsia="Arial" w:hAnsi="Arial"/>
          <w:sz w:val="16"/>
          <w:szCs w:val="16"/>
          <w:color w:val="auto"/>
        </w:rPr>
        <w:t>. Executive shall be required to repay incentive pay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Arial" w:cs="Arial" w:eastAsia="Arial" w:hAnsi="Arial"/>
          <w:sz w:val="16"/>
          <w:szCs w:val="16"/>
          <w:b w:val="1"/>
          <w:bCs w:val="1"/>
          <w:i w:val="1"/>
          <w:iCs w:val="1"/>
          <w:color w:val="auto"/>
        </w:rPr>
        <w:t>Recoupment Policy</w:t>
      </w:r>
      <w:r>
        <w:rPr>
          <w:rFonts w:ascii="Arial" w:cs="Arial" w:eastAsia="Arial" w:hAnsi="Arial"/>
          <w:sz w:val="16"/>
          <w:szCs w:val="16"/>
          <w:color w:val="auto"/>
        </w:rPr>
        <w:t>”). Where the result of a performance measure was a factor in determining the compensation awarded or paid, but</w:t>
      </w:r>
    </w:p>
    <w:p>
      <w:pPr>
        <w:spacing w:after="0" w:line="1" w:lineRule="exact"/>
        <w:rPr>
          <w:rFonts w:ascii="Arial" w:cs="Arial" w:eastAsia="Arial" w:hAnsi="Arial"/>
          <w:sz w:val="16"/>
          <w:szCs w:val="16"/>
          <w:color w:val="auto"/>
        </w:rPr>
      </w:pPr>
    </w:p>
    <w:p>
      <w:pPr>
        <w:ind w:left="4" w:hanging="4"/>
        <w:spacing w:after="0" w:line="288" w:lineRule="auto"/>
        <w:tabs>
          <w:tab w:leader="none" w:pos="21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60" w:lineRule="exact"/>
        <w:rPr>
          <w:rFonts w:ascii="Arial" w:cs="Arial" w:eastAsia="Arial" w:hAnsi="Arial"/>
          <w:sz w:val="16"/>
          <w:szCs w:val="16"/>
          <w:color w:val="auto"/>
        </w:rPr>
      </w:pPr>
    </w:p>
    <w:p>
      <w:pPr>
        <w:ind w:left="4" w:right="160" w:firstLine="436"/>
        <w:spacing w:after="0" w:line="277" w:lineRule="auto"/>
        <w:tabs>
          <w:tab w:leader="none" w:pos="714"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58" w:lineRule="exact"/>
        <w:rPr>
          <w:rFonts w:ascii="Arial" w:cs="Arial" w:eastAsia="Arial" w:hAnsi="Arial"/>
          <w:sz w:val="18"/>
          <w:szCs w:val="18"/>
          <w:color w:val="auto"/>
        </w:rPr>
      </w:pPr>
    </w:p>
    <w:p>
      <w:pPr>
        <w:ind w:left="704" w:hanging="264"/>
        <w:spacing w:after="0"/>
        <w:tabs>
          <w:tab w:leader="none" w:pos="704" w:val="left"/>
        </w:tabs>
        <w:numPr>
          <w:ilvl w:val="1"/>
          <w:numId w:val="140"/>
        </w:numPr>
        <w:rPr>
          <w:rFonts w:ascii="Arial" w:cs="Arial" w:eastAsia="Arial" w:hAnsi="Arial"/>
          <w:sz w:val="18"/>
          <w:szCs w:val="18"/>
          <w:color w:val="auto"/>
        </w:rPr>
      </w:pPr>
      <w:r>
        <w:rPr>
          <w:rFonts w:ascii="Arial" w:cs="Arial" w:eastAsia="Arial" w:hAnsi="Arial"/>
          <w:sz w:val="18"/>
          <w:szCs w:val="18"/>
          <w:b w:val="1"/>
          <w:bCs w:val="1"/>
          <w:color w:val="auto"/>
        </w:rPr>
        <w:t>Advice of Counsel</w:t>
      </w:r>
      <w:r>
        <w:rPr>
          <w:rFonts w:ascii="Arial" w:cs="Arial" w:eastAsia="Arial" w:hAnsi="Arial"/>
          <w:sz w:val="18"/>
          <w:szCs w:val="18"/>
          <w:color w:val="auto"/>
        </w:rPr>
        <w:t>.</w:t>
      </w:r>
      <w:r>
        <w:rPr>
          <w:rFonts w:ascii="Arial" w:cs="Arial" w:eastAsia="Arial" w:hAnsi="Arial"/>
          <w:sz w:val="18"/>
          <w:szCs w:val="18"/>
          <w:b w:val="1"/>
          <w:bCs w:val="1"/>
          <w:color w:val="auto"/>
        </w:rPr>
        <w:t xml:space="preserve"> I ACKNOWLEDGE THAT, IN EXECUTING THIS AGREEMENT, I HAVE HAD THE RIGHT TO SEEK THE</w:t>
      </w:r>
    </w:p>
    <w:p>
      <w:pPr>
        <w:spacing w:after="0" w:line="27" w:lineRule="exact"/>
        <w:rPr>
          <w:rFonts w:ascii="Arial" w:cs="Arial" w:eastAsia="Arial" w:hAnsi="Arial"/>
          <w:sz w:val="18"/>
          <w:szCs w:val="18"/>
          <w:color w:val="auto"/>
        </w:rPr>
      </w:pPr>
    </w:p>
    <w:p>
      <w:pPr>
        <w:jc w:val="both"/>
        <w:ind w:left="4" w:right="14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ADVICE OF INDEPENDENT LEGAL COUNSEL, AND I HAVE READ AND UNDERSTOOD ALL OF THE TERMS AND PROVISIONS OF THIS AGREEMENT. THIS AGREEMENT WILL NOT BE CONSTRUED AGAINST ANY PARTY BY REASON OF THE DRAFTING OR PREPARATION OF THIS AGREEMENT.</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effective on the Effective Date.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291465</wp:posOffset>
            </wp:positionV>
            <wp:extent cx="27946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Rebecca Dabora</w:t>
      </w:r>
    </w:p>
    <w:p>
      <w:pPr>
        <w:spacing w:after="0" w:line="15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579"/>
          </w:cols>
          <w:pgMar w:left="880" w:top="274" w:right="1440" w:bottom="1440" w:gutter="0" w:footer="0" w:header="0"/>
        </w:sectPr>
      </w:pPr>
    </w:p>
    <w:bookmarkStart w:id="96" w:name="page97"/>
    <w:bookmarkEnd w:id="96"/>
    <w:p>
      <w:pPr>
        <w:jc w:val="center"/>
        <w:ind w:right="-4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Outside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Executive provides infrequent </w:t>
      </w:r>
      <w:r>
        <w:rPr>
          <w:rFonts w:ascii="Arial" w:cs="Arial" w:eastAsia="Arial" w:hAnsi="Arial"/>
          <w:sz w:val="16"/>
          <w:szCs w:val="16"/>
          <w:i w:val="1"/>
          <w:iCs w:val="1"/>
          <w:color w:val="auto"/>
        </w:rPr>
        <w:t>de minimus</w:t>
      </w:r>
      <w:r>
        <w:rPr>
          <w:rFonts w:ascii="Arial" w:cs="Arial" w:eastAsia="Arial" w:hAnsi="Arial"/>
          <w:sz w:val="16"/>
          <w:szCs w:val="16"/>
          <w:color w:val="auto"/>
        </w:rPr>
        <w:t xml:space="preserve"> consultation services, less than a total of 5 hours per week, via an LLC owned by Executive as follows:</w:t>
      </w:r>
    </w:p>
    <w:p>
      <w:pPr>
        <w:spacing w:after="0" w:line="13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RDBio Consulting LLC </w:t>
      </w:r>
      <w:r>
        <w:rPr>
          <w:rFonts w:ascii="Arial" w:cs="Arial" w:eastAsia="Arial" w:hAnsi="Arial"/>
          <w:sz w:val="18"/>
          <w:szCs w:val="18"/>
          <w:color w:val="auto"/>
        </w:rPr>
        <w:t>- strategic and advisory consulting limited to the following companies: Scholar Rock, Vigil Neuroscience, Revitope, and</w:t>
      </w:r>
      <w:r>
        <w:rPr>
          <w:rFonts w:ascii="Arial" w:cs="Arial" w:eastAsia="Arial" w:hAnsi="Arial"/>
          <w:sz w:val="18"/>
          <w:szCs w:val="18"/>
          <w:b w:val="1"/>
          <w:bCs w:val="1"/>
          <w:color w:val="auto"/>
        </w:rPr>
        <w:t xml:space="preserve"> </w:t>
      </w:r>
      <w:r>
        <w:rPr>
          <w:rFonts w:ascii="Arial" w:cs="Arial" w:eastAsia="Arial" w:hAnsi="Arial"/>
          <w:sz w:val="18"/>
          <w:szCs w:val="18"/>
          <w:color w:val="auto"/>
        </w:rPr>
        <w:t>Immunitas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Executive serves as an Advisory Board member for </w:t>
      </w:r>
      <w:r>
        <w:rPr>
          <w:rFonts w:ascii="Arial" w:cs="Arial" w:eastAsia="Arial" w:hAnsi="Arial"/>
          <w:sz w:val="18"/>
          <w:szCs w:val="18"/>
          <w:b w:val="1"/>
          <w:bCs w:val="1"/>
          <w:color w:val="auto"/>
        </w:rPr>
        <w:t>Labshares</w:t>
      </w:r>
      <w:r>
        <w:rPr>
          <w:rFonts w:ascii="Arial" w:cs="Arial" w:eastAsia="Arial" w:hAnsi="Arial"/>
          <w:sz w:val="18"/>
          <w:szCs w:val="18"/>
          <w:color w:val="auto"/>
        </w:rPr>
        <w:t>, Newton, MA</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40"/>
          </w:cols>
          <w:pgMar w:left="440" w:top="270" w:right="919" w:bottom="1440" w:gutter="0" w:footer="0" w:header="0"/>
        </w:sectPr>
      </w:pPr>
    </w:p>
    <w:bookmarkStart w:id="97" w:name="page98"/>
    <w:bookmarkEnd w:id="9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SEPARATION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35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Separation 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[Name]:</w:t>
      </w:r>
    </w:p>
    <w:p>
      <w:pPr>
        <w:spacing w:after="0" w:line="117"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This letter sets forth the substance of the separation agreement (the “Agreement”) which Adagio Therapeutics, Inc. (the “Company”) is offering to you to aid in your employment transition.</w:t>
      </w:r>
    </w:p>
    <w:p>
      <w:pPr>
        <w:spacing w:after="0" w:line="58" w:lineRule="exact"/>
        <w:rPr>
          <w:sz w:val="20"/>
          <w:szCs w:val="20"/>
          <w:color w:val="auto"/>
        </w:rPr>
      </w:pPr>
    </w:p>
    <w:p>
      <w:pPr>
        <w:ind w:left="184" w:hanging="184"/>
        <w:spacing w:after="0"/>
        <w:tabs>
          <w:tab w:leader="none" w:pos="184"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Your last day of work with the Company and your employment termination date will be [Date] (the “Separation Date”).</w:t>
      </w:r>
    </w:p>
    <w:p>
      <w:pPr>
        <w:spacing w:after="0" w:line="117" w:lineRule="exact"/>
        <w:rPr>
          <w:rFonts w:ascii="Arial" w:cs="Arial" w:eastAsia="Arial" w:hAnsi="Arial"/>
          <w:sz w:val="18"/>
          <w:szCs w:val="18"/>
          <w:b w:val="1"/>
          <w:bCs w:val="1"/>
          <w:color w:val="auto"/>
        </w:rPr>
      </w:pPr>
    </w:p>
    <w:p>
      <w:pPr>
        <w:ind w:left="4" w:right="540" w:hanging="4"/>
        <w:spacing w:after="0" w:line="312" w:lineRule="auto"/>
        <w:tabs>
          <w:tab w:leader="none" w:pos="184"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Salary. </w:t>
      </w:r>
      <w:r>
        <w:rPr>
          <w:rFonts w:ascii="Arial" w:cs="Arial" w:eastAsia="Arial" w:hAnsi="Arial"/>
          <w:sz w:val="17"/>
          <w:szCs w:val="17"/>
          <w:color w:val="auto"/>
        </w:rPr>
        <w:t>On the Separation Date, the Company will pay you all accrued salary earned through the Separation Date, subject to standard</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deductions and withholdings. You will receive these payments regardless of whether or not you sign this Agreement.</w:t>
      </w:r>
    </w:p>
    <w:p>
      <w:pPr>
        <w:spacing w:after="0" w:line="31" w:lineRule="exact"/>
        <w:rPr>
          <w:rFonts w:ascii="Arial" w:cs="Arial" w:eastAsia="Arial" w:hAnsi="Arial"/>
          <w:sz w:val="17"/>
          <w:szCs w:val="17"/>
          <w:b w:val="1"/>
          <w:bCs w:val="1"/>
          <w:color w:val="auto"/>
        </w:rPr>
      </w:pPr>
    </w:p>
    <w:p>
      <w:pPr>
        <w:ind w:left="4" w:right="20" w:hanging="4"/>
        <w:spacing w:after="0" w:line="282" w:lineRule="auto"/>
        <w:tabs>
          <w:tab w:leader="none" w:pos="184"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you execute and do not revoke this Agreement, the Company will provide you with the following Severance Benefits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your [month, date, year] Employment Agreement.</w:t>
      </w:r>
    </w:p>
    <w:p>
      <w:pPr>
        <w:spacing w:after="0" w:line="58"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 Benefit Plans.</w:t>
      </w:r>
    </w:p>
    <w:p>
      <w:pPr>
        <w:spacing w:after="0" w:line="121"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 xml:space="preserve">If you are currently participating in the Company’s group health insurance plans, your participation as an employee will end on [the Separation Date] </w:t>
      </w:r>
      <w:r>
        <w:rPr>
          <w:rFonts w:ascii="Arial" w:cs="Arial" w:eastAsia="Arial" w:hAnsi="Arial"/>
          <w:sz w:val="16"/>
          <w:szCs w:val="16"/>
          <w:i w:val="1"/>
          <w:iCs w:val="1"/>
          <w:color w:val="auto"/>
        </w:rPr>
        <w:t>or</w:t>
      </w:r>
      <w:r>
        <w:rPr>
          <w:rFonts w:ascii="Arial" w:cs="Arial" w:eastAsia="Arial" w:hAnsi="Arial"/>
          <w:sz w:val="16"/>
          <w:szCs w:val="16"/>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0" w:right="459" w:bottom="1440" w:gutter="0" w:footer="0" w:header="0"/>
        </w:sectPr>
      </w:pPr>
    </w:p>
    <w:bookmarkStart w:id="98" w:name="page99"/>
    <w:bookmarkEnd w:id="98"/>
    <w:p>
      <w:pPr>
        <w:ind w:left="4" w:right="7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Deductions for the 401(k) Plan will end with your last regular paycheck. You will receive information by mail concerning 401(k) plan rollover procedures should you be a participant in this program.</w:t>
      </w:r>
    </w:p>
    <w:p>
      <w:pPr>
        <w:spacing w:after="0" w:line="170"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You may be eligible for unemployment insurance benefits after the Separation Date. The Massachusetts Department of Unemployment Assistance, not the Company, will determine your eligibility for such benefits.</w:t>
      </w:r>
    </w:p>
    <w:p>
      <w:pPr>
        <w:spacing w:after="0" w:line="58" w:lineRule="exact"/>
        <w:rPr>
          <w:sz w:val="20"/>
          <w:szCs w:val="20"/>
          <w:color w:val="auto"/>
        </w:rPr>
      </w:pPr>
    </w:p>
    <w:p>
      <w:pPr>
        <w:ind w:left="4" w:right="60" w:hanging="4"/>
        <w:spacing w:after="0" w:line="347" w:lineRule="auto"/>
        <w:tabs>
          <w:tab w:leader="none" w:pos="184"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You were granted an option to purchase ________ shares of the Company’s common stock, pursuant to the Company’s [correct name</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or incentive plan] (the “Plan”). Under the terms of the Plan and your stock option grant, vesting will cease as of the Separation Date.</w:t>
      </w:r>
    </w:p>
    <w:p>
      <w:pPr>
        <w:spacing w:after="0" w:line="7" w:lineRule="exact"/>
        <w:rPr>
          <w:rFonts w:ascii="Arial" w:cs="Arial" w:eastAsia="Arial" w:hAnsi="Arial"/>
          <w:sz w:val="16"/>
          <w:szCs w:val="16"/>
          <w:b w:val="1"/>
          <w:bCs w:val="1"/>
          <w:color w:val="auto"/>
        </w:rPr>
      </w:pPr>
    </w:p>
    <w:p>
      <w:pPr>
        <w:ind w:left="4" w:right="560" w:hanging="4"/>
        <w:spacing w:after="0" w:line="282" w:lineRule="auto"/>
        <w:tabs>
          <w:tab w:leader="none" w:pos="18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Compensation or Benefits. </w:t>
      </w:r>
      <w:r>
        <w:rPr>
          <w:rFonts w:ascii="Arial" w:cs="Arial" w:eastAsia="Arial" w:hAnsi="Arial"/>
          <w:sz w:val="18"/>
          <w:szCs w:val="18"/>
          <w:color w:val="auto"/>
        </w:rPr>
        <w:t>You acknowledge that, except as expressly provided in this Agreement, you will not receive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severance or benefits after the Separation Date.</w:t>
      </w:r>
    </w:p>
    <w:p>
      <w:pPr>
        <w:spacing w:after="0" w:line="53" w:lineRule="exact"/>
        <w:rPr>
          <w:rFonts w:ascii="Arial" w:cs="Arial" w:eastAsia="Arial" w:hAnsi="Arial"/>
          <w:sz w:val="18"/>
          <w:szCs w:val="18"/>
          <w:b w:val="1"/>
          <w:bCs w:val="1"/>
          <w:color w:val="auto"/>
        </w:rPr>
      </w:pPr>
    </w:p>
    <w:p>
      <w:pPr>
        <w:ind w:left="4" w:right="420" w:hanging="4"/>
        <w:spacing w:after="0" w:line="266" w:lineRule="auto"/>
        <w:tabs>
          <w:tab w:leader="none" w:pos="18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Reimbursements. </w:t>
      </w:r>
      <w:r>
        <w:rPr>
          <w:rFonts w:ascii="Arial" w:cs="Arial" w:eastAsia="Arial" w:hAnsi="Arial"/>
          <w:sz w:val="18"/>
          <w:szCs w:val="18"/>
          <w:color w:val="auto"/>
        </w:rPr>
        <w:t>You agree that, within ten (10) days of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67" w:lineRule="exact"/>
        <w:rPr>
          <w:rFonts w:ascii="Arial" w:cs="Arial" w:eastAsia="Arial" w:hAnsi="Arial"/>
          <w:sz w:val="18"/>
          <w:szCs w:val="18"/>
          <w:b w:val="1"/>
          <w:bCs w:val="1"/>
          <w:color w:val="auto"/>
        </w:rPr>
      </w:pPr>
    </w:p>
    <w:p>
      <w:pPr>
        <w:ind w:left="4" w:right="60" w:hanging="4"/>
        <w:spacing w:after="0" w:line="255" w:lineRule="auto"/>
        <w:tabs>
          <w:tab w:leader="none" w:pos="184"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Company Property. By the Separation Date, you agree to return to the Company all Company documents (and all 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Receipt of the severance benefits described in Section 3 of this Agreement is expressly conditioned upon return of all Company Property.</w:t>
      </w:r>
    </w:p>
    <w:p>
      <w:pPr>
        <w:spacing w:after="0" w:line="80" w:lineRule="exact"/>
        <w:rPr>
          <w:rFonts w:ascii="Arial" w:cs="Arial" w:eastAsia="Arial" w:hAnsi="Arial"/>
          <w:sz w:val="18"/>
          <w:szCs w:val="18"/>
          <w:b w:val="1"/>
          <w:bCs w:val="1"/>
          <w:color w:val="auto"/>
        </w:rPr>
      </w:pPr>
    </w:p>
    <w:p>
      <w:pPr>
        <w:ind w:left="4" w:hanging="4"/>
        <w:spacing w:after="0" w:line="284" w:lineRule="auto"/>
        <w:tabs>
          <w:tab w:leader="none" w:pos="184"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Confidential Information and Post-Termination Obligations. </w:t>
      </w:r>
      <w:r>
        <w:rPr>
          <w:rFonts w:ascii="Arial" w:cs="Arial" w:eastAsia="Arial" w:hAnsi="Arial"/>
          <w:sz w:val="16"/>
          <w:szCs w:val="16"/>
          <w:color w:val="auto"/>
        </w:rPr>
        <w:t>Both during and after your employment you acknowledge your continuing</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w:t>
      </w:r>
    </w:p>
    <w:p>
      <w:pPr>
        <w:spacing w:after="0" w:line="1"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(B) do not disclose the trade secret, except pursuant to court order.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4" w:right="439" w:bottom="1440" w:gutter="0" w:footer="0" w:header="0"/>
        </w:sectPr>
      </w:pPr>
    </w:p>
    <w:bookmarkStart w:id="99" w:name="page100"/>
    <w:bookmarkEnd w:id="99"/>
    <w:p>
      <w:pPr>
        <w:ind w:left="4" w:right="60" w:hanging="4"/>
        <w:spacing w:after="0" w:line="271" w:lineRule="auto"/>
        <w:tabs>
          <w:tab w:leader="none" w:pos="274"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Non-Compete. </w:t>
      </w:r>
      <w:r>
        <w:rPr>
          <w:rFonts w:ascii="Arial" w:cs="Arial" w:eastAsia="Arial" w:hAnsi="Arial"/>
          <w:sz w:val="17"/>
          <w:szCs w:val="17"/>
          <w:color w:val="auto"/>
        </w:rPr>
        <w:t>In exchange for the payments and other consideration under this Agreement, to which you would not otherwise be entitled, you</w:t>
      </w:r>
      <w:r>
        <w:rPr>
          <w:rFonts w:ascii="Arial" w:cs="Arial" w:eastAsia="Arial" w:hAnsi="Arial"/>
          <w:sz w:val="17"/>
          <w:szCs w:val="17"/>
          <w:b w:val="1"/>
          <w:bCs w:val="1"/>
          <w:color w:val="auto"/>
        </w:rPr>
        <w:t xml:space="preserve"> </w:t>
      </w:r>
      <w:r>
        <w:rPr>
          <w:rFonts w:ascii="Arial" w:cs="Arial" w:eastAsia="Arial" w:hAnsi="Arial"/>
          <w:sz w:val="17"/>
          <w:szCs w:val="17"/>
          <w:color w:val="auto"/>
        </w:rPr>
        <w:t>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69" w:lineRule="exact"/>
        <w:rPr>
          <w:rFonts w:ascii="Arial" w:cs="Arial" w:eastAsia="Arial" w:hAnsi="Arial"/>
          <w:sz w:val="17"/>
          <w:szCs w:val="17"/>
          <w:b w:val="1"/>
          <w:bCs w:val="1"/>
          <w:color w:val="auto"/>
        </w:rPr>
      </w:pPr>
    </w:p>
    <w:p>
      <w:pPr>
        <w:ind w:left="4" w:right="440" w:firstLine="436"/>
        <w:spacing w:after="0" w:line="277" w:lineRule="auto"/>
        <w:tabs>
          <w:tab w:leader="none" w:pos="639" w:val="left"/>
        </w:tabs>
        <w:numPr>
          <w:ilvl w:val="1"/>
          <w:numId w:val="143"/>
        </w:numPr>
        <w:rPr>
          <w:rFonts w:ascii="Arial" w:cs="Arial" w:eastAsia="Arial" w:hAnsi="Arial"/>
          <w:sz w:val="18"/>
          <w:szCs w:val="18"/>
          <w:b w:val="1"/>
          <w:bCs w:val="1"/>
          <w:color w:val="auto"/>
        </w:rPr>
      </w:pPr>
      <w:r>
        <w:rPr>
          <w:rFonts w:ascii="Arial" w:cs="Arial" w:eastAsia="Arial" w:hAnsi="Arial"/>
          <w:sz w:val="18"/>
          <w:szCs w:val="18"/>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62" w:lineRule="exact"/>
        <w:rPr>
          <w:rFonts w:ascii="Arial" w:cs="Arial" w:eastAsia="Arial" w:hAnsi="Arial"/>
          <w:sz w:val="18"/>
          <w:szCs w:val="18"/>
          <w:b w:val="1"/>
          <w:bCs w:val="1"/>
          <w:color w:val="auto"/>
        </w:rPr>
      </w:pPr>
    </w:p>
    <w:p>
      <w:pPr>
        <w:ind w:left="4" w:firstLine="436"/>
        <w:spacing w:after="0" w:line="308" w:lineRule="auto"/>
        <w:tabs>
          <w:tab w:leader="none" w:pos="649" w:val="left"/>
        </w:tabs>
        <w:numPr>
          <w:ilvl w:val="1"/>
          <w:numId w:val="143"/>
        </w:numPr>
        <w:rPr>
          <w:rFonts w:ascii="Arial" w:cs="Arial" w:eastAsia="Arial" w:hAnsi="Arial"/>
          <w:sz w:val="17"/>
          <w:szCs w:val="17"/>
          <w:b w:val="1"/>
          <w:bCs w:val="1"/>
          <w:color w:val="auto"/>
        </w:rPr>
      </w:pPr>
      <w:r>
        <w:rPr>
          <w:rFonts w:ascii="Arial" w:cs="Arial" w:eastAsia="Arial" w:hAnsi="Arial"/>
          <w:sz w:val="17"/>
          <w:szCs w:val="17"/>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34" w:lineRule="exact"/>
        <w:rPr>
          <w:rFonts w:ascii="Arial" w:cs="Arial" w:eastAsia="Arial" w:hAnsi="Arial"/>
          <w:sz w:val="17"/>
          <w:szCs w:val="17"/>
          <w:b w:val="1"/>
          <w:bCs w:val="1"/>
          <w:color w:val="auto"/>
        </w:rPr>
      </w:pPr>
    </w:p>
    <w:p>
      <w:pPr>
        <w:ind w:left="4" w:right="40" w:hanging="4"/>
        <w:spacing w:after="0" w:line="273" w:lineRule="auto"/>
        <w:tabs>
          <w:tab w:leader="none" w:pos="264"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The provisions of this Agreement will be held in strictest confidence by you and will not be publicized or disclosed in any manner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whatsoever;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63" w:lineRule="exact"/>
        <w:rPr>
          <w:rFonts w:ascii="Arial" w:cs="Arial" w:eastAsia="Arial" w:hAnsi="Arial"/>
          <w:sz w:val="17"/>
          <w:szCs w:val="17"/>
          <w:b w:val="1"/>
          <w:bCs w:val="1"/>
          <w:color w:val="auto"/>
        </w:rPr>
      </w:pPr>
    </w:p>
    <w:p>
      <w:pPr>
        <w:ind w:left="4" w:right="120" w:hanging="4"/>
        <w:spacing w:after="0" w:line="256" w:lineRule="auto"/>
        <w:tabs>
          <w:tab w:leader="none" w:pos="27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You agree not to disparage the Company, and the Company’s attorneys, directors, managers, partners, employees, agents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0" w:right="459" w:bottom="1440" w:gutter="0" w:footer="0" w:header="0"/>
        </w:sectPr>
      </w:pPr>
    </w:p>
    <w:bookmarkStart w:id="100" w:name="page101"/>
    <w:bookmarkEnd w:id="100"/>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75" w:lineRule="exact"/>
        <w:rPr>
          <w:sz w:val="20"/>
          <w:szCs w:val="20"/>
          <w:color w:val="auto"/>
        </w:rPr>
      </w:pPr>
    </w:p>
    <w:p>
      <w:pPr>
        <w:ind w:left="4" w:right="320" w:hanging="4"/>
        <w:spacing w:after="0" w:line="261" w:lineRule="auto"/>
        <w:tabs>
          <w:tab w:leader="none" w:pos="274"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after Termination. </w:t>
      </w:r>
      <w:r>
        <w:rPr>
          <w:rFonts w:ascii="Arial" w:cs="Arial" w:eastAsia="Arial" w:hAnsi="Arial"/>
          <w:sz w:val="18"/>
          <w:szCs w:val="18"/>
          <w:color w:val="auto"/>
        </w:rPr>
        <w:t>You agree to cooperate fully with the Company in all matters relating to the transition of your work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71" w:lineRule="exact"/>
        <w:rPr>
          <w:rFonts w:ascii="Arial" w:cs="Arial" w:eastAsia="Arial" w:hAnsi="Arial"/>
          <w:sz w:val="18"/>
          <w:szCs w:val="18"/>
          <w:b w:val="1"/>
          <w:bCs w:val="1"/>
          <w:color w:val="auto"/>
        </w:rPr>
      </w:pPr>
    </w:p>
    <w:p>
      <w:pPr>
        <w:ind w:left="4" w:hanging="4"/>
        <w:spacing w:after="0" w:line="268" w:lineRule="auto"/>
        <w:tabs>
          <w:tab w:leader="none" w:pos="274"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Release. </w:t>
      </w:r>
      <w:r>
        <w:rPr>
          <w:rFonts w:ascii="Arial" w:cs="Arial" w:eastAsia="Arial" w:hAnsi="Arial"/>
          <w:sz w:val="17"/>
          <w:szCs w:val="17"/>
          <w:color w:val="auto"/>
        </w:rPr>
        <w:t>In exchange for the payments and other consideration under this Agreement, to which you would not otherwise be entitled, and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93" w:lineRule="exact"/>
        <w:rPr>
          <w:rFonts w:ascii="Arial" w:cs="Arial" w:eastAsia="Arial" w:hAnsi="Arial"/>
          <w:sz w:val="17"/>
          <w:szCs w:val="17"/>
          <w:b w:val="1"/>
          <w:bCs w:val="1"/>
          <w:color w:val="auto"/>
        </w:rPr>
      </w:pPr>
    </w:p>
    <w:p>
      <w:pPr>
        <w:ind w:left="964" w:hanging="424"/>
        <w:spacing w:after="0"/>
        <w:tabs>
          <w:tab w:leader="none" w:pos="96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has violated its personnel policies, handbooks, contracts of employment, or covenants of good faith and fair dealing;</w:t>
      </w:r>
    </w:p>
    <w:p>
      <w:pPr>
        <w:spacing w:after="0" w:line="130" w:lineRule="exact"/>
        <w:rPr>
          <w:rFonts w:ascii="Arial" w:cs="Arial" w:eastAsia="Arial" w:hAnsi="Arial"/>
          <w:sz w:val="18"/>
          <w:szCs w:val="18"/>
          <w:color w:val="auto"/>
        </w:rPr>
      </w:pPr>
    </w:p>
    <w:p>
      <w:pPr>
        <w:ind w:left="964" w:right="60" w:hanging="424"/>
        <w:spacing w:after="0" w:line="255" w:lineRule="auto"/>
        <w:tabs>
          <w:tab w:leader="none" w:pos="96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101" w:name="page102"/>
    <w:bookmarkEnd w:id="101"/>
    <w:p>
      <w:pPr>
        <w:ind w:left="98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72" w:lineRule="exact"/>
        <w:rPr>
          <w:sz w:val="20"/>
          <w:szCs w:val="20"/>
          <w:color w:val="auto"/>
        </w:rPr>
      </w:pPr>
    </w:p>
    <w:p>
      <w:pPr>
        <w:ind w:left="960" w:right="80" w:hanging="424"/>
        <w:spacing w:after="0" w:line="253" w:lineRule="auto"/>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101" w:lineRule="exact"/>
        <w:rPr>
          <w:rFonts w:ascii="Arial" w:cs="Arial" w:eastAsia="Arial" w:hAnsi="Arial"/>
          <w:sz w:val="18"/>
          <w:szCs w:val="18"/>
          <w:color w:val="auto"/>
        </w:rPr>
      </w:pPr>
    </w:p>
    <w:p>
      <w:pPr>
        <w:ind w:left="960" w:hanging="424"/>
        <w:spacing w:after="0" w:line="272" w:lineRule="auto"/>
        <w:tabs>
          <w:tab w:leader="none" w:pos="9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77"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102" w:name="page103"/>
    <w:bookmarkEnd w:id="102"/>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62" w:lineRule="exact"/>
        <w:rPr>
          <w:sz w:val="20"/>
          <w:szCs w:val="20"/>
          <w:color w:val="auto"/>
        </w:rPr>
      </w:pPr>
    </w:p>
    <w:p>
      <w:pPr>
        <w:ind w:left="4" w:right="20" w:hanging="4"/>
        <w:spacing w:after="0" w:line="285" w:lineRule="auto"/>
        <w:tabs>
          <w:tab w:leader="none" w:pos="274"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Your Acknowledgments and Affirmations/ Effective Date of Agreement. </w:t>
      </w:r>
      <w:r>
        <w:rPr>
          <w:rFonts w:ascii="Arial" w:cs="Arial" w:eastAsia="Arial" w:hAnsi="Arial"/>
          <w:sz w:val="16"/>
          <w:szCs w:val="16"/>
          <w:color w:val="auto"/>
        </w:rPr>
        <w:t>You acknowledge that you are knowingly and voluntarily waiving and</w:t>
      </w:r>
      <w:r>
        <w:rPr>
          <w:rFonts w:ascii="Arial" w:cs="Arial" w:eastAsia="Arial" w:hAnsi="Arial"/>
          <w:sz w:val="16"/>
          <w:szCs w:val="16"/>
          <w:b w:val="1"/>
          <w:bCs w:val="1"/>
          <w:color w:val="auto"/>
        </w:rPr>
        <w:t xml:space="preserve"> </w:t>
      </w:r>
      <w:r>
        <w:rPr>
          <w:rFonts w:ascii="Arial" w:cs="Arial" w:eastAsia="Arial" w:hAnsi="Arial"/>
          <w:sz w:val="16"/>
          <w:szCs w:val="16"/>
          <w:color w:val="auto"/>
        </w:rPr>
        <w:t>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 days to consider this Agreement (although you may choose to voluntarily execute this Agreement earlier and if you do you will sign the Consideration Period waiver below); (d) you have seven (7) business days following your execution of this Agreement to revoke this Agreement; and (e) this Agreement shall not be effective until the date upon which the revocation period has expired unexercised (the “Effective Date”), which shall be the eighth business day after this Agreement is executed by you.</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103" w:name="page104"/>
    <w:bookmarkEnd w:id="103"/>
    <w:p>
      <w:pPr>
        <w:jc w:val="both"/>
        <w:ind w:left="4" w:right="100" w:hanging="4"/>
        <w:spacing w:after="0" w:line="266" w:lineRule="auto"/>
        <w:tabs>
          <w:tab w:leader="none" w:pos="274"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Admission. </w:t>
      </w:r>
      <w:r>
        <w:rPr>
          <w:rFonts w:ascii="Arial" w:cs="Arial" w:eastAsia="Arial" w:hAnsi="Arial"/>
          <w:sz w:val="18"/>
          <w:szCs w:val="18"/>
          <w:color w:val="auto"/>
        </w:rPr>
        <w:t>This Agreement does not constitute an admission by the Company of any wrongful action or violation of any federal, state, or local</w:t>
      </w:r>
      <w:r>
        <w:rPr>
          <w:rFonts w:ascii="Arial" w:cs="Arial" w:eastAsia="Arial" w:hAnsi="Arial"/>
          <w:sz w:val="18"/>
          <w:szCs w:val="18"/>
          <w:b w:val="1"/>
          <w:bCs w:val="1"/>
          <w:color w:val="auto"/>
        </w:rPr>
        <w:t xml:space="preserve"> </w:t>
      </w:r>
      <w:r>
        <w:rPr>
          <w:rFonts w:ascii="Arial" w:cs="Arial" w:eastAsia="Arial" w:hAnsi="Arial"/>
          <w:sz w:val="18"/>
          <w:szCs w:val="18"/>
          <w:color w:val="auto"/>
        </w:rPr>
        <w:t>statute, or common law rights, including those relating to the provisions of any law or statute concerning employment actions, or of any other possible or claimed violation of law or rights.</w:t>
      </w:r>
    </w:p>
    <w:p>
      <w:pPr>
        <w:spacing w:after="0" w:line="67" w:lineRule="exact"/>
        <w:rPr>
          <w:rFonts w:ascii="Arial" w:cs="Arial" w:eastAsia="Arial" w:hAnsi="Arial"/>
          <w:sz w:val="18"/>
          <w:szCs w:val="18"/>
          <w:b w:val="1"/>
          <w:bCs w:val="1"/>
          <w:color w:val="auto"/>
        </w:rPr>
      </w:pPr>
    </w:p>
    <w:p>
      <w:pPr>
        <w:ind w:left="4" w:right="20" w:hanging="4"/>
        <w:spacing w:after="0" w:line="254" w:lineRule="auto"/>
        <w:tabs>
          <w:tab w:leader="none" w:pos="274"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Breach. </w:t>
      </w:r>
      <w:r>
        <w:rPr>
          <w:rFonts w:ascii="Arial" w:cs="Arial" w:eastAsia="Arial" w:hAnsi="Arial"/>
          <w:sz w:val="18"/>
          <w:szCs w:val="18"/>
          <w:color w:val="auto"/>
        </w:rPr>
        <w:t>You agree that upon any breach of this Agreement you will forfeit all amounts paid or owing to you under this Agreement. Further, you</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83" w:lineRule="exact"/>
        <w:rPr>
          <w:rFonts w:ascii="Arial" w:cs="Arial" w:eastAsia="Arial" w:hAnsi="Arial"/>
          <w:sz w:val="18"/>
          <w:szCs w:val="18"/>
          <w:b w:val="1"/>
          <w:bCs w:val="1"/>
          <w:color w:val="auto"/>
        </w:rPr>
      </w:pPr>
    </w:p>
    <w:p>
      <w:pPr>
        <w:ind w:left="4" w:right="80" w:hanging="4"/>
        <w:spacing w:after="0" w:line="271" w:lineRule="auto"/>
        <w:tabs>
          <w:tab w:leader="none" w:pos="274"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This Agreement, including any exhibits, constitutes the complete, final and exclusive embodiment of the entire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69" w:lineRule="exact"/>
        <w:rPr>
          <w:rFonts w:ascii="Arial" w:cs="Arial" w:eastAsia="Arial" w:hAnsi="Arial"/>
          <w:sz w:val="17"/>
          <w:szCs w:val="17"/>
          <w:b w:val="1"/>
          <w:bCs w:val="1"/>
          <w:color w:val="auto"/>
        </w:rPr>
      </w:pPr>
    </w:p>
    <w:p>
      <w:pPr>
        <w:ind w:left="264" w:hanging="264"/>
        <w:spacing w:after="0"/>
        <w:tabs>
          <w:tab w:leader="none" w:pos="264" w:val="left"/>
        </w:tabs>
        <w:numPr>
          <w:ilvl w:val="0"/>
          <w:numId w:val="147"/>
        </w:numPr>
        <w:rPr>
          <w:rFonts w:ascii="Arial" w:cs="Arial" w:eastAsia="Arial" w:hAnsi="Arial"/>
          <w:sz w:val="17"/>
          <w:szCs w:val="17"/>
          <w:b w:val="1"/>
          <w:bCs w:val="1"/>
          <w:color w:val="auto"/>
        </w:rPr>
      </w:pPr>
      <w:r>
        <w:rPr>
          <w:rFonts w:ascii="Arial" w:cs="Arial" w:eastAsia="Arial" w:hAnsi="Arial"/>
          <w:sz w:val="17"/>
          <w:szCs w:val="17"/>
          <w:color w:val="auto"/>
        </w:rPr>
        <w:t>To ensure the rapid and economical resolution of disputes that may arise in connection with your employment with the Company, you and the</w:t>
      </w:r>
    </w:p>
    <w:p>
      <w:pPr>
        <w:spacing w:after="0" w:line="34" w:lineRule="exact"/>
        <w:rPr>
          <w:rFonts w:ascii="Arial" w:cs="Arial" w:eastAsia="Arial" w:hAnsi="Arial"/>
          <w:sz w:val="17"/>
          <w:szCs w:val="17"/>
          <w:b w:val="1"/>
          <w:bCs w:val="1"/>
          <w:color w:val="auto"/>
        </w:rPr>
      </w:pPr>
    </w:p>
    <w:p>
      <w:pPr>
        <w:ind w:left="4"/>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 xml:space="preserve">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w:t>
      </w:r>
      <w:r>
        <w:rPr>
          <w:rFonts w:ascii="Arial" w:cs="Arial" w:eastAsia="Arial" w:hAnsi="Arial"/>
          <w:sz w:val="16"/>
          <w:szCs w:val="16"/>
          <w:u w:val="single" w:color="auto"/>
          <w:color w:val="auto"/>
        </w:rPr>
        <w:t>http://www.jamsadr.com/rules-employment-arbitration/</w:t>
      </w:r>
      <w:r>
        <w:rPr>
          <w:rFonts w:ascii="Arial" w:cs="Arial" w:eastAsia="Arial" w:hAnsi="Arial"/>
          <w:sz w:val="16"/>
          <w:szCs w:val="16"/>
          <w:color w:val="auto"/>
        </w:rPr>
        <w:t xml:space="preserve">). </w:t>
      </w:r>
      <w:r>
        <w:rPr>
          <w:rFonts w:ascii="Arial" w:cs="Arial" w:eastAsia="Arial" w:hAnsi="Arial"/>
          <w:sz w:val="16"/>
          <w:szCs w:val="16"/>
          <w:b w:val="1"/>
          <w:bCs w:val="1"/>
          <w:color w:val="auto"/>
        </w:rPr>
        <w:t>You acknowledge that by agreeing to this arbitration procedure, both you and the</w:t>
      </w:r>
    </w:p>
    <w:p>
      <w:pPr>
        <w:spacing w:after="0" w:line="3" w:lineRule="exact"/>
        <w:rPr>
          <w:rFonts w:ascii="Arial" w:cs="Arial" w:eastAsia="Arial" w:hAnsi="Arial"/>
          <w:sz w:val="17"/>
          <w:szCs w:val="17"/>
          <w:b w:val="1"/>
          <w:bCs w:val="1"/>
          <w:color w:val="auto"/>
        </w:rPr>
      </w:pPr>
    </w:p>
    <w:p>
      <w:pPr>
        <w:ind w:left="4"/>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Company</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4"/>
          </w:cols>
          <w:pgMar w:left="436" w:top="270" w:right="479" w:bottom="1440" w:gutter="0" w:footer="0" w:header="0"/>
        </w:sectPr>
      </w:pPr>
    </w:p>
    <w:bookmarkStart w:id="104" w:name="page105"/>
    <w:bookmarkEnd w:id="104"/>
    <w:p>
      <w:pPr>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waive the right to resolve any such dispute through a trial by jury or judge or administrative proceeding. </w:t>
      </w:r>
      <w:r>
        <w:rPr>
          <w:rFonts w:ascii="Arial" w:cs="Arial" w:eastAsia="Arial" w:hAnsi="Arial"/>
          <w:sz w:val="18"/>
          <w:szCs w:val="18"/>
          <w:color w:val="auto"/>
        </w:rPr>
        <w:t>You will have the right to be represented</w:t>
      </w:r>
      <w:r>
        <w:rPr>
          <w:rFonts w:ascii="Arial" w:cs="Arial" w:eastAsia="Arial" w:hAnsi="Arial"/>
          <w:sz w:val="18"/>
          <w:szCs w:val="18"/>
          <w:b w:val="1"/>
          <w:bCs w:val="1"/>
          <w:color w:val="auto"/>
        </w:rPr>
        <w:t xml:space="preserve"> </w:t>
      </w:r>
      <w:r>
        <w:rPr>
          <w:rFonts w:ascii="Arial" w:cs="Arial" w:eastAsia="Arial" w:hAnsi="Arial"/>
          <w:sz w:val="18"/>
          <w:szCs w:val="18"/>
          <w:color w:val="auto"/>
        </w:rPr>
        <w:t>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19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If this Agreement is acceptable to you, please sign below and return the original to me on or after your Separation Date, but no later than the date that is twenty-one (21) days after you receive this Agreement. This offer will expire if we have not received your executed copy by that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 wish you good luck in your future endeavors.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Adagio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GREED TO AND</w:t>
      </w:r>
      <w:r>
        <w:rPr>
          <w:rFonts w:ascii="Arial" w:cs="Arial" w:eastAsia="Arial" w:hAnsi="Arial"/>
          <w:sz w:val="18"/>
          <w:szCs w:val="18"/>
          <w:color w:val="auto"/>
        </w:rPr>
        <w:t xml:space="preserve"> A</w:t>
      </w:r>
      <w:r>
        <w:rPr>
          <w:rFonts w:ascii="Arial" w:cs="Arial" w:eastAsia="Arial" w:hAnsi="Arial"/>
          <w:sz w:val="14"/>
          <w:szCs w:val="14"/>
          <w:color w:val="auto"/>
        </w:rPr>
        <w:t>CCEPTED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0" w:right="459" w:bottom="1440" w:gutter="0" w:footer="0" w:header="0"/>
        </w:sectPr>
      </w:pPr>
    </w:p>
    <w:bookmarkStart w:id="105" w:name="page106"/>
    <w:bookmarkEnd w:id="10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CONSIDERATION PERIOD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____________________, understand that I have the right to take at least 21 days to consider whether to sign this Agreement, which I received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 __, 20__. If I elect to sign this Agreement before 21 days have passed, I understand I am to sign and date below this paragraph to confirm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I knowingly and voluntarily agree to waive the 21-day consideration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decimal"/>
      <w:start w:val="1"/>
    </w:lvl>
  </w:abstractNum>
  <w:abstractNum w:abstractNumId="1">
    <w:nsid w:val="540A471C"/>
    <w:multiLevelType w:val="hybridMultilevel"/>
    <w:lvl w:ilvl="0">
      <w:lvlJc w:val="left"/>
      <w:lvlText w:val="(%1)"/>
      <w:numFmt w:val="lowerRoman"/>
      <w:start w:val="3"/>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1)"/>
      <w:numFmt w:val="decimal"/>
      <w:start w:val="1"/>
    </w:lvl>
    <w:lvl w:ilvl="1">
      <w:lvlJc w:val="left"/>
      <w:lvlText w:val="(%2)"/>
      <w:numFmt w:val="decimal"/>
      <w:start w:val="1"/>
    </w:lvl>
  </w:abstractNum>
  <w:abstractNum w:abstractNumId="7">
    <w:nsid w:val="42963E5A"/>
    <w:multiLevelType w:val="hybridMultilevel"/>
    <w:lvl w:ilvl="0">
      <w:lvlJc w:val="left"/>
      <w:lvlText w:val="%1."/>
      <w:numFmt w:val="decimal"/>
      <w:start w:val="1"/>
    </w:lvl>
    <w:lvl w:ilvl="1">
      <w:lvlJc w:val="left"/>
      <w:lvlText w:val="(%2)"/>
      <w:numFmt w:val="lowerLetter"/>
      <w:start w:val="1"/>
    </w:lvl>
  </w:abstractNum>
  <w:abstractNum w:abstractNumId="8">
    <w:nsid w:val="A0382C5"/>
    <w:multiLevelType w:val="hybridMultilevel"/>
    <w:lvl w:ilvl="0">
      <w:lvlJc w:val="left"/>
      <w:lvlText w:val="(%1)"/>
      <w:numFmt w:val="lowerLetter"/>
      <w:start w:val="3"/>
    </w:lvl>
  </w:abstractNum>
  <w:abstractNum w:abstractNumId="9">
    <w:nsid w:val="8F2B15E"/>
    <w:multiLevelType w:val="hybridMultilevel"/>
    <w:lvl w:ilvl="0">
      <w:lvlJc w:val="left"/>
      <w:lvlText w:val="%1."/>
      <w:numFmt w:val="decimal"/>
      <w:start w:val="2"/>
    </w:lvl>
    <w:lvl w:ilvl="1">
      <w:lvlJc w:val="left"/>
      <w:lvlText w:val="(%2)"/>
      <w:numFmt w:val="lowerLetter"/>
      <w:start w:val="1"/>
    </w:lvl>
  </w:abstractNum>
  <w:abstractNum w:abstractNumId="10">
    <w:nsid w:val="1A32234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
    <w:nsid w:val="3B0FD37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
    <w:nsid w:val="68EB2F63"/>
    <w:multiLevelType w:val="hybridMultilevel"/>
    <w:lvl w:ilvl="0">
      <w:lvlJc w:val="left"/>
      <w:lvlText w:val="(%1)"/>
      <w:numFmt w:val="lowerLetter"/>
      <w:start w:val="2"/>
    </w:lvl>
    <w:lvl w:ilvl="1">
      <w:lvlJc w:val="left"/>
      <w:lvlText w:val="(%2)"/>
      <w:numFmt w:val="lowerRoman"/>
      <w:start w:val="1"/>
    </w:lvl>
  </w:abstractNum>
  <w:abstractNum w:abstractNumId="13">
    <w:nsid w:val="4962813B"/>
    <w:multiLevelType w:val="hybridMultilevel"/>
    <w:lvl w:ilvl="0">
      <w:lvlJc w:val="left"/>
      <w:lvlText w:val="(%1)"/>
      <w:numFmt w:val="lowerRoman"/>
      <w:start w:val="5"/>
    </w:lvl>
  </w:abstractNum>
  <w:abstractNum w:abstractNumId="14">
    <w:nsid w:val="60B6DF70"/>
    <w:multiLevelType w:val="hybridMultilevel"/>
    <w:lvl w:ilvl="0">
      <w:lvlJc w:val="left"/>
      <w:lvlText w:val="(%1)"/>
      <w:numFmt w:val="lowerLetter"/>
      <w:start w:val="4"/>
    </w:lvl>
    <w:lvl w:ilvl="1">
      <w:lvlJc w:val="left"/>
      <w:lvlText w:val="(%2)"/>
      <w:numFmt w:val="lowerLetter"/>
      <w:start w:val="9"/>
    </w:lvl>
  </w:abstractNum>
  <w:abstractNum w:abstractNumId="15">
    <w:nsid w:val="6A5EE64"/>
    <w:multiLevelType w:val="hybridMultilevel"/>
    <w:lvl w:ilvl="0">
      <w:lvlJc w:val="left"/>
      <w:lvlText w:val="%1"/>
      <w:numFmt w:val="lowerLetter"/>
      <w:start w:val="1"/>
    </w:lvl>
    <w:lvl w:ilvl="1">
      <w:lvlJc w:val="left"/>
      <w:lvlText w:val="(%2)"/>
      <w:numFmt w:val="lowerRoman"/>
      <w:start w:val="2"/>
    </w:lvl>
  </w:abstractNum>
  <w:abstractNum w:abstractNumId="16">
    <w:nsid w:val="14330624"/>
    <w:multiLevelType w:val="hybridMultilevel"/>
    <w:lvl w:ilvl="0">
      <w:lvlJc w:val="left"/>
      <w:lvlText w:val="(%1)"/>
      <w:numFmt w:val="lowerLetter"/>
      <w:start w:val="6"/>
    </w:lvl>
    <w:lvl w:ilvl="1">
      <w:lvlJc w:val="left"/>
      <w:lvlText w:val="(%2)"/>
      <w:numFmt w:val="lowerRoman"/>
      <w:start w:val="1"/>
    </w:lvl>
  </w:abstractNum>
  <w:abstractNum w:abstractNumId="17">
    <w:nsid w:val="7FFFCA11"/>
    <w:multiLevelType w:val="hybridMultilevel"/>
    <w:lvl w:ilvl="0">
      <w:lvlJc w:val="left"/>
      <w:lvlText w:val="%1."/>
      <w:numFmt w:val="decimal"/>
      <w:start w:val="4"/>
    </w:lvl>
    <w:lvl w:ilvl="1">
      <w:lvlJc w:val="left"/>
      <w:lvlText w:val="(%2)"/>
      <w:numFmt w:val="lowerLetter"/>
      <w:start w:val="1"/>
    </w:lvl>
  </w:abstractNum>
  <w:abstractNum w:abstractNumId="18">
    <w:nsid w:val="1A27709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19">
    <w:nsid w:val="71EA1109"/>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20">
    <w:nsid w:val="100F59DC"/>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3"/>
    </w:lvl>
  </w:abstractNum>
  <w:abstractNum w:abstractNumId="21">
    <w:nsid w:val="7FB7E0AA"/>
    <w:multiLevelType w:val="hybridMultilevel"/>
    <w:lvl w:ilvl="0">
      <w:lvlJc w:val="left"/>
      <w:lvlText w:val="%1"/>
      <w:numFmt w:val="upperLetter"/>
      <w:start w:val="1"/>
    </w:lvl>
    <w:lvl w:ilvl="1">
      <w:lvlJc w:val="left"/>
      <w:lvlText w:val="(%2)"/>
      <w:numFmt w:val="lowerLetter"/>
      <w:start w:val="2"/>
    </w:lvl>
  </w:abstractNum>
  <w:abstractNum w:abstractNumId="22">
    <w:nsid w:val="6EB5BD4"/>
    <w:multiLevelType w:val="hybridMultilevel"/>
    <w:lvl w:ilvl="0">
      <w:lvlJc w:val="left"/>
      <w:lvlText w:val="(%1)"/>
      <w:numFmt w:val="upperLetter"/>
      <w:start w:val="1"/>
    </w:lvl>
    <w:lvl w:ilvl="1">
      <w:lvlJc w:val="left"/>
      <w:lvlText w:val="(%2)"/>
      <w:numFmt w:val="lowerLetter"/>
      <w:start w:val="3"/>
    </w:lvl>
  </w:abstractNum>
  <w:abstractNum w:abstractNumId="23">
    <w:nsid w:val="6F6DD9A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4">
    <w:nsid w:val="94211F2"/>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5">
    <w:nsid w:val="885E1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6">
    <w:nsid w:val="76272110"/>
    <w:multiLevelType w:val="hybridMultilevel"/>
    <w:lvl w:ilvl="0">
      <w:lvlJc w:val="left"/>
      <w:lvlText w:val="(%1)"/>
      <w:numFmt w:val="lowerLetter"/>
      <w:start w:val="1"/>
    </w:lvl>
  </w:abstractNum>
  <w:abstractNum w:abstractNumId="27">
    <w:nsid w:val="4C04A8AF"/>
    <w:multiLevelType w:val="hybridMultilevel"/>
    <w:lvl w:ilvl="0">
      <w:lvlJc w:val="left"/>
      <w:lvlText w:val="%1"/>
      <w:numFmt w:val="decimal"/>
      <w:start w:val="1"/>
    </w:lvl>
    <w:lvl w:ilvl="1">
      <w:lvlJc w:val="left"/>
      <w:lvlText w:val="(%2)"/>
      <w:numFmt w:val="lowerLetter"/>
      <w:start w:val="3"/>
    </w:lvl>
  </w:abstractNum>
  <w:abstractNum w:abstractNumId="28">
    <w:nsid w:val="1716703B"/>
    <w:multiLevelType w:val="hybridMultilevel"/>
    <w:lvl w:ilvl="0">
      <w:lvlJc w:val="left"/>
      <w:lvlText w:val="%1."/>
      <w:numFmt w:val="decimal"/>
      <w:start w:val="7"/>
    </w:lvl>
    <w:lvl w:ilvl="1">
      <w:lvlJc w:val="left"/>
      <w:lvlText w:val="(%2)"/>
      <w:numFmt w:val="lowerLetter"/>
      <w:start w:val="1"/>
    </w:lvl>
  </w:abstractNum>
  <w:abstractNum w:abstractNumId="29">
    <w:nsid w:val="14E17E33"/>
    <w:multiLevelType w:val="hybridMultilevel"/>
    <w:lvl w:ilvl="0">
      <w:lvlJc w:val="left"/>
      <w:lvlText w:val="(%1)"/>
      <w:numFmt w:val="lowerLetter"/>
      <w:start w:val="2"/>
    </w:lvl>
  </w:abstractNum>
  <w:abstractNum w:abstractNumId="30">
    <w:nsid w:val="3222E7CD"/>
    <w:multiLevelType w:val="hybridMultilevel"/>
    <w:lvl w:ilvl="0">
      <w:lvlJc w:val="left"/>
      <w:lvlText w:val="%1."/>
      <w:numFmt w:val="decimal"/>
      <w:start w:val="8"/>
    </w:lvl>
    <w:lvl w:ilvl="1">
      <w:lvlJc w:val="left"/>
      <w:lvlText w:val="(%2)"/>
      <w:numFmt w:val="lowerLetter"/>
      <w:start w:val="1"/>
    </w:lvl>
  </w:abstractNum>
  <w:abstractNum w:abstractNumId="31">
    <w:nsid w:val="74DE0EE3"/>
    <w:multiLevelType w:val="hybridMultilevel"/>
    <w:lvl w:ilvl="0">
      <w:lvlJc w:val="left"/>
      <w:lvlText w:val="%1."/>
      <w:numFmt w:val="decimal"/>
      <w:start w:val="9"/>
    </w:lvl>
    <w:lvl w:ilvl="1">
      <w:lvlJc w:val="left"/>
      <w:lvlText w:val="(%2)"/>
      <w:numFmt w:val="lowerLetter"/>
      <w:start w:val="1"/>
    </w:lvl>
  </w:abstractNum>
  <w:abstractNum w:abstractNumId="32">
    <w:nsid w:val="68EBC55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3">
    <w:nsid w:val="2DF6D648"/>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34">
    <w:nsid w:val="46B7D447"/>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35">
    <w:nsid w:val="4A2AC315"/>
    <w:multiLevelType w:val="hybridMultilevel"/>
    <w:lvl w:ilvl="0">
      <w:lvlJc w:val="left"/>
      <w:lvlText w:val="%1"/>
      <w:numFmt w:val="lowerRoman"/>
      <w:start w:val="1"/>
    </w:lvl>
    <w:lvl w:ilvl="1">
      <w:lvlJc w:val="left"/>
      <w:lvlText w:val="%2."/>
      <w:numFmt w:val="decimal"/>
      <w:start w:val="14"/>
    </w:lvl>
  </w:abstractNum>
  <w:abstractNum w:abstractNumId="36">
    <w:nsid w:val="39EE015C"/>
    <w:multiLevelType w:val="hybridMultilevel"/>
    <w:lvl w:ilvl="0">
      <w:lvlJc w:val="left"/>
      <w:lvlText w:val="(%1)"/>
      <w:numFmt w:val="lowerRoman"/>
      <w:start w:val="1"/>
    </w:lvl>
    <w:lvl w:ilvl="1">
      <w:lvlJc w:val="left"/>
      <w:lvlText w:val="%2."/>
      <w:numFmt w:val="decimal"/>
      <w:start w:val="18"/>
    </w:lvl>
  </w:abstractNum>
  <w:abstractNum w:abstractNumId="37">
    <w:nsid w:val="57FC4FBB"/>
    <w:multiLevelType w:val="hybridMultilevel"/>
    <w:lvl w:ilvl="0">
      <w:lvlJc w:val="left"/>
      <w:lvlText w:val="%1."/>
      <w:numFmt w:val="decimal"/>
      <w:start w:val="20"/>
    </w:lvl>
    <w:lvl w:ilvl="1">
      <w:lvlJc w:val="left"/>
      <w:lvlText w:val="(%2)"/>
      <w:numFmt w:val="lowerLetter"/>
      <w:start w:val="1"/>
    </w:lvl>
  </w:abstractNum>
  <w:abstractNum w:abstractNumId="38">
    <w:nsid w:val="CC1016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9">
    <w:nsid w:val="43F18422"/>
    <w:multiLevelType w:val="hybridMultilevel"/>
    <w:lvl w:ilvl="0">
      <w:lvlJc w:val="left"/>
      <w:lvlText w:val="%1"/>
      <w:numFmt w:val="lowerLetter"/>
      <w:start w:val="1"/>
    </w:lvl>
    <w:lvl w:ilvl="1">
      <w:lvlJc w:val="left"/>
      <w:lvlText w:val="%2."/>
      <w:numFmt w:val="decimal"/>
      <w:start w:val="23"/>
    </w:lvl>
    <w:lvl w:ilvl="2">
      <w:lvlJc w:val="left"/>
      <w:lvlText w:val="%3"/>
      <w:numFmt w:val="lowerLetter"/>
      <w:start w:val="1"/>
    </w:lvl>
  </w:abstractNum>
  <w:abstractNum w:abstractNumId="40">
    <w:nsid w:val="60EF011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41">
    <w:nsid w:val="26F324BA"/>
    <w:multiLevelType w:val="hybridMultilevel"/>
    <w:lvl w:ilvl="0">
      <w:lvlJc w:val="left"/>
      <w:lvlText w:val="%1."/>
      <w:numFmt w:val="decimal"/>
      <w:start w:val="24"/>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1."/>
      <w:numFmt w:val="decimal"/>
      <w:start w:val="1"/>
    </w:lvl>
  </w:abstractNum>
  <w:abstractNum w:abstractNumId="44">
    <w:nsid w:val="7055A5F5"/>
    <w:multiLevelType w:val="hybridMultilevel"/>
    <w:lvl w:ilvl="0">
      <w:lvlJc w:val="left"/>
      <w:lvlText w:val="%1."/>
      <w:numFmt w:val="decimal"/>
      <w:start w:val="5"/>
    </w:lvl>
  </w:abstractNum>
  <w:abstractNum w:abstractNumId="45">
    <w:nsid w:val="5FB8370B"/>
    <w:multiLevelType w:val="hybridMultilevel"/>
    <w:lvl w:ilvl="0">
      <w:lvlJc w:val="left"/>
      <w:lvlText w:val="%1."/>
      <w:numFmt w:val="decimal"/>
      <w:start w:val="10"/>
    </w:lvl>
    <w:lvl w:ilvl="1">
      <w:lvlJc w:val="left"/>
      <w:lvlText w:val="%2)"/>
      <w:numFmt w:val="lowerLetter"/>
      <w:start w:val="1"/>
    </w:lvl>
  </w:abstractNum>
  <w:abstractNum w:abstractNumId="46">
    <w:nsid w:val="50801EE1"/>
    <w:multiLevelType w:val="hybridMultilevel"/>
    <w:lvl w:ilvl="0">
      <w:lvlJc w:val="left"/>
      <w:lvlText w:val="%1."/>
      <w:numFmt w:val="decimal"/>
      <w:start w:val="13"/>
    </w:lvl>
    <w:lvl w:ilvl="1">
      <w:lvlJc w:val="left"/>
      <w:lvlText w:val="•"/>
      <w:numFmt w:val="bullet"/>
      <w:start w:val="1"/>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1."/>
      <w:numFmt w:val="decimal"/>
      <w:start w:val="15"/>
    </w:lvl>
  </w:abstractNum>
  <w:abstractNum w:abstractNumId="49">
    <w:nsid w:val="6AA78F7F"/>
    <w:multiLevelType w:val="hybridMultilevel"/>
    <w:lvl w:ilvl="0">
      <w:lvlJc w:val="left"/>
      <w:lvlText w:val="%1."/>
      <w:numFmt w:val="decimal"/>
      <w:start w:val="16"/>
    </w:lvl>
  </w:abstractNum>
  <w:abstractNum w:abstractNumId="50">
    <w:nsid w:val="7672BD23"/>
    <w:multiLevelType w:val="hybridMultilevel"/>
    <w:lvl w:ilvl="0">
      <w:lvlJc w:val="left"/>
      <w:lvlText w:val="%1."/>
      <w:numFmt w:val="decimal"/>
      <w:start w:val="1"/>
    </w:lvl>
  </w:abstractNum>
  <w:abstractNum w:abstractNumId="51">
    <w:nsid w:val="6FC75AF8"/>
    <w:multiLevelType w:val="hybridMultilevel"/>
    <w:lvl w:ilvl="0">
      <w:lvlJc w:val="left"/>
      <w:lvlText w:val="%1."/>
      <w:numFmt w:val="decimal"/>
      <w:start w:val="2"/>
    </w:lvl>
  </w:abstractNum>
  <w:abstractNum w:abstractNumId="52">
    <w:nsid w:val="6A5F7029"/>
    <w:multiLevelType w:val="hybridMultilevel"/>
    <w:lvl w:ilvl="0">
      <w:lvlJc w:val="left"/>
      <w:lvlText w:val="%1."/>
      <w:numFmt w:val="decimal"/>
      <w:start w:val="4"/>
    </w:lvl>
  </w:abstractNum>
  <w:abstractNum w:abstractNumId="53">
    <w:nsid w:val="7D5E18F8"/>
    <w:multiLevelType w:val="hybridMultilevel"/>
    <w:lvl w:ilvl="0">
      <w:lvlJc w:val="left"/>
      <w:lvlText w:val="%1."/>
      <w:numFmt w:val="decimal"/>
      <w:start w:val="6"/>
    </w:lvl>
  </w:abstractNum>
  <w:abstractNum w:abstractNumId="54">
    <w:nsid w:val="5F3534A4"/>
    <w:multiLevelType w:val="hybridMultilevel"/>
    <w:lvl w:ilvl="0">
      <w:lvlJc w:val="left"/>
      <w:lvlText w:val="(%1)"/>
      <w:numFmt w:val="lowerLetter"/>
      <w:start w:val="1"/>
    </w:lvl>
  </w:abstractNum>
  <w:abstractNum w:abstractNumId="55">
    <w:nsid w:val="73A1821B"/>
    <w:multiLevelType w:val="hybridMultilevel"/>
    <w:lvl w:ilvl="0">
      <w:lvlJc w:val="left"/>
      <w:lvlText w:val="(%1)"/>
      <w:numFmt w:val="lowerLetter"/>
      <w:start w:val="3"/>
    </w:lvl>
  </w:abstractNum>
  <w:abstractNum w:abstractNumId="56">
    <w:nsid w:val="7DE67713"/>
    <w:multiLevelType w:val="hybridMultilevel"/>
    <w:lvl w:ilvl="0">
      <w:lvlJc w:val="left"/>
      <w:lvlText w:val="(%1)"/>
      <w:numFmt w:val="lowerLetter"/>
      <w:start w:val="2"/>
    </w:lvl>
  </w:abstractNum>
  <w:abstractNum w:abstractNumId="57">
    <w:nsid w:val="555C55B5"/>
    <w:multiLevelType w:val="hybridMultilevel"/>
    <w:lvl w:ilvl="0">
      <w:lvlJc w:val="left"/>
      <w:lvlText w:val="(%1)"/>
      <w:numFmt w:val="lowerLetter"/>
      <w:start w:val="1"/>
    </w:lvl>
  </w:abstractNum>
  <w:abstractNum w:abstractNumId="58">
    <w:nsid w:val="3FA62ACA"/>
    <w:multiLevelType w:val="hybridMultilevel"/>
    <w:lvl w:ilvl="0">
      <w:lvlJc w:val="left"/>
      <w:lvlText w:val="%1."/>
      <w:numFmt w:val="decimal"/>
      <w:start w:val="7"/>
    </w:lvl>
  </w:abstractNum>
  <w:abstractNum w:abstractNumId="59">
    <w:nsid w:val="14FCE74E"/>
    <w:multiLevelType w:val="hybridMultilevel"/>
    <w:lvl w:ilvl="0">
      <w:lvlJc w:val="left"/>
      <w:lvlText w:val="%1"/>
      <w:numFmt w:val="decimal"/>
      <w:start w:val="1"/>
    </w:lvl>
    <w:lvl w:ilvl="1">
      <w:lvlJc w:val="left"/>
      <w:lvlText w:val="(%2)"/>
      <w:numFmt w:val="lowerLetter"/>
      <w:start w:val="1"/>
    </w:lvl>
  </w:abstractNum>
  <w:abstractNum w:abstractNumId="60">
    <w:nsid w:val="6A3DD3E8"/>
    <w:multiLevelType w:val="hybridMultilevel"/>
    <w:lvl w:ilvl="0">
      <w:lvlJc w:val="left"/>
      <w:lvlText w:val="(%1)"/>
      <w:numFmt w:val="decimal"/>
      <w:start w:val="1"/>
    </w:lvl>
    <w:lvl w:ilvl="1">
      <w:lvlJc w:val="left"/>
      <w:lvlText w:val="(%2)"/>
      <w:numFmt w:val="lowerLetter"/>
      <w:start w:val="2"/>
    </w:lvl>
  </w:abstractNum>
  <w:abstractNum w:abstractNumId="61">
    <w:nsid w:val="71C91298"/>
    <w:multiLevelType w:val="hybridMultilevel"/>
    <w:lvl w:ilvl="0">
      <w:lvlJc w:val="left"/>
      <w:lvlText w:val="%1."/>
      <w:numFmt w:val="decimal"/>
      <w:start w:val="1"/>
    </w:lvl>
    <w:lvl w:ilvl="1">
      <w:lvlJc w:val="left"/>
      <w:lvlText w:val="(%2)"/>
      <w:numFmt w:val="lowerLetter"/>
      <w:start w:val="1"/>
    </w:lvl>
  </w:abstractNum>
  <w:abstractNum w:abstractNumId="62">
    <w:nsid w:val="9DAF632"/>
    <w:multiLevelType w:val="hybridMultilevel"/>
    <w:lvl w:ilvl="0">
      <w:lvlJc w:val="left"/>
      <w:lvlText w:val="(%1)"/>
      <w:numFmt w:val="lowerLetter"/>
      <w:start w:val="3"/>
    </w:lvl>
  </w:abstractNum>
  <w:abstractNum w:abstractNumId="63">
    <w:nsid w:val="53299938"/>
    <w:multiLevelType w:val="hybridMultilevel"/>
    <w:lvl w:ilvl="0">
      <w:lvlJc w:val="left"/>
      <w:lvlText w:val="%1."/>
      <w:numFmt w:val="decimal"/>
      <w:start w:val="2"/>
    </w:lvl>
    <w:lvl w:ilvl="1">
      <w:lvlJc w:val="left"/>
      <w:lvlText w:val="(%2)"/>
      <w:numFmt w:val="lowerLetter"/>
      <w:start w:val="1"/>
    </w:lvl>
  </w:abstractNum>
  <w:abstractNum w:abstractNumId="64">
    <w:nsid w:val="1FBFE8E0"/>
    <w:multiLevelType w:val="hybridMultilevel"/>
    <w:lvl w:ilvl="0">
      <w:lvlJc w:val="left"/>
      <w:lvlText w:val="(%1)"/>
      <w:numFmt w:val="lowerLetter"/>
      <w:start w:val="4"/>
    </w:lvl>
    <w:lvl w:ilvl="1">
      <w:lvlJc w:val="left"/>
      <w:lvlText w:val="(%2)"/>
      <w:numFmt w:val="lowerRoman"/>
      <w:start w:val="1"/>
    </w:lvl>
  </w:abstractNum>
  <w:abstractNum w:abstractNumId="65">
    <w:nsid w:val="5092CA79"/>
    <w:multiLevelType w:val="hybridMultilevel"/>
    <w:lvl w:ilvl="0">
      <w:lvlJc w:val="left"/>
      <w:lvlText w:val="(%1)"/>
      <w:numFmt w:val="lowerLetter"/>
      <w:start w:val="11"/>
    </w:lvl>
    <w:lvl w:ilvl="1">
      <w:lvlJc w:val="left"/>
      <w:lvlText w:val="(%2)"/>
      <w:numFmt w:val="lowerRoman"/>
      <w:start w:val="1"/>
    </w:lvl>
  </w:abstractNum>
  <w:abstractNum w:abstractNumId="66">
    <w:nsid w:val="1D545C4D"/>
    <w:multiLevelType w:val="hybridMultilevel"/>
    <w:lvl w:ilvl="0">
      <w:lvlJc w:val="left"/>
      <w:lvlText w:val="(%1)"/>
      <w:numFmt w:val="lowerRoman"/>
      <w:start w:val="6"/>
    </w:lvl>
  </w:abstractNum>
  <w:abstractNum w:abstractNumId="67">
    <w:nsid w:val="59ADEA3D"/>
    <w:multiLevelType w:val="hybridMultilevel"/>
    <w:lvl w:ilvl="0">
      <w:lvlJc w:val="left"/>
      <w:lvlText w:val="(%1)"/>
      <w:numFmt w:val="lowerLetter"/>
      <w:start w:val="12"/>
    </w:lvl>
    <w:lvl w:ilvl="1">
      <w:lvlJc w:val="left"/>
      <w:lvlText w:val="(%2)"/>
      <w:numFmt w:val="lowerRoman"/>
      <w:start w:val="1"/>
    </w:lvl>
  </w:abstractNum>
  <w:abstractNum w:abstractNumId="68">
    <w:nsid w:val="288F1A34"/>
    <w:multiLevelType w:val="hybridMultilevel"/>
    <w:lvl w:ilvl="0">
      <w:lvlJc w:val="left"/>
      <w:lvlText w:val="%1"/>
      <w:numFmt w:val="lowerLetter"/>
      <w:start w:val="1"/>
    </w:lvl>
    <w:lvl w:ilvl="1">
      <w:lvlJc w:val="left"/>
      <w:lvlText w:val="(%2)"/>
      <w:numFmt w:val="lowerLetter"/>
      <w:start w:val="61"/>
    </w:lvl>
  </w:abstractNum>
  <w:abstractNum w:abstractNumId="69">
    <w:nsid w:val="2A155DBC"/>
    <w:multiLevelType w:val="hybridMultilevel"/>
    <w:lvl w:ilvl="0">
      <w:lvlJc w:val="left"/>
      <w:lvlText w:val="(%1)"/>
      <w:numFmt w:val="lowerLetter"/>
      <w:start w:val="14"/>
    </w:lvl>
    <w:lvl w:ilvl="1">
      <w:lvlJc w:val="left"/>
      <w:lvlText w:val="(%2)"/>
      <w:numFmt w:val="lowerLetter"/>
      <w:start w:val="9"/>
    </w:lvl>
  </w:abstractNum>
  <w:abstractNum w:abstractNumId="70">
    <w:nsid w:val="1D9F6E5F"/>
    <w:multiLevelType w:val="hybridMultilevel"/>
    <w:lvl w:ilvl="0">
      <w:lvlJc w:val="left"/>
      <w:lvlText w:val="(%1)"/>
      <w:numFmt w:val="lowerRoman"/>
      <w:start w:val="2"/>
    </w:lvl>
  </w:abstractNum>
  <w:abstractNum w:abstractNumId="71">
    <w:nsid w:val="97E1B4E"/>
    <w:multiLevelType w:val="hybridMultilevel"/>
    <w:lvl w:ilvl="0">
      <w:lvlJc w:val="left"/>
      <w:lvlText w:val="%1."/>
      <w:numFmt w:val="decimal"/>
      <w:start w:val="3"/>
    </w:lvl>
    <w:lvl w:ilvl="1">
      <w:lvlJc w:val="left"/>
      <w:lvlText w:val="(%2)"/>
      <w:numFmt w:val="lowerLetter"/>
      <w:start w:val="1"/>
    </w:lvl>
  </w:abstractNum>
  <w:abstractNum w:abstractNumId="72">
    <w:nsid w:val="5108827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73">
    <w:nsid w:val="1CA0C5FA"/>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74">
    <w:nsid w:val="53584BCB"/>
    <w:multiLevelType w:val="hybridMultilevel"/>
    <w:lvl w:ilvl="0">
      <w:lvlJc w:val="left"/>
      <w:lvlText w:val="(%1)"/>
      <w:numFmt w:val="lowerRoman"/>
      <w:start w:val="4"/>
    </w:lvl>
    <w:lvl w:ilvl="1">
      <w:lvlJc w:val="left"/>
      <w:lvlText w:val="%2."/>
      <w:numFmt w:val="decimal"/>
      <w:start w:val="3"/>
    </w:lvl>
    <w:lvl w:ilvl="2">
      <w:lvlJc w:val="left"/>
      <w:lvlText w:val="(%3)"/>
      <w:numFmt w:val="lowerLetter"/>
      <w:start w:val="3"/>
    </w:lvl>
  </w:abstractNum>
  <w:abstractNum w:abstractNumId="75">
    <w:nsid w:val="415E286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76">
    <w:nsid w:val="7C58FD05"/>
    <w:multiLevelType w:val="hybridMultilevel"/>
    <w:lvl w:ilvl="0">
      <w:lvlJc w:val="left"/>
      <w:lvlText w:val="%1"/>
      <w:numFmt w:val="upperLetter"/>
      <w:start w:val="1"/>
    </w:lvl>
    <w:lvl w:ilvl="1">
      <w:lvlJc w:val="left"/>
      <w:lvlText w:val="(%2)"/>
      <w:numFmt w:val="lowerLetter"/>
      <w:start w:val="2"/>
    </w:lvl>
  </w:abstractNum>
  <w:abstractNum w:abstractNumId="77">
    <w:nsid w:val="23D86AAC"/>
    <w:multiLevelType w:val="hybridMultilevel"/>
    <w:lvl w:ilvl="0">
      <w:lvlJc w:val="left"/>
      <w:lvlText w:val="(%1)"/>
      <w:numFmt w:val="upperLetter"/>
      <w:start w:val="1"/>
    </w:lvl>
    <w:lvl w:ilvl="1">
      <w:lvlJc w:val="left"/>
      <w:lvlText w:val="(%2)"/>
      <w:numFmt w:val="lowerLetter"/>
      <w:start w:val="3"/>
    </w:lvl>
  </w:abstractNum>
  <w:abstractNum w:abstractNumId="78">
    <w:nsid w:val="45E6D486"/>
    <w:multiLevelType w:val="hybridMultilevel"/>
    <w:lvl w:ilvl="0">
      <w:lvlJc w:val="left"/>
      <w:lvlText w:val="%1"/>
      <w:numFmt w:val="lowerLetter"/>
      <w:start w:val="1"/>
    </w:lvl>
    <w:lvl w:ilvl="1">
      <w:lvlJc w:val="left"/>
      <w:lvlText w:val="%2."/>
      <w:numFmt w:val="decimal"/>
      <w:start w:val="5"/>
    </w:lvl>
  </w:abstractNum>
  <w:abstractNum w:abstractNumId="79">
    <w:nsid w:val="5C10FE21"/>
    <w:multiLevelType w:val="hybridMultilevel"/>
    <w:lvl w:ilvl="0">
      <w:lvlJc w:val="left"/>
      <w:lvlText w:val="(%1)"/>
      <w:numFmt w:val="lowerLetter"/>
      <w:start w:val="1"/>
    </w:lvl>
    <w:lvl w:ilvl="1">
      <w:lvlJc w:val="left"/>
      <w:lvlText w:val="%2"/>
      <w:numFmt w:val="decimal"/>
      <w:start w:val="1"/>
    </w:lvl>
  </w:abstractNum>
  <w:abstractNum w:abstractNumId="80">
    <w:nsid w:val="E7FFA2B"/>
    <w:multiLevelType w:val="hybridMultilevel"/>
    <w:lvl w:ilvl="0">
      <w:lvlJc w:val="left"/>
      <w:lvlText w:val="(%1)"/>
      <w:numFmt w:val="lowerLetter"/>
      <w:start w:val="1"/>
    </w:lvl>
  </w:abstractNum>
  <w:abstractNum w:abstractNumId="81">
    <w:nsid w:val="3C5991AA"/>
    <w:multiLevelType w:val="hybridMultilevel"/>
    <w:lvl w:ilvl="0">
      <w:lvlJc w:val="left"/>
      <w:lvlText w:val="%1"/>
      <w:numFmt w:val="decimal"/>
      <w:start w:val="1"/>
    </w:lvl>
    <w:lvl w:ilvl="1">
      <w:lvlJc w:val="left"/>
      <w:lvlText w:val="(%2)"/>
      <w:numFmt w:val="lowerLetter"/>
      <w:start w:val="3"/>
    </w:lvl>
  </w:abstractNum>
  <w:abstractNum w:abstractNumId="82">
    <w:nsid w:val="4BD8591A"/>
    <w:multiLevelType w:val="hybridMultilevel"/>
    <w:lvl w:ilvl="0">
      <w:lvlJc w:val="left"/>
      <w:lvlText w:val="%1."/>
      <w:numFmt w:val="decimal"/>
      <w:start w:val="6"/>
    </w:lvl>
    <w:lvl w:ilvl="1">
      <w:lvlJc w:val="left"/>
      <w:lvlText w:val="(%2)"/>
      <w:numFmt w:val="lowerLetter"/>
      <w:start w:val="1"/>
    </w:lvl>
  </w:abstractNum>
  <w:abstractNum w:abstractNumId="83">
    <w:nsid w:val="78DF6A55"/>
    <w:multiLevelType w:val="hybridMultilevel"/>
    <w:lvl w:ilvl="0">
      <w:lvlJc w:val="left"/>
      <w:lvlText w:val="(%1)"/>
      <w:numFmt w:val="decimal"/>
      <w:start w:val="2"/>
    </w:lvl>
    <w:lvl w:ilvl="1">
      <w:lvlJc w:val="left"/>
      <w:lvlText w:val="%2."/>
      <w:numFmt w:val="decimal"/>
      <w:start w:val="6"/>
    </w:lvl>
    <w:lvl w:ilvl="2">
      <w:lvlJc w:val="left"/>
      <w:lvlText w:val="(%3)"/>
      <w:numFmt w:val="lowerLetter"/>
      <w:start w:val="2"/>
    </w:lvl>
  </w:abstractNum>
  <w:abstractNum w:abstractNumId="84">
    <w:nsid w:val="39B7AAA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5">
    <w:nsid w:val="2B0D8DBE"/>
    <w:multiLevelType w:val="hybridMultilevel"/>
    <w:lvl w:ilvl="0">
      <w:lvlJc w:val="left"/>
      <w:lvlText w:val="(%1)"/>
      <w:numFmt w:val="lowerLetter"/>
      <w:start w:val="2"/>
    </w:lvl>
  </w:abstractNum>
  <w:abstractNum w:abstractNumId="86">
    <w:nsid w:val="6C80EC70"/>
    <w:multiLevelType w:val="hybridMultilevel"/>
    <w:lvl w:ilvl="0">
      <w:lvlJc w:val="left"/>
      <w:lvlText w:val="%1."/>
      <w:numFmt w:val="decimal"/>
      <w:start w:val="8"/>
    </w:lvl>
    <w:lvl w:ilvl="1">
      <w:lvlJc w:val="left"/>
      <w:lvlText w:val="(%2)"/>
      <w:numFmt w:val="lowerLetter"/>
      <w:start w:val="1"/>
    </w:lvl>
  </w:abstractNum>
  <w:abstractNum w:abstractNumId="87">
    <w:nsid w:val="379E21B5"/>
    <w:multiLevelType w:val="hybridMultilevel"/>
    <w:lvl w:ilvl="0">
      <w:lvlJc w:val="left"/>
      <w:lvlText w:val="%1"/>
      <w:numFmt w:val="lowerLetter"/>
      <w:start w:val="1"/>
    </w:lvl>
    <w:lvl w:ilvl="1">
      <w:lvlJc w:val="left"/>
      <w:lvlText w:val="%2."/>
      <w:numFmt w:val="decimal"/>
      <w:start w:val="9"/>
    </w:lvl>
  </w:abstractNum>
  <w:abstractNum w:abstractNumId="88">
    <w:nsid w:val="69E373"/>
    <w:multiLevelType w:val="hybridMultilevel"/>
    <w:lvl w:ilvl="0">
      <w:lvlJc w:val="left"/>
      <w:lvlText w:val="(%1)"/>
      <w:numFmt w:val="lowerLetter"/>
      <w:start w:val="3"/>
    </w:lvl>
    <w:lvl w:ilvl="1">
      <w:lvlJc w:val="left"/>
      <w:lvlText w:val="%2."/>
      <w:numFmt w:val="decimal"/>
      <w:start w:val="10"/>
    </w:lvl>
  </w:abstractNum>
  <w:abstractNum w:abstractNumId="89">
    <w:nsid w:val="2C27173B"/>
    <w:multiLevelType w:val="hybridMultilevel"/>
    <w:lvl w:ilvl="0">
      <w:lvlJc w:val="left"/>
      <w:lvlText w:val="(%1)"/>
      <w:numFmt w:val="lowerLetter"/>
      <w:start w:val="2"/>
    </w:lvl>
    <w:lvl w:ilvl="1">
      <w:lvlJc w:val="left"/>
      <w:lvlText w:val="%2"/>
      <w:numFmt w:val="decimal"/>
      <w:start w:val="1"/>
    </w:lvl>
  </w:abstractNum>
  <w:abstractNum w:abstractNumId="90">
    <w:nsid w:val="4C9B0904"/>
    <w:multiLevelType w:val="hybridMultilevel"/>
    <w:lvl w:ilvl="0">
      <w:lvlJc w:val="left"/>
      <w:lvlText w:val="%1"/>
      <w:numFmt w:val="lowerRoman"/>
      <w:start w:val="1"/>
    </w:lvl>
    <w:lvl w:ilvl="1">
      <w:lvlJc w:val="left"/>
      <w:lvlText w:val="%2."/>
      <w:numFmt w:val="decimal"/>
      <w:start w:val="13"/>
    </w:lvl>
  </w:abstractNum>
  <w:abstractNum w:abstractNumId="91">
    <w:nsid w:val="6AA7B75C"/>
    <w:multiLevelType w:val="hybridMultilevel"/>
    <w:lvl w:ilvl="0">
      <w:lvlJc w:val="left"/>
      <w:lvlText w:val="(%1)"/>
      <w:numFmt w:val="lowerRoman"/>
      <w:start w:val="1"/>
    </w:lvl>
    <w:lvl w:ilvl="1">
      <w:lvlJc w:val="left"/>
      <w:lvlText w:val="%2."/>
      <w:numFmt w:val="decimal"/>
      <w:start w:val="17"/>
    </w:lvl>
  </w:abstractNum>
  <w:abstractNum w:abstractNumId="92">
    <w:nsid w:val="1DF029D3"/>
    <w:multiLevelType w:val="hybridMultilevel"/>
    <w:lvl w:ilvl="0">
      <w:lvlJc w:val="left"/>
      <w:lvlText w:val="%1."/>
      <w:numFmt w:val="decimal"/>
      <w:start w:val="19"/>
    </w:lvl>
    <w:lvl w:ilvl="1">
      <w:lvlJc w:val="left"/>
      <w:lvlText w:val="(%2)"/>
      <w:numFmt w:val="lowerLetter"/>
      <w:start w:val="1"/>
    </w:lvl>
  </w:abstractNum>
  <w:abstractNum w:abstractNumId="93">
    <w:nsid w:val="5675FF3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94">
    <w:nsid w:val="3DD15094"/>
    <w:multiLevelType w:val="hybridMultilevel"/>
    <w:lvl w:ilvl="0">
      <w:lvlJc w:val="left"/>
      <w:lvlText w:val="%1"/>
      <w:numFmt w:val="lowerLetter"/>
      <w:start w:val="1"/>
    </w:lvl>
    <w:lvl w:ilvl="1">
      <w:lvlJc w:val="left"/>
      <w:lvlText w:val="%2."/>
      <w:numFmt w:val="decimal"/>
      <w:start w:val="22"/>
    </w:lvl>
    <w:lvl w:ilvl="2">
      <w:lvlJc w:val="left"/>
      <w:lvlText w:val="%3"/>
      <w:numFmt w:val="lowerLetter"/>
      <w:start w:val="1"/>
    </w:lvl>
  </w:abstractNum>
  <w:abstractNum w:abstractNumId="95">
    <w:nsid w:val="3DB012B3"/>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96">
    <w:nsid w:val="2708C9AF"/>
    <w:multiLevelType w:val="hybridMultilevel"/>
    <w:lvl w:ilvl="0">
      <w:lvlJc w:val="left"/>
      <w:lvlText w:val="%1."/>
      <w:numFmt w:val="decimal"/>
      <w:start w:val="23"/>
    </w:lvl>
  </w:abstractNum>
  <w:abstractNum w:abstractNumId="97">
    <w:nsid w:val="5B25ACE2"/>
    <w:multiLevelType w:val="hybridMultilevel"/>
    <w:lvl w:ilvl="0">
      <w:lvlJc w:val="left"/>
      <w:lvlText w:val="%1."/>
      <w:numFmt w:val="decimal"/>
      <w:start w:val="1"/>
    </w:lvl>
  </w:abstractNum>
  <w:abstractNum w:abstractNumId="98">
    <w:nsid w:val="175DFCF0"/>
    <w:multiLevelType w:val="hybridMultilevel"/>
    <w:lvl w:ilvl="0">
      <w:lvlJc w:val="left"/>
      <w:lvlText w:val="%1."/>
      <w:numFmt w:val="decimal"/>
      <w:start w:val="5"/>
    </w:lvl>
  </w:abstractNum>
  <w:abstractNum w:abstractNumId="99">
    <w:nsid w:val="4F97E3E4"/>
    <w:multiLevelType w:val="hybridMultilevel"/>
    <w:lvl w:ilvl="0">
      <w:lvlJc w:val="left"/>
      <w:lvlText w:val="%1."/>
      <w:numFmt w:val="decimal"/>
      <w:start w:val="10"/>
    </w:lvl>
  </w:abstractNum>
  <w:abstractNum w:abstractNumId="100">
    <w:nsid w:val="53B0A9E"/>
    <w:multiLevelType w:val="hybridMultilevel"/>
    <w:lvl w:ilvl="0">
      <w:lvlJc w:val="left"/>
      <w:lvlText w:val="•"/>
      <w:numFmt w:val="bullet"/>
      <w:start w:val="1"/>
    </w:lvl>
  </w:abstractNum>
  <w:abstractNum w:abstractNumId="101">
    <w:nsid w:val="34FD6B4F"/>
    <w:multiLevelType w:val="hybridMultilevel"/>
    <w:lvl w:ilvl="0">
      <w:lvlJc w:val="left"/>
      <w:lvlText w:val="•"/>
      <w:numFmt w:val="bullet"/>
      <w:start w:val="1"/>
    </w:lvl>
  </w:abstractNum>
  <w:abstractNum w:abstractNumId="102">
    <w:nsid w:val="5915FF32"/>
    <w:multiLevelType w:val="hybridMultilevel"/>
    <w:lvl w:ilvl="0">
      <w:lvlJc w:val="left"/>
      <w:lvlText w:val="%1."/>
      <w:numFmt w:val="decimal"/>
      <w:start w:val="14"/>
    </w:lvl>
  </w:abstractNum>
  <w:abstractNum w:abstractNumId="103">
    <w:nsid w:val="56438D15"/>
    <w:multiLevelType w:val="hybridMultilevel"/>
    <w:lvl w:ilvl="0">
      <w:lvlJc w:val="left"/>
      <w:lvlText w:val="%1."/>
      <w:numFmt w:val="decimal"/>
      <w:start w:val="17"/>
    </w:lvl>
  </w:abstractNum>
  <w:abstractNum w:abstractNumId="104">
    <w:nsid w:val="519E3149"/>
    <w:multiLevelType w:val="hybridMultilevel"/>
    <w:lvl w:ilvl="0">
      <w:lvlJc w:val="left"/>
      <w:lvlText w:val="%1."/>
      <w:numFmt w:val="decimal"/>
      <w:start w:val="1"/>
    </w:lvl>
    <w:lvl w:ilvl="1">
      <w:lvlJc w:val="left"/>
      <w:lvlText w:val="(%2)"/>
      <w:numFmt w:val="lowerLetter"/>
      <w:start w:val="1"/>
    </w:lvl>
  </w:abstractNum>
  <w:abstractNum w:abstractNumId="105">
    <w:nsid w:val="2C6E4AFD"/>
    <w:multiLevelType w:val="hybridMultilevel"/>
    <w:lvl w:ilvl="0">
      <w:lvlJc w:val="left"/>
      <w:lvlText w:val="(%1)"/>
      <w:numFmt w:val="lowerLetter"/>
      <w:start w:val="3"/>
    </w:lvl>
  </w:abstractNum>
  <w:abstractNum w:abstractNumId="106">
    <w:nsid w:val="17A1B582"/>
    <w:multiLevelType w:val="hybridMultilevel"/>
    <w:lvl w:ilvl="0">
      <w:lvlJc w:val="left"/>
      <w:lvlText w:val="%1."/>
      <w:numFmt w:val="decimal"/>
      <w:start w:val="2"/>
    </w:lvl>
    <w:lvl w:ilvl="1">
      <w:lvlJc w:val="left"/>
      <w:lvlText w:val="(%2)"/>
      <w:numFmt w:val="lowerLetter"/>
      <w:start w:val="1"/>
    </w:lvl>
  </w:abstractNum>
  <w:abstractNum w:abstractNumId="107">
    <w:nsid w:val="4DF72E4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8">
    <w:nsid w:val="5046B5A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9">
    <w:nsid w:val="5D888A08"/>
    <w:multiLevelType w:val="hybridMultilevel"/>
    <w:lvl w:ilvl="0">
      <w:lvlJc w:val="left"/>
      <w:lvlText w:val="(%1)"/>
      <w:numFmt w:val="lowerLetter"/>
      <w:start w:val="3"/>
    </w:lvl>
    <w:lvl w:ilvl="1">
      <w:lvlJc w:val="left"/>
      <w:lvlText w:val="(%2)"/>
      <w:numFmt w:val="lowerRoman"/>
      <w:start w:val="1"/>
    </w:lvl>
  </w:abstractNum>
  <w:abstractNum w:abstractNumId="110">
    <w:nsid w:val="2A082C70"/>
    <w:multiLevelType w:val="hybridMultilevel"/>
    <w:lvl w:ilvl="0">
      <w:lvlJc w:val="left"/>
      <w:lvlText w:val="(%1)"/>
      <w:numFmt w:val="lowerRoman"/>
      <w:start w:val="6"/>
    </w:lvl>
  </w:abstractNum>
  <w:abstractNum w:abstractNumId="111">
    <w:nsid w:val="5EC6AFD4"/>
    <w:multiLevelType w:val="hybridMultilevel"/>
    <w:lvl w:ilvl="0">
      <w:lvlJc w:val="left"/>
      <w:lvlText w:val="(%1)"/>
      <w:numFmt w:val="lowerLetter"/>
      <w:start w:val="4"/>
    </w:lvl>
    <w:lvl w:ilvl="1">
      <w:lvlJc w:val="left"/>
      <w:lvlText w:val="(%2)"/>
      <w:numFmt w:val="lowerLetter"/>
      <w:start w:val="9"/>
    </w:lvl>
  </w:abstractNum>
  <w:abstractNum w:abstractNumId="112">
    <w:nsid w:val="19E21BB2"/>
    <w:multiLevelType w:val="hybridMultilevel"/>
    <w:lvl w:ilvl="0">
      <w:lvlJc w:val="left"/>
      <w:lvlText w:val="%1"/>
      <w:numFmt w:val="lowerLetter"/>
      <w:start w:val="1"/>
    </w:lvl>
    <w:lvl w:ilvl="1">
      <w:lvlJc w:val="left"/>
      <w:lvlText w:val="(%2)"/>
      <w:numFmt w:val="lowerRoman"/>
      <w:start w:val="2"/>
    </w:lvl>
  </w:abstractNum>
  <w:abstractNum w:abstractNumId="113">
    <w:nsid w:val="75E0858A"/>
    <w:multiLevelType w:val="hybridMultilevel"/>
    <w:lvl w:ilvl="0">
      <w:lvlJc w:val="left"/>
      <w:lvlText w:val="(%1)"/>
      <w:numFmt w:val="lowerLetter"/>
      <w:start w:val="6"/>
    </w:lvl>
    <w:lvl w:ilvl="1">
      <w:lvlJc w:val="left"/>
      <w:lvlText w:val="(%2)"/>
      <w:numFmt w:val="lowerRoman"/>
      <w:start w:val="1"/>
    </w:lvl>
  </w:abstractNum>
  <w:abstractNum w:abstractNumId="114">
    <w:nsid w:val="57A61A29"/>
    <w:multiLevelType w:val="hybridMultilevel"/>
    <w:lvl w:ilvl="0">
      <w:lvlJc w:val="left"/>
      <w:lvlText w:val="%1."/>
      <w:numFmt w:val="decimal"/>
      <w:start w:val="4"/>
    </w:lvl>
    <w:lvl w:ilvl="1">
      <w:lvlJc w:val="left"/>
      <w:lvlText w:val="(%2)"/>
      <w:numFmt w:val="lowerLetter"/>
      <w:start w:val="1"/>
    </w:lvl>
  </w:abstractNum>
  <w:abstractNum w:abstractNumId="115">
    <w:nsid w:val="5399C65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116">
    <w:nsid w:val="20EE1348"/>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17">
    <w:nsid w:val="4427069A"/>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3"/>
    </w:lvl>
  </w:abstractNum>
  <w:abstractNum w:abstractNumId="118">
    <w:nsid w:val="B37E80A"/>
    <w:multiLevelType w:val="hybridMultilevel"/>
    <w:lvl w:ilvl="0">
      <w:lvlJc w:val="left"/>
      <w:lvlText w:val="%1"/>
      <w:numFmt w:val="upperLetter"/>
      <w:start w:val="1"/>
    </w:lvl>
    <w:lvl w:ilvl="1">
      <w:lvlJc w:val="left"/>
      <w:lvlText w:val="(%2)"/>
      <w:numFmt w:val="lowerLetter"/>
      <w:start w:val="2"/>
    </w:lvl>
  </w:abstractNum>
  <w:abstractNum w:abstractNumId="119">
    <w:nsid w:val="2157F6BC"/>
    <w:multiLevelType w:val="hybridMultilevel"/>
    <w:lvl w:ilvl="0">
      <w:lvlJc w:val="left"/>
      <w:lvlText w:val="(%1)"/>
      <w:numFmt w:val="upperLetter"/>
      <w:start w:val="1"/>
    </w:lvl>
    <w:lvl w:ilvl="1">
      <w:lvlJc w:val="left"/>
      <w:lvlText w:val="(%2)"/>
      <w:numFmt w:val="lowerLetter"/>
      <w:start w:val="3"/>
    </w:lvl>
  </w:abstractNum>
  <w:abstractNum w:abstractNumId="120">
    <w:nsid w:val="704E1DD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21">
    <w:nsid w:val="57D2F10E"/>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22">
    <w:nsid w:val="BFFAE1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23">
    <w:nsid w:val="E3E47A8"/>
    <w:multiLevelType w:val="hybridMultilevel"/>
    <w:lvl w:ilvl="0">
      <w:lvlJc w:val="left"/>
      <w:lvlText w:val="(%1)"/>
      <w:numFmt w:val="lowerLetter"/>
      <w:start w:val="1"/>
    </w:lvl>
  </w:abstractNum>
  <w:abstractNum w:abstractNumId="124">
    <w:nsid w:val="2E48F044"/>
    <w:multiLevelType w:val="hybridMultilevel"/>
    <w:lvl w:ilvl="0">
      <w:lvlJc w:val="left"/>
      <w:lvlText w:val="(%1)"/>
      <w:numFmt w:val="upperLetter"/>
      <w:start w:val="3"/>
    </w:lvl>
    <w:lvl w:ilvl="1">
      <w:lvlJc w:val="left"/>
      <w:lvlText w:val="%2."/>
      <w:numFmt w:val="decimal"/>
      <w:start w:val="6"/>
    </w:lvl>
    <w:lvl w:ilvl="2">
      <w:lvlJc w:val="left"/>
      <w:lvlText w:val="(%3)"/>
      <w:numFmt w:val="lowerLetter"/>
      <w:start w:val="3"/>
    </w:lvl>
  </w:abstractNum>
  <w:abstractNum w:abstractNumId="125">
    <w:nsid w:val="49D0FEA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26">
    <w:nsid w:val="4BEE5A5B"/>
    <w:multiLevelType w:val="hybridMultilevel"/>
    <w:lvl w:ilvl="0">
      <w:lvlJc w:val="left"/>
      <w:lvlText w:val="(%1)"/>
      <w:numFmt w:val="decimal"/>
      <w:start w:val="3"/>
    </w:lvl>
    <w:lvl w:ilvl="1">
      <w:lvlJc w:val="left"/>
      <w:lvlText w:val="%2."/>
      <w:numFmt w:val="decimal"/>
      <w:start w:val="7"/>
    </w:lvl>
    <w:lvl w:ilvl="2">
      <w:lvlJc w:val="left"/>
      <w:lvlText w:val="(%3)"/>
      <w:numFmt w:val="lowerLetter"/>
      <w:start w:val="2"/>
    </w:lvl>
  </w:abstractNum>
  <w:abstractNum w:abstractNumId="127">
    <w:nsid w:val="5551B9F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8">
    <w:nsid w:val="24F6AB8E"/>
    <w:multiLevelType w:val="hybridMultilevel"/>
    <w:lvl w:ilvl="0">
      <w:lvlJc w:val="left"/>
      <w:lvlText w:val="(%1)"/>
      <w:numFmt w:val="lowerLetter"/>
      <w:start w:val="2"/>
    </w:lvl>
  </w:abstractNum>
  <w:abstractNum w:abstractNumId="129">
    <w:nsid w:val="634C574C"/>
    <w:multiLevelType w:val="hybridMultilevel"/>
    <w:lvl w:ilvl="0">
      <w:lvlJc w:val="left"/>
      <w:lvlText w:val="%1."/>
      <w:numFmt w:val="decimal"/>
      <w:start w:val="9"/>
    </w:lvl>
    <w:lvl w:ilvl="1">
      <w:lvlJc w:val="left"/>
      <w:lvlText w:val="(%2)"/>
      <w:numFmt w:val="lowerLetter"/>
      <w:start w:val="1"/>
    </w:lvl>
  </w:abstractNum>
  <w:abstractNum w:abstractNumId="130">
    <w:nsid w:val="24E99DD7"/>
    <w:multiLevelType w:val="hybridMultilevel"/>
    <w:lvl w:ilvl="0">
      <w:lvlJc w:val="left"/>
      <w:lvlText w:val="(%1)"/>
      <w:numFmt w:val="lowerLetter"/>
      <w:start w:val="2"/>
    </w:lvl>
  </w:abstractNum>
  <w:abstractNum w:abstractNumId="131">
    <w:nsid w:val="2A31B62D"/>
    <w:multiLevelType w:val="hybridMultilevel"/>
    <w:lvl w:ilvl="0">
      <w:lvlJc w:val="left"/>
      <w:lvlText w:val="%1"/>
      <w:numFmt w:val="decimal"/>
      <w:start w:val="1"/>
    </w:lvl>
    <w:lvl w:ilvl="1">
      <w:lvlJc w:val="left"/>
      <w:lvlText w:val="(%2)"/>
      <w:numFmt w:val="lowerLetter"/>
      <w:start w:val="3"/>
    </w:lvl>
  </w:abstractNum>
  <w:abstractNum w:abstractNumId="132">
    <w:nsid w:val="1849C29B"/>
    <w:multiLevelType w:val="hybridMultilevel"/>
    <w:lvl w:ilvl="0">
      <w:lvlJc w:val="left"/>
      <w:lvlText w:val="%1."/>
      <w:numFmt w:val="decimal"/>
      <w:start w:val="10"/>
    </w:lvl>
    <w:lvl w:ilvl="1">
      <w:lvlJc w:val="left"/>
      <w:lvlText w:val="%2"/>
      <w:numFmt w:val="lowerLetter"/>
      <w:start w:val="1"/>
    </w:lvl>
  </w:abstractNum>
  <w:abstractNum w:abstractNumId="133">
    <w:nsid w:val="7DFF9D09"/>
    <w:multiLevelType w:val="hybridMultilevel"/>
    <w:lvl w:ilvl="0">
      <w:lvlJc w:val="left"/>
      <w:lvlText w:val="%1"/>
      <w:numFmt w:val="lowerLetter"/>
      <w:start w:val="1"/>
    </w:lvl>
    <w:lvl w:ilvl="1">
      <w:lvlJc w:val="left"/>
      <w:lvlText w:val="%2."/>
      <w:numFmt w:val="decimal"/>
      <w:start w:val="13"/>
    </w:lvl>
  </w:abstractNum>
  <w:abstractNum w:abstractNumId="134">
    <w:nsid w:val="754342"/>
    <w:multiLevelType w:val="hybridMultilevel"/>
    <w:lvl w:ilvl="0">
      <w:lvlJc w:val="left"/>
      <w:lvlText w:val="(%1)"/>
      <w:numFmt w:val="lowerLetter"/>
      <w:start w:val="2"/>
    </w:lvl>
    <w:lvl w:ilvl="1">
      <w:lvlJc w:val="left"/>
      <w:lvlText w:val="%2."/>
      <w:numFmt w:val="decimal"/>
      <w:start w:val="14"/>
    </w:lvl>
  </w:abstractNum>
  <w:abstractNum w:abstractNumId="135">
    <w:nsid w:val="69E7F3E5"/>
    <w:multiLevelType w:val="hybridMultilevel"/>
    <w:lvl w:ilvl="0">
      <w:lvlJc w:val="left"/>
      <w:lvlText w:val="%1"/>
      <w:numFmt w:val="lowerRoman"/>
      <w:start w:val="1"/>
    </w:lvl>
    <w:lvl w:ilvl="1">
      <w:lvlJc w:val="left"/>
      <w:lvlText w:val="%2."/>
      <w:numFmt w:val="decimal"/>
      <w:start w:val="17"/>
    </w:lvl>
  </w:abstractNum>
  <w:abstractNum w:abstractNumId="136">
    <w:nsid w:val="2A6DE806"/>
    <w:multiLevelType w:val="hybridMultilevel"/>
    <w:lvl w:ilvl="0">
      <w:lvlJc w:val="left"/>
      <w:lvlText w:val="(%1)"/>
      <w:numFmt w:val="lowerRoman"/>
      <w:start w:val="1"/>
    </w:lvl>
    <w:lvl w:ilvl="1">
      <w:lvlJc w:val="left"/>
      <w:lvlText w:val="%2."/>
      <w:numFmt w:val="decimal"/>
      <w:start w:val="18"/>
    </w:lvl>
  </w:abstractNum>
  <w:abstractNum w:abstractNumId="137">
    <w:nsid w:val="1816F8C4"/>
    <w:multiLevelType w:val="hybridMultilevel"/>
    <w:lvl w:ilvl="0">
      <w:lvlJc w:val="left"/>
      <w:lvlText w:val="%1."/>
      <w:numFmt w:val="decimal"/>
      <w:start w:val="22"/>
    </w:lvl>
    <w:lvl w:ilvl="1">
      <w:lvlJc w:val="left"/>
      <w:lvlText w:val="(%2)"/>
      <w:numFmt w:val="lowerLetter"/>
      <w:start w:val="1"/>
    </w:lvl>
  </w:abstractNum>
  <w:abstractNum w:abstractNumId="138">
    <w:nsid w:val="37DF2233"/>
    <w:multiLevelType w:val="hybridMultilevel"/>
    <w:lvl w:ilvl="0">
      <w:lvlJc w:val="left"/>
      <w:lvlText w:val="%1"/>
      <w:numFmt w:val="lowerRoman"/>
      <w:start w:val="1"/>
    </w:lvl>
    <w:lvl w:ilvl="1">
      <w:lvlJc w:val="left"/>
      <w:lvlText w:val="%2."/>
      <w:numFmt w:val="decimal"/>
      <w:start w:val="23"/>
    </w:lvl>
  </w:abstractNum>
  <w:abstractNum w:abstractNumId="139">
    <w:nsid w:val="7AB49DAF"/>
    <w:multiLevelType w:val="hybridMultilevel"/>
    <w:lvl w:ilvl="0">
      <w:lvlJc w:val="left"/>
      <w:lvlText w:val="(%1)"/>
      <w:numFmt w:val="lowerRoman"/>
      <w:start w:val="1"/>
    </w:lvl>
    <w:lvl w:ilvl="1">
      <w:lvlJc w:val="left"/>
      <w:lvlText w:val="%2."/>
      <w:numFmt w:val="decimal"/>
      <w:start w:val="24"/>
    </w:lvl>
  </w:abstractNum>
  <w:abstractNum w:abstractNumId="140">
    <w:nsid w:val="759F82CD"/>
    <w:multiLevelType w:val="hybridMultilevel"/>
    <w:lvl w:ilvl="0">
      <w:lvlJc w:val="left"/>
      <w:lvlText w:val="%1."/>
      <w:numFmt w:val="decimal"/>
      <w:start w:val="1"/>
    </w:lvl>
  </w:abstractNum>
  <w:abstractNum w:abstractNumId="141">
    <w:nsid w:val="61E74EA3"/>
    <w:multiLevelType w:val="hybridMultilevel"/>
    <w:lvl w:ilvl="0">
      <w:lvlJc w:val="left"/>
      <w:lvlText w:val="%1."/>
      <w:numFmt w:val="decimal"/>
      <w:start w:val="5"/>
    </w:lvl>
  </w:abstractNum>
  <w:abstractNum w:abstractNumId="142">
    <w:nsid w:val="597B4D84"/>
    <w:multiLevelType w:val="hybridMultilevel"/>
    <w:lvl w:ilvl="0">
      <w:lvlJc w:val="left"/>
      <w:lvlText w:val="%1."/>
      <w:numFmt w:val="decimal"/>
      <w:start w:val="10"/>
    </w:lvl>
    <w:lvl w:ilvl="1">
      <w:lvlJc w:val="left"/>
      <w:lvlText w:val="%2)"/>
      <w:numFmt w:val="lowerLetter"/>
      <w:start w:val="1"/>
    </w:lvl>
  </w:abstractNum>
  <w:abstractNum w:abstractNumId="143">
    <w:nsid w:val="F819E7F"/>
    <w:multiLevelType w:val="hybridMultilevel"/>
    <w:lvl w:ilvl="0">
      <w:lvlJc w:val="left"/>
      <w:lvlText w:val="%1."/>
      <w:numFmt w:val="decimal"/>
      <w:start w:val="13"/>
    </w:lvl>
    <w:lvl w:ilvl="1">
      <w:lvlJc w:val="left"/>
      <w:lvlText w:val="•"/>
      <w:numFmt w:val="bullet"/>
      <w:start w:val="1"/>
    </w:lvl>
  </w:abstractNum>
  <w:abstractNum w:abstractNumId="144">
    <w:nsid w:val="57C7D42D"/>
    <w:multiLevelType w:val="hybridMultilevel"/>
    <w:lvl w:ilvl="0">
      <w:lvlJc w:val="left"/>
      <w:lvlText w:val="•"/>
      <w:numFmt w:val="bullet"/>
      <w:start w:val="1"/>
    </w:lvl>
  </w:abstractNum>
  <w:abstractNum w:abstractNumId="145">
    <w:nsid w:val="312167AD"/>
    <w:multiLevelType w:val="hybridMultilevel"/>
    <w:lvl w:ilvl="0">
      <w:lvlJc w:val="left"/>
      <w:lvlText w:val="%1."/>
      <w:numFmt w:val="decimal"/>
      <w:start w:val="15"/>
    </w:lvl>
  </w:abstractNum>
  <w:abstractNum w:abstractNumId="146">
    <w:nsid w:val="631B64D4"/>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png"/><Relationship Id="rId44" Type="http://schemas.openxmlformats.org/officeDocument/2006/relationships/image" Target="media/image18.png"/><Relationship Id="rId45" Type="http://schemas.openxmlformats.org/officeDocument/2006/relationships/image" Target="media/image19.png"/><Relationship Id="rId46" Type="http://schemas.openxmlformats.org/officeDocument/2006/relationships/image" Target="media/image20.png"/><Relationship Id="rId47" Type="http://schemas.openxmlformats.org/officeDocument/2006/relationships/image" Target="media/image21.png"/><Relationship Id="rId48" Type="http://schemas.openxmlformats.org/officeDocument/2006/relationships/image" Target="media/image22.png"/><Relationship Id="rId49" Type="http://schemas.openxmlformats.org/officeDocument/2006/relationships/image" Target="media/image23.png"/><Relationship Id="rId50" Type="http://schemas.openxmlformats.org/officeDocument/2006/relationships/image" Target="media/image24.png"/><Relationship Id="rId51" Type="http://schemas.openxmlformats.org/officeDocument/2006/relationships/image" Target="media/image25.png"/><Relationship Id="rId52" Type="http://schemas.openxmlformats.org/officeDocument/2006/relationships/image" Target="media/image26.png"/><Relationship Id="rId53" Type="http://schemas.openxmlformats.org/officeDocument/2006/relationships/image" Target="media/image27.png"/><Relationship Id="rId54" Type="http://schemas.openxmlformats.org/officeDocument/2006/relationships/image" Target="media/image28.png"/><Relationship Id="rId55" Type="http://schemas.openxmlformats.org/officeDocument/2006/relationships/image" Target="media/image29.png"/><Relationship Id="rId56" Type="http://schemas.openxmlformats.org/officeDocument/2006/relationships/image" Target="media/image30.png"/><Relationship Id="rId57" Type="http://schemas.openxmlformats.org/officeDocument/2006/relationships/image" Target="media/image31.png"/><Relationship Id="rId58" Type="http://schemas.openxmlformats.org/officeDocument/2006/relationships/image" Target="media/image32.png"/><Relationship Id="rId59" Type="http://schemas.openxmlformats.org/officeDocument/2006/relationships/image" Target="media/image33.png"/><Relationship Id="rId60"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image" Target="media/image40.png"/><Relationship Id="rId67"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21" Type="http://schemas.openxmlformats.org/officeDocument/2006/relationships/hyperlink" Target="http://www.sec.gov/Archives/edgar/data/1832038/000119312521232137/d549501dex11.htm" TargetMode="External"/><Relationship Id="rId22" Type="http://schemas.openxmlformats.org/officeDocument/2006/relationships/hyperlink" Target="http://www.sec.gov/Archives/edgar/data/1832038/000119312521217506/d549501dex31.htm" TargetMode="External"/><Relationship Id="rId23" Type="http://schemas.openxmlformats.org/officeDocument/2006/relationships/hyperlink" Target="http://www.sec.gov/Archives/edgar/data/1832038/000119312521232137/d549501dex32.htm" TargetMode="External"/><Relationship Id="rId24" Type="http://schemas.openxmlformats.org/officeDocument/2006/relationships/hyperlink" Target="http://www.sec.gov/Archives/edgar/data/1832038/000119312521232137/d549501dex33.htm" TargetMode="External"/><Relationship Id="rId25" Type="http://schemas.openxmlformats.org/officeDocument/2006/relationships/hyperlink" Target="http://www.sec.gov/Archives/edgar/data/1832038/000119312521232137/d549501dex34.htm" TargetMode="External"/><Relationship Id="rId26" Type="http://schemas.openxmlformats.org/officeDocument/2006/relationships/hyperlink" Target="http://www.sec.gov/Archives/edgar/data/1832038/000119312521232137/d549501dex35.htm" TargetMode="External"/><Relationship Id="rId27" Type="http://schemas.openxmlformats.org/officeDocument/2006/relationships/hyperlink" Target="http://www.sec.gov/Archives/edgar/data/1832038/000119312521217506/d549501dex41.htm" TargetMode="External"/><Relationship Id="rId28" Type="http://schemas.openxmlformats.org/officeDocument/2006/relationships/hyperlink" Target="http://www.sec.gov/Archives/edgar/data/1832038/000119312521232137/d549501dex51.htm" TargetMode="External"/><Relationship Id="rId29" Type="http://schemas.openxmlformats.org/officeDocument/2006/relationships/hyperlink" Target="http://www.sec.gov/Archives/edgar/data/1832038/000119312521217506/d549501dex101.htm" TargetMode="External"/><Relationship Id="rId30" Type="http://schemas.openxmlformats.org/officeDocument/2006/relationships/hyperlink" Target="http://www.sec.gov/Archives/edgar/data/1832038/000119312521232137/d549501dex102.htm" TargetMode="External"/><Relationship Id="rId31" Type="http://schemas.openxmlformats.org/officeDocument/2006/relationships/hyperlink" Target="http://www.sec.gov/Archives/edgar/data/1832038/000119312521232137/d549501dex103.htm" TargetMode="External"/><Relationship Id="rId32" Type="http://schemas.openxmlformats.org/officeDocument/2006/relationships/hyperlink" Target="http://www.sec.gov/Archives/edgar/data/1832038/000119312521232137/d549501dex104.htm" TargetMode="External"/><Relationship Id="rId33" Type="http://schemas.openxmlformats.org/officeDocument/2006/relationships/hyperlink" Target="http://www.sec.gov/Archives/edgar/data/1832038/000119312521217506/d549501dex105.htm" TargetMode="External"/><Relationship Id="rId34" Type="http://schemas.openxmlformats.org/officeDocument/2006/relationships/hyperlink" Target="http://www.sec.gov/Archives/edgar/data/1832038/000119312521217506/d549501dex106.htm" TargetMode="External"/><Relationship Id="rId35" Type="http://schemas.openxmlformats.org/officeDocument/2006/relationships/hyperlink" Target="http://www.sec.gov/Archives/edgar/data/1832038/000119312521217506/d549501dex107.htm" TargetMode="External"/><Relationship Id="rId36" Type="http://schemas.openxmlformats.org/officeDocument/2006/relationships/hyperlink" Target="http://www.sec.gov/Archives/edgar/data/1832038/000119312521217506/d549501dex108.htm" TargetMode="External"/><Relationship Id="rId37" Type="http://schemas.openxmlformats.org/officeDocument/2006/relationships/hyperlink" Target="http://www.sec.gov/Archives/edgar/data/1832038/000119312521217506/d549501dex211.htm" TargetMode="External"/><Relationship Id="rId38" Type="http://schemas.openxmlformats.org/officeDocument/2006/relationships/hyperlink" Target="http://www.sec.gov/Archives/edgar/data/1832038/000119312521232137/d549501dex231.htm" TargetMode="External"/><Relationship Id="rId39" Type="http://schemas.openxmlformats.org/officeDocument/2006/relationships/hyperlink" Target="http://www.sec.gov/Archives/edgar/data/1832038/000119312521217506/d549501ds1.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2021-08-04T17:48:56Z</dcterms:created>
  <dcterms:modified xsi:type="dcterms:W3CDTF">2021-08-04T17:48:56Z</dcterms:modified>
</cp:coreProperties>
</file>