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SECURITIES AND EXCHANGE COMMISSION</w:t>
      </w:r>
    </w:p>
    <w:p>
      <w:pPr>
        <w:spacing w:after="0" w:line="34" w:lineRule="exact"/>
        <w:rPr>
          <w:sz w:val="24"/>
          <w:szCs w:val="24"/>
          <w:color w:val="auto"/>
        </w:rPr>
      </w:pPr>
    </w:p>
    <w:p>
      <w:pPr>
        <w:jc w:val="center"/>
        <w:ind w:right="-6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304165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6" w:lineRule="exact"/>
        <w:rPr>
          <w:sz w:val="24"/>
          <w:szCs w:val="24"/>
          <w:color w:val="auto"/>
        </w:rPr>
      </w:pPr>
    </w:p>
    <w:p>
      <w:pPr>
        <w:jc w:val="center"/>
        <w:ind w:right="-63"/>
        <w:spacing w:after="0"/>
        <w:rPr>
          <w:sz w:val="20"/>
          <w:szCs w:val="20"/>
          <w:color w:val="auto"/>
        </w:rPr>
      </w:pPr>
      <w:r>
        <w:rPr>
          <w:rFonts w:ascii="Arial" w:cs="Arial" w:eastAsia="Arial" w:hAnsi="Arial"/>
          <w:sz w:val="32"/>
          <w:szCs w:val="32"/>
          <w:b w:val="1"/>
          <w:bCs w:val="1"/>
          <w:color w:val="auto"/>
        </w:rPr>
        <w:t>SCHEDULE 13D</w:t>
      </w:r>
    </w:p>
    <w:p>
      <w:pPr>
        <w:spacing w:after="0" w:line="226" w:lineRule="exact"/>
        <w:rPr>
          <w:sz w:val="24"/>
          <w:szCs w:val="24"/>
          <w:color w:val="auto"/>
        </w:rPr>
      </w:pPr>
    </w:p>
    <w:p>
      <w:pPr>
        <w:jc w:val="center"/>
        <w:ind w:right="-63"/>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63"/>
        <w:spacing w:after="0"/>
        <w:tabs>
          <w:tab w:leader="none" w:pos="260" w:val="left"/>
        </w:tabs>
        <w:rPr>
          <w:sz w:val="20"/>
          <w:szCs w:val="20"/>
          <w:color w:val="auto"/>
        </w:rPr>
      </w:pPr>
      <w:r>
        <w:rPr>
          <w:rFonts w:ascii="Arial" w:cs="Arial" w:eastAsia="Arial" w:hAnsi="Arial"/>
          <w:sz w:val="22"/>
          <w:szCs w:val="22"/>
          <w:b w:val="1"/>
          <w:bCs w:val="1"/>
          <w:color w:val="auto"/>
        </w:rPr>
        <w:t>(Amendment No.</w:t>
      </w:r>
      <w:r>
        <w:rPr>
          <w:sz w:val="20"/>
          <w:szCs w:val="20"/>
          <w:color w:val="auto"/>
        </w:rPr>
        <w:tab/>
      </w:r>
      <w:r>
        <w:rPr>
          <w:rFonts w:ascii="Arial" w:cs="Arial" w:eastAsia="Arial" w:hAnsi="Arial"/>
          <w:sz w:val="18"/>
          <w:szCs w:val="18"/>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295910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6" w:lineRule="exact"/>
        <w:rPr>
          <w:sz w:val="24"/>
          <w:szCs w:val="24"/>
          <w:color w:val="auto"/>
        </w:rPr>
      </w:pPr>
    </w:p>
    <w:p>
      <w:pPr>
        <w:jc w:val="center"/>
        <w:ind w:right="-63"/>
        <w:spacing w:after="0"/>
        <w:rPr>
          <w:sz w:val="20"/>
          <w:szCs w:val="20"/>
          <w:color w:val="auto"/>
        </w:rPr>
      </w:pPr>
      <w:r>
        <w:rPr>
          <w:rFonts w:ascii="Arial" w:cs="Arial" w:eastAsia="Arial" w:hAnsi="Arial"/>
          <w:sz w:val="40"/>
          <w:szCs w:val="40"/>
          <w:b w:val="1"/>
          <w:bCs w:val="1"/>
          <w:color w:val="auto"/>
        </w:rPr>
        <w:t>ADAGIO THERAPEUTICS, INC.</w:t>
      </w:r>
    </w:p>
    <w:p>
      <w:pPr>
        <w:spacing w:after="0" w:line="35"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(Name of Issuer)</w:t>
      </w:r>
    </w:p>
    <w:p>
      <w:pPr>
        <w:spacing w:after="0" w:line="200" w:lineRule="exact"/>
        <w:rPr>
          <w:sz w:val="24"/>
          <w:szCs w:val="24"/>
          <w:color w:val="auto"/>
        </w:rPr>
      </w:pPr>
    </w:p>
    <w:p>
      <w:pPr>
        <w:spacing w:after="0" w:line="221"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Common Stock, $0.0001 par value per share</w:t>
      </w:r>
    </w:p>
    <w:p>
      <w:pPr>
        <w:spacing w:after="0" w:line="21" w:lineRule="exact"/>
        <w:rPr>
          <w:sz w:val="24"/>
          <w:szCs w:val="24"/>
          <w:color w:val="auto"/>
        </w:rPr>
      </w:pPr>
    </w:p>
    <w:p>
      <w:pPr>
        <w:jc w:val="center"/>
        <w:ind w:right="-63"/>
        <w:spacing w:after="0"/>
        <w:rPr>
          <w:sz w:val="20"/>
          <w:szCs w:val="20"/>
          <w:color w:val="auto"/>
        </w:rPr>
      </w:pPr>
      <w:r>
        <w:rPr>
          <w:rFonts w:ascii="Arial" w:cs="Arial" w:eastAsia="Arial" w:hAnsi="Arial"/>
          <w:sz w:val="14"/>
          <w:szCs w:val="14"/>
          <w:b w:val="1"/>
          <w:bCs w:val="1"/>
          <w:color w:val="auto"/>
        </w:rPr>
        <w:t>(Title of Class of Securities)</w:t>
      </w:r>
    </w:p>
    <w:p>
      <w:pPr>
        <w:spacing w:after="0" w:line="200" w:lineRule="exact"/>
        <w:rPr>
          <w:sz w:val="24"/>
          <w:szCs w:val="24"/>
          <w:color w:val="auto"/>
        </w:rPr>
      </w:pPr>
    </w:p>
    <w:p>
      <w:pPr>
        <w:spacing w:after="0" w:line="208"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00534A102</w:t>
      </w:r>
    </w:p>
    <w:p>
      <w:pPr>
        <w:spacing w:after="0" w:line="21" w:lineRule="exact"/>
        <w:rPr>
          <w:sz w:val="24"/>
          <w:szCs w:val="24"/>
          <w:color w:val="auto"/>
        </w:rPr>
      </w:pPr>
    </w:p>
    <w:p>
      <w:pPr>
        <w:jc w:val="center"/>
        <w:ind w:right="-63"/>
        <w:spacing w:after="0"/>
        <w:rPr>
          <w:sz w:val="20"/>
          <w:szCs w:val="20"/>
          <w:color w:val="auto"/>
        </w:rPr>
      </w:pPr>
      <w:r>
        <w:rPr>
          <w:rFonts w:ascii="Arial" w:cs="Arial" w:eastAsia="Arial" w:hAnsi="Arial"/>
          <w:sz w:val="14"/>
          <w:szCs w:val="14"/>
          <w:b w:val="1"/>
          <w:bCs w:val="1"/>
          <w:color w:val="auto"/>
        </w:rPr>
        <w:t>(CUSIP Number)</w:t>
      </w:r>
    </w:p>
    <w:p>
      <w:pPr>
        <w:spacing w:after="0" w:line="200" w:lineRule="exact"/>
        <w:rPr>
          <w:sz w:val="24"/>
          <w:szCs w:val="24"/>
          <w:color w:val="auto"/>
        </w:rPr>
      </w:pPr>
    </w:p>
    <w:p>
      <w:pPr>
        <w:spacing w:after="0" w:line="208"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Lauren Crockett</w:t>
      </w:r>
    </w:p>
    <w:p>
      <w:pPr>
        <w:spacing w:after="0" w:line="27"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Polaris Partners</w:t>
      </w:r>
    </w:p>
    <w:p>
      <w:pPr>
        <w:spacing w:after="0" w:line="9"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One Marina Park Drive, 10th Floor</w:t>
      </w:r>
    </w:p>
    <w:p>
      <w:pPr>
        <w:spacing w:after="0" w:line="9"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Boston, MA 02210</w:t>
      </w:r>
    </w:p>
    <w:p>
      <w:pPr>
        <w:spacing w:after="0" w:line="9"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(781) 290-0770</w:t>
      </w:r>
    </w:p>
    <w:p>
      <w:pPr>
        <w:spacing w:after="0" w:line="2" w:lineRule="exact"/>
        <w:rPr>
          <w:sz w:val="24"/>
          <w:szCs w:val="24"/>
          <w:color w:val="auto"/>
        </w:rPr>
      </w:pPr>
    </w:p>
    <w:p>
      <w:pPr>
        <w:jc w:val="center"/>
        <w:ind w:right="-63"/>
        <w:spacing w:after="0"/>
        <w:rPr>
          <w:sz w:val="20"/>
          <w:szCs w:val="20"/>
          <w:color w:val="auto"/>
        </w:rPr>
      </w:pPr>
      <w:r>
        <w:rPr>
          <w:rFonts w:ascii="Arial" w:cs="Arial" w:eastAsia="Arial" w:hAnsi="Arial"/>
          <w:sz w:val="14"/>
          <w:szCs w:val="14"/>
          <w:b w:val="1"/>
          <w:bCs w:val="1"/>
          <w:color w:val="auto"/>
        </w:rPr>
        <w:t>(Name, Address and Telephone Number of Person Authorized to Receive Notices and Communications)</w:t>
      </w:r>
    </w:p>
    <w:p>
      <w:pPr>
        <w:spacing w:after="0" w:line="200" w:lineRule="exact"/>
        <w:rPr>
          <w:sz w:val="24"/>
          <w:szCs w:val="24"/>
          <w:color w:val="auto"/>
        </w:rPr>
      </w:pPr>
    </w:p>
    <w:p>
      <w:pPr>
        <w:spacing w:after="0" w:line="208"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August 10, 2021</w:t>
      </w:r>
    </w:p>
    <w:p>
      <w:pPr>
        <w:spacing w:after="0" w:line="21" w:lineRule="exact"/>
        <w:rPr>
          <w:sz w:val="24"/>
          <w:szCs w:val="24"/>
          <w:color w:val="auto"/>
        </w:rPr>
      </w:pPr>
    </w:p>
    <w:p>
      <w:pPr>
        <w:jc w:val="center"/>
        <w:ind w:right="-63"/>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296545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0" w:lineRule="exact"/>
        <w:rPr>
          <w:sz w:val="24"/>
          <w:szCs w:val="24"/>
          <w:color w:val="auto"/>
        </w:rPr>
      </w:pPr>
    </w:p>
    <w:p>
      <w:pPr>
        <w:ind w:left="4" w:right="120"/>
        <w:spacing w:after="0" w:line="233" w:lineRule="exact"/>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150495</wp:posOffset>
            </wp:positionV>
            <wp:extent cx="69951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57" w:lineRule="exact"/>
        <w:rPr>
          <w:sz w:val="24"/>
          <w:szCs w:val="24"/>
          <w:color w:val="auto"/>
        </w:rPr>
      </w:pPr>
    </w:p>
    <w:p>
      <w:pPr>
        <w:ind w:left="424" w:hanging="424"/>
        <w:spacing w:after="0" w:line="308" w:lineRule="auto"/>
        <w:tabs>
          <w:tab w:leader="none" w:pos="424" w:val="left"/>
        </w:tabs>
        <w:numPr>
          <w:ilvl w:val="0"/>
          <w:numId w:val="1"/>
        </w:numPr>
        <w:rPr>
          <w:rFonts w:ascii="Arial" w:cs="Arial" w:eastAsia="Arial" w:hAnsi="Arial"/>
          <w:sz w:val="17"/>
          <w:szCs w:val="17"/>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-26035</wp:posOffset>
            </wp:positionV>
            <wp:extent cx="69951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53" w:lineRule="exact"/>
        <w:rPr>
          <w:sz w:val="24"/>
          <w:szCs w:val="24"/>
          <w:color w:val="auto"/>
        </w:rPr>
      </w:pPr>
    </w:p>
    <w:p>
      <w:pPr>
        <w:ind w:left="4" w:right="20"/>
        <w:spacing w:after="0" w:line="263" w:lineRule="auto"/>
        <w:rPr>
          <w:sz w:val="20"/>
          <w:szCs w:val="20"/>
          <w:color w:val="auto"/>
        </w:rPr>
      </w:pPr>
      <w:r>
        <w:rPr>
          <w:rFonts w:ascii="Arial" w:cs="Arial" w:eastAsia="Arial" w:hAnsi="Arial"/>
          <w:sz w:val="18"/>
          <w:szCs w:val="18"/>
          <w:color w:val="auto"/>
        </w:rPr>
        <w:t>The information required on the remainder of this cover page shall not be deemed to be “filed” for the purpose of Section 18 of the Securities Exchange Act of 1934 (“</w:t>
      </w:r>
      <w:r>
        <w:rPr>
          <w:rFonts w:ascii="Arial" w:cs="Arial" w:eastAsia="Arial" w:hAnsi="Arial"/>
          <w:sz w:val="18"/>
          <w:szCs w:val="18"/>
          <w:u w:val="single" w:color="auto"/>
          <w:color w:val="auto"/>
        </w:rPr>
        <w:t>Act</w:t>
      </w:r>
      <w:r>
        <w:rPr>
          <w:rFonts w:ascii="Arial" w:cs="Arial" w:eastAsia="Arial" w:hAnsi="Arial"/>
          <w:sz w:val="18"/>
          <w:szCs w:val="18"/>
          <w:color w:val="auto"/>
        </w:rPr>
        <w: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133985</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177165</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4"/>
          <w:szCs w:val="24"/>
          <w:color w:val="auto"/>
        </w:rPr>
      </w:pPr>
    </w:p>
    <w:p>
      <w:pPr>
        <w:spacing w:after="0" w:line="274" w:lineRule="exact"/>
        <w:rPr>
          <w:sz w:val="24"/>
          <w:szCs w:val="24"/>
          <w:color w:val="auto"/>
        </w:rPr>
      </w:pPr>
    </w:p>
    <w:p>
      <w:pPr>
        <w:jc w:val="center"/>
        <w:ind w:right="-63"/>
        <w:spacing w:after="0"/>
        <w:rPr>
          <w:sz w:val="20"/>
          <w:szCs w:val="20"/>
          <w:color w:val="auto"/>
        </w:rPr>
      </w:pPr>
      <w:r>
        <w:rPr>
          <w:rFonts w:ascii="Arial" w:cs="Arial" w:eastAsia="Arial" w:hAnsi="Arial"/>
          <w:sz w:val="18"/>
          <w:szCs w:val="18"/>
          <w:color w:val="auto"/>
        </w:rPr>
        <w:t>(Continued on following pages)</w:t>
      </w:r>
    </w:p>
    <w:p>
      <w:pPr>
        <w:sectPr>
          <w:pgSz w:w="11900" w:h="16838" w:orient="portrait"/>
          <w:cols w:equalWidth="0" w:num="1">
            <w:col w:w="10944"/>
          </w:cols>
          <w:pgMar w:left="436" w:top="368" w:right="519" w:bottom="1440" w:gutter="0" w:footer="0" w:header="0"/>
        </w:sectPr>
      </w:pPr>
    </w:p>
    <w:bookmarkStart w:id="1" w:name="page2"/>
    <w:bookmarkEnd w:id="1"/>
    <w:tbl>
      <w:tblPr>
        <w:tblLayout w:type="fixed"/>
        <w:tblInd w:w="4" w:type="dxa"/>
        <w:tblCellMar>
          <w:top w:w="0" w:type="dxa"/>
          <w:left w:w="0" w:type="dxa"/>
          <w:bottom w:w="0" w:type="dxa"/>
          <w:right w:w="0" w:type="dxa"/>
        </w:tblCellMar>
      </w:tblPr>
      <w:tr>
        <w:trPr>
          <w:trHeight w:val="230"/>
        </w:trPr>
        <w:tc>
          <w:tcPr>
            <w:tcW w:w="6200" w:type="dxa"/>
            <w:vAlign w:val="bottom"/>
          </w:tcPr>
          <w:p>
            <w:pPr>
              <w:spacing w:after="0"/>
              <w:rPr>
                <w:sz w:val="20"/>
                <w:szCs w:val="20"/>
                <w:color w:val="auto"/>
              </w:rPr>
            </w:pPr>
            <w:r>
              <w:rPr>
                <w:rFonts w:ascii="Arial" w:cs="Arial" w:eastAsia="Arial" w:hAnsi="Arial"/>
                <w:sz w:val="18"/>
                <w:szCs w:val="18"/>
                <w:color w:val="auto"/>
              </w:rPr>
              <w:t>CUSIP No. 00534A102</w:t>
            </w:r>
          </w:p>
        </w:tc>
        <w:tc>
          <w:tcPr>
            <w:tcW w:w="4820" w:type="dxa"/>
            <w:vAlign w:val="bottom"/>
          </w:tcPr>
          <w:p>
            <w:pPr>
              <w:ind w:left="4500"/>
              <w:spacing w:after="0"/>
              <w:rPr>
                <w:sz w:val="20"/>
                <w:szCs w:val="20"/>
                <w:color w:val="auto"/>
              </w:rPr>
            </w:pPr>
            <w:r>
              <w:rPr>
                <w:rFonts w:ascii="Arial" w:cs="Arial" w:eastAsia="Arial" w:hAnsi="Arial"/>
                <w:sz w:val="18"/>
                <w:szCs w:val="18"/>
                <w:color w:val="auto"/>
                <w:w w:val="90"/>
              </w:rPr>
              <w:t>13D</w:t>
            </w:r>
          </w:p>
        </w:tc>
      </w:tr>
    </w:tbl>
    <w:p>
      <w:pPr>
        <w:spacing w:after="0" w:line="2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524" w:hanging="277"/>
        <w:spacing w:after="0"/>
        <w:tabs>
          <w:tab w:leader="none" w:pos="524" w:val="left"/>
        </w:tabs>
        <w:numPr>
          <w:ilvl w:val="0"/>
          <w:numId w:val="2"/>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-130175</wp:posOffset>
            </wp:positionV>
            <wp:extent cx="7003415" cy="64719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003415" cy="6471920"/>
                    </a:xfrm>
                    <a:prstGeom prst="rect">
                      <a:avLst/>
                    </a:prstGeom>
                    <a:noFill/>
                  </pic:spPr>
                </pic:pic>
              </a:graphicData>
            </a:graphic>
          </wp:anchor>
        </w:drawing>
      </w:r>
    </w:p>
    <w:p>
      <w:pPr>
        <w:spacing w:after="0" w:line="225" w:lineRule="exact"/>
        <w:rPr>
          <w:sz w:val="20"/>
          <w:szCs w:val="20"/>
          <w:color w:val="auto"/>
        </w:rPr>
      </w:pPr>
    </w:p>
    <w:p>
      <w:pPr>
        <w:ind w:left="524"/>
        <w:spacing w:after="0"/>
        <w:rPr>
          <w:sz w:val="20"/>
          <w:szCs w:val="20"/>
          <w:color w:val="auto"/>
        </w:rPr>
      </w:pPr>
      <w:r>
        <w:rPr>
          <w:rFonts w:ascii="Arial" w:cs="Arial" w:eastAsia="Arial" w:hAnsi="Arial"/>
          <w:sz w:val="22"/>
          <w:szCs w:val="22"/>
          <w:color w:val="auto"/>
        </w:rPr>
        <w:t>Polaris Venture Partners V, L.P.</w:t>
      </w:r>
    </w:p>
    <w:p>
      <w:pPr>
        <w:spacing w:after="0" w:line="24" w:lineRule="exact"/>
        <w:rPr>
          <w:sz w:val="20"/>
          <w:szCs w:val="20"/>
          <w:color w:val="auto"/>
        </w:rPr>
      </w:pPr>
    </w:p>
    <w:p>
      <w:pPr>
        <w:ind w:left="524" w:hanging="277"/>
        <w:spacing w:after="0"/>
        <w:tabs>
          <w:tab w:leader="none" w:pos="524" w:val="left"/>
        </w:tabs>
        <w:numPr>
          <w:ilvl w:val="0"/>
          <w:numId w:val="3"/>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8" w:lineRule="exact"/>
        <w:rPr>
          <w:sz w:val="20"/>
          <w:szCs w:val="20"/>
          <w:color w:val="auto"/>
        </w:rPr>
      </w:pPr>
    </w:p>
    <w:p>
      <w:pPr>
        <w:ind w:left="524"/>
        <w:spacing w:after="0" w:line="207" w:lineRule="exact"/>
        <w:tabs>
          <w:tab w:leader="none" w:pos="1324"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524" w:hanging="277"/>
        <w:spacing w:after="0"/>
        <w:tabs>
          <w:tab w:leader="none" w:pos="524" w:val="left"/>
        </w:tabs>
        <w:numPr>
          <w:ilvl w:val="0"/>
          <w:numId w:val="4"/>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sz w:val="20"/>
          <w:szCs w:val="20"/>
          <w:color w:val="auto"/>
        </w:rPr>
      </w:pPr>
    </w:p>
    <w:p>
      <w:pPr>
        <w:spacing w:after="0" w:line="322" w:lineRule="exact"/>
        <w:rPr>
          <w:sz w:val="20"/>
          <w:szCs w:val="20"/>
          <w:color w:val="auto"/>
        </w:rPr>
      </w:pPr>
    </w:p>
    <w:p>
      <w:pPr>
        <w:ind w:left="524" w:hanging="277"/>
        <w:spacing w:after="0"/>
        <w:tabs>
          <w:tab w:leader="none" w:pos="524" w:val="left"/>
        </w:tabs>
        <w:numPr>
          <w:ilvl w:val="0"/>
          <w:numId w:val="5"/>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45" w:lineRule="exact"/>
        <w:rPr>
          <w:sz w:val="20"/>
          <w:szCs w:val="20"/>
          <w:color w:val="auto"/>
        </w:rPr>
      </w:pPr>
    </w:p>
    <w:p>
      <w:pPr>
        <w:ind w:left="524"/>
        <w:spacing w:after="0"/>
        <w:rPr>
          <w:sz w:val="20"/>
          <w:szCs w:val="20"/>
          <w:color w:val="auto"/>
        </w:rPr>
      </w:pPr>
      <w:r>
        <w:rPr>
          <w:rFonts w:ascii="Arial" w:cs="Arial" w:eastAsia="Arial" w:hAnsi="Arial"/>
          <w:sz w:val="22"/>
          <w:szCs w:val="22"/>
          <w:color w:val="auto"/>
        </w:rPr>
        <w:t>WC</w:t>
      </w:r>
    </w:p>
    <w:p>
      <w:pPr>
        <w:spacing w:after="0" w:line="21" w:lineRule="exact"/>
        <w:rPr>
          <w:sz w:val="20"/>
          <w:szCs w:val="20"/>
          <w:color w:val="auto"/>
        </w:rPr>
      </w:pPr>
    </w:p>
    <w:p>
      <w:pPr>
        <w:ind w:left="524" w:hanging="277"/>
        <w:spacing w:after="0" w:line="207" w:lineRule="exact"/>
        <w:tabs>
          <w:tab w:leader="none" w:pos="524"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CHECK IF DISCLOSURE OF LEGAL PROCEEDINGS IS REQUIRED PURSUANT TO ITEM 2(d) or 2(e) </w:t>
      </w:r>
      <w:r>
        <w:rPr>
          <w:rFonts w:ascii="MS PGothic" w:cs="MS PGothic" w:eastAsia="MS PGothic" w:hAnsi="MS PGothic"/>
          <w:sz w:val="18"/>
          <w:szCs w:val="18"/>
          <w:color w:val="auto"/>
        </w:rPr>
        <w:t>☐</w:t>
      </w:r>
    </w:p>
    <w:p>
      <w:pPr>
        <w:spacing w:after="0" w:line="200" w:lineRule="exact"/>
        <w:rPr>
          <w:sz w:val="20"/>
          <w:szCs w:val="20"/>
          <w:color w:val="auto"/>
        </w:rPr>
      </w:pPr>
    </w:p>
    <w:p>
      <w:pPr>
        <w:spacing w:after="0" w:line="325" w:lineRule="exact"/>
        <w:rPr>
          <w:sz w:val="20"/>
          <w:szCs w:val="20"/>
          <w:color w:val="auto"/>
        </w:rPr>
      </w:pPr>
    </w:p>
    <w:p>
      <w:pPr>
        <w:ind w:left="524" w:hanging="277"/>
        <w:spacing w:after="0"/>
        <w:tabs>
          <w:tab w:leader="none" w:pos="524" w:val="left"/>
        </w:tabs>
        <w:numPr>
          <w:ilvl w:val="0"/>
          <w:numId w:val="7"/>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45" w:lineRule="exact"/>
        <w:rPr>
          <w:sz w:val="20"/>
          <w:szCs w:val="20"/>
          <w:color w:val="auto"/>
        </w:rPr>
      </w:pPr>
    </w:p>
    <w:p>
      <w:pPr>
        <w:ind w:left="524"/>
        <w:spacing w:after="0"/>
        <w:rPr>
          <w:sz w:val="20"/>
          <w:szCs w:val="20"/>
          <w:color w:val="auto"/>
        </w:rPr>
      </w:pPr>
      <w:r>
        <w:rPr>
          <w:rFonts w:ascii="Arial" w:cs="Arial" w:eastAsia="Arial" w:hAnsi="Arial"/>
          <w:sz w:val="22"/>
          <w:szCs w:val="22"/>
          <w:color w:val="auto"/>
        </w:rPr>
        <w:t>Delaware</w:t>
      </w:r>
    </w:p>
    <w:p>
      <w:pPr>
        <w:spacing w:after="0" w:line="24" w:lineRule="exact"/>
        <w:rPr>
          <w:sz w:val="20"/>
          <w:szCs w:val="20"/>
          <w:color w:val="auto"/>
        </w:rPr>
      </w:pPr>
    </w:p>
    <w:tbl>
      <w:tblPr>
        <w:tblLayout w:type="fixed"/>
        <w:tblInd w:w="204" w:type="dxa"/>
        <w:tblCellMar>
          <w:top w:w="0" w:type="dxa"/>
          <w:left w:w="0" w:type="dxa"/>
          <w:bottom w:w="0" w:type="dxa"/>
          <w:right w:w="0" w:type="dxa"/>
        </w:tblCellMar>
      </w:tblPr>
      <w:tr>
        <w:trPr>
          <w:trHeight w:val="230"/>
        </w:trPr>
        <w:tc>
          <w:tcPr>
            <w:tcW w:w="1340" w:type="dxa"/>
            <w:vAlign w:val="bottom"/>
          </w:tcPr>
          <w:p>
            <w:pPr>
              <w:spacing w:after="0"/>
              <w:rPr>
                <w:sz w:val="20"/>
                <w:szCs w:val="20"/>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7</w:t>
            </w:r>
          </w:p>
        </w:tc>
        <w:tc>
          <w:tcPr>
            <w:tcW w:w="9020" w:type="dxa"/>
            <w:vAlign w:val="bottom"/>
          </w:tcPr>
          <w:p>
            <w:pPr>
              <w:ind w:left="12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58"/>
        </w:trPr>
        <w:tc>
          <w:tcPr>
            <w:tcW w:w="1340" w:type="dxa"/>
            <w:vAlign w:val="bottom"/>
          </w:tcPr>
          <w:p>
            <w:pPr>
              <w:jc w:val="center"/>
              <w:spacing w:after="0"/>
              <w:rPr>
                <w:sz w:val="20"/>
                <w:szCs w:val="20"/>
                <w:color w:val="auto"/>
              </w:rPr>
            </w:pPr>
            <w:r>
              <w:rPr>
                <w:rFonts w:ascii="Arial" w:cs="Arial" w:eastAsia="Arial" w:hAnsi="Arial"/>
                <w:sz w:val="18"/>
                <w:szCs w:val="18"/>
                <w:color w:val="auto"/>
                <w:w w:val="98"/>
              </w:rPr>
              <w:t>NUMBER OF</w:t>
            </w:r>
          </w:p>
        </w:tc>
        <w:tc>
          <w:tcPr>
            <w:tcW w:w="460" w:type="dxa"/>
            <w:vAlign w:val="bottom"/>
          </w:tcPr>
          <w:p>
            <w:pPr>
              <w:spacing w:after="0"/>
              <w:rPr>
                <w:sz w:val="24"/>
                <w:szCs w:val="24"/>
                <w:color w:val="auto"/>
              </w:rPr>
            </w:pPr>
          </w:p>
        </w:tc>
        <w:tc>
          <w:tcPr>
            <w:tcW w:w="9020" w:type="dxa"/>
            <w:vAlign w:val="bottom"/>
          </w:tcPr>
          <w:p>
            <w:pPr>
              <w:ind w:left="12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41"/>
        </w:trPr>
        <w:tc>
          <w:tcPr>
            <w:tcW w:w="1340" w:type="dxa"/>
            <w:vAlign w:val="bottom"/>
            <w:vMerge w:val="restart"/>
          </w:tcPr>
          <w:p>
            <w:pPr>
              <w:jc w:val="center"/>
              <w:spacing w:after="0"/>
              <w:rPr>
                <w:sz w:val="20"/>
                <w:szCs w:val="20"/>
                <w:color w:val="auto"/>
              </w:rPr>
            </w:pPr>
            <w:r>
              <w:rPr>
                <w:rFonts w:ascii="Arial" w:cs="Arial" w:eastAsia="Arial" w:hAnsi="Arial"/>
                <w:sz w:val="18"/>
                <w:szCs w:val="18"/>
                <w:color w:val="auto"/>
                <w:w w:val="94"/>
              </w:rPr>
              <w:t>SHARES</w:t>
            </w:r>
          </w:p>
        </w:tc>
        <w:tc>
          <w:tcPr>
            <w:tcW w:w="460" w:type="dxa"/>
            <w:vAlign w:val="bottom"/>
            <w:tcBorders>
              <w:bottom w:val="single" w:sz="8" w:color="auto"/>
            </w:tcBorders>
          </w:tcPr>
          <w:p>
            <w:pPr>
              <w:spacing w:after="0"/>
              <w:rPr>
                <w:sz w:val="3"/>
                <w:szCs w:val="3"/>
                <w:color w:val="auto"/>
              </w:rPr>
            </w:pPr>
          </w:p>
        </w:tc>
        <w:tc>
          <w:tcPr>
            <w:tcW w:w="90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6"/>
        </w:trPr>
        <w:tc>
          <w:tcPr>
            <w:tcW w:w="1340" w:type="dxa"/>
            <w:vAlign w:val="bottom"/>
            <w:vMerge w:val="continue"/>
          </w:tcPr>
          <w:p>
            <w:pPr>
              <w:spacing w:after="0"/>
              <w:rPr>
                <w:sz w:val="13"/>
                <w:szCs w:val="13"/>
                <w:color w:val="auto"/>
              </w:rPr>
            </w:pPr>
          </w:p>
        </w:tc>
        <w:tc>
          <w:tcPr>
            <w:tcW w:w="460" w:type="dxa"/>
            <w:vAlign w:val="bottom"/>
          </w:tcPr>
          <w:p>
            <w:pPr>
              <w:jc w:val="right"/>
              <w:ind w:right="10"/>
              <w:spacing w:after="0" w:line="156" w:lineRule="exact"/>
              <w:rPr>
                <w:sz w:val="20"/>
                <w:szCs w:val="20"/>
                <w:color w:val="auto"/>
              </w:rPr>
            </w:pPr>
            <w:r>
              <w:rPr>
                <w:rFonts w:ascii="Arial" w:cs="Arial" w:eastAsia="Arial" w:hAnsi="Arial"/>
                <w:sz w:val="18"/>
                <w:szCs w:val="18"/>
                <w:color w:val="auto"/>
              </w:rPr>
              <w:t>8</w:t>
            </w:r>
          </w:p>
        </w:tc>
        <w:tc>
          <w:tcPr>
            <w:tcW w:w="9020" w:type="dxa"/>
            <w:vAlign w:val="bottom"/>
          </w:tcPr>
          <w:p>
            <w:pPr>
              <w:ind w:left="120"/>
              <w:spacing w:after="0" w:line="156" w:lineRule="exact"/>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5"/>
        </w:trPr>
        <w:tc>
          <w:tcPr>
            <w:tcW w:w="1340" w:type="dxa"/>
            <w:vAlign w:val="bottom"/>
          </w:tcPr>
          <w:p>
            <w:pPr>
              <w:jc w:val="center"/>
              <w:spacing w:after="0"/>
              <w:rPr>
                <w:sz w:val="20"/>
                <w:szCs w:val="20"/>
                <w:color w:val="auto"/>
              </w:rPr>
            </w:pPr>
            <w:r>
              <w:rPr>
                <w:rFonts w:ascii="Arial" w:cs="Arial" w:eastAsia="Arial" w:hAnsi="Arial"/>
                <w:sz w:val="18"/>
                <w:szCs w:val="18"/>
                <w:color w:val="auto"/>
                <w:w w:val="99"/>
              </w:rPr>
              <w:t>BENEFICIALLY</w:t>
            </w:r>
          </w:p>
        </w:tc>
        <w:tc>
          <w:tcPr>
            <w:tcW w:w="460" w:type="dxa"/>
            <w:vAlign w:val="bottom"/>
          </w:tcPr>
          <w:p>
            <w:pPr>
              <w:spacing w:after="0"/>
              <w:rPr>
                <w:sz w:val="18"/>
                <w:szCs w:val="18"/>
                <w:color w:val="auto"/>
              </w:rPr>
            </w:pPr>
          </w:p>
        </w:tc>
        <w:tc>
          <w:tcPr>
            <w:tcW w:w="9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jc w:val="center"/>
              <w:spacing w:after="0"/>
              <w:rPr>
                <w:sz w:val="20"/>
                <w:szCs w:val="20"/>
                <w:color w:val="auto"/>
              </w:rPr>
            </w:pPr>
            <w:r>
              <w:rPr>
                <w:rFonts w:ascii="Arial" w:cs="Arial" w:eastAsia="Arial" w:hAnsi="Arial"/>
                <w:sz w:val="18"/>
                <w:szCs w:val="18"/>
                <w:color w:val="auto"/>
                <w:w w:val="99"/>
              </w:rPr>
              <w:t>OWNED BY</w:t>
            </w:r>
          </w:p>
        </w:tc>
        <w:tc>
          <w:tcPr>
            <w:tcW w:w="460" w:type="dxa"/>
            <w:vAlign w:val="bottom"/>
          </w:tcPr>
          <w:p>
            <w:pPr>
              <w:spacing w:after="0"/>
              <w:rPr>
                <w:sz w:val="18"/>
                <w:szCs w:val="18"/>
                <w:color w:val="auto"/>
              </w:rPr>
            </w:pPr>
          </w:p>
        </w:tc>
        <w:tc>
          <w:tcPr>
            <w:tcW w:w="9020" w:type="dxa"/>
            <w:vAlign w:val="bottom"/>
            <w:vMerge w:val="restart"/>
          </w:tcPr>
          <w:p>
            <w:pPr>
              <w:ind w:left="120"/>
              <w:spacing w:after="0"/>
              <w:rPr>
                <w:sz w:val="20"/>
                <w:szCs w:val="20"/>
                <w:color w:val="auto"/>
              </w:rPr>
            </w:pPr>
            <w:r>
              <w:rPr>
                <w:rFonts w:ascii="Arial" w:cs="Arial" w:eastAsia="Arial" w:hAnsi="Arial"/>
                <w:sz w:val="22"/>
                <w:szCs w:val="22"/>
                <w:color w:val="auto"/>
              </w:rPr>
              <w:t>3,120,194 Shares of Common Stock (1)</w:t>
            </w:r>
          </w:p>
        </w:tc>
        <w:tc>
          <w:tcPr>
            <w:tcW w:w="0" w:type="dxa"/>
            <w:vAlign w:val="bottom"/>
          </w:tcPr>
          <w:p>
            <w:pPr>
              <w:spacing w:after="0"/>
              <w:rPr>
                <w:sz w:val="1"/>
                <w:szCs w:val="1"/>
                <w:color w:val="auto"/>
              </w:rPr>
            </w:pPr>
          </w:p>
        </w:tc>
      </w:tr>
      <w:tr>
        <w:trPr>
          <w:trHeight w:val="121"/>
        </w:trPr>
        <w:tc>
          <w:tcPr>
            <w:tcW w:w="1340" w:type="dxa"/>
            <w:vAlign w:val="bottom"/>
            <w:vMerge w:val="restart"/>
          </w:tcPr>
          <w:p>
            <w:pPr>
              <w:jc w:val="center"/>
              <w:spacing w:after="0"/>
              <w:rPr>
                <w:sz w:val="20"/>
                <w:szCs w:val="20"/>
                <w:color w:val="auto"/>
              </w:rPr>
            </w:pPr>
            <w:r>
              <w:rPr>
                <w:rFonts w:ascii="Arial" w:cs="Arial" w:eastAsia="Arial" w:hAnsi="Arial"/>
                <w:sz w:val="18"/>
                <w:szCs w:val="18"/>
                <w:color w:val="auto"/>
                <w:w w:val="99"/>
              </w:rPr>
              <w:t>EACH</w:t>
            </w:r>
          </w:p>
        </w:tc>
        <w:tc>
          <w:tcPr>
            <w:tcW w:w="460" w:type="dxa"/>
            <w:vAlign w:val="bottom"/>
            <w:tcBorders>
              <w:bottom w:val="single" w:sz="8" w:color="auto"/>
            </w:tcBorders>
          </w:tcPr>
          <w:p>
            <w:pPr>
              <w:spacing w:after="0"/>
              <w:rPr>
                <w:sz w:val="10"/>
                <w:szCs w:val="10"/>
                <w:color w:val="auto"/>
              </w:rPr>
            </w:pPr>
          </w:p>
        </w:tc>
        <w:tc>
          <w:tcPr>
            <w:tcW w:w="902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5"/>
        </w:trPr>
        <w:tc>
          <w:tcPr>
            <w:tcW w:w="1340" w:type="dxa"/>
            <w:vAlign w:val="bottom"/>
            <w:vMerge w:val="continue"/>
          </w:tcPr>
          <w:p>
            <w:pPr>
              <w:spacing w:after="0"/>
              <w:rPr>
                <w:sz w:val="6"/>
                <w:szCs w:val="6"/>
                <w:color w:val="auto"/>
              </w:rPr>
            </w:pPr>
          </w:p>
        </w:tc>
        <w:tc>
          <w:tcPr>
            <w:tcW w:w="460" w:type="dxa"/>
            <w:vAlign w:val="bottom"/>
            <w:vMerge w:val="restart"/>
          </w:tcPr>
          <w:p>
            <w:pPr>
              <w:jc w:val="right"/>
              <w:ind w:right="10"/>
              <w:spacing w:after="0"/>
              <w:rPr>
                <w:sz w:val="20"/>
                <w:szCs w:val="20"/>
                <w:color w:val="auto"/>
              </w:rPr>
            </w:pPr>
            <w:r>
              <w:rPr>
                <w:rFonts w:ascii="Arial" w:cs="Arial" w:eastAsia="Arial" w:hAnsi="Arial"/>
                <w:sz w:val="18"/>
                <w:szCs w:val="18"/>
                <w:color w:val="auto"/>
              </w:rPr>
              <w:t>9</w:t>
            </w:r>
          </w:p>
        </w:tc>
        <w:tc>
          <w:tcPr>
            <w:tcW w:w="9020" w:type="dxa"/>
            <w:vAlign w:val="bottom"/>
            <w:vMerge w:val="restart"/>
          </w:tcPr>
          <w:p>
            <w:pPr>
              <w:ind w:left="12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1340" w:type="dxa"/>
            <w:vAlign w:val="bottom"/>
            <w:vMerge w:val="restart"/>
          </w:tcPr>
          <w:p>
            <w:pPr>
              <w:jc w:val="center"/>
              <w:spacing w:after="0"/>
              <w:rPr>
                <w:sz w:val="20"/>
                <w:szCs w:val="20"/>
                <w:color w:val="auto"/>
              </w:rPr>
            </w:pPr>
            <w:r>
              <w:rPr>
                <w:rFonts w:ascii="Arial" w:cs="Arial" w:eastAsia="Arial" w:hAnsi="Arial"/>
                <w:sz w:val="18"/>
                <w:szCs w:val="18"/>
                <w:color w:val="auto"/>
                <w:w w:val="93"/>
              </w:rPr>
              <w:t>REPORTING</w:t>
            </w:r>
          </w:p>
        </w:tc>
        <w:tc>
          <w:tcPr>
            <w:tcW w:w="460" w:type="dxa"/>
            <w:vAlign w:val="bottom"/>
            <w:vMerge w:val="continue"/>
          </w:tcPr>
          <w:p>
            <w:pPr>
              <w:spacing w:after="0"/>
              <w:rPr>
                <w:sz w:val="13"/>
                <w:szCs w:val="13"/>
                <w:color w:val="auto"/>
              </w:rPr>
            </w:pPr>
          </w:p>
        </w:tc>
        <w:tc>
          <w:tcPr>
            <w:tcW w:w="9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1340" w:type="dxa"/>
            <w:vAlign w:val="bottom"/>
            <w:vMerge w:val="continue"/>
          </w:tcPr>
          <w:p>
            <w:pPr>
              <w:spacing w:after="0"/>
              <w:rPr>
                <w:sz w:val="5"/>
                <w:szCs w:val="5"/>
                <w:color w:val="auto"/>
              </w:rPr>
            </w:pPr>
          </w:p>
        </w:tc>
        <w:tc>
          <w:tcPr>
            <w:tcW w:w="460" w:type="dxa"/>
            <w:vAlign w:val="bottom"/>
          </w:tcPr>
          <w:p>
            <w:pPr>
              <w:spacing w:after="0"/>
              <w:rPr>
                <w:sz w:val="5"/>
                <w:szCs w:val="5"/>
                <w:color w:val="auto"/>
              </w:rPr>
            </w:pPr>
          </w:p>
        </w:tc>
        <w:tc>
          <w:tcPr>
            <w:tcW w:w="90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340" w:type="dxa"/>
            <w:vAlign w:val="bottom"/>
          </w:tcPr>
          <w:p>
            <w:pPr>
              <w:jc w:val="center"/>
              <w:spacing w:after="0"/>
              <w:rPr>
                <w:sz w:val="20"/>
                <w:szCs w:val="20"/>
                <w:color w:val="auto"/>
              </w:rPr>
            </w:pPr>
            <w:r>
              <w:rPr>
                <w:rFonts w:ascii="Arial" w:cs="Arial" w:eastAsia="Arial" w:hAnsi="Arial"/>
                <w:sz w:val="18"/>
                <w:szCs w:val="18"/>
                <w:color w:val="auto"/>
                <w:w w:val="92"/>
              </w:rPr>
              <w:t>PERSON</w:t>
            </w:r>
          </w:p>
        </w:tc>
        <w:tc>
          <w:tcPr>
            <w:tcW w:w="460" w:type="dxa"/>
            <w:vAlign w:val="bottom"/>
          </w:tcPr>
          <w:p>
            <w:pPr>
              <w:spacing w:after="0"/>
              <w:rPr>
                <w:sz w:val="18"/>
                <w:szCs w:val="18"/>
                <w:color w:val="auto"/>
              </w:rPr>
            </w:pPr>
          </w:p>
        </w:tc>
        <w:tc>
          <w:tcPr>
            <w:tcW w:w="9020" w:type="dxa"/>
            <w:vAlign w:val="bottom"/>
            <w:vMerge w:val="restart"/>
          </w:tcPr>
          <w:p>
            <w:pPr>
              <w:ind w:left="12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03"/>
        </w:trPr>
        <w:tc>
          <w:tcPr>
            <w:tcW w:w="1340" w:type="dxa"/>
            <w:vAlign w:val="bottom"/>
          </w:tcPr>
          <w:p>
            <w:pPr>
              <w:jc w:val="center"/>
              <w:spacing w:after="0" w:line="203" w:lineRule="exact"/>
              <w:rPr>
                <w:sz w:val="20"/>
                <w:szCs w:val="20"/>
                <w:color w:val="auto"/>
              </w:rPr>
            </w:pPr>
            <w:r>
              <w:rPr>
                <w:rFonts w:ascii="Arial" w:cs="Arial" w:eastAsia="Arial" w:hAnsi="Arial"/>
                <w:sz w:val="18"/>
                <w:szCs w:val="18"/>
                <w:color w:val="auto"/>
                <w:w w:val="99"/>
              </w:rPr>
              <w:t>WITH</w:t>
            </w:r>
          </w:p>
        </w:tc>
        <w:tc>
          <w:tcPr>
            <w:tcW w:w="460" w:type="dxa"/>
            <w:vAlign w:val="bottom"/>
            <w:tcBorders>
              <w:bottom w:val="single" w:sz="8" w:color="auto"/>
            </w:tcBorders>
          </w:tcPr>
          <w:p>
            <w:pPr>
              <w:spacing w:after="0"/>
              <w:rPr>
                <w:sz w:val="17"/>
                <w:szCs w:val="17"/>
                <w:color w:val="auto"/>
              </w:rPr>
            </w:pPr>
          </w:p>
        </w:tc>
        <w:tc>
          <w:tcPr>
            <w:tcW w:w="90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1340" w:type="dxa"/>
            <w:vAlign w:val="bottom"/>
          </w:tcPr>
          <w:p>
            <w:pPr>
              <w:spacing w:after="0"/>
              <w:rPr>
                <w:sz w:val="19"/>
                <w:szCs w:val="19"/>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10</w:t>
            </w:r>
          </w:p>
        </w:tc>
        <w:tc>
          <w:tcPr>
            <w:tcW w:w="9020" w:type="dxa"/>
            <w:vAlign w:val="bottom"/>
          </w:tcPr>
          <w:p>
            <w:pPr>
              <w:ind w:left="12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bl>
    <w:p>
      <w:pPr>
        <w:spacing w:after="0" w:line="207" w:lineRule="exact"/>
        <w:rPr>
          <w:sz w:val="20"/>
          <w:szCs w:val="20"/>
          <w:color w:val="auto"/>
        </w:rPr>
      </w:pPr>
    </w:p>
    <w:p>
      <w:pPr>
        <w:ind w:left="2124"/>
        <w:spacing w:after="0"/>
        <w:rPr>
          <w:sz w:val="20"/>
          <w:szCs w:val="20"/>
          <w:color w:val="auto"/>
        </w:rPr>
      </w:pPr>
      <w:r>
        <w:rPr>
          <w:rFonts w:ascii="Arial" w:cs="Arial" w:eastAsia="Arial" w:hAnsi="Arial"/>
          <w:sz w:val="22"/>
          <w:szCs w:val="22"/>
          <w:color w:val="auto"/>
        </w:rPr>
        <w:t>3,120,194 Shares of Common Stock (1)</w:t>
      </w:r>
    </w:p>
    <w:p>
      <w:pPr>
        <w:spacing w:after="0" w:line="24" w:lineRule="exact"/>
        <w:rPr>
          <w:sz w:val="20"/>
          <w:szCs w:val="20"/>
          <w:color w:val="auto"/>
        </w:rPr>
      </w:pPr>
    </w:p>
    <w:p>
      <w:pPr>
        <w:ind w:left="164"/>
        <w:spacing w:after="0"/>
        <w:tabs>
          <w:tab w:leader="none" w:pos="484"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7"/>
          <w:szCs w:val="17"/>
          <w:color w:val="auto"/>
        </w:rPr>
        <w:t>AGGREGATE AMOUNT BENEFICIALLY OWNED BY EACH REPORTING PERSON</w:t>
      </w:r>
    </w:p>
    <w:p>
      <w:pPr>
        <w:spacing w:after="0" w:line="245" w:lineRule="exact"/>
        <w:rPr>
          <w:sz w:val="20"/>
          <w:szCs w:val="20"/>
          <w:color w:val="auto"/>
        </w:rPr>
      </w:pPr>
    </w:p>
    <w:p>
      <w:pPr>
        <w:ind w:left="504"/>
        <w:spacing w:after="0"/>
        <w:rPr>
          <w:sz w:val="20"/>
          <w:szCs w:val="20"/>
          <w:color w:val="auto"/>
        </w:rPr>
      </w:pPr>
      <w:r>
        <w:rPr>
          <w:rFonts w:ascii="Arial" w:cs="Arial" w:eastAsia="Arial" w:hAnsi="Arial"/>
          <w:sz w:val="22"/>
          <w:szCs w:val="22"/>
          <w:color w:val="auto"/>
        </w:rPr>
        <w:t>3,120,194 Shares of Common Stock (1)</w:t>
      </w:r>
    </w:p>
    <w:p>
      <w:pPr>
        <w:spacing w:after="0" w:line="21" w:lineRule="exact"/>
        <w:rPr>
          <w:sz w:val="20"/>
          <w:szCs w:val="20"/>
          <w:color w:val="auto"/>
        </w:rPr>
      </w:pPr>
    </w:p>
    <w:p>
      <w:pPr>
        <w:ind w:left="504" w:hanging="347"/>
        <w:spacing w:after="0" w:line="207" w:lineRule="exact"/>
        <w:tabs>
          <w:tab w:leader="none" w:pos="504" w:val="left"/>
        </w:tabs>
        <w:numPr>
          <w:ilvl w:val="0"/>
          <w:numId w:val="8"/>
        </w:numPr>
        <w:rPr>
          <w:rFonts w:ascii="Arial" w:cs="Arial" w:eastAsia="Arial" w:hAnsi="Arial"/>
          <w:sz w:val="18"/>
          <w:szCs w:val="18"/>
          <w:color w:val="auto"/>
        </w:rPr>
      </w:pPr>
      <w:r>
        <w:rPr>
          <w:rFonts w:ascii="Arial" w:cs="Arial" w:eastAsia="Arial" w:hAnsi="Arial"/>
          <w:sz w:val="18"/>
          <w:szCs w:val="18"/>
          <w:color w:val="auto"/>
        </w:rPr>
        <w:t xml:space="preserve">CHECK BOX IF THE AGGREGATE AMOUNT IN ROW (11) EXCLUDES CERTAIN SHARES (see instructions) </w:t>
      </w:r>
      <w:r>
        <w:rPr>
          <w:rFonts w:ascii="MS PGothic" w:cs="MS PGothic" w:eastAsia="MS PGothic" w:hAnsi="MS PGothic"/>
          <w:sz w:val="18"/>
          <w:szCs w:val="18"/>
          <w:color w:val="auto"/>
        </w:rPr>
        <w:t>☐</w:t>
      </w:r>
    </w:p>
    <w:p>
      <w:pPr>
        <w:spacing w:after="0" w:line="200" w:lineRule="exact"/>
        <w:rPr>
          <w:rFonts w:ascii="Arial" w:cs="Arial" w:eastAsia="Arial" w:hAnsi="Arial"/>
          <w:sz w:val="18"/>
          <w:szCs w:val="18"/>
          <w:color w:val="auto"/>
        </w:rPr>
      </w:pPr>
    </w:p>
    <w:p>
      <w:pPr>
        <w:spacing w:after="0" w:line="324" w:lineRule="exact"/>
        <w:rPr>
          <w:rFonts w:ascii="Arial" w:cs="Arial" w:eastAsia="Arial" w:hAnsi="Arial"/>
          <w:sz w:val="18"/>
          <w:szCs w:val="18"/>
          <w:color w:val="auto"/>
        </w:rPr>
      </w:pPr>
    </w:p>
    <w:p>
      <w:pPr>
        <w:ind w:left="504" w:hanging="347"/>
        <w:spacing w:after="0"/>
        <w:tabs>
          <w:tab w:leader="none" w:pos="504" w:val="left"/>
        </w:tabs>
        <w:numPr>
          <w:ilvl w:val="0"/>
          <w:numId w:val="8"/>
        </w:numPr>
        <w:rPr>
          <w:rFonts w:ascii="Arial" w:cs="Arial" w:eastAsia="Arial" w:hAnsi="Arial"/>
          <w:sz w:val="18"/>
          <w:szCs w:val="18"/>
          <w:color w:val="auto"/>
        </w:rPr>
      </w:pPr>
      <w:r>
        <w:rPr>
          <w:rFonts w:ascii="Arial" w:cs="Arial" w:eastAsia="Arial" w:hAnsi="Arial"/>
          <w:sz w:val="18"/>
          <w:szCs w:val="18"/>
          <w:color w:val="auto"/>
        </w:rPr>
        <w:t>PERCENT OF CLASS REPRESENTED BY AMOUNT IN ROW 11</w:t>
      </w:r>
    </w:p>
    <w:p>
      <w:pPr>
        <w:spacing w:after="0" w:line="245" w:lineRule="exact"/>
        <w:rPr>
          <w:sz w:val="20"/>
          <w:szCs w:val="20"/>
          <w:color w:val="auto"/>
        </w:rPr>
      </w:pPr>
    </w:p>
    <w:p>
      <w:pPr>
        <w:ind w:left="504"/>
        <w:spacing w:after="0"/>
        <w:rPr>
          <w:sz w:val="20"/>
          <w:szCs w:val="20"/>
          <w:color w:val="auto"/>
        </w:rPr>
      </w:pPr>
      <w:r>
        <w:rPr>
          <w:rFonts w:ascii="Arial" w:cs="Arial" w:eastAsia="Arial" w:hAnsi="Arial"/>
          <w:sz w:val="22"/>
          <w:szCs w:val="22"/>
          <w:color w:val="auto"/>
        </w:rPr>
        <w:t>2.8% (2)</w:t>
      </w:r>
    </w:p>
    <w:p>
      <w:pPr>
        <w:spacing w:after="0" w:line="24" w:lineRule="exact"/>
        <w:rPr>
          <w:sz w:val="20"/>
          <w:szCs w:val="20"/>
          <w:color w:val="auto"/>
        </w:rPr>
      </w:pPr>
    </w:p>
    <w:p>
      <w:pPr>
        <w:ind w:left="164"/>
        <w:spacing w:after="0"/>
        <w:tabs>
          <w:tab w:leader="none" w:pos="484"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6"/>
          <w:szCs w:val="16"/>
          <w:color w:val="auto"/>
        </w:rPr>
        <w:t>TYPE OF REPORTING PERSON (see instructions)</w:t>
      </w:r>
    </w:p>
    <w:p>
      <w:pPr>
        <w:spacing w:after="0" w:line="245" w:lineRule="exact"/>
        <w:rPr>
          <w:sz w:val="20"/>
          <w:szCs w:val="20"/>
          <w:color w:val="auto"/>
        </w:rPr>
      </w:pPr>
    </w:p>
    <w:p>
      <w:pPr>
        <w:ind w:left="504"/>
        <w:spacing w:after="0"/>
        <w:rPr>
          <w:sz w:val="20"/>
          <w:szCs w:val="20"/>
          <w:color w:val="auto"/>
        </w:rPr>
      </w:pPr>
      <w:r>
        <w:rPr>
          <w:rFonts w:ascii="Arial" w:cs="Arial" w:eastAsia="Arial" w:hAnsi="Arial"/>
          <w:sz w:val="22"/>
          <w:szCs w:val="22"/>
          <w:color w:val="auto"/>
        </w:rPr>
        <w:t>PN</w:t>
      </w:r>
    </w:p>
    <w:p>
      <w:pPr>
        <w:spacing w:after="0" w:line="267" w:lineRule="exact"/>
        <w:rPr>
          <w:sz w:val="20"/>
          <w:szCs w:val="20"/>
          <w:color w:val="auto"/>
        </w:rPr>
      </w:pPr>
    </w:p>
    <w:p>
      <w:pPr>
        <w:ind w:left="424" w:right="220" w:hanging="424"/>
        <w:spacing w:after="0" w:line="254" w:lineRule="auto"/>
        <w:tabs>
          <w:tab w:leader="none" w:pos="424" w:val="left"/>
        </w:tabs>
        <w:numPr>
          <w:ilvl w:val="0"/>
          <w:numId w:val="9"/>
        </w:numPr>
        <w:rPr>
          <w:rFonts w:ascii="Arial" w:cs="Arial" w:eastAsia="Arial" w:hAnsi="Arial"/>
          <w:sz w:val="18"/>
          <w:szCs w:val="18"/>
          <w:color w:val="auto"/>
        </w:rPr>
      </w:pPr>
      <w:r>
        <w:rPr>
          <w:rFonts w:ascii="Arial" w:cs="Arial" w:eastAsia="Arial" w:hAnsi="Arial"/>
          <w:sz w:val="18"/>
          <w:szCs w:val="18"/>
          <w:color w:val="auto"/>
        </w:rPr>
        <w:t>All shares are held of record by Polaris V (as defined in Item 2(a) below). PVMC V (as defined in Item 2(a) below) is the general partner of Polaris V and may be deemed to have shared voting, investment and dispositive power with respect to these securities. The PVMC V Managing Members (as defined in Item 2(c) below) are the managing members of PVMC V and may be deemed to have shared voting, investment and dispositive power with respect to these securities.</w:t>
      </w:r>
    </w:p>
    <w:p>
      <w:pPr>
        <w:spacing w:after="0" w:line="2" w:lineRule="exact"/>
        <w:rPr>
          <w:rFonts w:ascii="Arial" w:cs="Arial" w:eastAsia="Arial" w:hAnsi="Arial"/>
          <w:sz w:val="18"/>
          <w:szCs w:val="18"/>
          <w:color w:val="auto"/>
        </w:rPr>
      </w:pPr>
    </w:p>
    <w:p>
      <w:pPr>
        <w:ind w:left="424" w:right="120" w:hanging="424"/>
        <w:spacing w:after="0" w:line="253" w:lineRule="auto"/>
        <w:tabs>
          <w:tab w:leader="none" w:pos="424"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111,245,660 shares of Common Stock outstanding (including shares issued upon the full exercise by the underwriters of their option to purchase additional shares in the Offering (as defined in Item 3 below)), as reported by the Issuer in its final prospectus dated August 5, 2021 and filed with the Securities and Exchange Commission (the “</w:t>
      </w:r>
      <w:r>
        <w:rPr>
          <w:rFonts w:ascii="Arial" w:cs="Arial" w:eastAsia="Arial" w:hAnsi="Arial"/>
          <w:sz w:val="18"/>
          <w:szCs w:val="18"/>
          <w:u w:val="single" w:color="auto"/>
          <w:color w:val="auto"/>
        </w:rPr>
        <w:t>Commission</w:t>
      </w:r>
      <w:r>
        <w:rPr>
          <w:rFonts w:ascii="Arial" w:cs="Arial" w:eastAsia="Arial" w:hAnsi="Arial"/>
          <w:sz w:val="18"/>
          <w:szCs w:val="18"/>
          <w:color w:val="auto"/>
        </w:rPr>
        <w:t>”) on August 6, 2021 pursuant to Rule 424(b)(4) (the “</w:t>
      </w:r>
      <w:r>
        <w:rPr>
          <w:rFonts w:ascii="Arial" w:cs="Arial" w:eastAsia="Arial" w:hAnsi="Arial"/>
          <w:sz w:val="18"/>
          <w:szCs w:val="18"/>
          <w:u w:val="single" w:color="auto"/>
          <w:color w:val="auto"/>
        </w:rPr>
        <w:t>Prospectus</w:t>
      </w:r>
      <w:r>
        <w:rPr>
          <w:rFonts w:ascii="Arial" w:cs="Arial" w:eastAsia="Arial" w:hAnsi="Arial"/>
          <w:sz w:val="18"/>
          <w:szCs w:val="18"/>
          <w:color w:val="auto"/>
        </w:rPr>
        <w:t>”) under the U.S. Securities Act of 1933, as amended.</w:t>
      </w:r>
    </w:p>
    <w:p>
      <w:pPr>
        <w:sectPr>
          <w:pgSz w:w="11900" w:h="16838" w:orient="portrait"/>
          <w:cols w:equalWidth="0" w:num="1">
            <w:col w:w="11024"/>
          </w:cols>
          <w:pgMar w:left="436" w:top="274" w:right="439" w:bottom="1440" w:gutter="0" w:footer="0" w:header="0"/>
        </w:sectPr>
      </w:pPr>
    </w:p>
    <w:bookmarkStart w:id="2" w:name="page3"/>
    <w:bookmarkEnd w:id="2"/>
    <w:tbl>
      <w:tblPr>
        <w:tblLayout w:type="fixed"/>
        <w:tblInd w:w="4" w:type="dxa"/>
        <w:tblCellMar>
          <w:top w:w="0" w:type="dxa"/>
          <w:left w:w="0" w:type="dxa"/>
          <w:bottom w:w="0" w:type="dxa"/>
          <w:right w:w="0" w:type="dxa"/>
        </w:tblCellMar>
      </w:tblPr>
      <w:tr>
        <w:trPr>
          <w:trHeight w:val="230"/>
        </w:trPr>
        <w:tc>
          <w:tcPr>
            <w:tcW w:w="6200" w:type="dxa"/>
            <w:vAlign w:val="bottom"/>
          </w:tcPr>
          <w:p>
            <w:pPr>
              <w:spacing w:after="0"/>
              <w:rPr>
                <w:sz w:val="20"/>
                <w:szCs w:val="20"/>
                <w:color w:val="auto"/>
              </w:rPr>
            </w:pPr>
            <w:r>
              <w:rPr>
                <w:rFonts w:ascii="Arial" w:cs="Arial" w:eastAsia="Arial" w:hAnsi="Arial"/>
                <w:sz w:val="18"/>
                <w:szCs w:val="18"/>
                <w:color w:val="auto"/>
              </w:rPr>
              <w:t>CUSIP No. 00534A102</w:t>
            </w:r>
          </w:p>
        </w:tc>
        <w:tc>
          <w:tcPr>
            <w:tcW w:w="4820" w:type="dxa"/>
            <w:vAlign w:val="bottom"/>
          </w:tcPr>
          <w:p>
            <w:pPr>
              <w:ind w:left="4500"/>
              <w:spacing w:after="0"/>
              <w:rPr>
                <w:sz w:val="20"/>
                <w:szCs w:val="20"/>
                <w:color w:val="auto"/>
              </w:rPr>
            </w:pPr>
            <w:r>
              <w:rPr>
                <w:rFonts w:ascii="Arial" w:cs="Arial" w:eastAsia="Arial" w:hAnsi="Arial"/>
                <w:sz w:val="18"/>
                <w:szCs w:val="18"/>
                <w:color w:val="auto"/>
                <w:w w:val="90"/>
              </w:rPr>
              <w:t>13D</w:t>
            </w:r>
          </w:p>
        </w:tc>
      </w:tr>
    </w:tbl>
    <w:p>
      <w:pPr>
        <w:spacing w:after="0" w:line="2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ind w:left="524" w:hanging="277"/>
        <w:spacing w:after="0"/>
        <w:tabs>
          <w:tab w:leader="none" w:pos="524" w:val="left"/>
        </w:tabs>
        <w:numPr>
          <w:ilvl w:val="0"/>
          <w:numId w:val="10"/>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-130175</wp:posOffset>
            </wp:positionV>
            <wp:extent cx="7003415" cy="64719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003415" cy="6471920"/>
                    </a:xfrm>
                    <a:prstGeom prst="rect">
                      <a:avLst/>
                    </a:prstGeom>
                    <a:noFill/>
                  </pic:spPr>
                </pic:pic>
              </a:graphicData>
            </a:graphic>
          </wp:anchor>
        </w:drawing>
      </w:r>
    </w:p>
    <w:p>
      <w:pPr>
        <w:spacing w:after="0" w:line="225" w:lineRule="exact"/>
        <w:rPr>
          <w:sz w:val="20"/>
          <w:szCs w:val="20"/>
          <w:color w:val="auto"/>
        </w:rPr>
      </w:pPr>
    </w:p>
    <w:p>
      <w:pPr>
        <w:ind w:left="524"/>
        <w:spacing w:after="0"/>
        <w:rPr>
          <w:sz w:val="20"/>
          <w:szCs w:val="20"/>
          <w:color w:val="auto"/>
        </w:rPr>
      </w:pPr>
      <w:r>
        <w:rPr>
          <w:rFonts w:ascii="Arial" w:cs="Arial" w:eastAsia="Arial" w:hAnsi="Arial"/>
          <w:sz w:val="22"/>
          <w:szCs w:val="22"/>
          <w:color w:val="auto"/>
        </w:rPr>
        <w:t>Polaris Venture Partners Entrepreneurs’ Fund V, L.P.</w:t>
      </w:r>
    </w:p>
    <w:p>
      <w:pPr>
        <w:spacing w:after="0" w:line="24" w:lineRule="exact"/>
        <w:rPr>
          <w:sz w:val="20"/>
          <w:szCs w:val="20"/>
          <w:color w:val="auto"/>
        </w:rPr>
      </w:pPr>
    </w:p>
    <w:p>
      <w:pPr>
        <w:ind w:left="524" w:hanging="277"/>
        <w:spacing w:after="0"/>
        <w:tabs>
          <w:tab w:leader="none" w:pos="524"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8" w:lineRule="exact"/>
        <w:rPr>
          <w:sz w:val="20"/>
          <w:szCs w:val="20"/>
          <w:color w:val="auto"/>
        </w:rPr>
      </w:pPr>
    </w:p>
    <w:p>
      <w:pPr>
        <w:ind w:left="524"/>
        <w:spacing w:after="0" w:line="207" w:lineRule="exact"/>
        <w:tabs>
          <w:tab w:leader="none" w:pos="1324"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524" w:hanging="277"/>
        <w:spacing w:after="0"/>
        <w:tabs>
          <w:tab w:leader="none" w:pos="524" w:val="left"/>
        </w:tabs>
        <w:numPr>
          <w:ilvl w:val="0"/>
          <w:numId w:val="12"/>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sz w:val="20"/>
          <w:szCs w:val="20"/>
          <w:color w:val="auto"/>
        </w:rPr>
      </w:pPr>
    </w:p>
    <w:p>
      <w:pPr>
        <w:spacing w:after="0" w:line="322" w:lineRule="exact"/>
        <w:rPr>
          <w:sz w:val="20"/>
          <w:szCs w:val="20"/>
          <w:color w:val="auto"/>
        </w:rPr>
      </w:pPr>
    </w:p>
    <w:p>
      <w:pPr>
        <w:ind w:left="524" w:hanging="277"/>
        <w:spacing w:after="0"/>
        <w:tabs>
          <w:tab w:leader="none" w:pos="524" w:val="left"/>
        </w:tabs>
        <w:numPr>
          <w:ilvl w:val="0"/>
          <w:numId w:val="13"/>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45" w:lineRule="exact"/>
        <w:rPr>
          <w:sz w:val="20"/>
          <w:szCs w:val="20"/>
          <w:color w:val="auto"/>
        </w:rPr>
      </w:pPr>
    </w:p>
    <w:p>
      <w:pPr>
        <w:ind w:left="524"/>
        <w:spacing w:after="0"/>
        <w:rPr>
          <w:sz w:val="20"/>
          <w:szCs w:val="20"/>
          <w:color w:val="auto"/>
        </w:rPr>
      </w:pPr>
      <w:r>
        <w:rPr>
          <w:rFonts w:ascii="Arial" w:cs="Arial" w:eastAsia="Arial" w:hAnsi="Arial"/>
          <w:sz w:val="22"/>
          <w:szCs w:val="22"/>
          <w:color w:val="auto"/>
        </w:rPr>
        <w:t>WC</w:t>
      </w:r>
    </w:p>
    <w:p>
      <w:pPr>
        <w:spacing w:after="0" w:line="21" w:lineRule="exact"/>
        <w:rPr>
          <w:sz w:val="20"/>
          <w:szCs w:val="20"/>
          <w:color w:val="auto"/>
        </w:rPr>
      </w:pPr>
    </w:p>
    <w:p>
      <w:pPr>
        <w:ind w:left="524" w:hanging="277"/>
        <w:spacing w:after="0" w:line="207" w:lineRule="exact"/>
        <w:tabs>
          <w:tab w:leader="none" w:pos="524" w:val="left"/>
        </w:tabs>
        <w:numPr>
          <w:ilvl w:val="0"/>
          <w:numId w:val="14"/>
        </w:numPr>
        <w:rPr>
          <w:rFonts w:ascii="Arial" w:cs="Arial" w:eastAsia="Arial" w:hAnsi="Arial"/>
          <w:sz w:val="18"/>
          <w:szCs w:val="18"/>
          <w:color w:val="auto"/>
        </w:rPr>
      </w:pPr>
      <w:r>
        <w:rPr>
          <w:rFonts w:ascii="Arial" w:cs="Arial" w:eastAsia="Arial" w:hAnsi="Arial"/>
          <w:sz w:val="18"/>
          <w:szCs w:val="18"/>
          <w:color w:val="auto"/>
        </w:rPr>
        <w:t xml:space="preserve">CHECK IF DISCLOSURE OF LEGAL PROCEEDINGS IS REQUIRED PURSUANT TO ITEM 2(d) or 2(e) </w:t>
      </w:r>
      <w:r>
        <w:rPr>
          <w:rFonts w:ascii="MS PGothic" w:cs="MS PGothic" w:eastAsia="MS PGothic" w:hAnsi="MS PGothic"/>
          <w:sz w:val="18"/>
          <w:szCs w:val="18"/>
          <w:color w:val="auto"/>
        </w:rPr>
        <w:t>☐</w:t>
      </w:r>
    </w:p>
    <w:p>
      <w:pPr>
        <w:spacing w:after="0" w:line="200" w:lineRule="exact"/>
        <w:rPr>
          <w:sz w:val="20"/>
          <w:szCs w:val="20"/>
          <w:color w:val="auto"/>
        </w:rPr>
      </w:pPr>
    </w:p>
    <w:p>
      <w:pPr>
        <w:spacing w:after="0" w:line="325" w:lineRule="exact"/>
        <w:rPr>
          <w:sz w:val="20"/>
          <w:szCs w:val="20"/>
          <w:color w:val="auto"/>
        </w:rPr>
      </w:pPr>
    </w:p>
    <w:p>
      <w:pPr>
        <w:ind w:left="524" w:hanging="277"/>
        <w:spacing w:after="0"/>
        <w:tabs>
          <w:tab w:leader="none" w:pos="524" w:val="left"/>
        </w:tabs>
        <w:numPr>
          <w:ilvl w:val="0"/>
          <w:numId w:val="15"/>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45" w:lineRule="exact"/>
        <w:rPr>
          <w:sz w:val="20"/>
          <w:szCs w:val="20"/>
          <w:color w:val="auto"/>
        </w:rPr>
      </w:pPr>
    </w:p>
    <w:p>
      <w:pPr>
        <w:ind w:left="524"/>
        <w:spacing w:after="0"/>
        <w:rPr>
          <w:sz w:val="20"/>
          <w:szCs w:val="20"/>
          <w:color w:val="auto"/>
        </w:rPr>
      </w:pPr>
      <w:r>
        <w:rPr>
          <w:rFonts w:ascii="Arial" w:cs="Arial" w:eastAsia="Arial" w:hAnsi="Arial"/>
          <w:sz w:val="22"/>
          <w:szCs w:val="22"/>
          <w:color w:val="auto"/>
        </w:rPr>
        <w:t>Delaware</w:t>
      </w:r>
    </w:p>
    <w:p>
      <w:pPr>
        <w:spacing w:after="0" w:line="24" w:lineRule="exact"/>
        <w:rPr>
          <w:sz w:val="20"/>
          <w:szCs w:val="20"/>
          <w:color w:val="auto"/>
        </w:rPr>
      </w:pPr>
    </w:p>
    <w:tbl>
      <w:tblPr>
        <w:tblLayout w:type="fixed"/>
        <w:tblInd w:w="204" w:type="dxa"/>
        <w:tblCellMar>
          <w:top w:w="0" w:type="dxa"/>
          <w:left w:w="0" w:type="dxa"/>
          <w:bottom w:w="0" w:type="dxa"/>
          <w:right w:w="0" w:type="dxa"/>
        </w:tblCellMar>
      </w:tblPr>
      <w:tr>
        <w:trPr>
          <w:trHeight w:val="230"/>
        </w:trPr>
        <w:tc>
          <w:tcPr>
            <w:tcW w:w="1340" w:type="dxa"/>
            <w:vAlign w:val="bottom"/>
          </w:tcPr>
          <w:p>
            <w:pPr>
              <w:spacing w:after="0"/>
              <w:rPr>
                <w:sz w:val="20"/>
                <w:szCs w:val="20"/>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7</w:t>
            </w:r>
          </w:p>
        </w:tc>
        <w:tc>
          <w:tcPr>
            <w:tcW w:w="9020" w:type="dxa"/>
            <w:vAlign w:val="bottom"/>
          </w:tcPr>
          <w:p>
            <w:pPr>
              <w:ind w:left="12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58"/>
        </w:trPr>
        <w:tc>
          <w:tcPr>
            <w:tcW w:w="1340" w:type="dxa"/>
            <w:vAlign w:val="bottom"/>
          </w:tcPr>
          <w:p>
            <w:pPr>
              <w:jc w:val="center"/>
              <w:spacing w:after="0"/>
              <w:rPr>
                <w:sz w:val="20"/>
                <w:szCs w:val="20"/>
                <w:color w:val="auto"/>
              </w:rPr>
            </w:pPr>
            <w:r>
              <w:rPr>
                <w:rFonts w:ascii="Arial" w:cs="Arial" w:eastAsia="Arial" w:hAnsi="Arial"/>
                <w:sz w:val="18"/>
                <w:szCs w:val="18"/>
                <w:color w:val="auto"/>
                <w:w w:val="98"/>
              </w:rPr>
              <w:t>NUMBER OF</w:t>
            </w:r>
          </w:p>
        </w:tc>
        <w:tc>
          <w:tcPr>
            <w:tcW w:w="460" w:type="dxa"/>
            <w:vAlign w:val="bottom"/>
          </w:tcPr>
          <w:p>
            <w:pPr>
              <w:spacing w:after="0"/>
              <w:rPr>
                <w:sz w:val="24"/>
                <w:szCs w:val="24"/>
                <w:color w:val="auto"/>
              </w:rPr>
            </w:pPr>
          </w:p>
        </w:tc>
        <w:tc>
          <w:tcPr>
            <w:tcW w:w="9020" w:type="dxa"/>
            <w:vAlign w:val="bottom"/>
          </w:tcPr>
          <w:p>
            <w:pPr>
              <w:ind w:left="12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41"/>
        </w:trPr>
        <w:tc>
          <w:tcPr>
            <w:tcW w:w="1340" w:type="dxa"/>
            <w:vAlign w:val="bottom"/>
            <w:vMerge w:val="restart"/>
          </w:tcPr>
          <w:p>
            <w:pPr>
              <w:jc w:val="center"/>
              <w:spacing w:after="0"/>
              <w:rPr>
                <w:sz w:val="20"/>
                <w:szCs w:val="20"/>
                <w:color w:val="auto"/>
              </w:rPr>
            </w:pPr>
            <w:r>
              <w:rPr>
                <w:rFonts w:ascii="Arial" w:cs="Arial" w:eastAsia="Arial" w:hAnsi="Arial"/>
                <w:sz w:val="18"/>
                <w:szCs w:val="18"/>
                <w:color w:val="auto"/>
                <w:w w:val="94"/>
              </w:rPr>
              <w:t>SHARES</w:t>
            </w:r>
          </w:p>
        </w:tc>
        <w:tc>
          <w:tcPr>
            <w:tcW w:w="460" w:type="dxa"/>
            <w:vAlign w:val="bottom"/>
            <w:tcBorders>
              <w:bottom w:val="single" w:sz="8" w:color="auto"/>
            </w:tcBorders>
          </w:tcPr>
          <w:p>
            <w:pPr>
              <w:spacing w:after="0"/>
              <w:rPr>
                <w:sz w:val="3"/>
                <w:szCs w:val="3"/>
                <w:color w:val="auto"/>
              </w:rPr>
            </w:pPr>
          </w:p>
        </w:tc>
        <w:tc>
          <w:tcPr>
            <w:tcW w:w="90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6"/>
        </w:trPr>
        <w:tc>
          <w:tcPr>
            <w:tcW w:w="1340" w:type="dxa"/>
            <w:vAlign w:val="bottom"/>
            <w:vMerge w:val="continue"/>
          </w:tcPr>
          <w:p>
            <w:pPr>
              <w:spacing w:after="0"/>
              <w:rPr>
                <w:sz w:val="13"/>
                <w:szCs w:val="13"/>
                <w:color w:val="auto"/>
              </w:rPr>
            </w:pPr>
          </w:p>
        </w:tc>
        <w:tc>
          <w:tcPr>
            <w:tcW w:w="460" w:type="dxa"/>
            <w:vAlign w:val="bottom"/>
          </w:tcPr>
          <w:p>
            <w:pPr>
              <w:jc w:val="right"/>
              <w:ind w:right="10"/>
              <w:spacing w:after="0" w:line="156" w:lineRule="exact"/>
              <w:rPr>
                <w:sz w:val="20"/>
                <w:szCs w:val="20"/>
                <w:color w:val="auto"/>
              </w:rPr>
            </w:pPr>
            <w:r>
              <w:rPr>
                <w:rFonts w:ascii="Arial" w:cs="Arial" w:eastAsia="Arial" w:hAnsi="Arial"/>
                <w:sz w:val="18"/>
                <w:szCs w:val="18"/>
                <w:color w:val="auto"/>
              </w:rPr>
              <w:t>8</w:t>
            </w:r>
          </w:p>
        </w:tc>
        <w:tc>
          <w:tcPr>
            <w:tcW w:w="9020" w:type="dxa"/>
            <w:vAlign w:val="bottom"/>
          </w:tcPr>
          <w:p>
            <w:pPr>
              <w:ind w:left="120"/>
              <w:spacing w:after="0" w:line="156" w:lineRule="exact"/>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5"/>
        </w:trPr>
        <w:tc>
          <w:tcPr>
            <w:tcW w:w="1340" w:type="dxa"/>
            <w:vAlign w:val="bottom"/>
          </w:tcPr>
          <w:p>
            <w:pPr>
              <w:jc w:val="center"/>
              <w:spacing w:after="0"/>
              <w:rPr>
                <w:sz w:val="20"/>
                <w:szCs w:val="20"/>
                <w:color w:val="auto"/>
              </w:rPr>
            </w:pPr>
            <w:r>
              <w:rPr>
                <w:rFonts w:ascii="Arial" w:cs="Arial" w:eastAsia="Arial" w:hAnsi="Arial"/>
                <w:sz w:val="18"/>
                <w:szCs w:val="18"/>
                <w:color w:val="auto"/>
                <w:w w:val="99"/>
              </w:rPr>
              <w:t>BENEFICIALLY</w:t>
            </w:r>
          </w:p>
        </w:tc>
        <w:tc>
          <w:tcPr>
            <w:tcW w:w="460" w:type="dxa"/>
            <w:vAlign w:val="bottom"/>
          </w:tcPr>
          <w:p>
            <w:pPr>
              <w:spacing w:after="0"/>
              <w:rPr>
                <w:sz w:val="18"/>
                <w:szCs w:val="18"/>
                <w:color w:val="auto"/>
              </w:rPr>
            </w:pPr>
          </w:p>
        </w:tc>
        <w:tc>
          <w:tcPr>
            <w:tcW w:w="9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jc w:val="center"/>
              <w:spacing w:after="0"/>
              <w:rPr>
                <w:sz w:val="20"/>
                <w:szCs w:val="20"/>
                <w:color w:val="auto"/>
              </w:rPr>
            </w:pPr>
            <w:r>
              <w:rPr>
                <w:rFonts w:ascii="Arial" w:cs="Arial" w:eastAsia="Arial" w:hAnsi="Arial"/>
                <w:sz w:val="18"/>
                <w:szCs w:val="18"/>
                <w:color w:val="auto"/>
                <w:w w:val="99"/>
              </w:rPr>
              <w:t>OWNED BY</w:t>
            </w:r>
          </w:p>
        </w:tc>
        <w:tc>
          <w:tcPr>
            <w:tcW w:w="460" w:type="dxa"/>
            <w:vAlign w:val="bottom"/>
          </w:tcPr>
          <w:p>
            <w:pPr>
              <w:spacing w:after="0"/>
              <w:rPr>
                <w:sz w:val="18"/>
                <w:szCs w:val="18"/>
                <w:color w:val="auto"/>
              </w:rPr>
            </w:pPr>
          </w:p>
        </w:tc>
        <w:tc>
          <w:tcPr>
            <w:tcW w:w="9020" w:type="dxa"/>
            <w:vAlign w:val="bottom"/>
            <w:vMerge w:val="restart"/>
          </w:tcPr>
          <w:p>
            <w:pPr>
              <w:ind w:left="120"/>
              <w:spacing w:after="0"/>
              <w:rPr>
                <w:sz w:val="20"/>
                <w:szCs w:val="20"/>
                <w:color w:val="auto"/>
              </w:rPr>
            </w:pPr>
            <w:r>
              <w:rPr>
                <w:rFonts w:ascii="Arial" w:cs="Arial" w:eastAsia="Arial" w:hAnsi="Arial"/>
                <w:sz w:val="22"/>
                <w:szCs w:val="22"/>
                <w:color w:val="auto"/>
              </w:rPr>
              <w:t>60,814 Shares of Common Stock (1)</w:t>
            </w:r>
          </w:p>
        </w:tc>
        <w:tc>
          <w:tcPr>
            <w:tcW w:w="0" w:type="dxa"/>
            <w:vAlign w:val="bottom"/>
          </w:tcPr>
          <w:p>
            <w:pPr>
              <w:spacing w:after="0"/>
              <w:rPr>
                <w:sz w:val="1"/>
                <w:szCs w:val="1"/>
                <w:color w:val="auto"/>
              </w:rPr>
            </w:pPr>
          </w:p>
        </w:tc>
      </w:tr>
      <w:tr>
        <w:trPr>
          <w:trHeight w:val="121"/>
        </w:trPr>
        <w:tc>
          <w:tcPr>
            <w:tcW w:w="1340" w:type="dxa"/>
            <w:vAlign w:val="bottom"/>
            <w:vMerge w:val="restart"/>
          </w:tcPr>
          <w:p>
            <w:pPr>
              <w:jc w:val="center"/>
              <w:spacing w:after="0"/>
              <w:rPr>
                <w:sz w:val="20"/>
                <w:szCs w:val="20"/>
                <w:color w:val="auto"/>
              </w:rPr>
            </w:pPr>
            <w:r>
              <w:rPr>
                <w:rFonts w:ascii="Arial" w:cs="Arial" w:eastAsia="Arial" w:hAnsi="Arial"/>
                <w:sz w:val="18"/>
                <w:szCs w:val="18"/>
                <w:color w:val="auto"/>
                <w:w w:val="99"/>
              </w:rPr>
              <w:t>EACH</w:t>
            </w:r>
          </w:p>
        </w:tc>
        <w:tc>
          <w:tcPr>
            <w:tcW w:w="460" w:type="dxa"/>
            <w:vAlign w:val="bottom"/>
            <w:tcBorders>
              <w:bottom w:val="single" w:sz="8" w:color="auto"/>
            </w:tcBorders>
          </w:tcPr>
          <w:p>
            <w:pPr>
              <w:spacing w:after="0"/>
              <w:rPr>
                <w:sz w:val="10"/>
                <w:szCs w:val="10"/>
                <w:color w:val="auto"/>
              </w:rPr>
            </w:pPr>
          </w:p>
        </w:tc>
        <w:tc>
          <w:tcPr>
            <w:tcW w:w="902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5"/>
        </w:trPr>
        <w:tc>
          <w:tcPr>
            <w:tcW w:w="1340" w:type="dxa"/>
            <w:vAlign w:val="bottom"/>
            <w:vMerge w:val="continue"/>
          </w:tcPr>
          <w:p>
            <w:pPr>
              <w:spacing w:after="0"/>
              <w:rPr>
                <w:sz w:val="6"/>
                <w:szCs w:val="6"/>
                <w:color w:val="auto"/>
              </w:rPr>
            </w:pPr>
          </w:p>
        </w:tc>
        <w:tc>
          <w:tcPr>
            <w:tcW w:w="460" w:type="dxa"/>
            <w:vAlign w:val="bottom"/>
            <w:vMerge w:val="restart"/>
          </w:tcPr>
          <w:p>
            <w:pPr>
              <w:jc w:val="right"/>
              <w:ind w:right="10"/>
              <w:spacing w:after="0"/>
              <w:rPr>
                <w:sz w:val="20"/>
                <w:szCs w:val="20"/>
                <w:color w:val="auto"/>
              </w:rPr>
            </w:pPr>
            <w:r>
              <w:rPr>
                <w:rFonts w:ascii="Arial" w:cs="Arial" w:eastAsia="Arial" w:hAnsi="Arial"/>
                <w:sz w:val="18"/>
                <w:szCs w:val="18"/>
                <w:color w:val="auto"/>
              </w:rPr>
              <w:t>9</w:t>
            </w:r>
          </w:p>
        </w:tc>
        <w:tc>
          <w:tcPr>
            <w:tcW w:w="9020" w:type="dxa"/>
            <w:vAlign w:val="bottom"/>
            <w:vMerge w:val="restart"/>
          </w:tcPr>
          <w:p>
            <w:pPr>
              <w:ind w:left="12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1340" w:type="dxa"/>
            <w:vAlign w:val="bottom"/>
            <w:vMerge w:val="restart"/>
          </w:tcPr>
          <w:p>
            <w:pPr>
              <w:jc w:val="center"/>
              <w:spacing w:after="0"/>
              <w:rPr>
                <w:sz w:val="20"/>
                <w:szCs w:val="20"/>
                <w:color w:val="auto"/>
              </w:rPr>
            </w:pPr>
            <w:r>
              <w:rPr>
                <w:rFonts w:ascii="Arial" w:cs="Arial" w:eastAsia="Arial" w:hAnsi="Arial"/>
                <w:sz w:val="18"/>
                <w:szCs w:val="18"/>
                <w:color w:val="auto"/>
                <w:w w:val="93"/>
              </w:rPr>
              <w:t>REPORTING</w:t>
            </w:r>
          </w:p>
        </w:tc>
        <w:tc>
          <w:tcPr>
            <w:tcW w:w="460" w:type="dxa"/>
            <w:vAlign w:val="bottom"/>
            <w:vMerge w:val="continue"/>
          </w:tcPr>
          <w:p>
            <w:pPr>
              <w:spacing w:after="0"/>
              <w:rPr>
                <w:sz w:val="13"/>
                <w:szCs w:val="13"/>
                <w:color w:val="auto"/>
              </w:rPr>
            </w:pPr>
          </w:p>
        </w:tc>
        <w:tc>
          <w:tcPr>
            <w:tcW w:w="9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1340" w:type="dxa"/>
            <w:vAlign w:val="bottom"/>
            <w:vMerge w:val="continue"/>
          </w:tcPr>
          <w:p>
            <w:pPr>
              <w:spacing w:after="0"/>
              <w:rPr>
                <w:sz w:val="5"/>
                <w:szCs w:val="5"/>
                <w:color w:val="auto"/>
              </w:rPr>
            </w:pPr>
          </w:p>
        </w:tc>
        <w:tc>
          <w:tcPr>
            <w:tcW w:w="460" w:type="dxa"/>
            <w:vAlign w:val="bottom"/>
          </w:tcPr>
          <w:p>
            <w:pPr>
              <w:spacing w:after="0"/>
              <w:rPr>
                <w:sz w:val="5"/>
                <w:szCs w:val="5"/>
                <w:color w:val="auto"/>
              </w:rPr>
            </w:pPr>
          </w:p>
        </w:tc>
        <w:tc>
          <w:tcPr>
            <w:tcW w:w="90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340" w:type="dxa"/>
            <w:vAlign w:val="bottom"/>
          </w:tcPr>
          <w:p>
            <w:pPr>
              <w:jc w:val="center"/>
              <w:spacing w:after="0"/>
              <w:rPr>
                <w:sz w:val="20"/>
                <w:szCs w:val="20"/>
                <w:color w:val="auto"/>
              </w:rPr>
            </w:pPr>
            <w:r>
              <w:rPr>
                <w:rFonts w:ascii="Arial" w:cs="Arial" w:eastAsia="Arial" w:hAnsi="Arial"/>
                <w:sz w:val="18"/>
                <w:szCs w:val="18"/>
                <w:color w:val="auto"/>
                <w:w w:val="92"/>
              </w:rPr>
              <w:t>PERSON</w:t>
            </w:r>
          </w:p>
        </w:tc>
        <w:tc>
          <w:tcPr>
            <w:tcW w:w="460" w:type="dxa"/>
            <w:vAlign w:val="bottom"/>
          </w:tcPr>
          <w:p>
            <w:pPr>
              <w:spacing w:after="0"/>
              <w:rPr>
                <w:sz w:val="18"/>
                <w:szCs w:val="18"/>
                <w:color w:val="auto"/>
              </w:rPr>
            </w:pPr>
          </w:p>
        </w:tc>
        <w:tc>
          <w:tcPr>
            <w:tcW w:w="9020" w:type="dxa"/>
            <w:vAlign w:val="bottom"/>
            <w:vMerge w:val="restart"/>
          </w:tcPr>
          <w:p>
            <w:pPr>
              <w:ind w:left="12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03"/>
        </w:trPr>
        <w:tc>
          <w:tcPr>
            <w:tcW w:w="1340" w:type="dxa"/>
            <w:vAlign w:val="bottom"/>
          </w:tcPr>
          <w:p>
            <w:pPr>
              <w:jc w:val="center"/>
              <w:spacing w:after="0" w:line="203" w:lineRule="exact"/>
              <w:rPr>
                <w:sz w:val="20"/>
                <w:szCs w:val="20"/>
                <w:color w:val="auto"/>
              </w:rPr>
            </w:pPr>
            <w:r>
              <w:rPr>
                <w:rFonts w:ascii="Arial" w:cs="Arial" w:eastAsia="Arial" w:hAnsi="Arial"/>
                <w:sz w:val="18"/>
                <w:szCs w:val="18"/>
                <w:color w:val="auto"/>
                <w:w w:val="99"/>
              </w:rPr>
              <w:t>WITH</w:t>
            </w:r>
          </w:p>
        </w:tc>
        <w:tc>
          <w:tcPr>
            <w:tcW w:w="460" w:type="dxa"/>
            <w:vAlign w:val="bottom"/>
            <w:tcBorders>
              <w:bottom w:val="single" w:sz="8" w:color="auto"/>
            </w:tcBorders>
          </w:tcPr>
          <w:p>
            <w:pPr>
              <w:spacing w:after="0"/>
              <w:rPr>
                <w:sz w:val="17"/>
                <w:szCs w:val="17"/>
                <w:color w:val="auto"/>
              </w:rPr>
            </w:pPr>
          </w:p>
        </w:tc>
        <w:tc>
          <w:tcPr>
            <w:tcW w:w="90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1340" w:type="dxa"/>
            <w:vAlign w:val="bottom"/>
          </w:tcPr>
          <w:p>
            <w:pPr>
              <w:spacing w:after="0"/>
              <w:rPr>
                <w:sz w:val="19"/>
                <w:szCs w:val="19"/>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10</w:t>
            </w:r>
          </w:p>
        </w:tc>
        <w:tc>
          <w:tcPr>
            <w:tcW w:w="9020" w:type="dxa"/>
            <w:vAlign w:val="bottom"/>
          </w:tcPr>
          <w:p>
            <w:pPr>
              <w:ind w:left="12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bl>
    <w:p>
      <w:pPr>
        <w:spacing w:after="0" w:line="207" w:lineRule="exact"/>
        <w:rPr>
          <w:sz w:val="20"/>
          <w:szCs w:val="20"/>
          <w:color w:val="auto"/>
        </w:rPr>
      </w:pPr>
    </w:p>
    <w:p>
      <w:pPr>
        <w:jc w:val="center"/>
        <w:ind w:right="1616"/>
        <w:spacing w:after="0"/>
        <w:rPr>
          <w:sz w:val="20"/>
          <w:szCs w:val="20"/>
          <w:color w:val="auto"/>
        </w:rPr>
      </w:pPr>
      <w:r>
        <w:rPr>
          <w:rFonts w:ascii="Arial" w:cs="Arial" w:eastAsia="Arial" w:hAnsi="Arial"/>
          <w:sz w:val="22"/>
          <w:szCs w:val="22"/>
          <w:color w:val="auto"/>
        </w:rPr>
        <w:t>60,814 Shares of Common Stock (1)</w:t>
      </w:r>
    </w:p>
    <w:p>
      <w:pPr>
        <w:spacing w:after="0" w:line="24" w:lineRule="exact"/>
        <w:rPr>
          <w:sz w:val="20"/>
          <w:szCs w:val="20"/>
          <w:color w:val="auto"/>
        </w:rPr>
      </w:pPr>
    </w:p>
    <w:p>
      <w:pPr>
        <w:ind w:left="164"/>
        <w:spacing w:after="0"/>
        <w:tabs>
          <w:tab w:leader="none" w:pos="484"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7"/>
          <w:szCs w:val="17"/>
          <w:color w:val="auto"/>
        </w:rPr>
        <w:t>AGGREGATE AMOUNT BENEFICIALLY OWNED BY EACH REPORTING PERSON</w:t>
      </w:r>
    </w:p>
    <w:p>
      <w:pPr>
        <w:spacing w:after="0" w:line="245" w:lineRule="exact"/>
        <w:rPr>
          <w:sz w:val="20"/>
          <w:szCs w:val="20"/>
          <w:color w:val="auto"/>
        </w:rPr>
      </w:pPr>
    </w:p>
    <w:p>
      <w:pPr>
        <w:ind w:left="504"/>
        <w:spacing w:after="0"/>
        <w:rPr>
          <w:sz w:val="20"/>
          <w:szCs w:val="20"/>
          <w:color w:val="auto"/>
        </w:rPr>
      </w:pPr>
      <w:r>
        <w:rPr>
          <w:rFonts w:ascii="Arial" w:cs="Arial" w:eastAsia="Arial" w:hAnsi="Arial"/>
          <w:sz w:val="22"/>
          <w:szCs w:val="22"/>
          <w:color w:val="auto"/>
        </w:rPr>
        <w:t>60,814 Shares of Common Stock (1)</w:t>
      </w:r>
    </w:p>
    <w:p>
      <w:pPr>
        <w:spacing w:after="0" w:line="21" w:lineRule="exact"/>
        <w:rPr>
          <w:sz w:val="20"/>
          <w:szCs w:val="20"/>
          <w:color w:val="auto"/>
        </w:rPr>
      </w:pPr>
    </w:p>
    <w:p>
      <w:pPr>
        <w:ind w:left="504" w:hanging="347"/>
        <w:spacing w:after="0" w:line="207" w:lineRule="exact"/>
        <w:tabs>
          <w:tab w:leader="none" w:pos="504" w:val="left"/>
        </w:tabs>
        <w:numPr>
          <w:ilvl w:val="0"/>
          <w:numId w:val="16"/>
        </w:numPr>
        <w:rPr>
          <w:rFonts w:ascii="Arial" w:cs="Arial" w:eastAsia="Arial" w:hAnsi="Arial"/>
          <w:sz w:val="18"/>
          <w:szCs w:val="18"/>
          <w:color w:val="auto"/>
        </w:rPr>
      </w:pPr>
      <w:r>
        <w:rPr>
          <w:rFonts w:ascii="Arial" w:cs="Arial" w:eastAsia="Arial" w:hAnsi="Arial"/>
          <w:sz w:val="18"/>
          <w:szCs w:val="18"/>
          <w:color w:val="auto"/>
        </w:rPr>
        <w:t xml:space="preserve">CHECK BOX IF THE AGGREGATE AMOUNT IN ROW (11) EXCLUDES CERTAIN SHARES (see instructions) </w:t>
      </w:r>
      <w:r>
        <w:rPr>
          <w:rFonts w:ascii="MS PGothic" w:cs="MS PGothic" w:eastAsia="MS PGothic" w:hAnsi="MS PGothic"/>
          <w:sz w:val="18"/>
          <w:szCs w:val="18"/>
          <w:color w:val="auto"/>
        </w:rPr>
        <w:t>☐</w:t>
      </w:r>
    </w:p>
    <w:p>
      <w:pPr>
        <w:spacing w:after="0" w:line="200" w:lineRule="exact"/>
        <w:rPr>
          <w:rFonts w:ascii="Arial" w:cs="Arial" w:eastAsia="Arial" w:hAnsi="Arial"/>
          <w:sz w:val="18"/>
          <w:szCs w:val="18"/>
          <w:color w:val="auto"/>
        </w:rPr>
      </w:pPr>
    </w:p>
    <w:p>
      <w:pPr>
        <w:spacing w:after="0" w:line="324" w:lineRule="exact"/>
        <w:rPr>
          <w:rFonts w:ascii="Arial" w:cs="Arial" w:eastAsia="Arial" w:hAnsi="Arial"/>
          <w:sz w:val="18"/>
          <w:szCs w:val="18"/>
          <w:color w:val="auto"/>
        </w:rPr>
      </w:pPr>
    </w:p>
    <w:p>
      <w:pPr>
        <w:ind w:left="504" w:hanging="347"/>
        <w:spacing w:after="0"/>
        <w:tabs>
          <w:tab w:leader="none" w:pos="504" w:val="left"/>
        </w:tabs>
        <w:numPr>
          <w:ilvl w:val="0"/>
          <w:numId w:val="16"/>
        </w:numPr>
        <w:rPr>
          <w:rFonts w:ascii="Arial" w:cs="Arial" w:eastAsia="Arial" w:hAnsi="Arial"/>
          <w:sz w:val="18"/>
          <w:szCs w:val="18"/>
          <w:color w:val="auto"/>
        </w:rPr>
      </w:pPr>
      <w:r>
        <w:rPr>
          <w:rFonts w:ascii="Arial" w:cs="Arial" w:eastAsia="Arial" w:hAnsi="Arial"/>
          <w:sz w:val="18"/>
          <w:szCs w:val="18"/>
          <w:color w:val="auto"/>
        </w:rPr>
        <w:t>PERCENT OF CLASS REPRESENTED BY AMOUNT IN ROW 11</w:t>
      </w:r>
    </w:p>
    <w:p>
      <w:pPr>
        <w:spacing w:after="0" w:line="245" w:lineRule="exact"/>
        <w:rPr>
          <w:sz w:val="20"/>
          <w:szCs w:val="20"/>
          <w:color w:val="auto"/>
        </w:rPr>
      </w:pPr>
    </w:p>
    <w:p>
      <w:pPr>
        <w:ind w:left="504"/>
        <w:spacing w:after="0"/>
        <w:rPr>
          <w:sz w:val="20"/>
          <w:szCs w:val="20"/>
          <w:color w:val="auto"/>
        </w:rPr>
      </w:pPr>
      <w:r>
        <w:rPr>
          <w:rFonts w:ascii="Arial" w:cs="Arial" w:eastAsia="Arial" w:hAnsi="Arial"/>
          <w:sz w:val="22"/>
          <w:szCs w:val="22"/>
          <w:color w:val="auto"/>
        </w:rPr>
        <w:t>0.1% (2)</w:t>
      </w:r>
    </w:p>
    <w:p>
      <w:pPr>
        <w:spacing w:after="0" w:line="24" w:lineRule="exact"/>
        <w:rPr>
          <w:sz w:val="20"/>
          <w:szCs w:val="20"/>
          <w:color w:val="auto"/>
        </w:rPr>
      </w:pPr>
    </w:p>
    <w:p>
      <w:pPr>
        <w:ind w:left="164"/>
        <w:spacing w:after="0"/>
        <w:tabs>
          <w:tab w:leader="none" w:pos="484"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6"/>
          <w:szCs w:val="16"/>
          <w:color w:val="auto"/>
        </w:rPr>
        <w:t>TYPE OF REPORTING PERSON (see instructions)</w:t>
      </w:r>
    </w:p>
    <w:p>
      <w:pPr>
        <w:spacing w:after="0" w:line="245" w:lineRule="exact"/>
        <w:rPr>
          <w:sz w:val="20"/>
          <w:szCs w:val="20"/>
          <w:color w:val="auto"/>
        </w:rPr>
      </w:pPr>
    </w:p>
    <w:p>
      <w:pPr>
        <w:ind w:left="504"/>
        <w:spacing w:after="0"/>
        <w:rPr>
          <w:sz w:val="20"/>
          <w:szCs w:val="20"/>
          <w:color w:val="auto"/>
        </w:rPr>
      </w:pPr>
      <w:r>
        <w:rPr>
          <w:rFonts w:ascii="Arial" w:cs="Arial" w:eastAsia="Arial" w:hAnsi="Arial"/>
          <w:sz w:val="22"/>
          <w:szCs w:val="22"/>
          <w:color w:val="auto"/>
        </w:rPr>
        <w:t>PN</w:t>
      </w:r>
    </w:p>
    <w:p>
      <w:pPr>
        <w:spacing w:after="0" w:line="267" w:lineRule="exact"/>
        <w:rPr>
          <w:sz w:val="20"/>
          <w:szCs w:val="20"/>
          <w:color w:val="auto"/>
        </w:rPr>
      </w:pPr>
    </w:p>
    <w:p>
      <w:pPr>
        <w:ind w:left="424" w:right="80" w:hanging="424"/>
        <w:spacing w:after="0" w:line="287" w:lineRule="auto"/>
        <w:tabs>
          <w:tab w:leader="none" w:pos="424" w:val="left"/>
        </w:tabs>
        <w:numPr>
          <w:ilvl w:val="0"/>
          <w:numId w:val="17"/>
        </w:numPr>
        <w:rPr>
          <w:rFonts w:ascii="Arial" w:cs="Arial" w:eastAsia="Arial" w:hAnsi="Arial"/>
          <w:sz w:val="16"/>
          <w:szCs w:val="16"/>
          <w:color w:val="auto"/>
        </w:rPr>
      </w:pPr>
      <w:r>
        <w:rPr>
          <w:rFonts w:ascii="Arial" w:cs="Arial" w:eastAsia="Arial" w:hAnsi="Arial"/>
          <w:sz w:val="16"/>
          <w:szCs w:val="16"/>
          <w:color w:val="auto"/>
        </w:rPr>
        <w:t>All shares are held of record by Polaris EF V (as defined in Item 2(a) below). PVMC V is the general partner of Polaris EF V and may be deemed to have shared voting, investment and dispositive power with respect to these securities. The PVMC V Managing Members are the managing members of PVMC V and may be deemed to have shared voting, investment and dispositive power with respect to these securities.</w:t>
      </w:r>
    </w:p>
    <w:p>
      <w:pPr>
        <w:spacing w:after="0" w:line="2" w:lineRule="exact"/>
        <w:rPr>
          <w:rFonts w:ascii="Arial" w:cs="Arial" w:eastAsia="Arial" w:hAnsi="Arial"/>
          <w:sz w:val="16"/>
          <w:szCs w:val="16"/>
          <w:color w:val="auto"/>
        </w:rPr>
      </w:pPr>
    </w:p>
    <w:p>
      <w:pPr>
        <w:ind w:left="424" w:right="180" w:hanging="424"/>
        <w:spacing w:after="0" w:line="260" w:lineRule="auto"/>
        <w:tabs>
          <w:tab w:leader="none" w:pos="424"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111,245,660 shares of Common Stock outstanding (including shares issued upon the full exercise by the underwriters of their option to purchase additional shares in the Offering), as reported by the Issuer in the Prospectus.</w:t>
      </w:r>
    </w:p>
    <w:p>
      <w:pPr>
        <w:sectPr>
          <w:pgSz w:w="11900" w:h="16838" w:orient="portrait"/>
          <w:cols w:equalWidth="0" w:num="1">
            <w:col w:w="11024"/>
          </w:cols>
          <w:pgMar w:left="436" w:top="274" w:right="439" w:bottom="1440" w:gutter="0" w:footer="0" w:header="0"/>
        </w:sectPr>
      </w:pPr>
    </w:p>
    <w:bookmarkStart w:id="3" w:name="page4"/>
    <w:bookmarkEnd w:id="3"/>
    <w:tbl>
      <w:tblPr>
        <w:tblLayout w:type="fixed"/>
        <w:tblInd w:w="4" w:type="dxa"/>
        <w:tblCellMar>
          <w:top w:w="0" w:type="dxa"/>
          <w:left w:w="0" w:type="dxa"/>
          <w:bottom w:w="0" w:type="dxa"/>
          <w:right w:w="0" w:type="dxa"/>
        </w:tblCellMar>
      </w:tblPr>
      <w:tr>
        <w:trPr>
          <w:trHeight w:val="230"/>
        </w:trPr>
        <w:tc>
          <w:tcPr>
            <w:tcW w:w="6200" w:type="dxa"/>
            <w:vAlign w:val="bottom"/>
          </w:tcPr>
          <w:p>
            <w:pPr>
              <w:spacing w:after="0"/>
              <w:rPr>
                <w:sz w:val="20"/>
                <w:szCs w:val="20"/>
                <w:color w:val="auto"/>
              </w:rPr>
            </w:pPr>
            <w:r>
              <w:rPr>
                <w:rFonts w:ascii="Arial" w:cs="Arial" w:eastAsia="Arial" w:hAnsi="Arial"/>
                <w:sz w:val="18"/>
                <w:szCs w:val="18"/>
                <w:color w:val="auto"/>
              </w:rPr>
              <w:t>CUSIP No. 00534A102</w:t>
            </w:r>
          </w:p>
        </w:tc>
        <w:tc>
          <w:tcPr>
            <w:tcW w:w="4820" w:type="dxa"/>
            <w:vAlign w:val="bottom"/>
          </w:tcPr>
          <w:p>
            <w:pPr>
              <w:ind w:left="4500"/>
              <w:spacing w:after="0"/>
              <w:rPr>
                <w:sz w:val="20"/>
                <w:szCs w:val="20"/>
                <w:color w:val="auto"/>
              </w:rPr>
            </w:pPr>
            <w:r>
              <w:rPr>
                <w:rFonts w:ascii="Arial" w:cs="Arial" w:eastAsia="Arial" w:hAnsi="Arial"/>
                <w:sz w:val="18"/>
                <w:szCs w:val="18"/>
                <w:color w:val="auto"/>
                <w:w w:val="90"/>
              </w:rPr>
              <w:t>13D</w:t>
            </w:r>
          </w:p>
        </w:tc>
      </w:tr>
    </w:tbl>
    <w:p>
      <w:pPr>
        <w:spacing w:after="0" w:line="2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524" w:hanging="277"/>
        <w:spacing w:after="0"/>
        <w:tabs>
          <w:tab w:leader="none" w:pos="524" w:val="left"/>
        </w:tabs>
        <w:numPr>
          <w:ilvl w:val="0"/>
          <w:numId w:val="18"/>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-130175</wp:posOffset>
            </wp:positionV>
            <wp:extent cx="7003415" cy="64719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003415" cy="6471920"/>
                    </a:xfrm>
                    <a:prstGeom prst="rect">
                      <a:avLst/>
                    </a:prstGeom>
                    <a:noFill/>
                  </pic:spPr>
                </pic:pic>
              </a:graphicData>
            </a:graphic>
          </wp:anchor>
        </w:drawing>
      </w:r>
    </w:p>
    <w:p>
      <w:pPr>
        <w:spacing w:after="0" w:line="225" w:lineRule="exact"/>
        <w:rPr>
          <w:sz w:val="20"/>
          <w:szCs w:val="20"/>
          <w:color w:val="auto"/>
        </w:rPr>
      </w:pPr>
    </w:p>
    <w:p>
      <w:pPr>
        <w:ind w:left="524"/>
        <w:spacing w:after="0"/>
        <w:rPr>
          <w:sz w:val="20"/>
          <w:szCs w:val="20"/>
          <w:color w:val="auto"/>
        </w:rPr>
      </w:pPr>
      <w:r>
        <w:rPr>
          <w:rFonts w:ascii="Arial" w:cs="Arial" w:eastAsia="Arial" w:hAnsi="Arial"/>
          <w:sz w:val="22"/>
          <w:szCs w:val="22"/>
          <w:color w:val="auto"/>
        </w:rPr>
        <w:t>Polaris Venture Partners Founders’ Fund V, L.P.</w:t>
      </w:r>
    </w:p>
    <w:p>
      <w:pPr>
        <w:spacing w:after="0" w:line="24" w:lineRule="exact"/>
        <w:rPr>
          <w:sz w:val="20"/>
          <w:szCs w:val="20"/>
          <w:color w:val="auto"/>
        </w:rPr>
      </w:pPr>
    </w:p>
    <w:p>
      <w:pPr>
        <w:ind w:left="524" w:hanging="277"/>
        <w:spacing w:after="0"/>
        <w:tabs>
          <w:tab w:leader="none" w:pos="524"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8" w:lineRule="exact"/>
        <w:rPr>
          <w:sz w:val="20"/>
          <w:szCs w:val="20"/>
          <w:color w:val="auto"/>
        </w:rPr>
      </w:pPr>
    </w:p>
    <w:p>
      <w:pPr>
        <w:ind w:left="524"/>
        <w:spacing w:after="0" w:line="207" w:lineRule="exact"/>
        <w:tabs>
          <w:tab w:leader="none" w:pos="1324"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524" w:hanging="277"/>
        <w:spacing w:after="0"/>
        <w:tabs>
          <w:tab w:leader="none" w:pos="524" w:val="left"/>
        </w:tabs>
        <w:numPr>
          <w:ilvl w:val="0"/>
          <w:numId w:val="20"/>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sz w:val="20"/>
          <w:szCs w:val="20"/>
          <w:color w:val="auto"/>
        </w:rPr>
      </w:pPr>
    </w:p>
    <w:p>
      <w:pPr>
        <w:spacing w:after="0" w:line="322" w:lineRule="exact"/>
        <w:rPr>
          <w:sz w:val="20"/>
          <w:szCs w:val="20"/>
          <w:color w:val="auto"/>
        </w:rPr>
      </w:pPr>
    </w:p>
    <w:p>
      <w:pPr>
        <w:ind w:left="524" w:hanging="277"/>
        <w:spacing w:after="0"/>
        <w:tabs>
          <w:tab w:leader="none" w:pos="524" w:val="left"/>
        </w:tabs>
        <w:numPr>
          <w:ilvl w:val="0"/>
          <w:numId w:val="21"/>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45" w:lineRule="exact"/>
        <w:rPr>
          <w:sz w:val="20"/>
          <w:szCs w:val="20"/>
          <w:color w:val="auto"/>
        </w:rPr>
      </w:pPr>
    </w:p>
    <w:p>
      <w:pPr>
        <w:ind w:left="524"/>
        <w:spacing w:after="0"/>
        <w:rPr>
          <w:sz w:val="20"/>
          <w:szCs w:val="20"/>
          <w:color w:val="auto"/>
        </w:rPr>
      </w:pPr>
      <w:r>
        <w:rPr>
          <w:rFonts w:ascii="Arial" w:cs="Arial" w:eastAsia="Arial" w:hAnsi="Arial"/>
          <w:sz w:val="22"/>
          <w:szCs w:val="22"/>
          <w:color w:val="auto"/>
        </w:rPr>
        <w:t>WC</w:t>
      </w:r>
    </w:p>
    <w:p>
      <w:pPr>
        <w:spacing w:after="0" w:line="21" w:lineRule="exact"/>
        <w:rPr>
          <w:sz w:val="20"/>
          <w:szCs w:val="20"/>
          <w:color w:val="auto"/>
        </w:rPr>
      </w:pPr>
    </w:p>
    <w:p>
      <w:pPr>
        <w:ind w:left="524" w:hanging="277"/>
        <w:spacing w:after="0" w:line="207" w:lineRule="exact"/>
        <w:tabs>
          <w:tab w:leader="none" w:pos="524" w:val="left"/>
        </w:tabs>
        <w:numPr>
          <w:ilvl w:val="0"/>
          <w:numId w:val="22"/>
        </w:numPr>
        <w:rPr>
          <w:rFonts w:ascii="Arial" w:cs="Arial" w:eastAsia="Arial" w:hAnsi="Arial"/>
          <w:sz w:val="18"/>
          <w:szCs w:val="18"/>
          <w:color w:val="auto"/>
        </w:rPr>
      </w:pPr>
      <w:r>
        <w:rPr>
          <w:rFonts w:ascii="Arial" w:cs="Arial" w:eastAsia="Arial" w:hAnsi="Arial"/>
          <w:sz w:val="18"/>
          <w:szCs w:val="18"/>
          <w:color w:val="auto"/>
        </w:rPr>
        <w:t xml:space="preserve">CHECK IF DISCLOSURE OF LEGAL PROCEEDINGS IS REQUIRED PURSUANT TO ITEM 2(d) or 2(e) </w:t>
      </w:r>
      <w:r>
        <w:rPr>
          <w:rFonts w:ascii="MS PGothic" w:cs="MS PGothic" w:eastAsia="MS PGothic" w:hAnsi="MS PGothic"/>
          <w:sz w:val="18"/>
          <w:szCs w:val="18"/>
          <w:color w:val="auto"/>
        </w:rPr>
        <w:t>☐</w:t>
      </w:r>
    </w:p>
    <w:p>
      <w:pPr>
        <w:spacing w:after="0" w:line="200" w:lineRule="exact"/>
        <w:rPr>
          <w:sz w:val="20"/>
          <w:szCs w:val="20"/>
          <w:color w:val="auto"/>
        </w:rPr>
      </w:pPr>
    </w:p>
    <w:p>
      <w:pPr>
        <w:spacing w:after="0" w:line="325" w:lineRule="exact"/>
        <w:rPr>
          <w:sz w:val="20"/>
          <w:szCs w:val="20"/>
          <w:color w:val="auto"/>
        </w:rPr>
      </w:pPr>
    </w:p>
    <w:p>
      <w:pPr>
        <w:ind w:left="524" w:hanging="277"/>
        <w:spacing w:after="0"/>
        <w:tabs>
          <w:tab w:leader="none" w:pos="524" w:val="left"/>
        </w:tabs>
        <w:numPr>
          <w:ilvl w:val="0"/>
          <w:numId w:val="23"/>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45" w:lineRule="exact"/>
        <w:rPr>
          <w:sz w:val="20"/>
          <w:szCs w:val="20"/>
          <w:color w:val="auto"/>
        </w:rPr>
      </w:pPr>
    </w:p>
    <w:p>
      <w:pPr>
        <w:ind w:left="524"/>
        <w:spacing w:after="0"/>
        <w:rPr>
          <w:sz w:val="20"/>
          <w:szCs w:val="20"/>
          <w:color w:val="auto"/>
        </w:rPr>
      </w:pPr>
      <w:r>
        <w:rPr>
          <w:rFonts w:ascii="Arial" w:cs="Arial" w:eastAsia="Arial" w:hAnsi="Arial"/>
          <w:sz w:val="22"/>
          <w:szCs w:val="22"/>
          <w:color w:val="auto"/>
        </w:rPr>
        <w:t>Delaware</w:t>
      </w:r>
    </w:p>
    <w:p>
      <w:pPr>
        <w:spacing w:after="0" w:line="24" w:lineRule="exact"/>
        <w:rPr>
          <w:sz w:val="20"/>
          <w:szCs w:val="20"/>
          <w:color w:val="auto"/>
        </w:rPr>
      </w:pPr>
    </w:p>
    <w:tbl>
      <w:tblPr>
        <w:tblLayout w:type="fixed"/>
        <w:tblInd w:w="204" w:type="dxa"/>
        <w:tblCellMar>
          <w:top w:w="0" w:type="dxa"/>
          <w:left w:w="0" w:type="dxa"/>
          <w:bottom w:w="0" w:type="dxa"/>
          <w:right w:w="0" w:type="dxa"/>
        </w:tblCellMar>
      </w:tblPr>
      <w:tr>
        <w:trPr>
          <w:trHeight w:val="230"/>
        </w:trPr>
        <w:tc>
          <w:tcPr>
            <w:tcW w:w="1340" w:type="dxa"/>
            <w:vAlign w:val="bottom"/>
          </w:tcPr>
          <w:p>
            <w:pPr>
              <w:spacing w:after="0"/>
              <w:rPr>
                <w:sz w:val="20"/>
                <w:szCs w:val="20"/>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7</w:t>
            </w:r>
          </w:p>
        </w:tc>
        <w:tc>
          <w:tcPr>
            <w:tcW w:w="9020" w:type="dxa"/>
            <w:vAlign w:val="bottom"/>
          </w:tcPr>
          <w:p>
            <w:pPr>
              <w:ind w:left="12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58"/>
        </w:trPr>
        <w:tc>
          <w:tcPr>
            <w:tcW w:w="1340" w:type="dxa"/>
            <w:vAlign w:val="bottom"/>
          </w:tcPr>
          <w:p>
            <w:pPr>
              <w:jc w:val="center"/>
              <w:spacing w:after="0"/>
              <w:rPr>
                <w:sz w:val="20"/>
                <w:szCs w:val="20"/>
                <w:color w:val="auto"/>
              </w:rPr>
            </w:pPr>
            <w:r>
              <w:rPr>
                <w:rFonts w:ascii="Arial" w:cs="Arial" w:eastAsia="Arial" w:hAnsi="Arial"/>
                <w:sz w:val="18"/>
                <w:szCs w:val="18"/>
                <w:color w:val="auto"/>
                <w:w w:val="98"/>
              </w:rPr>
              <w:t>NUMBER OF</w:t>
            </w:r>
          </w:p>
        </w:tc>
        <w:tc>
          <w:tcPr>
            <w:tcW w:w="460" w:type="dxa"/>
            <w:vAlign w:val="bottom"/>
          </w:tcPr>
          <w:p>
            <w:pPr>
              <w:spacing w:after="0"/>
              <w:rPr>
                <w:sz w:val="24"/>
                <w:szCs w:val="24"/>
                <w:color w:val="auto"/>
              </w:rPr>
            </w:pPr>
          </w:p>
        </w:tc>
        <w:tc>
          <w:tcPr>
            <w:tcW w:w="9020" w:type="dxa"/>
            <w:vAlign w:val="bottom"/>
          </w:tcPr>
          <w:p>
            <w:pPr>
              <w:ind w:left="12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41"/>
        </w:trPr>
        <w:tc>
          <w:tcPr>
            <w:tcW w:w="1340" w:type="dxa"/>
            <w:vAlign w:val="bottom"/>
            <w:vMerge w:val="restart"/>
          </w:tcPr>
          <w:p>
            <w:pPr>
              <w:jc w:val="center"/>
              <w:spacing w:after="0"/>
              <w:rPr>
                <w:sz w:val="20"/>
                <w:szCs w:val="20"/>
                <w:color w:val="auto"/>
              </w:rPr>
            </w:pPr>
            <w:r>
              <w:rPr>
                <w:rFonts w:ascii="Arial" w:cs="Arial" w:eastAsia="Arial" w:hAnsi="Arial"/>
                <w:sz w:val="18"/>
                <w:szCs w:val="18"/>
                <w:color w:val="auto"/>
                <w:w w:val="94"/>
              </w:rPr>
              <w:t>SHARES</w:t>
            </w:r>
          </w:p>
        </w:tc>
        <w:tc>
          <w:tcPr>
            <w:tcW w:w="460" w:type="dxa"/>
            <w:vAlign w:val="bottom"/>
            <w:tcBorders>
              <w:bottom w:val="single" w:sz="8" w:color="auto"/>
            </w:tcBorders>
          </w:tcPr>
          <w:p>
            <w:pPr>
              <w:spacing w:after="0"/>
              <w:rPr>
                <w:sz w:val="3"/>
                <w:szCs w:val="3"/>
                <w:color w:val="auto"/>
              </w:rPr>
            </w:pPr>
          </w:p>
        </w:tc>
        <w:tc>
          <w:tcPr>
            <w:tcW w:w="90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6"/>
        </w:trPr>
        <w:tc>
          <w:tcPr>
            <w:tcW w:w="1340" w:type="dxa"/>
            <w:vAlign w:val="bottom"/>
            <w:vMerge w:val="continue"/>
          </w:tcPr>
          <w:p>
            <w:pPr>
              <w:spacing w:after="0"/>
              <w:rPr>
                <w:sz w:val="13"/>
                <w:szCs w:val="13"/>
                <w:color w:val="auto"/>
              </w:rPr>
            </w:pPr>
          </w:p>
        </w:tc>
        <w:tc>
          <w:tcPr>
            <w:tcW w:w="460" w:type="dxa"/>
            <w:vAlign w:val="bottom"/>
          </w:tcPr>
          <w:p>
            <w:pPr>
              <w:jc w:val="right"/>
              <w:ind w:right="10"/>
              <w:spacing w:after="0" w:line="156" w:lineRule="exact"/>
              <w:rPr>
                <w:sz w:val="20"/>
                <w:szCs w:val="20"/>
                <w:color w:val="auto"/>
              </w:rPr>
            </w:pPr>
            <w:r>
              <w:rPr>
                <w:rFonts w:ascii="Arial" w:cs="Arial" w:eastAsia="Arial" w:hAnsi="Arial"/>
                <w:sz w:val="18"/>
                <w:szCs w:val="18"/>
                <w:color w:val="auto"/>
              </w:rPr>
              <w:t>8</w:t>
            </w:r>
          </w:p>
        </w:tc>
        <w:tc>
          <w:tcPr>
            <w:tcW w:w="9020" w:type="dxa"/>
            <w:vAlign w:val="bottom"/>
          </w:tcPr>
          <w:p>
            <w:pPr>
              <w:ind w:left="120"/>
              <w:spacing w:after="0" w:line="156" w:lineRule="exact"/>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5"/>
        </w:trPr>
        <w:tc>
          <w:tcPr>
            <w:tcW w:w="1340" w:type="dxa"/>
            <w:vAlign w:val="bottom"/>
          </w:tcPr>
          <w:p>
            <w:pPr>
              <w:jc w:val="center"/>
              <w:spacing w:after="0"/>
              <w:rPr>
                <w:sz w:val="20"/>
                <w:szCs w:val="20"/>
                <w:color w:val="auto"/>
              </w:rPr>
            </w:pPr>
            <w:r>
              <w:rPr>
                <w:rFonts w:ascii="Arial" w:cs="Arial" w:eastAsia="Arial" w:hAnsi="Arial"/>
                <w:sz w:val="18"/>
                <w:szCs w:val="18"/>
                <w:color w:val="auto"/>
                <w:w w:val="99"/>
              </w:rPr>
              <w:t>BENEFICIALLY</w:t>
            </w:r>
          </w:p>
        </w:tc>
        <w:tc>
          <w:tcPr>
            <w:tcW w:w="460" w:type="dxa"/>
            <w:vAlign w:val="bottom"/>
          </w:tcPr>
          <w:p>
            <w:pPr>
              <w:spacing w:after="0"/>
              <w:rPr>
                <w:sz w:val="18"/>
                <w:szCs w:val="18"/>
                <w:color w:val="auto"/>
              </w:rPr>
            </w:pPr>
          </w:p>
        </w:tc>
        <w:tc>
          <w:tcPr>
            <w:tcW w:w="9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jc w:val="center"/>
              <w:spacing w:after="0"/>
              <w:rPr>
                <w:sz w:val="20"/>
                <w:szCs w:val="20"/>
                <w:color w:val="auto"/>
              </w:rPr>
            </w:pPr>
            <w:r>
              <w:rPr>
                <w:rFonts w:ascii="Arial" w:cs="Arial" w:eastAsia="Arial" w:hAnsi="Arial"/>
                <w:sz w:val="18"/>
                <w:szCs w:val="18"/>
                <w:color w:val="auto"/>
                <w:w w:val="99"/>
              </w:rPr>
              <w:t>OWNED BY</w:t>
            </w:r>
          </w:p>
        </w:tc>
        <w:tc>
          <w:tcPr>
            <w:tcW w:w="460" w:type="dxa"/>
            <w:vAlign w:val="bottom"/>
          </w:tcPr>
          <w:p>
            <w:pPr>
              <w:spacing w:after="0"/>
              <w:rPr>
                <w:sz w:val="18"/>
                <w:szCs w:val="18"/>
                <w:color w:val="auto"/>
              </w:rPr>
            </w:pPr>
          </w:p>
        </w:tc>
        <w:tc>
          <w:tcPr>
            <w:tcW w:w="9020" w:type="dxa"/>
            <w:vAlign w:val="bottom"/>
            <w:vMerge w:val="restart"/>
          </w:tcPr>
          <w:p>
            <w:pPr>
              <w:ind w:left="120"/>
              <w:spacing w:after="0"/>
              <w:rPr>
                <w:sz w:val="20"/>
                <w:szCs w:val="20"/>
                <w:color w:val="auto"/>
              </w:rPr>
            </w:pPr>
            <w:r>
              <w:rPr>
                <w:rFonts w:ascii="Arial" w:cs="Arial" w:eastAsia="Arial" w:hAnsi="Arial"/>
                <w:sz w:val="22"/>
                <w:szCs w:val="22"/>
                <w:color w:val="auto"/>
              </w:rPr>
              <w:t>21,374 Shares of Common Stock (1)</w:t>
            </w:r>
          </w:p>
        </w:tc>
        <w:tc>
          <w:tcPr>
            <w:tcW w:w="0" w:type="dxa"/>
            <w:vAlign w:val="bottom"/>
          </w:tcPr>
          <w:p>
            <w:pPr>
              <w:spacing w:after="0"/>
              <w:rPr>
                <w:sz w:val="1"/>
                <w:szCs w:val="1"/>
                <w:color w:val="auto"/>
              </w:rPr>
            </w:pPr>
          </w:p>
        </w:tc>
      </w:tr>
      <w:tr>
        <w:trPr>
          <w:trHeight w:val="121"/>
        </w:trPr>
        <w:tc>
          <w:tcPr>
            <w:tcW w:w="1340" w:type="dxa"/>
            <w:vAlign w:val="bottom"/>
            <w:vMerge w:val="restart"/>
          </w:tcPr>
          <w:p>
            <w:pPr>
              <w:jc w:val="center"/>
              <w:spacing w:after="0"/>
              <w:rPr>
                <w:sz w:val="20"/>
                <w:szCs w:val="20"/>
                <w:color w:val="auto"/>
              </w:rPr>
            </w:pPr>
            <w:r>
              <w:rPr>
                <w:rFonts w:ascii="Arial" w:cs="Arial" w:eastAsia="Arial" w:hAnsi="Arial"/>
                <w:sz w:val="18"/>
                <w:szCs w:val="18"/>
                <w:color w:val="auto"/>
                <w:w w:val="99"/>
              </w:rPr>
              <w:t>EACH</w:t>
            </w:r>
          </w:p>
        </w:tc>
        <w:tc>
          <w:tcPr>
            <w:tcW w:w="460" w:type="dxa"/>
            <w:vAlign w:val="bottom"/>
            <w:tcBorders>
              <w:bottom w:val="single" w:sz="8" w:color="auto"/>
            </w:tcBorders>
          </w:tcPr>
          <w:p>
            <w:pPr>
              <w:spacing w:after="0"/>
              <w:rPr>
                <w:sz w:val="10"/>
                <w:szCs w:val="10"/>
                <w:color w:val="auto"/>
              </w:rPr>
            </w:pPr>
          </w:p>
        </w:tc>
        <w:tc>
          <w:tcPr>
            <w:tcW w:w="902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5"/>
        </w:trPr>
        <w:tc>
          <w:tcPr>
            <w:tcW w:w="1340" w:type="dxa"/>
            <w:vAlign w:val="bottom"/>
            <w:vMerge w:val="continue"/>
          </w:tcPr>
          <w:p>
            <w:pPr>
              <w:spacing w:after="0"/>
              <w:rPr>
                <w:sz w:val="6"/>
                <w:szCs w:val="6"/>
                <w:color w:val="auto"/>
              </w:rPr>
            </w:pPr>
          </w:p>
        </w:tc>
        <w:tc>
          <w:tcPr>
            <w:tcW w:w="460" w:type="dxa"/>
            <w:vAlign w:val="bottom"/>
            <w:vMerge w:val="restart"/>
          </w:tcPr>
          <w:p>
            <w:pPr>
              <w:jc w:val="right"/>
              <w:ind w:right="10"/>
              <w:spacing w:after="0"/>
              <w:rPr>
                <w:sz w:val="20"/>
                <w:szCs w:val="20"/>
                <w:color w:val="auto"/>
              </w:rPr>
            </w:pPr>
            <w:r>
              <w:rPr>
                <w:rFonts w:ascii="Arial" w:cs="Arial" w:eastAsia="Arial" w:hAnsi="Arial"/>
                <w:sz w:val="18"/>
                <w:szCs w:val="18"/>
                <w:color w:val="auto"/>
              </w:rPr>
              <w:t>9</w:t>
            </w:r>
          </w:p>
        </w:tc>
        <w:tc>
          <w:tcPr>
            <w:tcW w:w="9020" w:type="dxa"/>
            <w:vAlign w:val="bottom"/>
            <w:vMerge w:val="restart"/>
          </w:tcPr>
          <w:p>
            <w:pPr>
              <w:ind w:left="12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1340" w:type="dxa"/>
            <w:vAlign w:val="bottom"/>
            <w:vMerge w:val="restart"/>
          </w:tcPr>
          <w:p>
            <w:pPr>
              <w:jc w:val="center"/>
              <w:spacing w:after="0"/>
              <w:rPr>
                <w:sz w:val="20"/>
                <w:szCs w:val="20"/>
                <w:color w:val="auto"/>
              </w:rPr>
            </w:pPr>
            <w:r>
              <w:rPr>
                <w:rFonts w:ascii="Arial" w:cs="Arial" w:eastAsia="Arial" w:hAnsi="Arial"/>
                <w:sz w:val="18"/>
                <w:szCs w:val="18"/>
                <w:color w:val="auto"/>
                <w:w w:val="93"/>
              </w:rPr>
              <w:t>REPORTING</w:t>
            </w:r>
          </w:p>
        </w:tc>
        <w:tc>
          <w:tcPr>
            <w:tcW w:w="460" w:type="dxa"/>
            <w:vAlign w:val="bottom"/>
            <w:vMerge w:val="continue"/>
          </w:tcPr>
          <w:p>
            <w:pPr>
              <w:spacing w:after="0"/>
              <w:rPr>
                <w:sz w:val="13"/>
                <w:szCs w:val="13"/>
                <w:color w:val="auto"/>
              </w:rPr>
            </w:pPr>
          </w:p>
        </w:tc>
        <w:tc>
          <w:tcPr>
            <w:tcW w:w="9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1340" w:type="dxa"/>
            <w:vAlign w:val="bottom"/>
            <w:vMerge w:val="continue"/>
          </w:tcPr>
          <w:p>
            <w:pPr>
              <w:spacing w:after="0"/>
              <w:rPr>
                <w:sz w:val="5"/>
                <w:szCs w:val="5"/>
                <w:color w:val="auto"/>
              </w:rPr>
            </w:pPr>
          </w:p>
        </w:tc>
        <w:tc>
          <w:tcPr>
            <w:tcW w:w="460" w:type="dxa"/>
            <w:vAlign w:val="bottom"/>
          </w:tcPr>
          <w:p>
            <w:pPr>
              <w:spacing w:after="0"/>
              <w:rPr>
                <w:sz w:val="5"/>
                <w:szCs w:val="5"/>
                <w:color w:val="auto"/>
              </w:rPr>
            </w:pPr>
          </w:p>
        </w:tc>
        <w:tc>
          <w:tcPr>
            <w:tcW w:w="90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340" w:type="dxa"/>
            <w:vAlign w:val="bottom"/>
          </w:tcPr>
          <w:p>
            <w:pPr>
              <w:jc w:val="center"/>
              <w:spacing w:after="0"/>
              <w:rPr>
                <w:sz w:val="20"/>
                <w:szCs w:val="20"/>
                <w:color w:val="auto"/>
              </w:rPr>
            </w:pPr>
            <w:r>
              <w:rPr>
                <w:rFonts w:ascii="Arial" w:cs="Arial" w:eastAsia="Arial" w:hAnsi="Arial"/>
                <w:sz w:val="18"/>
                <w:szCs w:val="18"/>
                <w:color w:val="auto"/>
                <w:w w:val="92"/>
              </w:rPr>
              <w:t>PERSON</w:t>
            </w:r>
          </w:p>
        </w:tc>
        <w:tc>
          <w:tcPr>
            <w:tcW w:w="460" w:type="dxa"/>
            <w:vAlign w:val="bottom"/>
          </w:tcPr>
          <w:p>
            <w:pPr>
              <w:spacing w:after="0"/>
              <w:rPr>
                <w:sz w:val="18"/>
                <w:szCs w:val="18"/>
                <w:color w:val="auto"/>
              </w:rPr>
            </w:pPr>
          </w:p>
        </w:tc>
        <w:tc>
          <w:tcPr>
            <w:tcW w:w="9020" w:type="dxa"/>
            <w:vAlign w:val="bottom"/>
            <w:vMerge w:val="restart"/>
          </w:tcPr>
          <w:p>
            <w:pPr>
              <w:ind w:left="12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03"/>
        </w:trPr>
        <w:tc>
          <w:tcPr>
            <w:tcW w:w="1340" w:type="dxa"/>
            <w:vAlign w:val="bottom"/>
          </w:tcPr>
          <w:p>
            <w:pPr>
              <w:jc w:val="center"/>
              <w:spacing w:after="0" w:line="203" w:lineRule="exact"/>
              <w:rPr>
                <w:sz w:val="20"/>
                <w:szCs w:val="20"/>
                <w:color w:val="auto"/>
              </w:rPr>
            </w:pPr>
            <w:r>
              <w:rPr>
                <w:rFonts w:ascii="Arial" w:cs="Arial" w:eastAsia="Arial" w:hAnsi="Arial"/>
                <w:sz w:val="18"/>
                <w:szCs w:val="18"/>
                <w:color w:val="auto"/>
                <w:w w:val="99"/>
              </w:rPr>
              <w:t>WITH</w:t>
            </w:r>
          </w:p>
        </w:tc>
        <w:tc>
          <w:tcPr>
            <w:tcW w:w="460" w:type="dxa"/>
            <w:vAlign w:val="bottom"/>
            <w:tcBorders>
              <w:bottom w:val="single" w:sz="8" w:color="auto"/>
            </w:tcBorders>
          </w:tcPr>
          <w:p>
            <w:pPr>
              <w:spacing w:after="0"/>
              <w:rPr>
                <w:sz w:val="17"/>
                <w:szCs w:val="17"/>
                <w:color w:val="auto"/>
              </w:rPr>
            </w:pPr>
          </w:p>
        </w:tc>
        <w:tc>
          <w:tcPr>
            <w:tcW w:w="90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1340" w:type="dxa"/>
            <w:vAlign w:val="bottom"/>
          </w:tcPr>
          <w:p>
            <w:pPr>
              <w:spacing w:after="0"/>
              <w:rPr>
                <w:sz w:val="19"/>
                <w:szCs w:val="19"/>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10</w:t>
            </w:r>
          </w:p>
        </w:tc>
        <w:tc>
          <w:tcPr>
            <w:tcW w:w="9020" w:type="dxa"/>
            <w:vAlign w:val="bottom"/>
          </w:tcPr>
          <w:p>
            <w:pPr>
              <w:ind w:left="12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bl>
    <w:p>
      <w:pPr>
        <w:spacing w:after="0" w:line="207" w:lineRule="exact"/>
        <w:rPr>
          <w:sz w:val="20"/>
          <w:szCs w:val="20"/>
          <w:color w:val="auto"/>
        </w:rPr>
      </w:pPr>
    </w:p>
    <w:p>
      <w:pPr>
        <w:jc w:val="center"/>
        <w:ind w:right="1616"/>
        <w:spacing w:after="0"/>
        <w:rPr>
          <w:sz w:val="20"/>
          <w:szCs w:val="20"/>
          <w:color w:val="auto"/>
        </w:rPr>
      </w:pPr>
      <w:r>
        <w:rPr>
          <w:rFonts w:ascii="Arial" w:cs="Arial" w:eastAsia="Arial" w:hAnsi="Arial"/>
          <w:sz w:val="22"/>
          <w:szCs w:val="22"/>
          <w:color w:val="auto"/>
        </w:rPr>
        <w:t>21,374 Shares of Common Stock (1)</w:t>
      </w:r>
    </w:p>
    <w:p>
      <w:pPr>
        <w:spacing w:after="0" w:line="24" w:lineRule="exact"/>
        <w:rPr>
          <w:sz w:val="20"/>
          <w:szCs w:val="20"/>
          <w:color w:val="auto"/>
        </w:rPr>
      </w:pPr>
    </w:p>
    <w:p>
      <w:pPr>
        <w:ind w:left="164"/>
        <w:spacing w:after="0"/>
        <w:tabs>
          <w:tab w:leader="none" w:pos="484"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7"/>
          <w:szCs w:val="17"/>
          <w:color w:val="auto"/>
        </w:rPr>
        <w:t>AGGREGATE AMOUNT BENEFICIALLY OWNED BY EACH REPORTING PERSON</w:t>
      </w:r>
    </w:p>
    <w:p>
      <w:pPr>
        <w:spacing w:after="0" w:line="245" w:lineRule="exact"/>
        <w:rPr>
          <w:sz w:val="20"/>
          <w:szCs w:val="20"/>
          <w:color w:val="auto"/>
        </w:rPr>
      </w:pPr>
    </w:p>
    <w:p>
      <w:pPr>
        <w:ind w:left="504"/>
        <w:spacing w:after="0"/>
        <w:rPr>
          <w:sz w:val="20"/>
          <w:szCs w:val="20"/>
          <w:color w:val="auto"/>
        </w:rPr>
      </w:pPr>
      <w:r>
        <w:rPr>
          <w:rFonts w:ascii="Arial" w:cs="Arial" w:eastAsia="Arial" w:hAnsi="Arial"/>
          <w:sz w:val="22"/>
          <w:szCs w:val="22"/>
          <w:color w:val="auto"/>
        </w:rPr>
        <w:t>21,374 Shares of Common Stock (1)</w:t>
      </w:r>
    </w:p>
    <w:p>
      <w:pPr>
        <w:spacing w:after="0" w:line="21" w:lineRule="exact"/>
        <w:rPr>
          <w:sz w:val="20"/>
          <w:szCs w:val="20"/>
          <w:color w:val="auto"/>
        </w:rPr>
      </w:pPr>
    </w:p>
    <w:p>
      <w:pPr>
        <w:ind w:left="504" w:hanging="347"/>
        <w:spacing w:after="0" w:line="207" w:lineRule="exact"/>
        <w:tabs>
          <w:tab w:leader="none" w:pos="504" w:val="left"/>
        </w:tabs>
        <w:numPr>
          <w:ilvl w:val="0"/>
          <w:numId w:val="24"/>
        </w:numPr>
        <w:rPr>
          <w:rFonts w:ascii="Arial" w:cs="Arial" w:eastAsia="Arial" w:hAnsi="Arial"/>
          <w:sz w:val="18"/>
          <w:szCs w:val="18"/>
          <w:color w:val="auto"/>
        </w:rPr>
      </w:pPr>
      <w:r>
        <w:rPr>
          <w:rFonts w:ascii="Arial" w:cs="Arial" w:eastAsia="Arial" w:hAnsi="Arial"/>
          <w:sz w:val="18"/>
          <w:szCs w:val="18"/>
          <w:color w:val="auto"/>
        </w:rPr>
        <w:t xml:space="preserve">CHECK BOX IF THE AGGREGATE AMOUNT IN ROW (11) EXCLUDES CERTAIN SHARES (see instructions) </w:t>
      </w:r>
      <w:r>
        <w:rPr>
          <w:rFonts w:ascii="MS PGothic" w:cs="MS PGothic" w:eastAsia="MS PGothic" w:hAnsi="MS PGothic"/>
          <w:sz w:val="18"/>
          <w:szCs w:val="18"/>
          <w:color w:val="auto"/>
        </w:rPr>
        <w:t>☐</w:t>
      </w:r>
    </w:p>
    <w:p>
      <w:pPr>
        <w:spacing w:after="0" w:line="200" w:lineRule="exact"/>
        <w:rPr>
          <w:rFonts w:ascii="Arial" w:cs="Arial" w:eastAsia="Arial" w:hAnsi="Arial"/>
          <w:sz w:val="18"/>
          <w:szCs w:val="18"/>
          <w:color w:val="auto"/>
        </w:rPr>
      </w:pPr>
    </w:p>
    <w:p>
      <w:pPr>
        <w:spacing w:after="0" w:line="324" w:lineRule="exact"/>
        <w:rPr>
          <w:rFonts w:ascii="Arial" w:cs="Arial" w:eastAsia="Arial" w:hAnsi="Arial"/>
          <w:sz w:val="18"/>
          <w:szCs w:val="18"/>
          <w:color w:val="auto"/>
        </w:rPr>
      </w:pPr>
    </w:p>
    <w:p>
      <w:pPr>
        <w:ind w:left="504" w:hanging="347"/>
        <w:spacing w:after="0"/>
        <w:tabs>
          <w:tab w:leader="none" w:pos="504" w:val="left"/>
        </w:tabs>
        <w:numPr>
          <w:ilvl w:val="0"/>
          <w:numId w:val="24"/>
        </w:numPr>
        <w:rPr>
          <w:rFonts w:ascii="Arial" w:cs="Arial" w:eastAsia="Arial" w:hAnsi="Arial"/>
          <w:sz w:val="18"/>
          <w:szCs w:val="18"/>
          <w:color w:val="auto"/>
        </w:rPr>
      </w:pPr>
      <w:r>
        <w:rPr>
          <w:rFonts w:ascii="Arial" w:cs="Arial" w:eastAsia="Arial" w:hAnsi="Arial"/>
          <w:sz w:val="18"/>
          <w:szCs w:val="18"/>
          <w:color w:val="auto"/>
        </w:rPr>
        <w:t>PERCENT OF CLASS REPRESENTED BY AMOUNT IN ROW 11</w:t>
      </w:r>
    </w:p>
    <w:p>
      <w:pPr>
        <w:spacing w:after="0" w:line="245" w:lineRule="exact"/>
        <w:rPr>
          <w:sz w:val="20"/>
          <w:szCs w:val="20"/>
          <w:color w:val="auto"/>
        </w:rPr>
      </w:pPr>
    </w:p>
    <w:p>
      <w:pPr>
        <w:ind w:left="504"/>
        <w:spacing w:after="0"/>
        <w:rPr>
          <w:sz w:val="20"/>
          <w:szCs w:val="20"/>
          <w:color w:val="auto"/>
        </w:rPr>
      </w:pPr>
      <w:r>
        <w:rPr>
          <w:rFonts w:ascii="Arial" w:cs="Arial" w:eastAsia="Arial" w:hAnsi="Arial"/>
          <w:sz w:val="22"/>
          <w:szCs w:val="22"/>
          <w:color w:val="auto"/>
        </w:rPr>
        <w:t>0.0% (2)</w:t>
      </w:r>
    </w:p>
    <w:p>
      <w:pPr>
        <w:spacing w:after="0" w:line="24" w:lineRule="exact"/>
        <w:rPr>
          <w:sz w:val="20"/>
          <w:szCs w:val="20"/>
          <w:color w:val="auto"/>
        </w:rPr>
      </w:pPr>
    </w:p>
    <w:p>
      <w:pPr>
        <w:ind w:left="164"/>
        <w:spacing w:after="0"/>
        <w:tabs>
          <w:tab w:leader="none" w:pos="484"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6"/>
          <w:szCs w:val="16"/>
          <w:color w:val="auto"/>
        </w:rPr>
        <w:t>TYPE OF REPORTING PERSON (see instructions)</w:t>
      </w:r>
    </w:p>
    <w:p>
      <w:pPr>
        <w:spacing w:after="0" w:line="245" w:lineRule="exact"/>
        <w:rPr>
          <w:sz w:val="20"/>
          <w:szCs w:val="20"/>
          <w:color w:val="auto"/>
        </w:rPr>
      </w:pPr>
    </w:p>
    <w:p>
      <w:pPr>
        <w:ind w:left="504"/>
        <w:spacing w:after="0"/>
        <w:rPr>
          <w:sz w:val="20"/>
          <w:szCs w:val="20"/>
          <w:color w:val="auto"/>
        </w:rPr>
      </w:pPr>
      <w:r>
        <w:rPr>
          <w:rFonts w:ascii="Arial" w:cs="Arial" w:eastAsia="Arial" w:hAnsi="Arial"/>
          <w:sz w:val="22"/>
          <w:szCs w:val="22"/>
          <w:color w:val="auto"/>
        </w:rPr>
        <w:t>PN</w:t>
      </w:r>
    </w:p>
    <w:p>
      <w:pPr>
        <w:spacing w:after="0" w:line="267" w:lineRule="exact"/>
        <w:rPr>
          <w:sz w:val="20"/>
          <w:szCs w:val="20"/>
          <w:color w:val="auto"/>
        </w:rPr>
      </w:pPr>
    </w:p>
    <w:p>
      <w:pPr>
        <w:ind w:left="424" w:right="100" w:hanging="424"/>
        <w:spacing w:after="0" w:line="287" w:lineRule="auto"/>
        <w:tabs>
          <w:tab w:leader="none" w:pos="424" w:val="left"/>
        </w:tabs>
        <w:numPr>
          <w:ilvl w:val="0"/>
          <w:numId w:val="25"/>
        </w:numPr>
        <w:rPr>
          <w:rFonts w:ascii="Arial" w:cs="Arial" w:eastAsia="Arial" w:hAnsi="Arial"/>
          <w:sz w:val="16"/>
          <w:szCs w:val="16"/>
          <w:color w:val="auto"/>
        </w:rPr>
      </w:pPr>
      <w:r>
        <w:rPr>
          <w:rFonts w:ascii="Arial" w:cs="Arial" w:eastAsia="Arial" w:hAnsi="Arial"/>
          <w:sz w:val="16"/>
          <w:szCs w:val="16"/>
          <w:color w:val="auto"/>
        </w:rPr>
        <w:t>All shares are held of record by Polaris FF V (as defined in Item 2(a) below). PVMC V is the general partner of Polaris FF V and may be deemed to have shared voting, investment and dispositive power with respect to these securities. The PVMC V Managing Members are the managing members of PVMC V and may be deemed to have shared voting, investment and dispositive power with respect to these securities.</w:t>
      </w:r>
    </w:p>
    <w:p>
      <w:pPr>
        <w:spacing w:after="0" w:line="2" w:lineRule="exact"/>
        <w:rPr>
          <w:rFonts w:ascii="Arial" w:cs="Arial" w:eastAsia="Arial" w:hAnsi="Arial"/>
          <w:sz w:val="16"/>
          <w:szCs w:val="16"/>
          <w:color w:val="auto"/>
        </w:rPr>
      </w:pPr>
    </w:p>
    <w:p>
      <w:pPr>
        <w:ind w:left="424" w:right="180" w:hanging="424"/>
        <w:spacing w:after="0" w:line="260" w:lineRule="auto"/>
        <w:tabs>
          <w:tab w:leader="none" w:pos="424"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Based on 111,245,660 shares of Common Stock outstanding (including shares issued upon the full exercise by the underwriters of their option to purchase additional shares in the Offering), as reported by the Issuer in the Prospectus.</w:t>
      </w:r>
    </w:p>
    <w:p>
      <w:pPr>
        <w:sectPr>
          <w:pgSz w:w="11900" w:h="16838" w:orient="portrait"/>
          <w:cols w:equalWidth="0" w:num="1">
            <w:col w:w="11024"/>
          </w:cols>
          <w:pgMar w:left="436" w:top="274" w:right="439" w:bottom="1440" w:gutter="0" w:footer="0" w:header="0"/>
        </w:sectPr>
      </w:pPr>
    </w:p>
    <w:bookmarkStart w:id="4" w:name="page5"/>
    <w:bookmarkEnd w:id="4"/>
    <w:tbl>
      <w:tblPr>
        <w:tblLayout w:type="fixed"/>
        <w:tblInd w:w="4" w:type="dxa"/>
        <w:tblCellMar>
          <w:top w:w="0" w:type="dxa"/>
          <w:left w:w="0" w:type="dxa"/>
          <w:bottom w:w="0" w:type="dxa"/>
          <w:right w:w="0" w:type="dxa"/>
        </w:tblCellMar>
      </w:tblPr>
      <w:tr>
        <w:trPr>
          <w:trHeight w:val="230"/>
        </w:trPr>
        <w:tc>
          <w:tcPr>
            <w:tcW w:w="6200" w:type="dxa"/>
            <w:vAlign w:val="bottom"/>
          </w:tcPr>
          <w:p>
            <w:pPr>
              <w:spacing w:after="0"/>
              <w:rPr>
                <w:sz w:val="20"/>
                <w:szCs w:val="20"/>
                <w:color w:val="auto"/>
              </w:rPr>
            </w:pPr>
            <w:r>
              <w:rPr>
                <w:rFonts w:ascii="Arial" w:cs="Arial" w:eastAsia="Arial" w:hAnsi="Arial"/>
                <w:sz w:val="18"/>
                <w:szCs w:val="18"/>
                <w:color w:val="auto"/>
              </w:rPr>
              <w:t>CUSIP No. 00534A102</w:t>
            </w:r>
          </w:p>
        </w:tc>
        <w:tc>
          <w:tcPr>
            <w:tcW w:w="4820" w:type="dxa"/>
            <w:vAlign w:val="bottom"/>
          </w:tcPr>
          <w:p>
            <w:pPr>
              <w:ind w:left="4500"/>
              <w:spacing w:after="0"/>
              <w:rPr>
                <w:sz w:val="20"/>
                <w:szCs w:val="20"/>
                <w:color w:val="auto"/>
              </w:rPr>
            </w:pPr>
            <w:r>
              <w:rPr>
                <w:rFonts w:ascii="Arial" w:cs="Arial" w:eastAsia="Arial" w:hAnsi="Arial"/>
                <w:sz w:val="18"/>
                <w:szCs w:val="18"/>
                <w:color w:val="auto"/>
                <w:w w:val="90"/>
              </w:rPr>
              <w:t>13D</w:t>
            </w:r>
          </w:p>
        </w:tc>
      </w:tr>
    </w:tbl>
    <w:p>
      <w:pPr>
        <w:spacing w:after="0" w:line="2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524" w:hanging="277"/>
        <w:spacing w:after="0"/>
        <w:tabs>
          <w:tab w:leader="none" w:pos="524" w:val="left"/>
        </w:tabs>
        <w:numPr>
          <w:ilvl w:val="0"/>
          <w:numId w:val="26"/>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-130175</wp:posOffset>
            </wp:positionV>
            <wp:extent cx="7003415" cy="64719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003415" cy="6471920"/>
                    </a:xfrm>
                    <a:prstGeom prst="rect">
                      <a:avLst/>
                    </a:prstGeom>
                    <a:noFill/>
                  </pic:spPr>
                </pic:pic>
              </a:graphicData>
            </a:graphic>
          </wp:anchor>
        </w:drawing>
      </w:r>
    </w:p>
    <w:p>
      <w:pPr>
        <w:spacing w:after="0" w:line="225" w:lineRule="exact"/>
        <w:rPr>
          <w:sz w:val="20"/>
          <w:szCs w:val="20"/>
          <w:color w:val="auto"/>
        </w:rPr>
      </w:pPr>
    </w:p>
    <w:p>
      <w:pPr>
        <w:ind w:left="524"/>
        <w:spacing w:after="0"/>
        <w:rPr>
          <w:sz w:val="20"/>
          <w:szCs w:val="20"/>
          <w:color w:val="auto"/>
        </w:rPr>
      </w:pPr>
      <w:r>
        <w:rPr>
          <w:rFonts w:ascii="Arial" w:cs="Arial" w:eastAsia="Arial" w:hAnsi="Arial"/>
          <w:sz w:val="22"/>
          <w:szCs w:val="22"/>
          <w:color w:val="auto"/>
        </w:rPr>
        <w:t>Polaris Venture Partners Special Founders’ Fund V, L.P.</w:t>
      </w:r>
    </w:p>
    <w:p>
      <w:pPr>
        <w:spacing w:after="0" w:line="24" w:lineRule="exact"/>
        <w:rPr>
          <w:sz w:val="20"/>
          <w:szCs w:val="20"/>
          <w:color w:val="auto"/>
        </w:rPr>
      </w:pPr>
    </w:p>
    <w:p>
      <w:pPr>
        <w:ind w:left="524" w:hanging="277"/>
        <w:spacing w:after="0"/>
        <w:tabs>
          <w:tab w:leader="none" w:pos="524"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8" w:lineRule="exact"/>
        <w:rPr>
          <w:sz w:val="20"/>
          <w:szCs w:val="20"/>
          <w:color w:val="auto"/>
        </w:rPr>
      </w:pPr>
    </w:p>
    <w:p>
      <w:pPr>
        <w:ind w:left="524"/>
        <w:spacing w:after="0" w:line="207" w:lineRule="exact"/>
        <w:tabs>
          <w:tab w:leader="none" w:pos="1324"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524" w:hanging="277"/>
        <w:spacing w:after="0"/>
        <w:tabs>
          <w:tab w:leader="none" w:pos="524" w:val="left"/>
        </w:tabs>
        <w:numPr>
          <w:ilvl w:val="0"/>
          <w:numId w:val="28"/>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sz w:val="20"/>
          <w:szCs w:val="20"/>
          <w:color w:val="auto"/>
        </w:rPr>
      </w:pPr>
    </w:p>
    <w:p>
      <w:pPr>
        <w:spacing w:after="0" w:line="322" w:lineRule="exact"/>
        <w:rPr>
          <w:sz w:val="20"/>
          <w:szCs w:val="20"/>
          <w:color w:val="auto"/>
        </w:rPr>
      </w:pPr>
    </w:p>
    <w:p>
      <w:pPr>
        <w:ind w:left="524" w:hanging="277"/>
        <w:spacing w:after="0"/>
        <w:tabs>
          <w:tab w:leader="none" w:pos="524" w:val="left"/>
        </w:tabs>
        <w:numPr>
          <w:ilvl w:val="0"/>
          <w:numId w:val="29"/>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45" w:lineRule="exact"/>
        <w:rPr>
          <w:sz w:val="20"/>
          <w:szCs w:val="20"/>
          <w:color w:val="auto"/>
        </w:rPr>
      </w:pPr>
    </w:p>
    <w:p>
      <w:pPr>
        <w:ind w:left="524"/>
        <w:spacing w:after="0"/>
        <w:rPr>
          <w:sz w:val="20"/>
          <w:szCs w:val="20"/>
          <w:color w:val="auto"/>
        </w:rPr>
      </w:pPr>
      <w:r>
        <w:rPr>
          <w:rFonts w:ascii="Arial" w:cs="Arial" w:eastAsia="Arial" w:hAnsi="Arial"/>
          <w:sz w:val="22"/>
          <w:szCs w:val="22"/>
          <w:color w:val="auto"/>
        </w:rPr>
        <w:t>WC</w:t>
      </w:r>
    </w:p>
    <w:p>
      <w:pPr>
        <w:spacing w:after="0" w:line="21" w:lineRule="exact"/>
        <w:rPr>
          <w:sz w:val="20"/>
          <w:szCs w:val="20"/>
          <w:color w:val="auto"/>
        </w:rPr>
      </w:pPr>
    </w:p>
    <w:p>
      <w:pPr>
        <w:ind w:left="524" w:hanging="277"/>
        <w:spacing w:after="0" w:line="207" w:lineRule="exact"/>
        <w:tabs>
          <w:tab w:leader="none" w:pos="524" w:val="left"/>
        </w:tabs>
        <w:numPr>
          <w:ilvl w:val="0"/>
          <w:numId w:val="30"/>
        </w:numPr>
        <w:rPr>
          <w:rFonts w:ascii="Arial" w:cs="Arial" w:eastAsia="Arial" w:hAnsi="Arial"/>
          <w:sz w:val="18"/>
          <w:szCs w:val="18"/>
          <w:color w:val="auto"/>
        </w:rPr>
      </w:pPr>
      <w:r>
        <w:rPr>
          <w:rFonts w:ascii="Arial" w:cs="Arial" w:eastAsia="Arial" w:hAnsi="Arial"/>
          <w:sz w:val="18"/>
          <w:szCs w:val="18"/>
          <w:color w:val="auto"/>
        </w:rPr>
        <w:t xml:space="preserve">CHECK IF DISCLOSURE OF LEGAL PROCEEDINGS IS REQUIRED PURSUANT TO ITEM 2(d) or 2(e) </w:t>
      </w:r>
      <w:r>
        <w:rPr>
          <w:rFonts w:ascii="MS PGothic" w:cs="MS PGothic" w:eastAsia="MS PGothic" w:hAnsi="MS PGothic"/>
          <w:sz w:val="18"/>
          <w:szCs w:val="18"/>
          <w:color w:val="auto"/>
        </w:rPr>
        <w:t>☐</w:t>
      </w:r>
    </w:p>
    <w:p>
      <w:pPr>
        <w:spacing w:after="0" w:line="200" w:lineRule="exact"/>
        <w:rPr>
          <w:sz w:val="20"/>
          <w:szCs w:val="20"/>
          <w:color w:val="auto"/>
        </w:rPr>
      </w:pPr>
    </w:p>
    <w:p>
      <w:pPr>
        <w:spacing w:after="0" w:line="325" w:lineRule="exact"/>
        <w:rPr>
          <w:sz w:val="20"/>
          <w:szCs w:val="20"/>
          <w:color w:val="auto"/>
        </w:rPr>
      </w:pPr>
    </w:p>
    <w:p>
      <w:pPr>
        <w:ind w:left="524" w:hanging="277"/>
        <w:spacing w:after="0"/>
        <w:tabs>
          <w:tab w:leader="none" w:pos="524" w:val="left"/>
        </w:tabs>
        <w:numPr>
          <w:ilvl w:val="0"/>
          <w:numId w:val="31"/>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45" w:lineRule="exact"/>
        <w:rPr>
          <w:sz w:val="20"/>
          <w:szCs w:val="20"/>
          <w:color w:val="auto"/>
        </w:rPr>
      </w:pPr>
    </w:p>
    <w:p>
      <w:pPr>
        <w:ind w:left="524"/>
        <w:spacing w:after="0"/>
        <w:rPr>
          <w:sz w:val="20"/>
          <w:szCs w:val="20"/>
          <w:color w:val="auto"/>
        </w:rPr>
      </w:pPr>
      <w:r>
        <w:rPr>
          <w:rFonts w:ascii="Arial" w:cs="Arial" w:eastAsia="Arial" w:hAnsi="Arial"/>
          <w:sz w:val="22"/>
          <w:szCs w:val="22"/>
          <w:color w:val="auto"/>
        </w:rPr>
        <w:t>Delaware</w:t>
      </w:r>
    </w:p>
    <w:p>
      <w:pPr>
        <w:spacing w:after="0" w:line="24" w:lineRule="exact"/>
        <w:rPr>
          <w:sz w:val="20"/>
          <w:szCs w:val="20"/>
          <w:color w:val="auto"/>
        </w:rPr>
      </w:pPr>
    </w:p>
    <w:tbl>
      <w:tblPr>
        <w:tblLayout w:type="fixed"/>
        <w:tblInd w:w="204" w:type="dxa"/>
        <w:tblCellMar>
          <w:top w:w="0" w:type="dxa"/>
          <w:left w:w="0" w:type="dxa"/>
          <w:bottom w:w="0" w:type="dxa"/>
          <w:right w:w="0" w:type="dxa"/>
        </w:tblCellMar>
      </w:tblPr>
      <w:tr>
        <w:trPr>
          <w:trHeight w:val="230"/>
        </w:trPr>
        <w:tc>
          <w:tcPr>
            <w:tcW w:w="1340" w:type="dxa"/>
            <w:vAlign w:val="bottom"/>
          </w:tcPr>
          <w:p>
            <w:pPr>
              <w:spacing w:after="0"/>
              <w:rPr>
                <w:sz w:val="20"/>
                <w:szCs w:val="20"/>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7</w:t>
            </w:r>
          </w:p>
        </w:tc>
        <w:tc>
          <w:tcPr>
            <w:tcW w:w="9020" w:type="dxa"/>
            <w:vAlign w:val="bottom"/>
          </w:tcPr>
          <w:p>
            <w:pPr>
              <w:ind w:left="12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58"/>
        </w:trPr>
        <w:tc>
          <w:tcPr>
            <w:tcW w:w="1340" w:type="dxa"/>
            <w:vAlign w:val="bottom"/>
          </w:tcPr>
          <w:p>
            <w:pPr>
              <w:jc w:val="center"/>
              <w:spacing w:after="0"/>
              <w:rPr>
                <w:sz w:val="20"/>
                <w:szCs w:val="20"/>
                <w:color w:val="auto"/>
              </w:rPr>
            </w:pPr>
            <w:r>
              <w:rPr>
                <w:rFonts w:ascii="Arial" w:cs="Arial" w:eastAsia="Arial" w:hAnsi="Arial"/>
                <w:sz w:val="18"/>
                <w:szCs w:val="18"/>
                <w:color w:val="auto"/>
                <w:w w:val="98"/>
              </w:rPr>
              <w:t>NUMBER OF</w:t>
            </w:r>
          </w:p>
        </w:tc>
        <w:tc>
          <w:tcPr>
            <w:tcW w:w="460" w:type="dxa"/>
            <w:vAlign w:val="bottom"/>
          </w:tcPr>
          <w:p>
            <w:pPr>
              <w:spacing w:after="0"/>
              <w:rPr>
                <w:sz w:val="24"/>
                <w:szCs w:val="24"/>
                <w:color w:val="auto"/>
              </w:rPr>
            </w:pPr>
          </w:p>
        </w:tc>
        <w:tc>
          <w:tcPr>
            <w:tcW w:w="9020" w:type="dxa"/>
            <w:vAlign w:val="bottom"/>
          </w:tcPr>
          <w:p>
            <w:pPr>
              <w:ind w:left="12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41"/>
        </w:trPr>
        <w:tc>
          <w:tcPr>
            <w:tcW w:w="1340" w:type="dxa"/>
            <w:vAlign w:val="bottom"/>
            <w:vMerge w:val="restart"/>
          </w:tcPr>
          <w:p>
            <w:pPr>
              <w:jc w:val="center"/>
              <w:spacing w:after="0"/>
              <w:rPr>
                <w:sz w:val="20"/>
                <w:szCs w:val="20"/>
                <w:color w:val="auto"/>
              </w:rPr>
            </w:pPr>
            <w:r>
              <w:rPr>
                <w:rFonts w:ascii="Arial" w:cs="Arial" w:eastAsia="Arial" w:hAnsi="Arial"/>
                <w:sz w:val="18"/>
                <w:szCs w:val="18"/>
                <w:color w:val="auto"/>
                <w:w w:val="94"/>
              </w:rPr>
              <w:t>SHARES</w:t>
            </w:r>
          </w:p>
        </w:tc>
        <w:tc>
          <w:tcPr>
            <w:tcW w:w="460" w:type="dxa"/>
            <w:vAlign w:val="bottom"/>
            <w:tcBorders>
              <w:bottom w:val="single" w:sz="8" w:color="auto"/>
            </w:tcBorders>
          </w:tcPr>
          <w:p>
            <w:pPr>
              <w:spacing w:after="0"/>
              <w:rPr>
                <w:sz w:val="3"/>
                <w:szCs w:val="3"/>
                <w:color w:val="auto"/>
              </w:rPr>
            </w:pPr>
          </w:p>
        </w:tc>
        <w:tc>
          <w:tcPr>
            <w:tcW w:w="90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6"/>
        </w:trPr>
        <w:tc>
          <w:tcPr>
            <w:tcW w:w="1340" w:type="dxa"/>
            <w:vAlign w:val="bottom"/>
            <w:vMerge w:val="continue"/>
          </w:tcPr>
          <w:p>
            <w:pPr>
              <w:spacing w:after="0"/>
              <w:rPr>
                <w:sz w:val="13"/>
                <w:szCs w:val="13"/>
                <w:color w:val="auto"/>
              </w:rPr>
            </w:pPr>
          </w:p>
        </w:tc>
        <w:tc>
          <w:tcPr>
            <w:tcW w:w="460" w:type="dxa"/>
            <w:vAlign w:val="bottom"/>
          </w:tcPr>
          <w:p>
            <w:pPr>
              <w:jc w:val="right"/>
              <w:ind w:right="10"/>
              <w:spacing w:after="0" w:line="156" w:lineRule="exact"/>
              <w:rPr>
                <w:sz w:val="20"/>
                <w:szCs w:val="20"/>
                <w:color w:val="auto"/>
              </w:rPr>
            </w:pPr>
            <w:r>
              <w:rPr>
                <w:rFonts w:ascii="Arial" w:cs="Arial" w:eastAsia="Arial" w:hAnsi="Arial"/>
                <w:sz w:val="18"/>
                <w:szCs w:val="18"/>
                <w:color w:val="auto"/>
              </w:rPr>
              <w:t>8</w:t>
            </w:r>
          </w:p>
        </w:tc>
        <w:tc>
          <w:tcPr>
            <w:tcW w:w="9020" w:type="dxa"/>
            <w:vAlign w:val="bottom"/>
          </w:tcPr>
          <w:p>
            <w:pPr>
              <w:ind w:left="120"/>
              <w:spacing w:after="0" w:line="156" w:lineRule="exact"/>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5"/>
        </w:trPr>
        <w:tc>
          <w:tcPr>
            <w:tcW w:w="1340" w:type="dxa"/>
            <w:vAlign w:val="bottom"/>
          </w:tcPr>
          <w:p>
            <w:pPr>
              <w:jc w:val="center"/>
              <w:spacing w:after="0"/>
              <w:rPr>
                <w:sz w:val="20"/>
                <w:szCs w:val="20"/>
                <w:color w:val="auto"/>
              </w:rPr>
            </w:pPr>
            <w:r>
              <w:rPr>
                <w:rFonts w:ascii="Arial" w:cs="Arial" w:eastAsia="Arial" w:hAnsi="Arial"/>
                <w:sz w:val="18"/>
                <w:szCs w:val="18"/>
                <w:color w:val="auto"/>
                <w:w w:val="99"/>
              </w:rPr>
              <w:t>BENEFICIALLY</w:t>
            </w:r>
          </w:p>
        </w:tc>
        <w:tc>
          <w:tcPr>
            <w:tcW w:w="460" w:type="dxa"/>
            <w:vAlign w:val="bottom"/>
          </w:tcPr>
          <w:p>
            <w:pPr>
              <w:spacing w:after="0"/>
              <w:rPr>
                <w:sz w:val="18"/>
                <w:szCs w:val="18"/>
                <w:color w:val="auto"/>
              </w:rPr>
            </w:pPr>
          </w:p>
        </w:tc>
        <w:tc>
          <w:tcPr>
            <w:tcW w:w="9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jc w:val="center"/>
              <w:spacing w:after="0"/>
              <w:rPr>
                <w:sz w:val="20"/>
                <w:szCs w:val="20"/>
                <w:color w:val="auto"/>
              </w:rPr>
            </w:pPr>
            <w:r>
              <w:rPr>
                <w:rFonts w:ascii="Arial" w:cs="Arial" w:eastAsia="Arial" w:hAnsi="Arial"/>
                <w:sz w:val="18"/>
                <w:szCs w:val="18"/>
                <w:color w:val="auto"/>
                <w:w w:val="99"/>
              </w:rPr>
              <w:t>OWNED BY</w:t>
            </w:r>
          </w:p>
        </w:tc>
        <w:tc>
          <w:tcPr>
            <w:tcW w:w="460" w:type="dxa"/>
            <w:vAlign w:val="bottom"/>
          </w:tcPr>
          <w:p>
            <w:pPr>
              <w:spacing w:after="0"/>
              <w:rPr>
                <w:sz w:val="18"/>
                <w:szCs w:val="18"/>
                <w:color w:val="auto"/>
              </w:rPr>
            </w:pPr>
          </w:p>
        </w:tc>
        <w:tc>
          <w:tcPr>
            <w:tcW w:w="9020" w:type="dxa"/>
            <w:vAlign w:val="bottom"/>
            <w:vMerge w:val="restart"/>
          </w:tcPr>
          <w:p>
            <w:pPr>
              <w:ind w:left="120"/>
              <w:spacing w:after="0"/>
              <w:rPr>
                <w:sz w:val="20"/>
                <w:szCs w:val="20"/>
                <w:color w:val="auto"/>
              </w:rPr>
            </w:pPr>
            <w:r>
              <w:rPr>
                <w:rFonts w:ascii="Arial" w:cs="Arial" w:eastAsia="Arial" w:hAnsi="Arial"/>
                <w:sz w:val="22"/>
                <w:szCs w:val="22"/>
                <w:color w:val="auto"/>
              </w:rPr>
              <w:t>31,198 Shares of Common Stock (1)</w:t>
            </w:r>
          </w:p>
        </w:tc>
        <w:tc>
          <w:tcPr>
            <w:tcW w:w="0" w:type="dxa"/>
            <w:vAlign w:val="bottom"/>
          </w:tcPr>
          <w:p>
            <w:pPr>
              <w:spacing w:after="0"/>
              <w:rPr>
                <w:sz w:val="1"/>
                <w:szCs w:val="1"/>
                <w:color w:val="auto"/>
              </w:rPr>
            </w:pPr>
          </w:p>
        </w:tc>
      </w:tr>
      <w:tr>
        <w:trPr>
          <w:trHeight w:val="121"/>
        </w:trPr>
        <w:tc>
          <w:tcPr>
            <w:tcW w:w="1340" w:type="dxa"/>
            <w:vAlign w:val="bottom"/>
            <w:vMerge w:val="restart"/>
          </w:tcPr>
          <w:p>
            <w:pPr>
              <w:jc w:val="center"/>
              <w:spacing w:after="0"/>
              <w:rPr>
                <w:sz w:val="20"/>
                <w:szCs w:val="20"/>
                <w:color w:val="auto"/>
              </w:rPr>
            </w:pPr>
            <w:r>
              <w:rPr>
                <w:rFonts w:ascii="Arial" w:cs="Arial" w:eastAsia="Arial" w:hAnsi="Arial"/>
                <w:sz w:val="18"/>
                <w:szCs w:val="18"/>
                <w:color w:val="auto"/>
                <w:w w:val="99"/>
              </w:rPr>
              <w:t>EACH</w:t>
            </w:r>
          </w:p>
        </w:tc>
        <w:tc>
          <w:tcPr>
            <w:tcW w:w="460" w:type="dxa"/>
            <w:vAlign w:val="bottom"/>
            <w:tcBorders>
              <w:bottom w:val="single" w:sz="8" w:color="auto"/>
            </w:tcBorders>
          </w:tcPr>
          <w:p>
            <w:pPr>
              <w:spacing w:after="0"/>
              <w:rPr>
                <w:sz w:val="10"/>
                <w:szCs w:val="10"/>
                <w:color w:val="auto"/>
              </w:rPr>
            </w:pPr>
          </w:p>
        </w:tc>
        <w:tc>
          <w:tcPr>
            <w:tcW w:w="902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5"/>
        </w:trPr>
        <w:tc>
          <w:tcPr>
            <w:tcW w:w="1340" w:type="dxa"/>
            <w:vAlign w:val="bottom"/>
            <w:vMerge w:val="continue"/>
          </w:tcPr>
          <w:p>
            <w:pPr>
              <w:spacing w:after="0"/>
              <w:rPr>
                <w:sz w:val="6"/>
                <w:szCs w:val="6"/>
                <w:color w:val="auto"/>
              </w:rPr>
            </w:pPr>
          </w:p>
        </w:tc>
        <w:tc>
          <w:tcPr>
            <w:tcW w:w="460" w:type="dxa"/>
            <w:vAlign w:val="bottom"/>
            <w:vMerge w:val="restart"/>
          </w:tcPr>
          <w:p>
            <w:pPr>
              <w:jc w:val="right"/>
              <w:ind w:right="10"/>
              <w:spacing w:after="0"/>
              <w:rPr>
                <w:sz w:val="20"/>
                <w:szCs w:val="20"/>
                <w:color w:val="auto"/>
              </w:rPr>
            </w:pPr>
            <w:r>
              <w:rPr>
                <w:rFonts w:ascii="Arial" w:cs="Arial" w:eastAsia="Arial" w:hAnsi="Arial"/>
                <w:sz w:val="18"/>
                <w:szCs w:val="18"/>
                <w:color w:val="auto"/>
              </w:rPr>
              <w:t>9</w:t>
            </w:r>
          </w:p>
        </w:tc>
        <w:tc>
          <w:tcPr>
            <w:tcW w:w="9020" w:type="dxa"/>
            <w:vAlign w:val="bottom"/>
            <w:vMerge w:val="restart"/>
          </w:tcPr>
          <w:p>
            <w:pPr>
              <w:ind w:left="12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1340" w:type="dxa"/>
            <w:vAlign w:val="bottom"/>
            <w:vMerge w:val="restart"/>
          </w:tcPr>
          <w:p>
            <w:pPr>
              <w:jc w:val="center"/>
              <w:spacing w:after="0"/>
              <w:rPr>
                <w:sz w:val="20"/>
                <w:szCs w:val="20"/>
                <w:color w:val="auto"/>
              </w:rPr>
            </w:pPr>
            <w:r>
              <w:rPr>
                <w:rFonts w:ascii="Arial" w:cs="Arial" w:eastAsia="Arial" w:hAnsi="Arial"/>
                <w:sz w:val="18"/>
                <w:szCs w:val="18"/>
                <w:color w:val="auto"/>
                <w:w w:val="93"/>
              </w:rPr>
              <w:t>REPORTING</w:t>
            </w:r>
          </w:p>
        </w:tc>
        <w:tc>
          <w:tcPr>
            <w:tcW w:w="460" w:type="dxa"/>
            <w:vAlign w:val="bottom"/>
            <w:vMerge w:val="continue"/>
          </w:tcPr>
          <w:p>
            <w:pPr>
              <w:spacing w:after="0"/>
              <w:rPr>
                <w:sz w:val="13"/>
                <w:szCs w:val="13"/>
                <w:color w:val="auto"/>
              </w:rPr>
            </w:pPr>
          </w:p>
        </w:tc>
        <w:tc>
          <w:tcPr>
            <w:tcW w:w="9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1340" w:type="dxa"/>
            <w:vAlign w:val="bottom"/>
            <w:vMerge w:val="continue"/>
          </w:tcPr>
          <w:p>
            <w:pPr>
              <w:spacing w:after="0"/>
              <w:rPr>
                <w:sz w:val="5"/>
                <w:szCs w:val="5"/>
                <w:color w:val="auto"/>
              </w:rPr>
            </w:pPr>
          </w:p>
        </w:tc>
        <w:tc>
          <w:tcPr>
            <w:tcW w:w="460" w:type="dxa"/>
            <w:vAlign w:val="bottom"/>
          </w:tcPr>
          <w:p>
            <w:pPr>
              <w:spacing w:after="0"/>
              <w:rPr>
                <w:sz w:val="5"/>
                <w:szCs w:val="5"/>
                <w:color w:val="auto"/>
              </w:rPr>
            </w:pPr>
          </w:p>
        </w:tc>
        <w:tc>
          <w:tcPr>
            <w:tcW w:w="90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340" w:type="dxa"/>
            <w:vAlign w:val="bottom"/>
          </w:tcPr>
          <w:p>
            <w:pPr>
              <w:jc w:val="center"/>
              <w:spacing w:after="0"/>
              <w:rPr>
                <w:sz w:val="20"/>
                <w:szCs w:val="20"/>
                <w:color w:val="auto"/>
              </w:rPr>
            </w:pPr>
            <w:r>
              <w:rPr>
                <w:rFonts w:ascii="Arial" w:cs="Arial" w:eastAsia="Arial" w:hAnsi="Arial"/>
                <w:sz w:val="18"/>
                <w:szCs w:val="18"/>
                <w:color w:val="auto"/>
                <w:w w:val="92"/>
              </w:rPr>
              <w:t>PERSON</w:t>
            </w:r>
          </w:p>
        </w:tc>
        <w:tc>
          <w:tcPr>
            <w:tcW w:w="460" w:type="dxa"/>
            <w:vAlign w:val="bottom"/>
          </w:tcPr>
          <w:p>
            <w:pPr>
              <w:spacing w:after="0"/>
              <w:rPr>
                <w:sz w:val="18"/>
                <w:szCs w:val="18"/>
                <w:color w:val="auto"/>
              </w:rPr>
            </w:pPr>
          </w:p>
        </w:tc>
        <w:tc>
          <w:tcPr>
            <w:tcW w:w="9020" w:type="dxa"/>
            <w:vAlign w:val="bottom"/>
            <w:vMerge w:val="restart"/>
          </w:tcPr>
          <w:p>
            <w:pPr>
              <w:ind w:left="12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03"/>
        </w:trPr>
        <w:tc>
          <w:tcPr>
            <w:tcW w:w="1340" w:type="dxa"/>
            <w:vAlign w:val="bottom"/>
          </w:tcPr>
          <w:p>
            <w:pPr>
              <w:jc w:val="center"/>
              <w:spacing w:after="0" w:line="203" w:lineRule="exact"/>
              <w:rPr>
                <w:sz w:val="20"/>
                <w:szCs w:val="20"/>
                <w:color w:val="auto"/>
              </w:rPr>
            </w:pPr>
            <w:r>
              <w:rPr>
                <w:rFonts w:ascii="Arial" w:cs="Arial" w:eastAsia="Arial" w:hAnsi="Arial"/>
                <w:sz w:val="18"/>
                <w:szCs w:val="18"/>
                <w:color w:val="auto"/>
                <w:w w:val="99"/>
              </w:rPr>
              <w:t>WITH</w:t>
            </w:r>
          </w:p>
        </w:tc>
        <w:tc>
          <w:tcPr>
            <w:tcW w:w="460" w:type="dxa"/>
            <w:vAlign w:val="bottom"/>
            <w:tcBorders>
              <w:bottom w:val="single" w:sz="8" w:color="auto"/>
            </w:tcBorders>
          </w:tcPr>
          <w:p>
            <w:pPr>
              <w:spacing w:after="0"/>
              <w:rPr>
                <w:sz w:val="17"/>
                <w:szCs w:val="17"/>
                <w:color w:val="auto"/>
              </w:rPr>
            </w:pPr>
          </w:p>
        </w:tc>
        <w:tc>
          <w:tcPr>
            <w:tcW w:w="90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1340" w:type="dxa"/>
            <w:vAlign w:val="bottom"/>
          </w:tcPr>
          <w:p>
            <w:pPr>
              <w:spacing w:after="0"/>
              <w:rPr>
                <w:sz w:val="19"/>
                <w:szCs w:val="19"/>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10</w:t>
            </w:r>
          </w:p>
        </w:tc>
        <w:tc>
          <w:tcPr>
            <w:tcW w:w="9020" w:type="dxa"/>
            <w:vAlign w:val="bottom"/>
          </w:tcPr>
          <w:p>
            <w:pPr>
              <w:ind w:left="12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bl>
    <w:p>
      <w:pPr>
        <w:spacing w:after="0" w:line="207" w:lineRule="exact"/>
        <w:rPr>
          <w:sz w:val="20"/>
          <w:szCs w:val="20"/>
          <w:color w:val="auto"/>
        </w:rPr>
      </w:pPr>
    </w:p>
    <w:p>
      <w:pPr>
        <w:jc w:val="center"/>
        <w:ind w:right="1616"/>
        <w:spacing w:after="0"/>
        <w:rPr>
          <w:sz w:val="20"/>
          <w:szCs w:val="20"/>
          <w:color w:val="auto"/>
        </w:rPr>
      </w:pPr>
      <w:r>
        <w:rPr>
          <w:rFonts w:ascii="Arial" w:cs="Arial" w:eastAsia="Arial" w:hAnsi="Arial"/>
          <w:sz w:val="22"/>
          <w:szCs w:val="22"/>
          <w:color w:val="auto"/>
        </w:rPr>
        <w:t>31,198 Shares of Common Stock (1)</w:t>
      </w:r>
    </w:p>
    <w:p>
      <w:pPr>
        <w:spacing w:after="0" w:line="24" w:lineRule="exact"/>
        <w:rPr>
          <w:sz w:val="20"/>
          <w:szCs w:val="20"/>
          <w:color w:val="auto"/>
        </w:rPr>
      </w:pPr>
    </w:p>
    <w:p>
      <w:pPr>
        <w:ind w:left="164"/>
        <w:spacing w:after="0"/>
        <w:tabs>
          <w:tab w:leader="none" w:pos="484"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7"/>
          <w:szCs w:val="17"/>
          <w:color w:val="auto"/>
        </w:rPr>
        <w:t>AGGREGATE AMOUNT BENEFICIALLY OWNED BY EACH REPORTING PERSON</w:t>
      </w:r>
    </w:p>
    <w:p>
      <w:pPr>
        <w:spacing w:after="0" w:line="245" w:lineRule="exact"/>
        <w:rPr>
          <w:sz w:val="20"/>
          <w:szCs w:val="20"/>
          <w:color w:val="auto"/>
        </w:rPr>
      </w:pPr>
    </w:p>
    <w:p>
      <w:pPr>
        <w:ind w:left="504"/>
        <w:spacing w:after="0"/>
        <w:rPr>
          <w:sz w:val="20"/>
          <w:szCs w:val="20"/>
          <w:color w:val="auto"/>
        </w:rPr>
      </w:pPr>
      <w:r>
        <w:rPr>
          <w:rFonts w:ascii="Arial" w:cs="Arial" w:eastAsia="Arial" w:hAnsi="Arial"/>
          <w:sz w:val="22"/>
          <w:szCs w:val="22"/>
          <w:color w:val="auto"/>
        </w:rPr>
        <w:t>31,198 Shares of Common Stock (1)</w:t>
      </w:r>
    </w:p>
    <w:p>
      <w:pPr>
        <w:spacing w:after="0" w:line="21" w:lineRule="exact"/>
        <w:rPr>
          <w:sz w:val="20"/>
          <w:szCs w:val="20"/>
          <w:color w:val="auto"/>
        </w:rPr>
      </w:pPr>
    </w:p>
    <w:p>
      <w:pPr>
        <w:ind w:left="504" w:hanging="347"/>
        <w:spacing w:after="0" w:line="207" w:lineRule="exact"/>
        <w:tabs>
          <w:tab w:leader="none" w:pos="504" w:val="left"/>
        </w:tabs>
        <w:numPr>
          <w:ilvl w:val="0"/>
          <w:numId w:val="32"/>
        </w:numPr>
        <w:rPr>
          <w:rFonts w:ascii="Arial" w:cs="Arial" w:eastAsia="Arial" w:hAnsi="Arial"/>
          <w:sz w:val="18"/>
          <w:szCs w:val="18"/>
          <w:color w:val="auto"/>
        </w:rPr>
      </w:pPr>
      <w:r>
        <w:rPr>
          <w:rFonts w:ascii="Arial" w:cs="Arial" w:eastAsia="Arial" w:hAnsi="Arial"/>
          <w:sz w:val="18"/>
          <w:szCs w:val="18"/>
          <w:color w:val="auto"/>
        </w:rPr>
        <w:t xml:space="preserve">CHECK BOX IF THE AGGREGATE AMOUNT IN ROW (11) EXCLUDES CERTAIN SHARES (see instructions) </w:t>
      </w:r>
      <w:r>
        <w:rPr>
          <w:rFonts w:ascii="MS PGothic" w:cs="MS PGothic" w:eastAsia="MS PGothic" w:hAnsi="MS PGothic"/>
          <w:sz w:val="18"/>
          <w:szCs w:val="18"/>
          <w:color w:val="auto"/>
        </w:rPr>
        <w:t>☐</w:t>
      </w:r>
    </w:p>
    <w:p>
      <w:pPr>
        <w:spacing w:after="0" w:line="200" w:lineRule="exact"/>
        <w:rPr>
          <w:rFonts w:ascii="Arial" w:cs="Arial" w:eastAsia="Arial" w:hAnsi="Arial"/>
          <w:sz w:val="18"/>
          <w:szCs w:val="18"/>
          <w:color w:val="auto"/>
        </w:rPr>
      </w:pPr>
    </w:p>
    <w:p>
      <w:pPr>
        <w:spacing w:after="0" w:line="324" w:lineRule="exact"/>
        <w:rPr>
          <w:rFonts w:ascii="Arial" w:cs="Arial" w:eastAsia="Arial" w:hAnsi="Arial"/>
          <w:sz w:val="18"/>
          <w:szCs w:val="18"/>
          <w:color w:val="auto"/>
        </w:rPr>
      </w:pPr>
    </w:p>
    <w:p>
      <w:pPr>
        <w:ind w:left="504" w:hanging="347"/>
        <w:spacing w:after="0"/>
        <w:tabs>
          <w:tab w:leader="none" w:pos="504" w:val="left"/>
        </w:tabs>
        <w:numPr>
          <w:ilvl w:val="0"/>
          <w:numId w:val="32"/>
        </w:numPr>
        <w:rPr>
          <w:rFonts w:ascii="Arial" w:cs="Arial" w:eastAsia="Arial" w:hAnsi="Arial"/>
          <w:sz w:val="18"/>
          <w:szCs w:val="18"/>
          <w:color w:val="auto"/>
        </w:rPr>
      </w:pPr>
      <w:r>
        <w:rPr>
          <w:rFonts w:ascii="Arial" w:cs="Arial" w:eastAsia="Arial" w:hAnsi="Arial"/>
          <w:sz w:val="18"/>
          <w:szCs w:val="18"/>
          <w:color w:val="auto"/>
        </w:rPr>
        <w:t>PERCENT OF CLASS REPRESENTED BY AMOUNT IN ROW 11</w:t>
      </w:r>
    </w:p>
    <w:p>
      <w:pPr>
        <w:spacing w:after="0" w:line="245" w:lineRule="exact"/>
        <w:rPr>
          <w:sz w:val="20"/>
          <w:szCs w:val="20"/>
          <w:color w:val="auto"/>
        </w:rPr>
      </w:pPr>
    </w:p>
    <w:p>
      <w:pPr>
        <w:ind w:left="504"/>
        <w:spacing w:after="0"/>
        <w:rPr>
          <w:sz w:val="20"/>
          <w:szCs w:val="20"/>
          <w:color w:val="auto"/>
        </w:rPr>
      </w:pPr>
      <w:r>
        <w:rPr>
          <w:rFonts w:ascii="Arial" w:cs="Arial" w:eastAsia="Arial" w:hAnsi="Arial"/>
          <w:sz w:val="22"/>
          <w:szCs w:val="22"/>
          <w:color w:val="auto"/>
        </w:rPr>
        <w:t>0.0% (2)</w:t>
      </w:r>
    </w:p>
    <w:p>
      <w:pPr>
        <w:spacing w:after="0" w:line="24" w:lineRule="exact"/>
        <w:rPr>
          <w:sz w:val="20"/>
          <w:szCs w:val="20"/>
          <w:color w:val="auto"/>
        </w:rPr>
      </w:pPr>
    </w:p>
    <w:p>
      <w:pPr>
        <w:ind w:left="164"/>
        <w:spacing w:after="0"/>
        <w:tabs>
          <w:tab w:leader="none" w:pos="484"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6"/>
          <w:szCs w:val="16"/>
          <w:color w:val="auto"/>
        </w:rPr>
        <w:t>TYPE OF REPORTING PERSON (see instructions)</w:t>
      </w:r>
    </w:p>
    <w:p>
      <w:pPr>
        <w:spacing w:after="0" w:line="245" w:lineRule="exact"/>
        <w:rPr>
          <w:sz w:val="20"/>
          <w:szCs w:val="20"/>
          <w:color w:val="auto"/>
        </w:rPr>
      </w:pPr>
    </w:p>
    <w:p>
      <w:pPr>
        <w:ind w:left="504"/>
        <w:spacing w:after="0"/>
        <w:rPr>
          <w:sz w:val="20"/>
          <w:szCs w:val="20"/>
          <w:color w:val="auto"/>
        </w:rPr>
      </w:pPr>
      <w:r>
        <w:rPr>
          <w:rFonts w:ascii="Arial" w:cs="Arial" w:eastAsia="Arial" w:hAnsi="Arial"/>
          <w:sz w:val="22"/>
          <w:szCs w:val="22"/>
          <w:color w:val="auto"/>
        </w:rPr>
        <w:t>PN</w:t>
      </w:r>
    </w:p>
    <w:p>
      <w:pPr>
        <w:spacing w:after="0" w:line="267" w:lineRule="exact"/>
        <w:rPr>
          <w:sz w:val="20"/>
          <w:szCs w:val="20"/>
          <w:color w:val="auto"/>
        </w:rPr>
      </w:pPr>
    </w:p>
    <w:p>
      <w:pPr>
        <w:ind w:left="424" w:right="400" w:hanging="424"/>
        <w:spacing w:after="0" w:line="287" w:lineRule="auto"/>
        <w:tabs>
          <w:tab w:leader="none" w:pos="424" w:val="left"/>
        </w:tabs>
        <w:numPr>
          <w:ilvl w:val="0"/>
          <w:numId w:val="33"/>
        </w:numPr>
        <w:rPr>
          <w:rFonts w:ascii="Arial" w:cs="Arial" w:eastAsia="Arial" w:hAnsi="Arial"/>
          <w:sz w:val="16"/>
          <w:szCs w:val="16"/>
          <w:color w:val="auto"/>
        </w:rPr>
      </w:pPr>
      <w:r>
        <w:rPr>
          <w:rFonts w:ascii="Arial" w:cs="Arial" w:eastAsia="Arial" w:hAnsi="Arial"/>
          <w:sz w:val="16"/>
          <w:szCs w:val="16"/>
          <w:color w:val="auto"/>
        </w:rPr>
        <w:t>All shares are held of record by Polaris SFF V (as defined in Item 2(a) below). PVMC V is the general partner of Polaris SFF V and may be deemed to have shared voting, investment and dispositive power with respect to these securities. The PVMC V Managing Members are the managing members of PVMC V and may be deemed to have shared voting, investment and dispositive power with respect to these securities.</w:t>
      </w:r>
    </w:p>
    <w:p>
      <w:pPr>
        <w:spacing w:after="0" w:line="2" w:lineRule="exact"/>
        <w:rPr>
          <w:rFonts w:ascii="Arial" w:cs="Arial" w:eastAsia="Arial" w:hAnsi="Arial"/>
          <w:sz w:val="16"/>
          <w:szCs w:val="16"/>
          <w:color w:val="auto"/>
        </w:rPr>
      </w:pPr>
    </w:p>
    <w:p>
      <w:pPr>
        <w:ind w:left="424" w:right="180" w:hanging="424"/>
        <w:spacing w:after="0" w:line="260" w:lineRule="auto"/>
        <w:tabs>
          <w:tab w:leader="none" w:pos="424" w:val="left"/>
        </w:tabs>
        <w:numPr>
          <w:ilvl w:val="0"/>
          <w:numId w:val="33"/>
        </w:numPr>
        <w:rPr>
          <w:rFonts w:ascii="Arial" w:cs="Arial" w:eastAsia="Arial" w:hAnsi="Arial"/>
          <w:sz w:val="18"/>
          <w:szCs w:val="18"/>
          <w:color w:val="auto"/>
        </w:rPr>
      </w:pPr>
      <w:r>
        <w:rPr>
          <w:rFonts w:ascii="Arial" w:cs="Arial" w:eastAsia="Arial" w:hAnsi="Arial"/>
          <w:sz w:val="18"/>
          <w:szCs w:val="18"/>
          <w:color w:val="auto"/>
        </w:rPr>
        <w:t>Based on 111,245,660 shares of Common Stock outstanding (including shares issued upon the full exercise by the underwriters of their option to purchase additional shares in the Offering), as reported by the Issuer in the Prospectus.</w:t>
      </w:r>
    </w:p>
    <w:p>
      <w:pPr>
        <w:sectPr>
          <w:pgSz w:w="11900" w:h="16838" w:orient="portrait"/>
          <w:cols w:equalWidth="0" w:num="1">
            <w:col w:w="11024"/>
          </w:cols>
          <w:pgMar w:left="436" w:top="274" w:right="439" w:bottom="1440" w:gutter="0" w:footer="0" w:header="0"/>
        </w:sectPr>
      </w:pPr>
    </w:p>
    <w:bookmarkStart w:id="5" w:name="page6"/>
    <w:bookmarkEnd w:id="5"/>
    <w:tbl>
      <w:tblPr>
        <w:tblLayout w:type="fixed"/>
        <w:tblInd w:w="4" w:type="dxa"/>
        <w:tblCellMar>
          <w:top w:w="0" w:type="dxa"/>
          <w:left w:w="0" w:type="dxa"/>
          <w:bottom w:w="0" w:type="dxa"/>
          <w:right w:w="0" w:type="dxa"/>
        </w:tblCellMar>
      </w:tblPr>
      <w:tr>
        <w:trPr>
          <w:trHeight w:val="230"/>
        </w:trPr>
        <w:tc>
          <w:tcPr>
            <w:tcW w:w="6200" w:type="dxa"/>
            <w:vAlign w:val="bottom"/>
          </w:tcPr>
          <w:p>
            <w:pPr>
              <w:spacing w:after="0"/>
              <w:rPr>
                <w:sz w:val="20"/>
                <w:szCs w:val="20"/>
                <w:color w:val="auto"/>
              </w:rPr>
            </w:pPr>
            <w:r>
              <w:rPr>
                <w:rFonts w:ascii="Arial" w:cs="Arial" w:eastAsia="Arial" w:hAnsi="Arial"/>
                <w:sz w:val="18"/>
                <w:szCs w:val="18"/>
                <w:color w:val="auto"/>
              </w:rPr>
              <w:t>CUSIP No. 00534A102</w:t>
            </w:r>
          </w:p>
        </w:tc>
        <w:tc>
          <w:tcPr>
            <w:tcW w:w="4820" w:type="dxa"/>
            <w:vAlign w:val="bottom"/>
          </w:tcPr>
          <w:p>
            <w:pPr>
              <w:ind w:left="4500"/>
              <w:spacing w:after="0"/>
              <w:rPr>
                <w:sz w:val="20"/>
                <w:szCs w:val="20"/>
                <w:color w:val="auto"/>
              </w:rPr>
            </w:pPr>
            <w:r>
              <w:rPr>
                <w:rFonts w:ascii="Arial" w:cs="Arial" w:eastAsia="Arial" w:hAnsi="Arial"/>
                <w:sz w:val="18"/>
                <w:szCs w:val="18"/>
                <w:color w:val="auto"/>
                <w:w w:val="90"/>
              </w:rPr>
              <w:t>13D</w:t>
            </w:r>
          </w:p>
        </w:tc>
      </w:tr>
    </w:tbl>
    <w:p>
      <w:pPr>
        <w:spacing w:after="0" w:line="2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524" w:hanging="277"/>
        <w:spacing w:after="0"/>
        <w:tabs>
          <w:tab w:leader="none" w:pos="524" w:val="left"/>
        </w:tabs>
        <w:numPr>
          <w:ilvl w:val="0"/>
          <w:numId w:val="34"/>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-130175</wp:posOffset>
            </wp:positionV>
            <wp:extent cx="7003415" cy="64719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003415" cy="6471920"/>
                    </a:xfrm>
                    <a:prstGeom prst="rect">
                      <a:avLst/>
                    </a:prstGeom>
                    <a:noFill/>
                  </pic:spPr>
                </pic:pic>
              </a:graphicData>
            </a:graphic>
          </wp:anchor>
        </w:drawing>
      </w:r>
    </w:p>
    <w:p>
      <w:pPr>
        <w:spacing w:after="0" w:line="225" w:lineRule="exact"/>
        <w:rPr>
          <w:sz w:val="20"/>
          <w:szCs w:val="20"/>
          <w:color w:val="auto"/>
        </w:rPr>
      </w:pPr>
    </w:p>
    <w:p>
      <w:pPr>
        <w:ind w:left="524"/>
        <w:spacing w:after="0"/>
        <w:rPr>
          <w:sz w:val="20"/>
          <w:szCs w:val="20"/>
          <w:color w:val="auto"/>
        </w:rPr>
      </w:pPr>
      <w:r>
        <w:rPr>
          <w:rFonts w:ascii="Arial" w:cs="Arial" w:eastAsia="Arial" w:hAnsi="Arial"/>
          <w:sz w:val="22"/>
          <w:szCs w:val="22"/>
          <w:color w:val="auto"/>
        </w:rPr>
        <w:t>Polaris Venture Management Co. V, L.L.C.</w:t>
      </w:r>
    </w:p>
    <w:p>
      <w:pPr>
        <w:spacing w:after="0" w:line="24" w:lineRule="exact"/>
        <w:rPr>
          <w:sz w:val="20"/>
          <w:szCs w:val="20"/>
          <w:color w:val="auto"/>
        </w:rPr>
      </w:pPr>
    </w:p>
    <w:p>
      <w:pPr>
        <w:ind w:left="524" w:hanging="277"/>
        <w:spacing w:after="0"/>
        <w:tabs>
          <w:tab w:leader="none" w:pos="524" w:val="left"/>
        </w:tabs>
        <w:numPr>
          <w:ilvl w:val="0"/>
          <w:numId w:val="35"/>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8" w:lineRule="exact"/>
        <w:rPr>
          <w:sz w:val="20"/>
          <w:szCs w:val="20"/>
          <w:color w:val="auto"/>
        </w:rPr>
      </w:pPr>
    </w:p>
    <w:p>
      <w:pPr>
        <w:ind w:left="524"/>
        <w:spacing w:after="0" w:line="207" w:lineRule="exact"/>
        <w:tabs>
          <w:tab w:leader="none" w:pos="1324"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524" w:hanging="277"/>
        <w:spacing w:after="0"/>
        <w:tabs>
          <w:tab w:leader="none" w:pos="524" w:val="left"/>
        </w:tabs>
        <w:numPr>
          <w:ilvl w:val="0"/>
          <w:numId w:val="36"/>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sz w:val="20"/>
          <w:szCs w:val="20"/>
          <w:color w:val="auto"/>
        </w:rPr>
      </w:pPr>
    </w:p>
    <w:p>
      <w:pPr>
        <w:spacing w:after="0" w:line="322" w:lineRule="exact"/>
        <w:rPr>
          <w:sz w:val="20"/>
          <w:szCs w:val="20"/>
          <w:color w:val="auto"/>
        </w:rPr>
      </w:pPr>
    </w:p>
    <w:p>
      <w:pPr>
        <w:ind w:left="524" w:hanging="277"/>
        <w:spacing w:after="0"/>
        <w:tabs>
          <w:tab w:leader="none" w:pos="524" w:val="left"/>
        </w:tabs>
        <w:numPr>
          <w:ilvl w:val="0"/>
          <w:numId w:val="37"/>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45" w:lineRule="exact"/>
        <w:rPr>
          <w:sz w:val="20"/>
          <w:szCs w:val="20"/>
          <w:color w:val="auto"/>
        </w:rPr>
      </w:pPr>
    </w:p>
    <w:p>
      <w:pPr>
        <w:ind w:left="524"/>
        <w:spacing w:after="0"/>
        <w:rPr>
          <w:sz w:val="20"/>
          <w:szCs w:val="20"/>
          <w:color w:val="auto"/>
        </w:rPr>
      </w:pPr>
      <w:r>
        <w:rPr>
          <w:rFonts w:ascii="Arial" w:cs="Arial" w:eastAsia="Arial" w:hAnsi="Arial"/>
          <w:sz w:val="22"/>
          <w:szCs w:val="22"/>
          <w:color w:val="auto"/>
        </w:rPr>
        <w:t>AF</w:t>
      </w:r>
    </w:p>
    <w:p>
      <w:pPr>
        <w:spacing w:after="0" w:line="21" w:lineRule="exact"/>
        <w:rPr>
          <w:sz w:val="20"/>
          <w:szCs w:val="20"/>
          <w:color w:val="auto"/>
        </w:rPr>
      </w:pPr>
    </w:p>
    <w:p>
      <w:pPr>
        <w:ind w:left="524" w:hanging="277"/>
        <w:spacing w:after="0" w:line="207" w:lineRule="exact"/>
        <w:tabs>
          <w:tab w:leader="none" w:pos="524" w:val="left"/>
        </w:tabs>
        <w:numPr>
          <w:ilvl w:val="0"/>
          <w:numId w:val="38"/>
        </w:numPr>
        <w:rPr>
          <w:rFonts w:ascii="Arial" w:cs="Arial" w:eastAsia="Arial" w:hAnsi="Arial"/>
          <w:sz w:val="18"/>
          <w:szCs w:val="18"/>
          <w:color w:val="auto"/>
        </w:rPr>
      </w:pPr>
      <w:r>
        <w:rPr>
          <w:rFonts w:ascii="Arial" w:cs="Arial" w:eastAsia="Arial" w:hAnsi="Arial"/>
          <w:sz w:val="18"/>
          <w:szCs w:val="18"/>
          <w:color w:val="auto"/>
        </w:rPr>
        <w:t xml:space="preserve">CHECK IF DISCLOSURE OF LEGAL PROCEEDINGS IS REQUIRED PURSUANT TO ITEM 2(d) or 2(e) </w:t>
      </w:r>
      <w:r>
        <w:rPr>
          <w:rFonts w:ascii="MS PGothic" w:cs="MS PGothic" w:eastAsia="MS PGothic" w:hAnsi="MS PGothic"/>
          <w:sz w:val="18"/>
          <w:szCs w:val="18"/>
          <w:color w:val="auto"/>
        </w:rPr>
        <w:t>☐</w:t>
      </w:r>
    </w:p>
    <w:p>
      <w:pPr>
        <w:spacing w:after="0" w:line="200" w:lineRule="exact"/>
        <w:rPr>
          <w:sz w:val="20"/>
          <w:szCs w:val="20"/>
          <w:color w:val="auto"/>
        </w:rPr>
      </w:pPr>
    </w:p>
    <w:p>
      <w:pPr>
        <w:spacing w:after="0" w:line="325" w:lineRule="exact"/>
        <w:rPr>
          <w:sz w:val="20"/>
          <w:szCs w:val="20"/>
          <w:color w:val="auto"/>
        </w:rPr>
      </w:pPr>
    </w:p>
    <w:p>
      <w:pPr>
        <w:ind w:left="524" w:hanging="277"/>
        <w:spacing w:after="0"/>
        <w:tabs>
          <w:tab w:leader="none" w:pos="524" w:val="left"/>
        </w:tabs>
        <w:numPr>
          <w:ilvl w:val="0"/>
          <w:numId w:val="39"/>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45" w:lineRule="exact"/>
        <w:rPr>
          <w:sz w:val="20"/>
          <w:szCs w:val="20"/>
          <w:color w:val="auto"/>
        </w:rPr>
      </w:pPr>
    </w:p>
    <w:p>
      <w:pPr>
        <w:ind w:left="524"/>
        <w:spacing w:after="0"/>
        <w:rPr>
          <w:sz w:val="20"/>
          <w:szCs w:val="20"/>
          <w:color w:val="auto"/>
        </w:rPr>
      </w:pPr>
      <w:r>
        <w:rPr>
          <w:rFonts w:ascii="Arial" w:cs="Arial" w:eastAsia="Arial" w:hAnsi="Arial"/>
          <w:sz w:val="22"/>
          <w:szCs w:val="22"/>
          <w:color w:val="auto"/>
        </w:rPr>
        <w:t>Delaware</w:t>
      </w:r>
    </w:p>
    <w:p>
      <w:pPr>
        <w:spacing w:after="0" w:line="24" w:lineRule="exact"/>
        <w:rPr>
          <w:sz w:val="20"/>
          <w:szCs w:val="20"/>
          <w:color w:val="auto"/>
        </w:rPr>
      </w:pPr>
    </w:p>
    <w:tbl>
      <w:tblPr>
        <w:tblLayout w:type="fixed"/>
        <w:tblInd w:w="204" w:type="dxa"/>
        <w:tblCellMar>
          <w:top w:w="0" w:type="dxa"/>
          <w:left w:w="0" w:type="dxa"/>
          <w:bottom w:w="0" w:type="dxa"/>
          <w:right w:w="0" w:type="dxa"/>
        </w:tblCellMar>
      </w:tblPr>
      <w:tr>
        <w:trPr>
          <w:trHeight w:val="230"/>
        </w:trPr>
        <w:tc>
          <w:tcPr>
            <w:tcW w:w="1340" w:type="dxa"/>
            <w:vAlign w:val="bottom"/>
          </w:tcPr>
          <w:p>
            <w:pPr>
              <w:spacing w:after="0"/>
              <w:rPr>
                <w:sz w:val="20"/>
                <w:szCs w:val="20"/>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7</w:t>
            </w:r>
          </w:p>
        </w:tc>
        <w:tc>
          <w:tcPr>
            <w:tcW w:w="9020" w:type="dxa"/>
            <w:vAlign w:val="bottom"/>
          </w:tcPr>
          <w:p>
            <w:pPr>
              <w:ind w:left="12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58"/>
        </w:trPr>
        <w:tc>
          <w:tcPr>
            <w:tcW w:w="1340" w:type="dxa"/>
            <w:vAlign w:val="bottom"/>
          </w:tcPr>
          <w:p>
            <w:pPr>
              <w:jc w:val="center"/>
              <w:spacing w:after="0"/>
              <w:rPr>
                <w:sz w:val="20"/>
                <w:szCs w:val="20"/>
                <w:color w:val="auto"/>
              </w:rPr>
            </w:pPr>
            <w:r>
              <w:rPr>
                <w:rFonts w:ascii="Arial" w:cs="Arial" w:eastAsia="Arial" w:hAnsi="Arial"/>
                <w:sz w:val="18"/>
                <w:szCs w:val="18"/>
                <w:color w:val="auto"/>
                <w:w w:val="98"/>
              </w:rPr>
              <w:t>NUMBER OF</w:t>
            </w:r>
          </w:p>
        </w:tc>
        <w:tc>
          <w:tcPr>
            <w:tcW w:w="460" w:type="dxa"/>
            <w:vAlign w:val="bottom"/>
          </w:tcPr>
          <w:p>
            <w:pPr>
              <w:spacing w:after="0"/>
              <w:rPr>
                <w:sz w:val="24"/>
                <w:szCs w:val="24"/>
                <w:color w:val="auto"/>
              </w:rPr>
            </w:pPr>
          </w:p>
        </w:tc>
        <w:tc>
          <w:tcPr>
            <w:tcW w:w="9020" w:type="dxa"/>
            <w:vAlign w:val="bottom"/>
          </w:tcPr>
          <w:p>
            <w:pPr>
              <w:ind w:left="12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41"/>
        </w:trPr>
        <w:tc>
          <w:tcPr>
            <w:tcW w:w="1340" w:type="dxa"/>
            <w:vAlign w:val="bottom"/>
            <w:vMerge w:val="restart"/>
          </w:tcPr>
          <w:p>
            <w:pPr>
              <w:jc w:val="center"/>
              <w:spacing w:after="0"/>
              <w:rPr>
                <w:sz w:val="20"/>
                <w:szCs w:val="20"/>
                <w:color w:val="auto"/>
              </w:rPr>
            </w:pPr>
            <w:r>
              <w:rPr>
                <w:rFonts w:ascii="Arial" w:cs="Arial" w:eastAsia="Arial" w:hAnsi="Arial"/>
                <w:sz w:val="18"/>
                <w:szCs w:val="18"/>
                <w:color w:val="auto"/>
                <w:w w:val="94"/>
              </w:rPr>
              <w:t>SHARES</w:t>
            </w:r>
          </w:p>
        </w:tc>
        <w:tc>
          <w:tcPr>
            <w:tcW w:w="460" w:type="dxa"/>
            <w:vAlign w:val="bottom"/>
            <w:tcBorders>
              <w:bottom w:val="single" w:sz="8" w:color="auto"/>
            </w:tcBorders>
          </w:tcPr>
          <w:p>
            <w:pPr>
              <w:spacing w:after="0"/>
              <w:rPr>
                <w:sz w:val="3"/>
                <w:szCs w:val="3"/>
                <w:color w:val="auto"/>
              </w:rPr>
            </w:pPr>
          </w:p>
        </w:tc>
        <w:tc>
          <w:tcPr>
            <w:tcW w:w="90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6"/>
        </w:trPr>
        <w:tc>
          <w:tcPr>
            <w:tcW w:w="1340" w:type="dxa"/>
            <w:vAlign w:val="bottom"/>
            <w:vMerge w:val="continue"/>
          </w:tcPr>
          <w:p>
            <w:pPr>
              <w:spacing w:after="0"/>
              <w:rPr>
                <w:sz w:val="13"/>
                <w:szCs w:val="13"/>
                <w:color w:val="auto"/>
              </w:rPr>
            </w:pPr>
          </w:p>
        </w:tc>
        <w:tc>
          <w:tcPr>
            <w:tcW w:w="460" w:type="dxa"/>
            <w:vAlign w:val="bottom"/>
          </w:tcPr>
          <w:p>
            <w:pPr>
              <w:jc w:val="right"/>
              <w:ind w:right="10"/>
              <w:spacing w:after="0" w:line="156" w:lineRule="exact"/>
              <w:rPr>
                <w:sz w:val="20"/>
                <w:szCs w:val="20"/>
                <w:color w:val="auto"/>
              </w:rPr>
            </w:pPr>
            <w:r>
              <w:rPr>
                <w:rFonts w:ascii="Arial" w:cs="Arial" w:eastAsia="Arial" w:hAnsi="Arial"/>
                <w:sz w:val="18"/>
                <w:szCs w:val="18"/>
                <w:color w:val="auto"/>
              </w:rPr>
              <w:t>8</w:t>
            </w:r>
          </w:p>
        </w:tc>
        <w:tc>
          <w:tcPr>
            <w:tcW w:w="9020" w:type="dxa"/>
            <w:vAlign w:val="bottom"/>
          </w:tcPr>
          <w:p>
            <w:pPr>
              <w:ind w:left="120"/>
              <w:spacing w:after="0" w:line="156" w:lineRule="exact"/>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5"/>
        </w:trPr>
        <w:tc>
          <w:tcPr>
            <w:tcW w:w="1340" w:type="dxa"/>
            <w:vAlign w:val="bottom"/>
          </w:tcPr>
          <w:p>
            <w:pPr>
              <w:jc w:val="center"/>
              <w:spacing w:after="0"/>
              <w:rPr>
                <w:sz w:val="20"/>
                <w:szCs w:val="20"/>
                <w:color w:val="auto"/>
              </w:rPr>
            </w:pPr>
            <w:r>
              <w:rPr>
                <w:rFonts w:ascii="Arial" w:cs="Arial" w:eastAsia="Arial" w:hAnsi="Arial"/>
                <w:sz w:val="18"/>
                <w:szCs w:val="18"/>
                <w:color w:val="auto"/>
                <w:w w:val="99"/>
              </w:rPr>
              <w:t>BENEFICIALLY</w:t>
            </w:r>
          </w:p>
        </w:tc>
        <w:tc>
          <w:tcPr>
            <w:tcW w:w="460" w:type="dxa"/>
            <w:vAlign w:val="bottom"/>
          </w:tcPr>
          <w:p>
            <w:pPr>
              <w:spacing w:after="0"/>
              <w:rPr>
                <w:sz w:val="18"/>
                <w:szCs w:val="18"/>
                <w:color w:val="auto"/>
              </w:rPr>
            </w:pPr>
          </w:p>
        </w:tc>
        <w:tc>
          <w:tcPr>
            <w:tcW w:w="9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jc w:val="center"/>
              <w:spacing w:after="0"/>
              <w:rPr>
                <w:sz w:val="20"/>
                <w:szCs w:val="20"/>
                <w:color w:val="auto"/>
              </w:rPr>
            </w:pPr>
            <w:r>
              <w:rPr>
                <w:rFonts w:ascii="Arial" w:cs="Arial" w:eastAsia="Arial" w:hAnsi="Arial"/>
                <w:sz w:val="18"/>
                <w:szCs w:val="18"/>
                <w:color w:val="auto"/>
                <w:w w:val="99"/>
              </w:rPr>
              <w:t>OWNED BY</w:t>
            </w:r>
          </w:p>
        </w:tc>
        <w:tc>
          <w:tcPr>
            <w:tcW w:w="460" w:type="dxa"/>
            <w:vAlign w:val="bottom"/>
          </w:tcPr>
          <w:p>
            <w:pPr>
              <w:spacing w:after="0"/>
              <w:rPr>
                <w:sz w:val="18"/>
                <w:szCs w:val="18"/>
                <w:color w:val="auto"/>
              </w:rPr>
            </w:pPr>
          </w:p>
        </w:tc>
        <w:tc>
          <w:tcPr>
            <w:tcW w:w="9020" w:type="dxa"/>
            <w:vAlign w:val="bottom"/>
            <w:vMerge w:val="restart"/>
          </w:tcPr>
          <w:p>
            <w:pPr>
              <w:ind w:left="120"/>
              <w:spacing w:after="0"/>
              <w:rPr>
                <w:sz w:val="20"/>
                <w:szCs w:val="20"/>
                <w:color w:val="auto"/>
              </w:rPr>
            </w:pPr>
            <w:r>
              <w:rPr>
                <w:rFonts w:ascii="Arial" w:cs="Arial" w:eastAsia="Arial" w:hAnsi="Arial"/>
                <w:sz w:val="22"/>
                <w:szCs w:val="22"/>
                <w:color w:val="auto"/>
              </w:rPr>
              <w:t>3,233,580 Shares of Common Stock (1)</w:t>
            </w:r>
          </w:p>
        </w:tc>
        <w:tc>
          <w:tcPr>
            <w:tcW w:w="0" w:type="dxa"/>
            <w:vAlign w:val="bottom"/>
          </w:tcPr>
          <w:p>
            <w:pPr>
              <w:spacing w:after="0"/>
              <w:rPr>
                <w:sz w:val="1"/>
                <w:szCs w:val="1"/>
                <w:color w:val="auto"/>
              </w:rPr>
            </w:pPr>
          </w:p>
        </w:tc>
      </w:tr>
      <w:tr>
        <w:trPr>
          <w:trHeight w:val="121"/>
        </w:trPr>
        <w:tc>
          <w:tcPr>
            <w:tcW w:w="1340" w:type="dxa"/>
            <w:vAlign w:val="bottom"/>
            <w:vMerge w:val="restart"/>
          </w:tcPr>
          <w:p>
            <w:pPr>
              <w:jc w:val="center"/>
              <w:spacing w:after="0"/>
              <w:rPr>
                <w:sz w:val="20"/>
                <w:szCs w:val="20"/>
                <w:color w:val="auto"/>
              </w:rPr>
            </w:pPr>
            <w:r>
              <w:rPr>
                <w:rFonts w:ascii="Arial" w:cs="Arial" w:eastAsia="Arial" w:hAnsi="Arial"/>
                <w:sz w:val="18"/>
                <w:szCs w:val="18"/>
                <w:color w:val="auto"/>
                <w:w w:val="99"/>
              </w:rPr>
              <w:t>EACH</w:t>
            </w:r>
          </w:p>
        </w:tc>
        <w:tc>
          <w:tcPr>
            <w:tcW w:w="460" w:type="dxa"/>
            <w:vAlign w:val="bottom"/>
            <w:tcBorders>
              <w:bottom w:val="single" w:sz="8" w:color="auto"/>
            </w:tcBorders>
          </w:tcPr>
          <w:p>
            <w:pPr>
              <w:spacing w:after="0"/>
              <w:rPr>
                <w:sz w:val="10"/>
                <w:szCs w:val="10"/>
                <w:color w:val="auto"/>
              </w:rPr>
            </w:pPr>
          </w:p>
        </w:tc>
        <w:tc>
          <w:tcPr>
            <w:tcW w:w="902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5"/>
        </w:trPr>
        <w:tc>
          <w:tcPr>
            <w:tcW w:w="1340" w:type="dxa"/>
            <w:vAlign w:val="bottom"/>
            <w:vMerge w:val="continue"/>
          </w:tcPr>
          <w:p>
            <w:pPr>
              <w:spacing w:after="0"/>
              <w:rPr>
                <w:sz w:val="6"/>
                <w:szCs w:val="6"/>
                <w:color w:val="auto"/>
              </w:rPr>
            </w:pPr>
          </w:p>
        </w:tc>
        <w:tc>
          <w:tcPr>
            <w:tcW w:w="460" w:type="dxa"/>
            <w:vAlign w:val="bottom"/>
            <w:vMerge w:val="restart"/>
          </w:tcPr>
          <w:p>
            <w:pPr>
              <w:jc w:val="right"/>
              <w:ind w:right="10"/>
              <w:spacing w:after="0"/>
              <w:rPr>
                <w:sz w:val="20"/>
                <w:szCs w:val="20"/>
                <w:color w:val="auto"/>
              </w:rPr>
            </w:pPr>
            <w:r>
              <w:rPr>
                <w:rFonts w:ascii="Arial" w:cs="Arial" w:eastAsia="Arial" w:hAnsi="Arial"/>
                <w:sz w:val="18"/>
                <w:szCs w:val="18"/>
                <w:color w:val="auto"/>
              </w:rPr>
              <w:t>9</w:t>
            </w:r>
          </w:p>
        </w:tc>
        <w:tc>
          <w:tcPr>
            <w:tcW w:w="9020" w:type="dxa"/>
            <w:vAlign w:val="bottom"/>
            <w:vMerge w:val="restart"/>
          </w:tcPr>
          <w:p>
            <w:pPr>
              <w:ind w:left="12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1340" w:type="dxa"/>
            <w:vAlign w:val="bottom"/>
            <w:vMerge w:val="restart"/>
          </w:tcPr>
          <w:p>
            <w:pPr>
              <w:jc w:val="center"/>
              <w:spacing w:after="0"/>
              <w:rPr>
                <w:sz w:val="20"/>
                <w:szCs w:val="20"/>
                <w:color w:val="auto"/>
              </w:rPr>
            </w:pPr>
            <w:r>
              <w:rPr>
                <w:rFonts w:ascii="Arial" w:cs="Arial" w:eastAsia="Arial" w:hAnsi="Arial"/>
                <w:sz w:val="18"/>
                <w:szCs w:val="18"/>
                <w:color w:val="auto"/>
                <w:w w:val="93"/>
              </w:rPr>
              <w:t>REPORTING</w:t>
            </w:r>
          </w:p>
        </w:tc>
        <w:tc>
          <w:tcPr>
            <w:tcW w:w="460" w:type="dxa"/>
            <w:vAlign w:val="bottom"/>
            <w:vMerge w:val="continue"/>
          </w:tcPr>
          <w:p>
            <w:pPr>
              <w:spacing w:after="0"/>
              <w:rPr>
                <w:sz w:val="13"/>
                <w:szCs w:val="13"/>
                <w:color w:val="auto"/>
              </w:rPr>
            </w:pPr>
          </w:p>
        </w:tc>
        <w:tc>
          <w:tcPr>
            <w:tcW w:w="9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1340" w:type="dxa"/>
            <w:vAlign w:val="bottom"/>
            <w:vMerge w:val="continue"/>
          </w:tcPr>
          <w:p>
            <w:pPr>
              <w:spacing w:after="0"/>
              <w:rPr>
                <w:sz w:val="5"/>
                <w:szCs w:val="5"/>
                <w:color w:val="auto"/>
              </w:rPr>
            </w:pPr>
          </w:p>
        </w:tc>
        <w:tc>
          <w:tcPr>
            <w:tcW w:w="460" w:type="dxa"/>
            <w:vAlign w:val="bottom"/>
          </w:tcPr>
          <w:p>
            <w:pPr>
              <w:spacing w:after="0"/>
              <w:rPr>
                <w:sz w:val="5"/>
                <w:szCs w:val="5"/>
                <w:color w:val="auto"/>
              </w:rPr>
            </w:pPr>
          </w:p>
        </w:tc>
        <w:tc>
          <w:tcPr>
            <w:tcW w:w="90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340" w:type="dxa"/>
            <w:vAlign w:val="bottom"/>
          </w:tcPr>
          <w:p>
            <w:pPr>
              <w:jc w:val="center"/>
              <w:spacing w:after="0"/>
              <w:rPr>
                <w:sz w:val="20"/>
                <w:szCs w:val="20"/>
                <w:color w:val="auto"/>
              </w:rPr>
            </w:pPr>
            <w:r>
              <w:rPr>
                <w:rFonts w:ascii="Arial" w:cs="Arial" w:eastAsia="Arial" w:hAnsi="Arial"/>
                <w:sz w:val="18"/>
                <w:szCs w:val="18"/>
                <w:color w:val="auto"/>
                <w:w w:val="92"/>
              </w:rPr>
              <w:t>PERSON</w:t>
            </w:r>
          </w:p>
        </w:tc>
        <w:tc>
          <w:tcPr>
            <w:tcW w:w="460" w:type="dxa"/>
            <w:vAlign w:val="bottom"/>
          </w:tcPr>
          <w:p>
            <w:pPr>
              <w:spacing w:after="0"/>
              <w:rPr>
                <w:sz w:val="18"/>
                <w:szCs w:val="18"/>
                <w:color w:val="auto"/>
              </w:rPr>
            </w:pPr>
          </w:p>
        </w:tc>
        <w:tc>
          <w:tcPr>
            <w:tcW w:w="9020" w:type="dxa"/>
            <w:vAlign w:val="bottom"/>
            <w:vMerge w:val="restart"/>
          </w:tcPr>
          <w:p>
            <w:pPr>
              <w:ind w:left="12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03"/>
        </w:trPr>
        <w:tc>
          <w:tcPr>
            <w:tcW w:w="1340" w:type="dxa"/>
            <w:vAlign w:val="bottom"/>
          </w:tcPr>
          <w:p>
            <w:pPr>
              <w:jc w:val="center"/>
              <w:spacing w:after="0" w:line="203" w:lineRule="exact"/>
              <w:rPr>
                <w:sz w:val="20"/>
                <w:szCs w:val="20"/>
                <w:color w:val="auto"/>
              </w:rPr>
            </w:pPr>
            <w:r>
              <w:rPr>
                <w:rFonts w:ascii="Arial" w:cs="Arial" w:eastAsia="Arial" w:hAnsi="Arial"/>
                <w:sz w:val="18"/>
                <w:szCs w:val="18"/>
                <w:color w:val="auto"/>
                <w:w w:val="99"/>
              </w:rPr>
              <w:t>WITH</w:t>
            </w:r>
          </w:p>
        </w:tc>
        <w:tc>
          <w:tcPr>
            <w:tcW w:w="460" w:type="dxa"/>
            <w:vAlign w:val="bottom"/>
            <w:tcBorders>
              <w:bottom w:val="single" w:sz="8" w:color="auto"/>
            </w:tcBorders>
          </w:tcPr>
          <w:p>
            <w:pPr>
              <w:spacing w:after="0"/>
              <w:rPr>
                <w:sz w:val="17"/>
                <w:szCs w:val="17"/>
                <w:color w:val="auto"/>
              </w:rPr>
            </w:pPr>
          </w:p>
        </w:tc>
        <w:tc>
          <w:tcPr>
            <w:tcW w:w="90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1340" w:type="dxa"/>
            <w:vAlign w:val="bottom"/>
          </w:tcPr>
          <w:p>
            <w:pPr>
              <w:spacing w:after="0"/>
              <w:rPr>
                <w:sz w:val="19"/>
                <w:szCs w:val="19"/>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10</w:t>
            </w:r>
          </w:p>
        </w:tc>
        <w:tc>
          <w:tcPr>
            <w:tcW w:w="9020" w:type="dxa"/>
            <w:vAlign w:val="bottom"/>
          </w:tcPr>
          <w:p>
            <w:pPr>
              <w:ind w:left="12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bl>
    <w:p>
      <w:pPr>
        <w:spacing w:after="0" w:line="207" w:lineRule="exact"/>
        <w:rPr>
          <w:sz w:val="20"/>
          <w:szCs w:val="20"/>
          <w:color w:val="auto"/>
        </w:rPr>
      </w:pPr>
    </w:p>
    <w:p>
      <w:pPr>
        <w:ind w:left="2124"/>
        <w:spacing w:after="0"/>
        <w:rPr>
          <w:sz w:val="20"/>
          <w:szCs w:val="20"/>
          <w:color w:val="auto"/>
        </w:rPr>
      </w:pPr>
      <w:r>
        <w:rPr>
          <w:rFonts w:ascii="Arial" w:cs="Arial" w:eastAsia="Arial" w:hAnsi="Arial"/>
          <w:sz w:val="22"/>
          <w:szCs w:val="22"/>
          <w:color w:val="auto"/>
        </w:rPr>
        <w:t>3,233,580 Shares of Common Stock (1)</w:t>
      </w:r>
    </w:p>
    <w:p>
      <w:pPr>
        <w:spacing w:after="0" w:line="24" w:lineRule="exact"/>
        <w:rPr>
          <w:sz w:val="20"/>
          <w:szCs w:val="20"/>
          <w:color w:val="auto"/>
        </w:rPr>
      </w:pPr>
    </w:p>
    <w:p>
      <w:pPr>
        <w:ind w:left="164"/>
        <w:spacing w:after="0"/>
        <w:tabs>
          <w:tab w:leader="none" w:pos="484"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7"/>
          <w:szCs w:val="17"/>
          <w:color w:val="auto"/>
        </w:rPr>
        <w:t>AGGREGATE AMOUNT BENEFICIALLY OWNED BY EACH REPORTING PERSON</w:t>
      </w:r>
    </w:p>
    <w:p>
      <w:pPr>
        <w:spacing w:after="0" w:line="245" w:lineRule="exact"/>
        <w:rPr>
          <w:sz w:val="20"/>
          <w:szCs w:val="20"/>
          <w:color w:val="auto"/>
        </w:rPr>
      </w:pPr>
    </w:p>
    <w:p>
      <w:pPr>
        <w:ind w:left="504"/>
        <w:spacing w:after="0"/>
        <w:rPr>
          <w:sz w:val="20"/>
          <w:szCs w:val="20"/>
          <w:color w:val="auto"/>
        </w:rPr>
      </w:pPr>
      <w:r>
        <w:rPr>
          <w:rFonts w:ascii="Arial" w:cs="Arial" w:eastAsia="Arial" w:hAnsi="Arial"/>
          <w:sz w:val="22"/>
          <w:szCs w:val="22"/>
          <w:color w:val="auto"/>
        </w:rPr>
        <w:t>3,233,580 Shares of Common Stock (1)</w:t>
      </w:r>
    </w:p>
    <w:p>
      <w:pPr>
        <w:spacing w:after="0" w:line="21" w:lineRule="exact"/>
        <w:rPr>
          <w:sz w:val="20"/>
          <w:szCs w:val="20"/>
          <w:color w:val="auto"/>
        </w:rPr>
      </w:pPr>
    </w:p>
    <w:p>
      <w:pPr>
        <w:ind w:left="504" w:hanging="347"/>
        <w:spacing w:after="0" w:line="207" w:lineRule="exact"/>
        <w:tabs>
          <w:tab w:leader="none" w:pos="504" w:val="left"/>
        </w:tabs>
        <w:numPr>
          <w:ilvl w:val="0"/>
          <w:numId w:val="40"/>
        </w:numPr>
        <w:rPr>
          <w:rFonts w:ascii="Arial" w:cs="Arial" w:eastAsia="Arial" w:hAnsi="Arial"/>
          <w:sz w:val="18"/>
          <w:szCs w:val="18"/>
          <w:color w:val="auto"/>
        </w:rPr>
      </w:pPr>
      <w:r>
        <w:rPr>
          <w:rFonts w:ascii="Arial" w:cs="Arial" w:eastAsia="Arial" w:hAnsi="Arial"/>
          <w:sz w:val="18"/>
          <w:szCs w:val="18"/>
          <w:color w:val="auto"/>
        </w:rPr>
        <w:t xml:space="preserve">CHECK BOX IF THE AGGREGATE AMOUNT IN ROW (11) EXCLUDES CERTAIN SHARES (see instructions) </w:t>
      </w:r>
      <w:r>
        <w:rPr>
          <w:rFonts w:ascii="MS PGothic" w:cs="MS PGothic" w:eastAsia="MS PGothic" w:hAnsi="MS PGothic"/>
          <w:sz w:val="18"/>
          <w:szCs w:val="18"/>
          <w:color w:val="auto"/>
        </w:rPr>
        <w:t>☐</w:t>
      </w:r>
    </w:p>
    <w:p>
      <w:pPr>
        <w:spacing w:after="0" w:line="200" w:lineRule="exact"/>
        <w:rPr>
          <w:rFonts w:ascii="Arial" w:cs="Arial" w:eastAsia="Arial" w:hAnsi="Arial"/>
          <w:sz w:val="18"/>
          <w:szCs w:val="18"/>
          <w:color w:val="auto"/>
        </w:rPr>
      </w:pPr>
    </w:p>
    <w:p>
      <w:pPr>
        <w:spacing w:after="0" w:line="324" w:lineRule="exact"/>
        <w:rPr>
          <w:rFonts w:ascii="Arial" w:cs="Arial" w:eastAsia="Arial" w:hAnsi="Arial"/>
          <w:sz w:val="18"/>
          <w:szCs w:val="18"/>
          <w:color w:val="auto"/>
        </w:rPr>
      </w:pPr>
    </w:p>
    <w:p>
      <w:pPr>
        <w:ind w:left="504" w:hanging="347"/>
        <w:spacing w:after="0"/>
        <w:tabs>
          <w:tab w:leader="none" w:pos="504" w:val="left"/>
        </w:tabs>
        <w:numPr>
          <w:ilvl w:val="0"/>
          <w:numId w:val="40"/>
        </w:numPr>
        <w:rPr>
          <w:rFonts w:ascii="Arial" w:cs="Arial" w:eastAsia="Arial" w:hAnsi="Arial"/>
          <w:sz w:val="18"/>
          <w:szCs w:val="18"/>
          <w:color w:val="auto"/>
        </w:rPr>
      </w:pPr>
      <w:r>
        <w:rPr>
          <w:rFonts w:ascii="Arial" w:cs="Arial" w:eastAsia="Arial" w:hAnsi="Arial"/>
          <w:sz w:val="18"/>
          <w:szCs w:val="18"/>
          <w:color w:val="auto"/>
        </w:rPr>
        <w:t>PERCENT OF CLASS REPRESENTED BY AMOUNT IN ROW 11</w:t>
      </w:r>
    </w:p>
    <w:p>
      <w:pPr>
        <w:spacing w:after="0" w:line="245" w:lineRule="exact"/>
        <w:rPr>
          <w:sz w:val="20"/>
          <w:szCs w:val="20"/>
          <w:color w:val="auto"/>
        </w:rPr>
      </w:pPr>
    </w:p>
    <w:p>
      <w:pPr>
        <w:ind w:left="504"/>
        <w:spacing w:after="0"/>
        <w:rPr>
          <w:sz w:val="20"/>
          <w:szCs w:val="20"/>
          <w:color w:val="auto"/>
        </w:rPr>
      </w:pPr>
      <w:r>
        <w:rPr>
          <w:rFonts w:ascii="Arial" w:cs="Arial" w:eastAsia="Arial" w:hAnsi="Arial"/>
          <w:sz w:val="22"/>
          <w:szCs w:val="22"/>
          <w:color w:val="auto"/>
        </w:rPr>
        <w:t>2.9% (2)</w:t>
      </w:r>
    </w:p>
    <w:p>
      <w:pPr>
        <w:spacing w:after="0" w:line="24" w:lineRule="exact"/>
        <w:rPr>
          <w:sz w:val="20"/>
          <w:szCs w:val="20"/>
          <w:color w:val="auto"/>
        </w:rPr>
      </w:pPr>
    </w:p>
    <w:p>
      <w:pPr>
        <w:ind w:left="164"/>
        <w:spacing w:after="0"/>
        <w:tabs>
          <w:tab w:leader="none" w:pos="484"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6"/>
          <w:szCs w:val="16"/>
          <w:color w:val="auto"/>
        </w:rPr>
        <w:t>TYPE OF REPORTING PERSON (see instructions)</w:t>
      </w:r>
    </w:p>
    <w:p>
      <w:pPr>
        <w:spacing w:after="0" w:line="245" w:lineRule="exact"/>
        <w:rPr>
          <w:sz w:val="20"/>
          <w:szCs w:val="20"/>
          <w:color w:val="auto"/>
        </w:rPr>
      </w:pPr>
    </w:p>
    <w:p>
      <w:pPr>
        <w:ind w:left="504"/>
        <w:spacing w:after="0"/>
        <w:rPr>
          <w:sz w:val="20"/>
          <w:szCs w:val="20"/>
          <w:color w:val="auto"/>
        </w:rPr>
      </w:pPr>
      <w:r>
        <w:rPr>
          <w:rFonts w:ascii="Arial" w:cs="Arial" w:eastAsia="Arial" w:hAnsi="Arial"/>
          <w:sz w:val="22"/>
          <w:szCs w:val="22"/>
          <w:color w:val="auto"/>
        </w:rPr>
        <w:t>OO</w:t>
      </w:r>
    </w:p>
    <w:p>
      <w:pPr>
        <w:spacing w:after="0" w:line="267" w:lineRule="exact"/>
        <w:rPr>
          <w:sz w:val="20"/>
          <w:szCs w:val="20"/>
          <w:color w:val="auto"/>
        </w:rPr>
      </w:pPr>
    </w:p>
    <w:p>
      <w:pPr>
        <w:ind w:left="424" w:right="40" w:hanging="424"/>
        <w:spacing w:after="0" w:line="253" w:lineRule="auto"/>
        <w:tabs>
          <w:tab w:leader="none" w:pos="424" w:val="left"/>
        </w:tabs>
        <w:numPr>
          <w:ilvl w:val="0"/>
          <w:numId w:val="41"/>
        </w:numPr>
        <w:rPr>
          <w:rFonts w:ascii="Arial" w:cs="Arial" w:eastAsia="Arial" w:hAnsi="Arial"/>
          <w:sz w:val="18"/>
          <w:szCs w:val="18"/>
          <w:color w:val="auto"/>
        </w:rPr>
      </w:pPr>
      <w:r>
        <w:rPr>
          <w:rFonts w:ascii="Arial" w:cs="Arial" w:eastAsia="Arial" w:hAnsi="Arial"/>
          <w:sz w:val="18"/>
          <w:szCs w:val="18"/>
          <w:color w:val="auto"/>
        </w:rPr>
        <w:t>Consists of: (i) 3,120,194 shares held of record by Polaris V, (ii) 60,814 shares held of record by Polaris EF V, (iii) 21,374 shares held of record by Polaris FF V and (iv) 31,198 shares held of record by Polaris SFF V. PVMC V is the general partner of each of Polaris V, Polaris EF V, Polaris FF V and Polaris SFF V and may be deemed to have shared voting, investment and dispositive power with respect to these securities. The PVMC V Managing Members are the managing members of PVMC V and may be deemed to have shared voting, investment and dispositive power with respect to these securities.</w:t>
      </w:r>
    </w:p>
    <w:p>
      <w:pPr>
        <w:spacing w:after="0" w:line="3" w:lineRule="exact"/>
        <w:rPr>
          <w:rFonts w:ascii="Arial" w:cs="Arial" w:eastAsia="Arial" w:hAnsi="Arial"/>
          <w:sz w:val="18"/>
          <w:szCs w:val="18"/>
          <w:color w:val="auto"/>
        </w:rPr>
      </w:pPr>
    </w:p>
    <w:p>
      <w:pPr>
        <w:ind w:left="424" w:right="180" w:hanging="424"/>
        <w:spacing w:after="0" w:line="260" w:lineRule="auto"/>
        <w:tabs>
          <w:tab w:leader="none" w:pos="424" w:val="left"/>
        </w:tabs>
        <w:numPr>
          <w:ilvl w:val="0"/>
          <w:numId w:val="41"/>
        </w:numPr>
        <w:rPr>
          <w:rFonts w:ascii="Arial" w:cs="Arial" w:eastAsia="Arial" w:hAnsi="Arial"/>
          <w:sz w:val="18"/>
          <w:szCs w:val="18"/>
          <w:color w:val="auto"/>
        </w:rPr>
      </w:pPr>
      <w:r>
        <w:rPr>
          <w:rFonts w:ascii="Arial" w:cs="Arial" w:eastAsia="Arial" w:hAnsi="Arial"/>
          <w:sz w:val="18"/>
          <w:szCs w:val="18"/>
          <w:color w:val="auto"/>
        </w:rPr>
        <w:t>Based on 111,245,660 shares of Common Stock outstanding (including shares issued upon the full exercise by the underwriters of their option to purchase additional shares in the Offering), as reported by the Issuer in the Prospectus.</w:t>
      </w:r>
    </w:p>
    <w:p>
      <w:pPr>
        <w:sectPr>
          <w:pgSz w:w="11900" w:h="16838" w:orient="portrait"/>
          <w:cols w:equalWidth="0" w:num="1">
            <w:col w:w="11024"/>
          </w:cols>
          <w:pgMar w:left="436" w:top="274" w:right="439" w:bottom="1440" w:gutter="0" w:footer="0" w:header="0"/>
        </w:sectPr>
      </w:pPr>
    </w:p>
    <w:bookmarkStart w:id="6" w:name="page7"/>
    <w:bookmarkEnd w:id="6"/>
    <w:tbl>
      <w:tblPr>
        <w:tblLayout w:type="fixed"/>
        <w:tblInd w:w="4" w:type="dxa"/>
        <w:tblCellMar>
          <w:top w:w="0" w:type="dxa"/>
          <w:left w:w="0" w:type="dxa"/>
          <w:bottom w:w="0" w:type="dxa"/>
          <w:right w:w="0" w:type="dxa"/>
        </w:tblCellMar>
      </w:tblPr>
      <w:tr>
        <w:trPr>
          <w:trHeight w:val="230"/>
        </w:trPr>
        <w:tc>
          <w:tcPr>
            <w:tcW w:w="6200" w:type="dxa"/>
            <w:vAlign w:val="bottom"/>
          </w:tcPr>
          <w:p>
            <w:pPr>
              <w:spacing w:after="0"/>
              <w:rPr>
                <w:sz w:val="20"/>
                <w:szCs w:val="20"/>
                <w:color w:val="auto"/>
              </w:rPr>
            </w:pPr>
            <w:r>
              <w:rPr>
                <w:rFonts w:ascii="Arial" w:cs="Arial" w:eastAsia="Arial" w:hAnsi="Arial"/>
                <w:sz w:val="18"/>
                <w:szCs w:val="18"/>
                <w:color w:val="auto"/>
              </w:rPr>
              <w:t>CUSIP No. 00534A102</w:t>
            </w:r>
          </w:p>
        </w:tc>
        <w:tc>
          <w:tcPr>
            <w:tcW w:w="4820" w:type="dxa"/>
            <w:vAlign w:val="bottom"/>
          </w:tcPr>
          <w:p>
            <w:pPr>
              <w:ind w:left="4500"/>
              <w:spacing w:after="0"/>
              <w:rPr>
                <w:sz w:val="20"/>
                <w:szCs w:val="20"/>
                <w:color w:val="auto"/>
              </w:rPr>
            </w:pPr>
            <w:r>
              <w:rPr>
                <w:rFonts w:ascii="Arial" w:cs="Arial" w:eastAsia="Arial" w:hAnsi="Arial"/>
                <w:sz w:val="18"/>
                <w:szCs w:val="18"/>
                <w:color w:val="auto"/>
                <w:w w:val="90"/>
              </w:rPr>
              <w:t>13D</w:t>
            </w:r>
          </w:p>
        </w:tc>
      </w:tr>
    </w:tbl>
    <w:p>
      <w:pPr>
        <w:spacing w:after="0" w:line="2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ind w:left="524" w:hanging="277"/>
        <w:spacing w:after="0"/>
        <w:tabs>
          <w:tab w:leader="none" w:pos="524" w:val="left"/>
        </w:tabs>
        <w:numPr>
          <w:ilvl w:val="0"/>
          <w:numId w:val="42"/>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-130175</wp:posOffset>
            </wp:positionV>
            <wp:extent cx="7003415" cy="64719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003415" cy="6471920"/>
                    </a:xfrm>
                    <a:prstGeom prst="rect">
                      <a:avLst/>
                    </a:prstGeom>
                    <a:noFill/>
                  </pic:spPr>
                </pic:pic>
              </a:graphicData>
            </a:graphic>
          </wp:anchor>
        </w:drawing>
      </w:r>
    </w:p>
    <w:p>
      <w:pPr>
        <w:spacing w:after="0" w:line="225" w:lineRule="exact"/>
        <w:rPr>
          <w:sz w:val="20"/>
          <w:szCs w:val="20"/>
          <w:color w:val="auto"/>
        </w:rPr>
      </w:pPr>
    </w:p>
    <w:p>
      <w:pPr>
        <w:ind w:left="524"/>
        <w:spacing w:after="0"/>
        <w:rPr>
          <w:sz w:val="20"/>
          <w:szCs w:val="20"/>
          <w:color w:val="auto"/>
        </w:rPr>
      </w:pPr>
      <w:r>
        <w:rPr>
          <w:rFonts w:ascii="Arial" w:cs="Arial" w:eastAsia="Arial" w:hAnsi="Arial"/>
          <w:sz w:val="22"/>
          <w:szCs w:val="22"/>
          <w:color w:val="auto"/>
        </w:rPr>
        <w:t>Polaris Partners IX, L.P.</w:t>
      </w:r>
    </w:p>
    <w:p>
      <w:pPr>
        <w:spacing w:after="0" w:line="24" w:lineRule="exact"/>
        <w:rPr>
          <w:sz w:val="20"/>
          <w:szCs w:val="20"/>
          <w:color w:val="auto"/>
        </w:rPr>
      </w:pPr>
    </w:p>
    <w:p>
      <w:pPr>
        <w:ind w:left="524" w:hanging="277"/>
        <w:spacing w:after="0"/>
        <w:tabs>
          <w:tab w:leader="none" w:pos="524" w:val="left"/>
        </w:tabs>
        <w:numPr>
          <w:ilvl w:val="0"/>
          <w:numId w:val="43"/>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8" w:lineRule="exact"/>
        <w:rPr>
          <w:sz w:val="20"/>
          <w:szCs w:val="20"/>
          <w:color w:val="auto"/>
        </w:rPr>
      </w:pPr>
    </w:p>
    <w:p>
      <w:pPr>
        <w:ind w:left="524"/>
        <w:spacing w:after="0" w:line="207" w:lineRule="exact"/>
        <w:tabs>
          <w:tab w:leader="none" w:pos="1324"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524" w:hanging="277"/>
        <w:spacing w:after="0"/>
        <w:tabs>
          <w:tab w:leader="none" w:pos="524" w:val="left"/>
        </w:tabs>
        <w:numPr>
          <w:ilvl w:val="0"/>
          <w:numId w:val="44"/>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sz w:val="20"/>
          <w:szCs w:val="20"/>
          <w:color w:val="auto"/>
        </w:rPr>
      </w:pPr>
    </w:p>
    <w:p>
      <w:pPr>
        <w:spacing w:after="0" w:line="322" w:lineRule="exact"/>
        <w:rPr>
          <w:sz w:val="20"/>
          <w:szCs w:val="20"/>
          <w:color w:val="auto"/>
        </w:rPr>
      </w:pPr>
    </w:p>
    <w:p>
      <w:pPr>
        <w:ind w:left="524" w:hanging="277"/>
        <w:spacing w:after="0"/>
        <w:tabs>
          <w:tab w:leader="none" w:pos="524" w:val="left"/>
        </w:tabs>
        <w:numPr>
          <w:ilvl w:val="0"/>
          <w:numId w:val="45"/>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45" w:lineRule="exact"/>
        <w:rPr>
          <w:sz w:val="20"/>
          <w:szCs w:val="20"/>
          <w:color w:val="auto"/>
        </w:rPr>
      </w:pPr>
    </w:p>
    <w:p>
      <w:pPr>
        <w:ind w:left="524"/>
        <w:spacing w:after="0"/>
        <w:rPr>
          <w:sz w:val="20"/>
          <w:szCs w:val="20"/>
          <w:color w:val="auto"/>
        </w:rPr>
      </w:pPr>
      <w:r>
        <w:rPr>
          <w:rFonts w:ascii="Arial" w:cs="Arial" w:eastAsia="Arial" w:hAnsi="Arial"/>
          <w:sz w:val="22"/>
          <w:szCs w:val="22"/>
          <w:color w:val="auto"/>
        </w:rPr>
        <w:t>WC</w:t>
      </w:r>
    </w:p>
    <w:p>
      <w:pPr>
        <w:spacing w:after="0" w:line="21" w:lineRule="exact"/>
        <w:rPr>
          <w:sz w:val="20"/>
          <w:szCs w:val="20"/>
          <w:color w:val="auto"/>
        </w:rPr>
      </w:pPr>
    </w:p>
    <w:p>
      <w:pPr>
        <w:ind w:left="524" w:hanging="277"/>
        <w:spacing w:after="0" w:line="207" w:lineRule="exact"/>
        <w:tabs>
          <w:tab w:leader="none" w:pos="524" w:val="left"/>
        </w:tabs>
        <w:numPr>
          <w:ilvl w:val="0"/>
          <w:numId w:val="46"/>
        </w:numPr>
        <w:rPr>
          <w:rFonts w:ascii="Arial" w:cs="Arial" w:eastAsia="Arial" w:hAnsi="Arial"/>
          <w:sz w:val="18"/>
          <w:szCs w:val="18"/>
          <w:color w:val="auto"/>
        </w:rPr>
      </w:pPr>
      <w:r>
        <w:rPr>
          <w:rFonts w:ascii="Arial" w:cs="Arial" w:eastAsia="Arial" w:hAnsi="Arial"/>
          <w:sz w:val="18"/>
          <w:szCs w:val="18"/>
          <w:color w:val="auto"/>
        </w:rPr>
        <w:t xml:space="preserve">CHECK IF DISCLOSURE OF LEGAL PROCEEDINGS IS REQUIRED PURSUANT TO ITEM 2(d) or 2(e) </w:t>
      </w:r>
      <w:r>
        <w:rPr>
          <w:rFonts w:ascii="MS PGothic" w:cs="MS PGothic" w:eastAsia="MS PGothic" w:hAnsi="MS PGothic"/>
          <w:sz w:val="18"/>
          <w:szCs w:val="18"/>
          <w:color w:val="auto"/>
        </w:rPr>
        <w:t>☐</w:t>
      </w:r>
    </w:p>
    <w:p>
      <w:pPr>
        <w:spacing w:after="0" w:line="200" w:lineRule="exact"/>
        <w:rPr>
          <w:sz w:val="20"/>
          <w:szCs w:val="20"/>
          <w:color w:val="auto"/>
        </w:rPr>
      </w:pPr>
    </w:p>
    <w:p>
      <w:pPr>
        <w:spacing w:after="0" w:line="325" w:lineRule="exact"/>
        <w:rPr>
          <w:sz w:val="20"/>
          <w:szCs w:val="20"/>
          <w:color w:val="auto"/>
        </w:rPr>
      </w:pPr>
    </w:p>
    <w:p>
      <w:pPr>
        <w:ind w:left="524" w:hanging="277"/>
        <w:spacing w:after="0"/>
        <w:tabs>
          <w:tab w:leader="none" w:pos="524" w:val="left"/>
        </w:tabs>
        <w:numPr>
          <w:ilvl w:val="0"/>
          <w:numId w:val="47"/>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45" w:lineRule="exact"/>
        <w:rPr>
          <w:sz w:val="20"/>
          <w:szCs w:val="20"/>
          <w:color w:val="auto"/>
        </w:rPr>
      </w:pPr>
    </w:p>
    <w:p>
      <w:pPr>
        <w:ind w:left="524"/>
        <w:spacing w:after="0"/>
        <w:rPr>
          <w:sz w:val="20"/>
          <w:szCs w:val="20"/>
          <w:color w:val="auto"/>
        </w:rPr>
      </w:pPr>
      <w:r>
        <w:rPr>
          <w:rFonts w:ascii="Arial" w:cs="Arial" w:eastAsia="Arial" w:hAnsi="Arial"/>
          <w:sz w:val="22"/>
          <w:szCs w:val="22"/>
          <w:color w:val="auto"/>
        </w:rPr>
        <w:t>Delaware</w:t>
      </w:r>
    </w:p>
    <w:p>
      <w:pPr>
        <w:spacing w:after="0" w:line="24" w:lineRule="exact"/>
        <w:rPr>
          <w:sz w:val="20"/>
          <w:szCs w:val="20"/>
          <w:color w:val="auto"/>
        </w:rPr>
      </w:pPr>
    </w:p>
    <w:tbl>
      <w:tblPr>
        <w:tblLayout w:type="fixed"/>
        <w:tblInd w:w="204" w:type="dxa"/>
        <w:tblCellMar>
          <w:top w:w="0" w:type="dxa"/>
          <w:left w:w="0" w:type="dxa"/>
          <w:bottom w:w="0" w:type="dxa"/>
          <w:right w:w="0" w:type="dxa"/>
        </w:tblCellMar>
      </w:tblPr>
      <w:tr>
        <w:trPr>
          <w:trHeight w:val="230"/>
        </w:trPr>
        <w:tc>
          <w:tcPr>
            <w:tcW w:w="1340" w:type="dxa"/>
            <w:vAlign w:val="bottom"/>
          </w:tcPr>
          <w:p>
            <w:pPr>
              <w:spacing w:after="0"/>
              <w:rPr>
                <w:sz w:val="20"/>
                <w:szCs w:val="20"/>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7</w:t>
            </w:r>
          </w:p>
        </w:tc>
        <w:tc>
          <w:tcPr>
            <w:tcW w:w="9020" w:type="dxa"/>
            <w:vAlign w:val="bottom"/>
          </w:tcPr>
          <w:p>
            <w:pPr>
              <w:ind w:left="12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58"/>
        </w:trPr>
        <w:tc>
          <w:tcPr>
            <w:tcW w:w="1340" w:type="dxa"/>
            <w:vAlign w:val="bottom"/>
          </w:tcPr>
          <w:p>
            <w:pPr>
              <w:jc w:val="center"/>
              <w:spacing w:after="0"/>
              <w:rPr>
                <w:sz w:val="20"/>
                <w:szCs w:val="20"/>
                <w:color w:val="auto"/>
              </w:rPr>
            </w:pPr>
            <w:r>
              <w:rPr>
                <w:rFonts w:ascii="Arial" w:cs="Arial" w:eastAsia="Arial" w:hAnsi="Arial"/>
                <w:sz w:val="18"/>
                <w:szCs w:val="18"/>
                <w:color w:val="auto"/>
                <w:w w:val="98"/>
              </w:rPr>
              <w:t>NUMBER OF</w:t>
            </w:r>
          </w:p>
        </w:tc>
        <w:tc>
          <w:tcPr>
            <w:tcW w:w="460" w:type="dxa"/>
            <w:vAlign w:val="bottom"/>
          </w:tcPr>
          <w:p>
            <w:pPr>
              <w:spacing w:after="0"/>
              <w:rPr>
                <w:sz w:val="24"/>
                <w:szCs w:val="24"/>
                <w:color w:val="auto"/>
              </w:rPr>
            </w:pPr>
          </w:p>
        </w:tc>
        <w:tc>
          <w:tcPr>
            <w:tcW w:w="9020" w:type="dxa"/>
            <w:vAlign w:val="bottom"/>
          </w:tcPr>
          <w:p>
            <w:pPr>
              <w:ind w:left="12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41"/>
        </w:trPr>
        <w:tc>
          <w:tcPr>
            <w:tcW w:w="1340" w:type="dxa"/>
            <w:vAlign w:val="bottom"/>
            <w:vMerge w:val="restart"/>
          </w:tcPr>
          <w:p>
            <w:pPr>
              <w:jc w:val="center"/>
              <w:spacing w:after="0"/>
              <w:rPr>
                <w:sz w:val="20"/>
                <w:szCs w:val="20"/>
                <w:color w:val="auto"/>
              </w:rPr>
            </w:pPr>
            <w:r>
              <w:rPr>
                <w:rFonts w:ascii="Arial" w:cs="Arial" w:eastAsia="Arial" w:hAnsi="Arial"/>
                <w:sz w:val="18"/>
                <w:szCs w:val="18"/>
                <w:color w:val="auto"/>
                <w:w w:val="94"/>
              </w:rPr>
              <w:t>SHARES</w:t>
            </w:r>
          </w:p>
        </w:tc>
        <w:tc>
          <w:tcPr>
            <w:tcW w:w="460" w:type="dxa"/>
            <w:vAlign w:val="bottom"/>
            <w:tcBorders>
              <w:bottom w:val="single" w:sz="8" w:color="auto"/>
            </w:tcBorders>
          </w:tcPr>
          <w:p>
            <w:pPr>
              <w:spacing w:after="0"/>
              <w:rPr>
                <w:sz w:val="3"/>
                <w:szCs w:val="3"/>
                <w:color w:val="auto"/>
              </w:rPr>
            </w:pPr>
          </w:p>
        </w:tc>
        <w:tc>
          <w:tcPr>
            <w:tcW w:w="90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6"/>
        </w:trPr>
        <w:tc>
          <w:tcPr>
            <w:tcW w:w="1340" w:type="dxa"/>
            <w:vAlign w:val="bottom"/>
            <w:vMerge w:val="continue"/>
          </w:tcPr>
          <w:p>
            <w:pPr>
              <w:spacing w:after="0"/>
              <w:rPr>
                <w:sz w:val="13"/>
                <w:szCs w:val="13"/>
                <w:color w:val="auto"/>
              </w:rPr>
            </w:pPr>
          </w:p>
        </w:tc>
        <w:tc>
          <w:tcPr>
            <w:tcW w:w="460" w:type="dxa"/>
            <w:vAlign w:val="bottom"/>
          </w:tcPr>
          <w:p>
            <w:pPr>
              <w:jc w:val="right"/>
              <w:ind w:right="10"/>
              <w:spacing w:after="0" w:line="156" w:lineRule="exact"/>
              <w:rPr>
                <w:sz w:val="20"/>
                <w:szCs w:val="20"/>
                <w:color w:val="auto"/>
              </w:rPr>
            </w:pPr>
            <w:r>
              <w:rPr>
                <w:rFonts w:ascii="Arial" w:cs="Arial" w:eastAsia="Arial" w:hAnsi="Arial"/>
                <w:sz w:val="18"/>
                <w:szCs w:val="18"/>
                <w:color w:val="auto"/>
              </w:rPr>
              <w:t>8</w:t>
            </w:r>
          </w:p>
        </w:tc>
        <w:tc>
          <w:tcPr>
            <w:tcW w:w="9020" w:type="dxa"/>
            <w:vAlign w:val="bottom"/>
          </w:tcPr>
          <w:p>
            <w:pPr>
              <w:ind w:left="120"/>
              <w:spacing w:after="0" w:line="156" w:lineRule="exact"/>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5"/>
        </w:trPr>
        <w:tc>
          <w:tcPr>
            <w:tcW w:w="1340" w:type="dxa"/>
            <w:vAlign w:val="bottom"/>
          </w:tcPr>
          <w:p>
            <w:pPr>
              <w:jc w:val="center"/>
              <w:spacing w:after="0"/>
              <w:rPr>
                <w:sz w:val="20"/>
                <w:szCs w:val="20"/>
                <w:color w:val="auto"/>
              </w:rPr>
            </w:pPr>
            <w:r>
              <w:rPr>
                <w:rFonts w:ascii="Arial" w:cs="Arial" w:eastAsia="Arial" w:hAnsi="Arial"/>
                <w:sz w:val="18"/>
                <w:szCs w:val="18"/>
                <w:color w:val="auto"/>
                <w:w w:val="99"/>
              </w:rPr>
              <w:t>BENEFICIALLY</w:t>
            </w:r>
          </w:p>
        </w:tc>
        <w:tc>
          <w:tcPr>
            <w:tcW w:w="460" w:type="dxa"/>
            <w:vAlign w:val="bottom"/>
          </w:tcPr>
          <w:p>
            <w:pPr>
              <w:spacing w:after="0"/>
              <w:rPr>
                <w:sz w:val="18"/>
                <w:szCs w:val="18"/>
                <w:color w:val="auto"/>
              </w:rPr>
            </w:pPr>
          </w:p>
        </w:tc>
        <w:tc>
          <w:tcPr>
            <w:tcW w:w="9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jc w:val="center"/>
              <w:spacing w:after="0"/>
              <w:rPr>
                <w:sz w:val="20"/>
                <w:szCs w:val="20"/>
                <w:color w:val="auto"/>
              </w:rPr>
            </w:pPr>
            <w:r>
              <w:rPr>
                <w:rFonts w:ascii="Arial" w:cs="Arial" w:eastAsia="Arial" w:hAnsi="Arial"/>
                <w:sz w:val="18"/>
                <w:szCs w:val="18"/>
                <w:color w:val="auto"/>
                <w:w w:val="99"/>
              </w:rPr>
              <w:t>OWNED BY</w:t>
            </w:r>
          </w:p>
        </w:tc>
        <w:tc>
          <w:tcPr>
            <w:tcW w:w="460" w:type="dxa"/>
            <w:vAlign w:val="bottom"/>
          </w:tcPr>
          <w:p>
            <w:pPr>
              <w:spacing w:after="0"/>
              <w:rPr>
                <w:sz w:val="18"/>
                <w:szCs w:val="18"/>
                <w:color w:val="auto"/>
              </w:rPr>
            </w:pPr>
          </w:p>
        </w:tc>
        <w:tc>
          <w:tcPr>
            <w:tcW w:w="9020" w:type="dxa"/>
            <w:vAlign w:val="bottom"/>
            <w:vMerge w:val="restart"/>
          </w:tcPr>
          <w:p>
            <w:pPr>
              <w:ind w:left="120"/>
              <w:spacing w:after="0"/>
              <w:rPr>
                <w:sz w:val="20"/>
                <w:szCs w:val="20"/>
                <w:color w:val="auto"/>
              </w:rPr>
            </w:pPr>
            <w:r>
              <w:rPr>
                <w:rFonts w:ascii="Arial" w:cs="Arial" w:eastAsia="Arial" w:hAnsi="Arial"/>
                <w:sz w:val="22"/>
                <w:szCs w:val="22"/>
                <w:color w:val="auto"/>
              </w:rPr>
              <w:t>4,800,460 Shares of Common Stock (1)</w:t>
            </w:r>
          </w:p>
        </w:tc>
        <w:tc>
          <w:tcPr>
            <w:tcW w:w="0" w:type="dxa"/>
            <w:vAlign w:val="bottom"/>
          </w:tcPr>
          <w:p>
            <w:pPr>
              <w:spacing w:after="0"/>
              <w:rPr>
                <w:sz w:val="1"/>
                <w:szCs w:val="1"/>
                <w:color w:val="auto"/>
              </w:rPr>
            </w:pPr>
          </w:p>
        </w:tc>
      </w:tr>
      <w:tr>
        <w:trPr>
          <w:trHeight w:val="121"/>
        </w:trPr>
        <w:tc>
          <w:tcPr>
            <w:tcW w:w="1340" w:type="dxa"/>
            <w:vAlign w:val="bottom"/>
            <w:vMerge w:val="restart"/>
          </w:tcPr>
          <w:p>
            <w:pPr>
              <w:jc w:val="center"/>
              <w:spacing w:after="0"/>
              <w:rPr>
                <w:sz w:val="20"/>
                <w:szCs w:val="20"/>
                <w:color w:val="auto"/>
              </w:rPr>
            </w:pPr>
            <w:r>
              <w:rPr>
                <w:rFonts w:ascii="Arial" w:cs="Arial" w:eastAsia="Arial" w:hAnsi="Arial"/>
                <w:sz w:val="18"/>
                <w:szCs w:val="18"/>
                <w:color w:val="auto"/>
                <w:w w:val="99"/>
              </w:rPr>
              <w:t>EACH</w:t>
            </w:r>
          </w:p>
        </w:tc>
        <w:tc>
          <w:tcPr>
            <w:tcW w:w="460" w:type="dxa"/>
            <w:vAlign w:val="bottom"/>
            <w:tcBorders>
              <w:bottom w:val="single" w:sz="8" w:color="auto"/>
            </w:tcBorders>
          </w:tcPr>
          <w:p>
            <w:pPr>
              <w:spacing w:after="0"/>
              <w:rPr>
                <w:sz w:val="10"/>
                <w:szCs w:val="10"/>
                <w:color w:val="auto"/>
              </w:rPr>
            </w:pPr>
          </w:p>
        </w:tc>
        <w:tc>
          <w:tcPr>
            <w:tcW w:w="902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5"/>
        </w:trPr>
        <w:tc>
          <w:tcPr>
            <w:tcW w:w="1340" w:type="dxa"/>
            <w:vAlign w:val="bottom"/>
            <w:vMerge w:val="continue"/>
          </w:tcPr>
          <w:p>
            <w:pPr>
              <w:spacing w:after="0"/>
              <w:rPr>
                <w:sz w:val="6"/>
                <w:szCs w:val="6"/>
                <w:color w:val="auto"/>
              </w:rPr>
            </w:pPr>
          </w:p>
        </w:tc>
        <w:tc>
          <w:tcPr>
            <w:tcW w:w="460" w:type="dxa"/>
            <w:vAlign w:val="bottom"/>
            <w:vMerge w:val="restart"/>
          </w:tcPr>
          <w:p>
            <w:pPr>
              <w:jc w:val="right"/>
              <w:ind w:right="10"/>
              <w:spacing w:after="0"/>
              <w:rPr>
                <w:sz w:val="20"/>
                <w:szCs w:val="20"/>
                <w:color w:val="auto"/>
              </w:rPr>
            </w:pPr>
            <w:r>
              <w:rPr>
                <w:rFonts w:ascii="Arial" w:cs="Arial" w:eastAsia="Arial" w:hAnsi="Arial"/>
                <w:sz w:val="18"/>
                <w:szCs w:val="18"/>
                <w:color w:val="auto"/>
              </w:rPr>
              <w:t>9</w:t>
            </w:r>
          </w:p>
        </w:tc>
        <w:tc>
          <w:tcPr>
            <w:tcW w:w="9020" w:type="dxa"/>
            <w:vAlign w:val="bottom"/>
            <w:vMerge w:val="restart"/>
          </w:tcPr>
          <w:p>
            <w:pPr>
              <w:ind w:left="12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1340" w:type="dxa"/>
            <w:vAlign w:val="bottom"/>
            <w:vMerge w:val="restart"/>
          </w:tcPr>
          <w:p>
            <w:pPr>
              <w:jc w:val="center"/>
              <w:spacing w:after="0"/>
              <w:rPr>
                <w:sz w:val="20"/>
                <w:szCs w:val="20"/>
                <w:color w:val="auto"/>
              </w:rPr>
            </w:pPr>
            <w:r>
              <w:rPr>
                <w:rFonts w:ascii="Arial" w:cs="Arial" w:eastAsia="Arial" w:hAnsi="Arial"/>
                <w:sz w:val="18"/>
                <w:szCs w:val="18"/>
                <w:color w:val="auto"/>
                <w:w w:val="93"/>
              </w:rPr>
              <w:t>REPORTING</w:t>
            </w:r>
          </w:p>
        </w:tc>
        <w:tc>
          <w:tcPr>
            <w:tcW w:w="460" w:type="dxa"/>
            <w:vAlign w:val="bottom"/>
            <w:vMerge w:val="continue"/>
          </w:tcPr>
          <w:p>
            <w:pPr>
              <w:spacing w:after="0"/>
              <w:rPr>
                <w:sz w:val="13"/>
                <w:szCs w:val="13"/>
                <w:color w:val="auto"/>
              </w:rPr>
            </w:pPr>
          </w:p>
        </w:tc>
        <w:tc>
          <w:tcPr>
            <w:tcW w:w="9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1340" w:type="dxa"/>
            <w:vAlign w:val="bottom"/>
            <w:vMerge w:val="continue"/>
          </w:tcPr>
          <w:p>
            <w:pPr>
              <w:spacing w:after="0"/>
              <w:rPr>
                <w:sz w:val="5"/>
                <w:szCs w:val="5"/>
                <w:color w:val="auto"/>
              </w:rPr>
            </w:pPr>
          </w:p>
        </w:tc>
        <w:tc>
          <w:tcPr>
            <w:tcW w:w="460" w:type="dxa"/>
            <w:vAlign w:val="bottom"/>
          </w:tcPr>
          <w:p>
            <w:pPr>
              <w:spacing w:after="0"/>
              <w:rPr>
                <w:sz w:val="5"/>
                <w:szCs w:val="5"/>
                <w:color w:val="auto"/>
              </w:rPr>
            </w:pPr>
          </w:p>
        </w:tc>
        <w:tc>
          <w:tcPr>
            <w:tcW w:w="90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340" w:type="dxa"/>
            <w:vAlign w:val="bottom"/>
          </w:tcPr>
          <w:p>
            <w:pPr>
              <w:jc w:val="center"/>
              <w:spacing w:after="0"/>
              <w:rPr>
                <w:sz w:val="20"/>
                <w:szCs w:val="20"/>
                <w:color w:val="auto"/>
              </w:rPr>
            </w:pPr>
            <w:r>
              <w:rPr>
                <w:rFonts w:ascii="Arial" w:cs="Arial" w:eastAsia="Arial" w:hAnsi="Arial"/>
                <w:sz w:val="18"/>
                <w:szCs w:val="18"/>
                <w:color w:val="auto"/>
                <w:w w:val="92"/>
              </w:rPr>
              <w:t>PERSON</w:t>
            </w:r>
          </w:p>
        </w:tc>
        <w:tc>
          <w:tcPr>
            <w:tcW w:w="460" w:type="dxa"/>
            <w:vAlign w:val="bottom"/>
          </w:tcPr>
          <w:p>
            <w:pPr>
              <w:spacing w:after="0"/>
              <w:rPr>
                <w:sz w:val="18"/>
                <w:szCs w:val="18"/>
                <w:color w:val="auto"/>
              </w:rPr>
            </w:pPr>
          </w:p>
        </w:tc>
        <w:tc>
          <w:tcPr>
            <w:tcW w:w="9020" w:type="dxa"/>
            <w:vAlign w:val="bottom"/>
            <w:vMerge w:val="restart"/>
          </w:tcPr>
          <w:p>
            <w:pPr>
              <w:ind w:left="12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03"/>
        </w:trPr>
        <w:tc>
          <w:tcPr>
            <w:tcW w:w="1340" w:type="dxa"/>
            <w:vAlign w:val="bottom"/>
          </w:tcPr>
          <w:p>
            <w:pPr>
              <w:jc w:val="center"/>
              <w:spacing w:after="0" w:line="203" w:lineRule="exact"/>
              <w:rPr>
                <w:sz w:val="20"/>
                <w:szCs w:val="20"/>
                <w:color w:val="auto"/>
              </w:rPr>
            </w:pPr>
            <w:r>
              <w:rPr>
                <w:rFonts w:ascii="Arial" w:cs="Arial" w:eastAsia="Arial" w:hAnsi="Arial"/>
                <w:sz w:val="18"/>
                <w:szCs w:val="18"/>
                <w:color w:val="auto"/>
                <w:w w:val="99"/>
              </w:rPr>
              <w:t>WITH</w:t>
            </w:r>
          </w:p>
        </w:tc>
        <w:tc>
          <w:tcPr>
            <w:tcW w:w="460" w:type="dxa"/>
            <w:vAlign w:val="bottom"/>
            <w:tcBorders>
              <w:bottom w:val="single" w:sz="8" w:color="auto"/>
            </w:tcBorders>
          </w:tcPr>
          <w:p>
            <w:pPr>
              <w:spacing w:after="0"/>
              <w:rPr>
                <w:sz w:val="17"/>
                <w:szCs w:val="17"/>
                <w:color w:val="auto"/>
              </w:rPr>
            </w:pPr>
          </w:p>
        </w:tc>
        <w:tc>
          <w:tcPr>
            <w:tcW w:w="90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1340" w:type="dxa"/>
            <w:vAlign w:val="bottom"/>
          </w:tcPr>
          <w:p>
            <w:pPr>
              <w:spacing w:after="0"/>
              <w:rPr>
                <w:sz w:val="19"/>
                <w:szCs w:val="19"/>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10</w:t>
            </w:r>
          </w:p>
        </w:tc>
        <w:tc>
          <w:tcPr>
            <w:tcW w:w="9020" w:type="dxa"/>
            <w:vAlign w:val="bottom"/>
          </w:tcPr>
          <w:p>
            <w:pPr>
              <w:ind w:left="12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bl>
    <w:p>
      <w:pPr>
        <w:spacing w:after="0" w:line="207" w:lineRule="exact"/>
        <w:rPr>
          <w:sz w:val="20"/>
          <w:szCs w:val="20"/>
          <w:color w:val="auto"/>
        </w:rPr>
      </w:pPr>
    </w:p>
    <w:p>
      <w:pPr>
        <w:ind w:left="2124"/>
        <w:spacing w:after="0"/>
        <w:rPr>
          <w:sz w:val="20"/>
          <w:szCs w:val="20"/>
          <w:color w:val="auto"/>
        </w:rPr>
      </w:pPr>
      <w:r>
        <w:rPr>
          <w:rFonts w:ascii="Arial" w:cs="Arial" w:eastAsia="Arial" w:hAnsi="Arial"/>
          <w:sz w:val="22"/>
          <w:szCs w:val="22"/>
          <w:color w:val="auto"/>
        </w:rPr>
        <w:t>4,800,460 Shares of Common Stock (1)</w:t>
      </w:r>
    </w:p>
    <w:p>
      <w:pPr>
        <w:spacing w:after="0" w:line="24" w:lineRule="exact"/>
        <w:rPr>
          <w:sz w:val="20"/>
          <w:szCs w:val="20"/>
          <w:color w:val="auto"/>
        </w:rPr>
      </w:pPr>
    </w:p>
    <w:p>
      <w:pPr>
        <w:ind w:left="164"/>
        <w:spacing w:after="0"/>
        <w:tabs>
          <w:tab w:leader="none" w:pos="484"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7"/>
          <w:szCs w:val="17"/>
          <w:color w:val="auto"/>
        </w:rPr>
        <w:t>AGGREGATE AMOUNT BENEFICIALLY OWNED BY EACH REPORTING PERSON</w:t>
      </w:r>
    </w:p>
    <w:p>
      <w:pPr>
        <w:spacing w:after="0" w:line="245" w:lineRule="exact"/>
        <w:rPr>
          <w:sz w:val="20"/>
          <w:szCs w:val="20"/>
          <w:color w:val="auto"/>
        </w:rPr>
      </w:pPr>
    </w:p>
    <w:p>
      <w:pPr>
        <w:ind w:left="504"/>
        <w:spacing w:after="0"/>
        <w:rPr>
          <w:sz w:val="20"/>
          <w:szCs w:val="20"/>
          <w:color w:val="auto"/>
        </w:rPr>
      </w:pPr>
      <w:r>
        <w:rPr>
          <w:rFonts w:ascii="Arial" w:cs="Arial" w:eastAsia="Arial" w:hAnsi="Arial"/>
          <w:sz w:val="22"/>
          <w:szCs w:val="22"/>
          <w:color w:val="auto"/>
        </w:rPr>
        <w:t>4,800,460 Shares of Common Stock (1)</w:t>
      </w:r>
    </w:p>
    <w:p>
      <w:pPr>
        <w:spacing w:after="0" w:line="21" w:lineRule="exact"/>
        <w:rPr>
          <w:sz w:val="20"/>
          <w:szCs w:val="20"/>
          <w:color w:val="auto"/>
        </w:rPr>
      </w:pPr>
    </w:p>
    <w:p>
      <w:pPr>
        <w:ind w:left="504" w:hanging="347"/>
        <w:spacing w:after="0" w:line="207" w:lineRule="exact"/>
        <w:tabs>
          <w:tab w:leader="none" w:pos="504" w:val="left"/>
        </w:tabs>
        <w:numPr>
          <w:ilvl w:val="0"/>
          <w:numId w:val="48"/>
        </w:numPr>
        <w:rPr>
          <w:rFonts w:ascii="Arial" w:cs="Arial" w:eastAsia="Arial" w:hAnsi="Arial"/>
          <w:sz w:val="18"/>
          <w:szCs w:val="18"/>
          <w:color w:val="auto"/>
        </w:rPr>
      </w:pPr>
      <w:r>
        <w:rPr>
          <w:rFonts w:ascii="Arial" w:cs="Arial" w:eastAsia="Arial" w:hAnsi="Arial"/>
          <w:sz w:val="18"/>
          <w:szCs w:val="18"/>
          <w:color w:val="auto"/>
        </w:rPr>
        <w:t xml:space="preserve">CHECK BOX IF THE AGGREGATE AMOUNT IN ROW (11) EXCLUDES CERTAIN SHARES (see instructions) </w:t>
      </w:r>
      <w:r>
        <w:rPr>
          <w:rFonts w:ascii="MS PGothic" w:cs="MS PGothic" w:eastAsia="MS PGothic" w:hAnsi="MS PGothic"/>
          <w:sz w:val="18"/>
          <w:szCs w:val="18"/>
          <w:color w:val="auto"/>
        </w:rPr>
        <w:t>☐</w:t>
      </w:r>
    </w:p>
    <w:p>
      <w:pPr>
        <w:spacing w:after="0" w:line="200" w:lineRule="exact"/>
        <w:rPr>
          <w:rFonts w:ascii="Arial" w:cs="Arial" w:eastAsia="Arial" w:hAnsi="Arial"/>
          <w:sz w:val="18"/>
          <w:szCs w:val="18"/>
          <w:color w:val="auto"/>
        </w:rPr>
      </w:pPr>
    </w:p>
    <w:p>
      <w:pPr>
        <w:spacing w:after="0" w:line="324" w:lineRule="exact"/>
        <w:rPr>
          <w:rFonts w:ascii="Arial" w:cs="Arial" w:eastAsia="Arial" w:hAnsi="Arial"/>
          <w:sz w:val="18"/>
          <w:szCs w:val="18"/>
          <w:color w:val="auto"/>
        </w:rPr>
      </w:pPr>
    </w:p>
    <w:p>
      <w:pPr>
        <w:ind w:left="504" w:hanging="347"/>
        <w:spacing w:after="0"/>
        <w:tabs>
          <w:tab w:leader="none" w:pos="504" w:val="left"/>
        </w:tabs>
        <w:numPr>
          <w:ilvl w:val="0"/>
          <w:numId w:val="48"/>
        </w:numPr>
        <w:rPr>
          <w:rFonts w:ascii="Arial" w:cs="Arial" w:eastAsia="Arial" w:hAnsi="Arial"/>
          <w:sz w:val="18"/>
          <w:szCs w:val="18"/>
          <w:color w:val="auto"/>
        </w:rPr>
      </w:pPr>
      <w:r>
        <w:rPr>
          <w:rFonts w:ascii="Arial" w:cs="Arial" w:eastAsia="Arial" w:hAnsi="Arial"/>
          <w:sz w:val="18"/>
          <w:szCs w:val="18"/>
          <w:color w:val="auto"/>
        </w:rPr>
        <w:t>PERCENT OF CLASS REPRESENTED BY AMOUNT IN ROW 11</w:t>
      </w:r>
    </w:p>
    <w:p>
      <w:pPr>
        <w:spacing w:after="0" w:line="245" w:lineRule="exact"/>
        <w:rPr>
          <w:sz w:val="20"/>
          <w:szCs w:val="20"/>
          <w:color w:val="auto"/>
        </w:rPr>
      </w:pPr>
    </w:p>
    <w:p>
      <w:pPr>
        <w:ind w:left="504"/>
        <w:spacing w:after="0"/>
        <w:rPr>
          <w:sz w:val="20"/>
          <w:szCs w:val="20"/>
          <w:color w:val="auto"/>
        </w:rPr>
      </w:pPr>
      <w:r>
        <w:rPr>
          <w:rFonts w:ascii="Arial" w:cs="Arial" w:eastAsia="Arial" w:hAnsi="Arial"/>
          <w:sz w:val="22"/>
          <w:szCs w:val="22"/>
          <w:color w:val="auto"/>
        </w:rPr>
        <w:t>4.3% (2)</w:t>
      </w:r>
    </w:p>
    <w:p>
      <w:pPr>
        <w:spacing w:after="0" w:line="24" w:lineRule="exact"/>
        <w:rPr>
          <w:sz w:val="20"/>
          <w:szCs w:val="20"/>
          <w:color w:val="auto"/>
        </w:rPr>
      </w:pPr>
    </w:p>
    <w:p>
      <w:pPr>
        <w:ind w:left="164"/>
        <w:spacing w:after="0"/>
        <w:tabs>
          <w:tab w:leader="none" w:pos="484"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6"/>
          <w:szCs w:val="16"/>
          <w:color w:val="auto"/>
        </w:rPr>
        <w:t>TYPE OF REPORTING PERSON (see instructions)</w:t>
      </w:r>
    </w:p>
    <w:p>
      <w:pPr>
        <w:spacing w:after="0" w:line="245" w:lineRule="exact"/>
        <w:rPr>
          <w:sz w:val="20"/>
          <w:szCs w:val="20"/>
          <w:color w:val="auto"/>
        </w:rPr>
      </w:pPr>
    </w:p>
    <w:p>
      <w:pPr>
        <w:ind w:left="504"/>
        <w:spacing w:after="0"/>
        <w:rPr>
          <w:sz w:val="20"/>
          <w:szCs w:val="20"/>
          <w:color w:val="auto"/>
        </w:rPr>
      </w:pPr>
      <w:r>
        <w:rPr>
          <w:rFonts w:ascii="Arial" w:cs="Arial" w:eastAsia="Arial" w:hAnsi="Arial"/>
          <w:sz w:val="22"/>
          <w:szCs w:val="22"/>
          <w:color w:val="auto"/>
        </w:rPr>
        <w:t>PN</w:t>
      </w:r>
    </w:p>
    <w:p>
      <w:pPr>
        <w:spacing w:after="0" w:line="267" w:lineRule="exact"/>
        <w:rPr>
          <w:sz w:val="20"/>
          <w:szCs w:val="20"/>
          <w:color w:val="auto"/>
        </w:rPr>
      </w:pPr>
    </w:p>
    <w:p>
      <w:pPr>
        <w:ind w:left="424" w:right="80" w:hanging="424"/>
        <w:spacing w:after="0" w:line="253" w:lineRule="auto"/>
        <w:tabs>
          <w:tab w:leader="none" w:pos="424" w:val="left"/>
        </w:tabs>
        <w:numPr>
          <w:ilvl w:val="0"/>
          <w:numId w:val="49"/>
        </w:numPr>
        <w:rPr>
          <w:rFonts w:ascii="Arial" w:cs="Arial" w:eastAsia="Arial" w:hAnsi="Arial"/>
          <w:sz w:val="18"/>
          <w:szCs w:val="18"/>
          <w:color w:val="auto"/>
        </w:rPr>
      </w:pPr>
      <w:r>
        <w:rPr>
          <w:rFonts w:ascii="Arial" w:cs="Arial" w:eastAsia="Arial" w:hAnsi="Arial"/>
          <w:sz w:val="18"/>
          <w:szCs w:val="18"/>
          <w:color w:val="auto"/>
        </w:rPr>
        <w:t>All shares are held of record by Polaris IX (as defined in Item 2(a) below). PPGP IX (as defined in Item 2(a) below) is the general partner of Polaris IX and may be deemed to have shared voting, investment and dispositive power with respect to these securities. Terrance McGuire, an interest holder in PPGP IX and a member of the Issuer’s board of directors, and the PPGP IX Managing Members (as defined in Item 2(c) below) are the managing members of PPGP IX and may be deemed to have shared voting, investment and dispositive power with respect to the securities held by Polaris IX.</w:t>
      </w:r>
    </w:p>
    <w:p>
      <w:pPr>
        <w:spacing w:after="0" w:line="3" w:lineRule="exact"/>
        <w:rPr>
          <w:rFonts w:ascii="Arial" w:cs="Arial" w:eastAsia="Arial" w:hAnsi="Arial"/>
          <w:sz w:val="18"/>
          <w:szCs w:val="18"/>
          <w:color w:val="auto"/>
        </w:rPr>
      </w:pPr>
    </w:p>
    <w:p>
      <w:pPr>
        <w:ind w:left="424" w:right="180" w:hanging="424"/>
        <w:spacing w:after="0" w:line="260" w:lineRule="auto"/>
        <w:tabs>
          <w:tab w:leader="none" w:pos="424" w:val="left"/>
        </w:tabs>
        <w:numPr>
          <w:ilvl w:val="0"/>
          <w:numId w:val="49"/>
        </w:numPr>
        <w:rPr>
          <w:rFonts w:ascii="Arial" w:cs="Arial" w:eastAsia="Arial" w:hAnsi="Arial"/>
          <w:sz w:val="18"/>
          <w:szCs w:val="18"/>
          <w:color w:val="auto"/>
        </w:rPr>
      </w:pPr>
      <w:r>
        <w:rPr>
          <w:rFonts w:ascii="Arial" w:cs="Arial" w:eastAsia="Arial" w:hAnsi="Arial"/>
          <w:sz w:val="18"/>
          <w:szCs w:val="18"/>
          <w:color w:val="auto"/>
        </w:rPr>
        <w:t>Based on 111,245,660 shares of Common Stock outstanding (including shares issued upon the full exercise by the underwriters of their option to purchase additional shares in the Offering), as reported by the Issuer in the Prospectus.</w:t>
      </w:r>
    </w:p>
    <w:p>
      <w:pPr>
        <w:sectPr>
          <w:pgSz w:w="11900" w:h="16838" w:orient="portrait"/>
          <w:cols w:equalWidth="0" w:num="1">
            <w:col w:w="11024"/>
          </w:cols>
          <w:pgMar w:left="436" w:top="274" w:right="439" w:bottom="1440" w:gutter="0" w:footer="0" w:header="0"/>
        </w:sectPr>
      </w:pPr>
    </w:p>
    <w:bookmarkStart w:id="7" w:name="page8"/>
    <w:bookmarkEnd w:id="7"/>
    <w:tbl>
      <w:tblPr>
        <w:tblLayout w:type="fixed"/>
        <w:tblInd w:w="4" w:type="dxa"/>
        <w:tblCellMar>
          <w:top w:w="0" w:type="dxa"/>
          <w:left w:w="0" w:type="dxa"/>
          <w:bottom w:w="0" w:type="dxa"/>
          <w:right w:w="0" w:type="dxa"/>
        </w:tblCellMar>
      </w:tblPr>
      <w:tr>
        <w:trPr>
          <w:trHeight w:val="230"/>
        </w:trPr>
        <w:tc>
          <w:tcPr>
            <w:tcW w:w="6200" w:type="dxa"/>
            <w:vAlign w:val="bottom"/>
          </w:tcPr>
          <w:p>
            <w:pPr>
              <w:spacing w:after="0"/>
              <w:rPr>
                <w:sz w:val="20"/>
                <w:szCs w:val="20"/>
                <w:color w:val="auto"/>
              </w:rPr>
            </w:pPr>
            <w:r>
              <w:rPr>
                <w:rFonts w:ascii="Arial" w:cs="Arial" w:eastAsia="Arial" w:hAnsi="Arial"/>
                <w:sz w:val="18"/>
                <w:szCs w:val="18"/>
                <w:color w:val="auto"/>
              </w:rPr>
              <w:t>CUSIP No. 00534A102</w:t>
            </w:r>
          </w:p>
        </w:tc>
        <w:tc>
          <w:tcPr>
            <w:tcW w:w="4820" w:type="dxa"/>
            <w:vAlign w:val="bottom"/>
          </w:tcPr>
          <w:p>
            <w:pPr>
              <w:ind w:left="4500"/>
              <w:spacing w:after="0"/>
              <w:rPr>
                <w:sz w:val="20"/>
                <w:szCs w:val="20"/>
                <w:color w:val="auto"/>
              </w:rPr>
            </w:pPr>
            <w:r>
              <w:rPr>
                <w:rFonts w:ascii="Arial" w:cs="Arial" w:eastAsia="Arial" w:hAnsi="Arial"/>
                <w:sz w:val="18"/>
                <w:szCs w:val="18"/>
                <w:color w:val="auto"/>
                <w:w w:val="90"/>
              </w:rPr>
              <w:t>13D</w:t>
            </w:r>
          </w:p>
        </w:tc>
      </w:tr>
    </w:tbl>
    <w:p>
      <w:pPr>
        <w:spacing w:after="0" w:line="2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ind w:left="524" w:hanging="277"/>
        <w:spacing w:after="0"/>
        <w:tabs>
          <w:tab w:leader="none" w:pos="524" w:val="left"/>
        </w:tabs>
        <w:numPr>
          <w:ilvl w:val="0"/>
          <w:numId w:val="50"/>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-130175</wp:posOffset>
            </wp:positionV>
            <wp:extent cx="7003415" cy="64719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003415" cy="6471920"/>
                    </a:xfrm>
                    <a:prstGeom prst="rect">
                      <a:avLst/>
                    </a:prstGeom>
                    <a:noFill/>
                  </pic:spPr>
                </pic:pic>
              </a:graphicData>
            </a:graphic>
          </wp:anchor>
        </w:drawing>
      </w:r>
    </w:p>
    <w:p>
      <w:pPr>
        <w:spacing w:after="0" w:line="225" w:lineRule="exact"/>
        <w:rPr>
          <w:sz w:val="20"/>
          <w:szCs w:val="20"/>
          <w:color w:val="auto"/>
        </w:rPr>
      </w:pPr>
    </w:p>
    <w:p>
      <w:pPr>
        <w:ind w:left="524"/>
        <w:spacing w:after="0"/>
        <w:rPr>
          <w:sz w:val="20"/>
          <w:szCs w:val="20"/>
          <w:color w:val="auto"/>
        </w:rPr>
      </w:pPr>
      <w:r>
        <w:rPr>
          <w:rFonts w:ascii="Arial" w:cs="Arial" w:eastAsia="Arial" w:hAnsi="Arial"/>
          <w:sz w:val="22"/>
          <w:szCs w:val="22"/>
          <w:color w:val="auto"/>
        </w:rPr>
        <w:t>Polaris Partners GP IX, L.L.C.</w:t>
      </w:r>
    </w:p>
    <w:p>
      <w:pPr>
        <w:spacing w:after="0" w:line="24" w:lineRule="exact"/>
        <w:rPr>
          <w:sz w:val="20"/>
          <w:szCs w:val="20"/>
          <w:color w:val="auto"/>
        </w:rPr>
      </w:pPr>
    </w:p>
    <w:p>
      <w:pPr>
        <w:ind w:left="524" w:hanging="277"/>
        <w:spacing w:after="0"/>
        <w:tabs>
          <w:tab w:leader="none" w:pos="524" w:val="left"/>
        </w:tabs>
        <w:numPr>
          <w:ilvl w:val="0"/>
          <w:numId w:val="51"/>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8" w:lineRule="exact"/>
        <w:rPr>
          <w:sz w:val="20"/>
          <w:szCs w:val="20"/>
          <w:color w:val="auto"/>
        </w:rPr>
      </w:pPr>
    </w:p>
    <w:p>
      <w:pPr>
        <w:ind w:left="524"/>
        <w:spacing w:after="0" w:line="207" w:lineRule="exact"/>
        <w:tabs>
          <w:tab w:leader="none" w:pos="1324"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524" w:hanging="277"/>
        <w:spacing w:after="0"/>
        <w:tabs>
          <w:tab w:leader="none" w:pos="524" w:val="left"/>
        </w:tabs>
        <w:numPr>
          <w:ilvl w:val="0"/>
          <w:numId w:val="52"/>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sz w:val="20"/>
          <w:szCs w:val="20"/>
          <w:color w:val="auto"/>
        </w:rPr>
      </w:pPr>
    </w:p>
    <w:p>
      <w:pPr>
        <w:spacing w:after="0" w:line="322" w:lineRule="exact"/>
        <w:rPr>
          <w:sz w:val="20"/>
          <w:szCs w:val="20"/>
          <w:color w:val="auto"/>
        </w:rPr>
      </w:pPr>
    </w:p>
    <w:p>
      <w:pPr>
        <w:ind w:left="524" w:hanging="277"/>
        <w:spacing w:after="0"/>
        <w:tabs>
          <w:tab w:leader="none" w:pos="524" w:val="left"/>
        </w:tabs>
        <w:numPr>
          <w:ilvl w:val="0"/>
          <w:numId w:val="53"/>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45" w:lineRule="exact"/>
        <w:rPr>
          <w:sz w:val="20"/>
          <w:szCs w:val="20"/>
          <w:color w:val="auto"/>
        </w:rPr>
      </w:pPr>
    </w:p>
    <w:p>
      <w:pPr>
        <w:ind w:left="524"/>
        <w:spacing w:after="0"/>
        <w:rPr>
          <w:sz w:val="20"/>
          <w:szCs w:val="20"/>
          <w:color w:val="auto"/>
        </w:rPr>
      </w:pPr>
      <w:r>
        <w:rPr>
          <w:rFonts w:ascii="Arial" w:cs="Arial" w:eastAsia="Arial" w:hAnsi="Arial"/>
          <w:sz w:val="22"/>
          <w:szCs w:val="22"/>
          <w:color w:val="auto"/>
        </w:rPr>
        <w:t>AF</w:t>
      </w:r>
    </w:p>
    <w:p>
      <w:pPr>
        <w:spacing w:after="0" w:line="21" w:lineRule="exact"/>
        <w:rPr>
          <w:sz w:val="20"/>
          <w:szCs w:val="20"/>
          <w:color w:val="auto"/>
        </w:rPr>
      </w:pPr>
    </w:p>
    <w:p>
      <w:pPr>
        <w:ind w:left="524" w:hanging="277"/>
        <w:spacing w:after="0" w:line="207" w:lineRule="exact"/>
        <w:tabs>
          <w:tab w:leader="none" w:pos="524" w:val="left"/>
        </w:tabs>
        <w:numPr>
          <w:ilvl w:val="0"/>
          <w:numId w:val="54"/>
        </w:numPr>
        <w:rPr>
          <w:rFonts w:ascii="Arial" w:cs="Arial" w:eastAsia="Arial" w:hAnsi="Arial"/>
          <w:sz w:val="18"/>
          <w:szCs w:val="18"/>
          <w:color w:val="auto"/>
        </w:rPr>
      </w:pPr>
      <w:r>
        <w:rPr>
          <w:rFonts w:ascii="Arial" w:cs="Arial" w:eastAsia="Arial" w:hAnsi="Arial"/>
          <w:sz w:val="18"/>
          <w:szCs w:val="18"/>
          <w:color w:val="auto"/>
        </w:rPr>
        <w:t xml:space="preserve">CHECK IF DISCLOSURE OF LEGAL PROCEEDINGS IS REQUIRED PURSUANT TO ITEM 2(d) or 2(e) </w:t>
      </w:r>
      <w:r>
        <w:rPr>
          <w:rFonts w:ascii="MS PGothic" w:cs="MS PGothic" w:eastAsia="MS PGothic" w:hAnsi="MS PGothic"/>
          <w:sz w:val="18"/>
          <w:szCs w:val="18"/>
          <w:color w:val="auto"/>
        </w:rPr>
        <w:t>☐</w:t>
      </w:r>
    </w:p>
    <w:p>
      <w:pPr>
        <w:spacing w:after="0" w:line="200" w:lineRule="exact"/>
        <w:rPr>
          <w:sz w:val="20"/>
          <w:szCs w:val="20"/>
          <w:color w:val="auto"/>
        </w:rPr>
      </w:pPr>
    </w:p>
    <w:p>
      <w:pPr>
        <w:spacing w:after="0" w:line="325" w:lineRule="exact"/>
        <w:rPr>
          <w:sz w:val="20"/>
          <w:szCs w:val="20"/>
          <w:color w:val="auto"/>
        </w:rPr>
      </w:pPr>
    </w:p>
    <w:p>
      <w:pPr>
        <w:ind w:left="524" w:hanging="277"/>
        <w:spacing w:after="0"/>
        <w:tabs>
          <w:tab w:leader="none" w:pos="524" w:val="left"/>
        </w:tabs>
        <w:numPr>
          <w:ilvl w:val="0"/>
          <w:numId w:val="55"/>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45" w:lineRule="exact"/>
        <w:rPr>
          <w:sz w:val="20"/>
          <w:szCs w:val="20"/>
          <w:color w:val="auto"/>
        </w:rPr>
      </w:pPr>
    </w:p>
    <w:p>
      <w:pPr>
        <w:ind w:left="524"/>
        <w:spacing w:after="0"/>
        <w:rPr>
          <w:sz w:val="20"/>
          <w:szCs w:val="20"/>
          <w:color w:val="auto"/>
        </w:rPr>
      </w:pPr>
      <w:r>
        <w:rPr>
          <w:rFonts w:ascii="Arial" w:cs="Arial" w:eastAsia="Arial" w:hAnsi="Arial"/>
          <w:sz w:val="22"/>
          <w:szCs w:val="22"/>
          <w:color w:val="auto"/>
        </w:rPr>
        <w:t>Delaware</w:t>
      </w:r>
    </w:p>
    <w:p>
      <w:pPr>
        <w:spacing w:after="0" w:line="24" w:lineRule="exact"/>
        <w:rPr>
          <w:sz w:val="20"/>
          <w:szCs w:val="20"/>
          <w:color w:val="auto"/>
        </w:rPr>
      </w:pPr>
    </w:p>
    <w:tbl>
      <w:tblPr>
        <w:tblLayout w:type="fixed"/>
        <w:tblInd w:w="204" w:type="dxa"/>
        <w:tblCellMar>
          <w:top w:w="0" w:type="dxa"/>
          <w:left w:w="0" w:type="dxa"/>
          <w:bottom w:w="0" w:type="dxa"/>
          <w:right w:w="0" w:type="dxa"/>
        </w:tblCellMar>
      </w:tblPr>
      <w:tr>
        <w:trPr>
          <w:trHeight w:val="230"/>
        </w:trPr>
        <w:tc>
          <w:tcPr>
            <w:tcW w:w="1340" w:type="dxa"/>
            <w:vAlign w:val="bottom"/>
          </w:tcPr>
          <w:p>
            <w:pPr>
              <w:spacing w:after="0"/>
              <w:rPr>
                <w:sz w:val="20"/>
                <w:szCs w:val="20"/>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7</w:t>
            </w:r>
          </w:p>
        </w:tc>
        <w:tc>
          <w:tcPr>
            <w:tcW w:w="9020" w:type="dxa"/>
            <w:vAlign w:val="bottom"/>
          </w:tcPr>
          <w:p>
            <w:pPr>
              <w:ind w:left="12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58"/>
        </w:trPr>
        <w:tc>
          <w:tcPr>
            <w:tcW w:w="1340" w:type="dxa"/>
            <w:vAlign w:val="bottom"/>
          </w:tcPr>
          <w:p>
            <w:pPr>
              <w:jc w:val="center"/>
              <w:spacing w:after="0"/>
              <w:rPr>
                <w:sz w:val="20"/>
                <w:szCs w:val="20"/>
                <w:color w:val="auto"/>
              </w:rPr>
            </w:pPr>
            <w:r>
              <w:rPr>
                <w:rFonts w:ascii="Arial" w:cs="Arial" w:eastAsia="Arial" w:hAnsi="Arial"/>
                <w:sz w:val="18"/>
                <w:szCs w:val="18"/>
                <w:color w:val="auto"/>
                <w:w w:val="98"/>
              </w:rPr>
              <w:t>NUMBER OF</w:t>
            </w:r>
          </w:p>
        </w:tc>
        <w:tc>
          <w:tcPr>
            <w:tcW w:w="460" w:type="dxa"/>
            <w:vAlign w:val="bottom"/>
          </w:tcPr>
          <w:p>
            <w:pPr>
              <w:spacing w:after="0"/>
              <w:rPr>
                <w:sz w:val="24"/>
                <w:szCs w:val="24"/>
                <w:color w:val="auto"/>
              </w:rPr>
            </w:pPr>
          </w:p>
        </w:tc>
        <w:tc>
          <w:tcPr>
            <w:tcW w:w="9020" w:type="dxa"/>
            <w:vAlign w:val="bottom"/>
          </w:tcPr>
          <w:p>
            <w:pPr>
              <w:ind w:left="12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41"/>
        </w:trPr>
        <w:tc>
          <w:tcPr>
            <w:tcW w:w="1340" w:type="dxa"/>
            <w:vAlign w:val="bottom"/>
            <w:vMerge w:val="restart"/>
          </w:tcPr>
          <w:p>
            <w:pPr>
              <w:jc w:val="center"/>
              <w:spacing w:after="0"/>
              <w:rPr>
                <w:sz w:val="20"/>
                <w:szCs w:val="20"/>
                <w:color w:val="auto"/>
              </w:rPr>
            </w:pPr>
            <w:r>
              <w:rPr>
                <w:rFonts w:ascii="Arial" w:cs="Arial" w:eastAsia="Arial" w:hAnsi="Arial"/>
                <w:sz w:val="18"/>
                <w:szCs w:val="18"/>
                <w:color w:val="auto"/>
                <w:w w:val="94"/>
              </w:rPr>
              <w:t>SHARES</w:t>
            </w:r>
          </w:p>
        </w:tc>
        <w:tc>
          <w:tcPr>
            <w:tcW w:w="460" w:type="dxa"/>
            <w:vAlign w:val="bottom"/>
            <w:tcBorders>
              <w:bottom w:val="single" w:sz="8" w:color="auto"/>
            </w:tcBorders>
          </w:tcPr>
          <w:p>
            <w:pPr>
              <w:spacing w:after="0"/>
              <w:rPr>
                <w:sz w:val="3"/>
                <w:szCs w:val="3"/>
                <w:color w:val="auto"/>
              </w:rPr>
            </w:pPr>
          </w:p>
        </w:tc>
        <w:tc>
          <w:tcPr>
            <w:tcW w:w="90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6"/>
        </w:trPr>
        <w:tc>
          <w:tcPr>
            <w:tcW w:w="1340" w:type="dxa"/>
            <w:vAlign w:val="bottom"/>
            <w:vMerge w:val="continue"/>
          </w:tcPr>
          <w:p>
            <w:pPr>
              <w:spacing w:after="0"/>
              <w:rPr>
                <w:sz w:val="13"/>
                <w:szCs w:val="13"/>
                <w:color w:val="auto"/>
              </w:rPr>
            </w:pPr>
          </w:p>
        </w:tc>
        <w:tc>
          <w:tcPr>
            <w:tcW w:w="460" w:type="dxa"/>
            <w:vAlign w:val="bottom"/>
          </w:tcPr>
          <w:p>
            <w:pPr>
              <w:jc w:val="right"/>
              <w:ind w:right="10"/>
              <w:spacing w:after="0" w:line="156" w:lineRule="exact"/>
              <w:rPr>
                <w:sz w:val="20"/>
                <w:szCs w:val="20"/>
                <w:color w:val="auto"/>
              </w:rPr>
            </w:pPr>
            <w:r>
              <w:rPr>
                <w:rFonts w:ascii="Arial" w:cs="Arial" w:eastAsia="Arial" w:hAnsi="Arial"/>
                <w:sz w:val="18"/>
                <w:szCs w:val="18"/>
                <w:color w:val="auto"/>
              </w:rPr>
              <w:t>8</w:t>
            </w:r>
          </w:p>
        </w:tc>
        <w:tc>
          <w:tcPr>
            <w:tcW w:w="9020" w:type="dxa"/>
            <w:vAlign w:val="bottom"/>
          </w:tcPr>
          <w:p>
            <w:pPr>
              <w:ind w:left="120"/>
              <w:spacing w:after="0" w:line="156" w:lineRule="exact"/>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5"/>
        </w:trPr>
        <w:tc>
          <w:tcPr>
            <w:tcW w:w="1340" w:type="dxa"/>
            <w:vAlign w:val="bottom"/>
          </w:tcPr>
          <w:p>
            <w:pPr>
              <w:jc w:val="center"/>
              <w:spacing w:after="0"/>
              <w:rPr>
                <w:sz w:val="20"/>
                <w:szCs w:val="20"/>
                <w:color w:val="auto"/>
              </w:rPr>
            </w:pPr>
            <w:r>
              <w:rPr>
                <w:rFonts w:ascii="Arial" w:cs="Arial" w:eastAsia="Arial" w:hAnsi="Arial"/>
                <w:sz w:val="18"/>
                <w:szCs w:val="18"/>
                <w:color w:val="auto"/>
                <w:w w:val="99"/>
              </w:rPr>
              <w:t>BENEFICIALLY</w:t>
            </w:r>
          </w:p>
        </w:tc>
        <w:tc>
          <w:tcPr>
            <w:tcW w:w="460" w:type="dxa"/>
            <w:vAlign w:val="bottom"/>
          </w:tcPr>
          <w:p>
            <w:pPr>
              <w:spacing w:after="0"/>
              <w:rPr>
                <w:sz w:val="18"/>
                <w:szCs w:val="18"/>
                <w:color w:val="auto"/>
              </w:rPr>
            </w:pPr>
          </w:p>
        </w:tc>
        <w:tc>
          <w:tcPr>
            <w:tcW w:w="9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jc w:val="center"/>
              <w:spacing w:after="0"/>
              <w:rPr>
                <w:sz w:val="20"/>
                <w:szCs w:val="20"/>
                <w:color w:val="auto"/>
              </w:rPr>
            </w:pPr>
            <w:r>
              <w:rPr>
                <w:rFonts w:ascii="Arial" w:cs="Arial" w:eastAsia="Arial" w:hAnsi="Arial"/>
                <w:sz w:val="18"/>
                <w:szCs w:val="18"/>
                <w:color w:val="auto"/>
                <w:w w:val="99"/>
              </w:rPr>
              <w:t>OWNED BY</w:t>
            </w:r>
          </w:p>
        </w:tc>
        <w:tc>
          <w:tcPr>
            <w:tcW w:w="460" w:type="dxa"/>
            <w:vAlign w:val="bottom"/>
          </w:tcPr>
          <w:p>
            <w:pPr>
              <w:spacing w:after="0"/>
              <w:rPr>
                <w:sz w:val="18"/>
                <w:szCs w:val="18"/>
                <w:color w:val="auto"/>
              </w:rPr>
            </w:pPr>
          </w:p>
        </w:tc>
        <w:tc>
          <w:tcPr>
            <w:tcW w:w="9020" w:type="dxa"/>
            <w:vAlign w:val="bottom"/>
            <w:vMerge w:val="restart"/>
          </w:tcPr>
          <w:p>
            <w:pPr>
              <w:ind w:left="120"/>
              <w:spacing w:after="0"/>
              <w:rPr>
                <w:sz w:val="20"/>
                <w:szCs w:val="20"/>
                <w:color w:val="auto"/>
              </w:rPr>
            </w:pPr>
            <w:r>
              <w:rPr>
                <w:rFonts w:ascii="Arial" w:cs="Arial" w:eastAsia="Arial" w:hAnsi="Arial"/>
                <w:sz w:val="22"/>
                <w:szCs w:val="22"/>
                <w:color w:val="auto"/>
              </w:rPr>
              <w:t>4,800,460 Shares of Common Stock (1)</w:t>
            </w:r>
          </w:p>
        </w:tc>
        <w:tc>
          <w:tcPr>
            <w:tcW w:w="0" w:type="dxa"/>
            <w:vAlign w:val="bottom"/>
          </w:tcPr>
          <w:p>
            <w:pPr>
              <w:spacing w:after="0"/>
              <w:rPr>
                <w:sz w:val="1"/>
                <w:szCs w:val="1"/>
                <w:color w:val="auto"/>
              </w:rPr>
            </w:pPr>
          </w:p>
        </w:tc>
      </w:tr>
      <w:tr>
        <w:trPr>
          <w:trHeight w:val="121"/>
        </w:trPr>
        <w:tc>
          <w:tcPr>
            <w:tcW w:w="1340" w:type="dxa"/>
            <w:vAlign w:val="bottom"/>
            <w:vMerge w:val="restart"/>
          </w:tcPr>
          <w:p>
            <w:pPr>
              <w:jc w:val="center"/>
              <w:spacing w:after="0"/>
              <w:rPr>
                <w:sz w:val="20"/>
                <w:szCs w:val="20"/>
                <w:color w:val="auto"/>
              </w:rPr>
            </w:pPr>
            <w:r>
              <w:rPr>
                <w:rFonts w:ascii="Arial" w:cs="Arial" w:eastAsia="Arial" w:hAnsi="Arial"/>
                <w:sz w:val="18"/>
                <w:szCs w:val="18"/>
                <w:color w:val="auto"/>
                <w:w w:val="99"/>
              </w:rPr>
              <w:t>EACH</w:t>
            </w:r>
          </w:p>
        </w:tc>
        <w:tc>
          <w:tcPr>
            <w:tcW w:w="460" w:type="dxa"/>
            <w:vAlign w:val="bottom"/>
            <w:tcBorders>
              <w:bottom w:val="single" w:sz="8" w:color="auto"/>
            </w:tcBorders>
          </w:tcPr>
          <w:p>
            <w:pPr>
              <w:spacing w:after="0"/>
              <w:rPr>
                <w:sz w:val="10"/>
                <w:szCs w:val="10"/>
                <w:color w:val="auto"/>
              </w:rPr>
            </w:pPr>
          </w:p>
        </w:tc>
        <w:tc>
          <w:tcPr>
            <w:tcW w:w="902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5"/>
        </w:trPr>
        <w:tc>
          <w:tcPr>
            <w:tcW w:w="1340" w:type="dxa"/>
            <w:vAlign w:val="bottom"/>
            <w:vMerge w:val="continue"/>
          </w:tcPr>
          <w:p>
            <w:pPr>
              <w:spacing w:after="0"/>
              <w:rPr>
                <w:sz w:val="6"/>
                <w:szCs w:val="6"/>
                <w:color w:val="auto"/>
              </w:rPr>
            </w:pPr>
          </w:p>
        </w:tc>
        <w:tc>
          <w:tcPr>
            <w:tcW w:w="460" w:type="dxa"/>
            <w:vAlign w:val="bottom"/>
            <w:vMerge w:val="restart"/>
          </w:tcPr>
          <w:p>
            <w:pPr>
              <w:jc w:val="right"/>
              <w:ind w:right="10"/>
              <w:spacing w:after="0"/>
              <w:rPr>
                <w:sz w:val="20"/>
                <w:szCs w:val="20"/>
                <w:color w:val="auto"/>
              </w:rPr>
            </w:pPr>
            <w:r>
              <w:rPr>
                <w:rFonts w:ascii="Arial" w:cs="Arial" w:eastAsia="Arial" w:hAnsi="Arial"/>
                <w:sz w:val="18"/>
                <w:szCs w:val="18"/>
                <w:color w:val="auto"/>
              </w:rPr>
              <w:t>9</w:t>
            </w:r>
          </w:p>
        </w:tc>
        <w:tc>
          <w:tcPr>
            <w:tcW w:w="9020" w:type="dxa"/>
            <w:vAlign w:val="bottom"/>
            <w:vMerge w:val="restart"/>
          </w:tcPr>
          <w:p>
            <w:pPr>
              <w:ind w:left="12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1340" w:type="dxa"/>
            <w:vAlign w:val="bottom"/>
            <w:vMerge w:val="restart"/>
          </w:tcPr>
          <w:p>
            <w:pPr>
              <w:jc w:val="center"/>
              <w:spacing w:after="0"/>
              <w:rPr>
                <w:sz w:val="20"/>
                <w:szCs w:val="20"/>
                <w:color w:val="auto"/>
              </w:rPr>
            </w:pPr>
            <w:r>
              <w:rPr>
                <w:rFonts w:ascii="Arial" w:cs="Arial" w:eastAsia="Arial" w:hAnsi="Arial"/>
                <w:sz w:val="18"/>
                <w:szCs w:val="18"/>
                <w:color w:val="auto"/>
                <w:w w:val="93"/>
              </w:rPr>
              <w:t>REPORTING</w:t>
            </w:r>
          </w:p>
        </w:tc>
        <w:tc>
          <w:tcPr>
            <w:tcW w:w="460" w:type="dxa"/>
            <w:vAlign w:val="bottom"/>
            <w:vMerge w:val="continue"/>
          </w:tcPr>
          <w:p>
            <w:pPr>
              <w:spacing w:after="0"/>
              <w:rPr>
                <w:sz w:val="13"/>
                <w:szCs w:val="13"/>
                <w:color w:val="auto"/>
              </w:rPr>
            </w:pPr>
          </w:p>
        </w:tc>
        <w:tc>
          <w:tcPr>
            <w:tcW w:w="9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1340" w:type="dxa"/>
            <w:vAlign w:val="bottom"/>
            <w:vMerge w:val="continue"/>
          </w:tcPr>
          <w:p>
            <w:pPr>
              <w:spacing w:after="0"/>
              <w:rPr>
                <w:sz w:val="5"/>
                <w:szCs w:val="5"/>
                <w:color w:val="auto"/>
              </w:rPr>
            </w:pPr>
          </w:p>
        </w:tc>
        <w:tc>
          <w:tcPr>
            <w:tcW w:w="460" w:type="dxa"/>
            <w:vAlign w:val="bottom"/>
          </w:tcPr>
          <w:p>
            <w:pPr>
              <w:spacing w:after="0"/>
              <w:rPr>
                <w:sz w:val="5"/>
                <w:szCs w:val="5"/>
                <w:color w:val="auto"/>
              </w:rPr>
            </w:pPr>
          </w:p>
        </w:tc>
        <w:tc>
          <w:tcPr>
            <w:tcW w:w="90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340" w:type="dxa"/>
            <w:vAlign w:val="bottom"/>
          </w:tcPr>
          <w:p>
            <w:pPr>
              <w:jc w:val="center"/>
              <w:spacing w:after="0"/>
              <w:rPr>
                <w:sz w:val="20"/>
                <w:szCs w:val="20"/>
                <w:color w:val="auto"/>
              </w:rPr>
            </w:pPr>
            <w:r>
              <w:rPr>
                <w:rFonts w:ascii="Arial" w:cs="Arial" w:eastAsia="Arial" w:hAnsi="Arial"/>
                <w:sz w:val="18"/>
                <w:szCs w:val="18"/>
                <w:color w:val="auto"/>
                <w:w w:val="92"/>
              </w:rPr>
              <w:t>PERSON</w:t>
            </w:r>
          </w:p>
        </w:tc>
        <w:tc>
          <w:tcPr>
            <w:tcW w:w="460" w:type="dxa"/>
            <w:vAlign w:val="bottom"/>
          </w:tcPr>
          <w:p>
            <w:pPr>
              <w:spacing w:after="0"/>
              <w:rPr>
                <w:sz w:val="18"/>
                <w:szCs w:val="18"/>
                <w:color w:val="auto"/>
              </w:rPr>
            </w:pPr>
          </w:p>
        </w:tc>
        <w:tc>
          <w:tcPr>
            <w:tcW w:w="9020" w:type="dxa"/>
            <w:vAlign w:val="bottom"/>
            <w:vMerge w:val="restart"/>
          </w:tcPr>
          <w:p>
            <w:pPr>
              <w:ind w:left="12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03"/>
        </w:trPr>
        <w:tc>
          <w:tcPr>
            <w:tcW w:w="1340" w:type="dxa"/>
            <w:vAlign w:val="bottom"/>
          </w:tcPr>
          <w:p>
            <w:pPr>
              <w:jc w:val="center"/>
              <w:spacing w:after="0" w:line="203" w:lineRule="exact"/>
              <w:rPr>
                <w:sz w:val="20"/>
                <w:szCs w:val="20"/>
                <w:color w:val="auto"/>
              </w:rPr>
            </w:pPr>
            <w:r>
              <w:rPr>
                <w:rFonts w:ascii="Arial" w:cs="Arial" w:eastAsia="Arial" w:hAnsi="Arial"/>
                <w:sz w:val="18"/>
                <w:szCs w:val="18"/>
                <w:color w:val="auto"/>
                <w:w w:val="99"/>
              </w:rPr>
              <w:t>WITH</w:t>
            </w:r>
          </w:p>
        </w:tc>
        <w:tc>
          <w:tcPr>
            <w:tcW w:w="460" w:type="dxa"/>
            <w:vAlign w:val="bottom"/>
            <w:tcBorders>
              <w:bottom w:val="single" w:sz="8" w:color="auto"/>
            </w:tcBorders>
          </w:tcPr>
          <w:p>
            <w:pPr>
              <w:spacing w:after="0"/>
              <w:rPr>
                <w:sz w:val="17"/>
                <w:szCs w:val="17"/>
                <w:color w:val="auto"/>
              </w:rPr>
            </w:pPr>
          </w:p>
        </w:tc>
        <w:tc>
          <w:tcPr>
            <w:tcW w:w="90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1340" w:type="dxa"/>
            <w:vAlign w:val="bottom"/>
          </w:tcPr>
          <w:p>
            <w:pPr>
              <w:spacing w:after="0"/>
              <w:rPr>
                <w:sz w:val="19"/>
                <w:szCs w:val="19"/>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10</w:t>
            </w:r>
          </w:p>
        </w:tc>
        <w:tc>
          <w:tcPr>
            <w:tcW w:w="9020" w:type="dxa"/>
            <w:vAlign w:val="bottom"/>
          </w:tcPr>
          <w:p>
            <w:pPr>
              <w:ind w:left="12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bl>
    <w:p>
      <w:pPr>
        <w:spacing w:after="0" w:line="207" w:lineRule="exact"/>
        <w:rPr>
          <w:sz w:val="20"/>
          <w:szCs w:val="20"/>
          <w:color w:val="auto"/>
        </w:rPr>
      </w:pPr>
    </w:p>
    <w:p>
      <w:pPr>
        <w:ind w:left="2124"/>
        <w:spacing w:after="0"/>
        <w:rPr>
          <w:sz w:val="20"/>
          <w:szCs w:val="20"/>
          <w:color w:val="auto"/>
        </w:rPr>
      </w:pPr>
      <w:r>
        <w:rPr>
          <w:rFonts w:ascii="Arial" w:cs="Arial" w:eastAsia="Arial" w:hAnsi="Arial"/>
          <w:sz w:val="22"/>
          <w:szCs w:val="22"/>
          <w:color w:val="auto"/>
        </w:rPr>
        <w:t>4,800,460 Shares of Common Stock (1)</w:t>
      </w:r>
    </w:p>
    <w:p>
      <w:pPr>
        <w:spacing w:after="0" w:line="24" w:lineRule="exact"/>
        <w:rPr>
          <w:sz w:val="20"/>
          <w:szCs w:val="20"/>
          <w:color w:val="auto"/>
        </w:rPr>
      </w:pPr>
    </w:p>
    <w:p>
      <w:pPr>
        <w:ind w:left="164"/>
        <w:spacing w:after="0"/>
        <w:tabs>
          <w:tab w:leader="none" w:pos="484"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7"/>
          <w:szCs w:val="17"/>
          <w:color w:val="auto"/>
        </w:rPr>
        <w:t>AGGREGATE AMOUNT BENEFICIALLY OWNED BY EACH REPORTING PERSON</w:t>
      </w:r>
    </w:p>
    <w:p>
      <w:pPr>
        <w:spacing w:after="0" w:line="245" w:lineRule="exact"/>
        <w:rPr>
          <w:sz w:val="20"/>
          <w:szCs w:val="20"/>
          <w:color w:val="auto"/>
        </w:rPr>
      </w:pPr>
    </w:p>
    <w:p>
      <w:pPr>
        <w:ind w:left="504"/>
        <w:spacing w:after="0"/>
        <w:rPr>
          <w:sz w:val="20"/>
          <w:szCs w:val="20"/>
          <w:color w:val="auto"/>
        </w:rPr>
      </w:pPr>
      <w:r>
        <w:rPr>
          <w:rFonts w:ascii="Arial" w:cs="Arial" w:eastAsia="Arial" w:hAnsi="Arial"/>
          <w:sz w:val="22"/>
          <w:szCs w:val="22"/>
          <w:color w:val="auto"/>
        </w:rPr>
        <w:t>4,800,460 Shares of Common Stock (1)</w:t>
      </w:r>
    </w:p>
    <w:p>
      <w:pPr>
        <w:spacing w:after="0" w:line="21" w:lineRule="exact"/>
        <w:rPr>
          <w:sz w:val="20"/>
          <w:szCs w:val="20"/>
          <w:color w:val="auto"/>
        </w:rPr>
      </w:pPr>
    </w:p>
    <w:p>
      <w:pPr>
        <w:ind w:left="504" w:hanging="347"/>
        <w:spacing w:after="0" w:line="207" w:lineRule="exact"/>
        <w:tabs>
          <w:tab w:leader="none" w:pos="504" w:val="left"/>
        </w:tabs>
        <w:numPr>
          <w:ilvl w:val="0"/>
          <w:numId w:val="56"/>
        </w:numPr>
        <w:rPr>
          <w:rFonts w:ascii="Arial" w:cs="Arial" w:eastAsia="Arial" w:hAnsi="Arial"/>
          <w:sz w:val="18"/>
          <w:szCs w:val="18"/>
          <w:color w:val="auto"/>
        </w:rPr>
      </w:pPr>
      <w:r>
        <w:rPr>
          <w:rFonts w:ascii="Arial" w:cs="Arial" w:eastAsia="Arial" w:hAnsi="Arial"/>
          <w:sz w:val="18"/>
          <w:szCs w:val="18"/>
          <w:color w:val="auto"/>
        </w:rPr>
        <w:t xml:space="preserve">CHECK BOX IF THE AGGREGATE AMOUNT IN ROW (11) EXCLUDES CERTAIN SHARES (see instructions) </w:t>
      </w:r>
      <w:r>
        <w:rPr>
          <w:rFonts w:ascii="MS PGothic" w:cs="MS PGothic" w:eastAsia="MS PGothic" w:hAnsi="MS PGothic"/>
          <w:sz w:val="18"/>
          <w:szCs w:val="18"/>
          <w:color w:val="auto"/>
        </w:rPr>
        <w:t>☐</w:t>
      </w:r>
    </w:p>
    <w:p>
      <w:pPr>
        <w:spacing w:after="0" w:line="200" w:lineRule="exact"/>
        <w:rPr>
          <w:rFonts w:ascii="Arial" w:cs="Arial" w:eastAsia="Arial" w:hAnsi="Arial"/>
          <w:sz w:val="18"/>
          <w:szCs w:val="18"/>
          <w:color w:val="auto"/>
        </w:rPr>
      </w:pPr>
    </w:p>
    <w:p>
      <w:pPr>
        <w:spacing w:after="0" w:line="324" w:lineRule="exact"/>
        <w:rPr>
          <w:rFonts w:ascii="Arial" w:cs="Arial" w:eastAsia="Arial" w:hAnsi="Arial"/>
          <w:sz w:val="18"/>
          <w:szCs w:val="18"/>
          <w:color w:val="auto"/>
        </w:rPr>
      </w:pPr>
    </w:p>
    <w:p>
      <w:pPr>
        <w:ind w:left="504" w:hanging="347"/>
        <w:spacing w:after="0"/>
        <w:tabs>
          <w:tab w:leader="none" w:pos="504" w:val="left"/>
        </w:tabs>
        <w:numPr>
          <w:ilvl w:val="0"/>
          <w:numId w:val="56"/>
        </w:numPr>
        <w:rPr>
          <w:rFonts w:ascii="Arial" w:cs="Arial" w:eastAsia="Arial" w:hAnsi="Arial"/>
          <w:sz w:val="18"/>
          <w:szCs w:val="18"/>
          <w:color w:val="auto"/>
        </w:rPr>
      </w:pPr>
      <w:r>
        <w:rPr>
          <w:rFonts w:ascii="Arial" w:cs="Arial" w:eastAsia="Arial" w:hAnsi="Arial"/>
          <w:sz w:val="18"/>
          <w:szCs w:val="18"/>
          <w:color w:val="auto"/>
        </w:rPr>
        <w:t>PERCENT OF CLASS REPRESENTED BY AMOUNT IN ROW 11</w:t>
      </w:r>
    </w:p>
    <w:p>
      <w:pPr>
        <w:spacing w:after="0" w:line="245" w:lineRule="exact"/>
        <w:rPr>
          <w:sz w:val="20"/>
          <w:szCs w:val="20"/>
          <w:color w:val="auto"/>
        </w:rPr>
      </w:pPr>
    </w:p>
    <w:p>
      <w:pPr>
        <w:ind w:left="504"/>
        <w:spacing w:after="0"/>
        <w:rPr>
          <w:sz w:val="20"/>
          <w:szCs w:val="20"/>
          <w:color w:val="auto"/>
        </w:rPr>
      </w:pPr>
      <w:r>
        <w:rPr>
          <w:rFonts w:ascii="Arial" w:cs="Arial" w:eastAsia="Arial" w:hAnsi="Arial"/>
          <w:sz w:val="22"/>
          <w:szCs w:val="22"/>
          <w:color w:val="auto"/>
        </w:rPr>
        <w:t>4.3% (2)</w:t>
      </w:r>
    </w:p>
    <w:p>
      <w:pPr>
        <w:spacing w:after="0" w:line="24" w:lineRule="exact"/>
        <w:rPr>
          <w:sz w:val="20"/>
          <w:szCs w:val="20"/>
          <w:color w:val="auto"/>
        </w:rPr>
      </w:pPr>
    </w:p>
    <w:p>
      <w:pPr>
        <w:ind w:left="164"/>
        <w:spacing w:after="0"/>
        <w:tabs>
          <w:tab w:leader="none" w:pos="484"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6"/>
          <w:szCs w:val="16"/>
          <w:color w:val="auto"/>
        </w:rPr>
        <w:t>TYPE OF REPORTING PERSON (see instructions)</w:t>
      </w:r>
    </w:p>
    <w:p>
      <w:pPr>
        <w:spacing w:after="0" w:line="245" w:lineRule="exact"/>
        <w:rPr>
          <w:sz w:val="20"/>
          <w:szCs w:val="20"/>
          <w:color w:val="auto"/>
        </w:rPr>
      </w:pPr>
    </w:p>
    <w:p>
      <w:pPr>
        <w:ind w:left="504"/>
        <w:spacing w:after="0"/>
        <w:rPr>
          <w:sz w:val="20"/>
          <w:szCs w:val="20"/>
          <w:color w:val="auto"/>
        </w:rPr>
      </w:pPr>
      <w:r>
        <w:rPr>
          <w:rFonts w:ascii="Arial" w:cs="Arial" w:eastAsia="Arial" w:hAnsi="Arial"/>
          <w:sz w:val="22"/>
          <w:szCs w:val="22"/>
          <w:color w:val="auto"/>
        </w:rPr>
        <w:t>OO</w:t>
      </w:r>
    </w:p>
    <w:p>
      <w:pPr>
        <w:spacing w:after="0" w:line="267" w:lineRule="exact"/>
        <w:rPr>
          <w:sz w:val="20"/>
          <w:szCs w:val="20"/>
          <w:color w:val="auto"/>
        </w:rPr>
      </w:pPr>
    </w:p>
    <w:p>
      <w:pPr>
        <w:jc w:val="both"/>
        <w:ind w:left="424" w:right="300" w:hanging="424"/>
        <w:spacing w:after="0" w:line="254" w:lineRule="auto"/>
        <w:tabs>
          <w:tab w:leader="none" w:pos="424" w:val="left"/>
        </w:tabs>
        <w:numPr>
          <w:ilvl w:val="0"/>
          <w:numId w:val="57"/>
        </w:numPr>
        <w:rPr>
          <w:rFonts w:ascii="Arial" w:cs="Arial" w:eastAsia="Arial" w:hAnsi="Arial"/>
          <w:sz w:val="18"/>
          <w:szCs w:val="18"/>
          <w:color w:val="auto"/>
        </w:rPr>
      </w:pPr>
      <w:r>
        <w:rPr>
          <w:rFonts w:ascii="Arial" w:cs="Arial" w:eastAsia="Arial" w:hAnsi="Arial"/>
          <w:sz w:val="18"/>
          <w:szCs w:val="18"/>
          <w:color w:val="auto"/>
        </w:rPr>
        <w:t>All shares are held of record by Polaris IX. PPGP IX is the general partner of Polaris IX and may be deemed to have shared voting, investment and dispositive power with respect to these securities. Terrance McGuire, an interest holder in PPGP IX and a member of the Issuer’s board of directors, and the PPGP IX Managing Members are the managing members of PPGP IX and may be deemed to have shared voting, investment and dispositive power with respect to the securities held by Polaris IX.</w:t>
      </w:r>
    </w:p>
    <w:p>
      <w:pPr>
        <w:spacing w:after="0" w:line="2" w:lineRule="exact"/>
        <w:rPr>
          <w:rFonts w:ascii="Arial" w:cs="Arial" w:eastAsia="Arial" w:hAnsi="Arial"/>
          <w:sz w:val="18"/>
          <w:szCs w:val="18"/>
          <w:color w:val="auto"/>
        </w:rPr>
      </w:pPr>
    </w:p>
    <w:p>
      <w:pPr>
        <w:ind w:left="424" w:right="180" w:hanging="424"/>
        <w:spacing w:after="0" w:line="260" w:lineRule="auto"/>
        <w:tabs>
          <w:tab w:leader="none" w:pos="424" w:val="left"/>
        </w:tabs>
        <w:numPr>
          <w:ilvl w:val="0"/>
          <w:numId w:val="57"/>
        </w:numPr>
        <w:rPr>
          <w:rFonts w:ascii="Arial" w:cs="Arial" w:eastAsia="Arial" w:hAnsi="Arial"/>
          <w:sz w:val="18"/>
          <w:szCs w:val="18"/>
          <w:color w:val="auto"/>
        </w:rPr>
      </w:pPr>
      <w:r>
        <w:rPr>
          <w:rFonts w:ascii="Arial" w:cs="Arial" w:eastAsia="Arial" w:hAnsi="Arial"/>
          <w:sz w:val="18"/>
          <w:szCs w:val="18"/>
          <w:color w:val="auto"/>
        </w:rPr>
        <w:t>Based on 111,245,660 shares of Common Stock outstanding (including shares issued upon the full exercise by the underwriters of their option to purchase additional shares in the Offering), as reported by the Issuer in the Prospectus.</w:t>
      </w:r>
    </w:p>
    <w:p>
      <w:pPr>
        <w:sectPr>
          <w:pgSz w:w="11900" w:h="16838" w:orient="portrait"/>
          <w:cols w:equalWidth="0" w:num="1">
            <w:col w:w="11024"/>
          </w:cols>
          <w:pgMar w:left="436" w:top="274" w:right="439" w:bottom="1440" w:gutter="0" w:footer="0" w:header="0"/>
        </w:sectPr>
      </w:pPr>
    </w:p>
    <w:bookmarkStart w:id="8" w:name="page9"/>
    <w:bookmarkEnd w:id="8"/>
    <w:tbl>
      <w:tblPr>
        <w:tblLayout w:type="fixed"/>
        <w:tblInd w:w="4" w:type="dxa"/>
        <w:tblCellMar>
          <w:top w:w="0" w:type="dxa"/>
          <w:left w:w="0" w:type="dxa"/>
          <w:bottom w:w="0" w:type="dxa"/>
          <w:right w:w="0" w:type="dxa"/>
        </w:tblCellMar>
      </w:tblPr>
      <w:tr>
        <w:trPr>
          <w:trHeight w:val="230"/>
        </w:trPr>
        <w:tc>
          <w:tcPr>
            <w:tcW w:w="6200" w:type="dxa"/>
            <w:vAlign w:val="bottom"/>
          </w:tcPr>
          <w:p>
            <w:pPr>
              <w:spacing w:after="0"/>
              <w:rPr>
                <w:sz w:val="20"/>
                <w:szCs w:val="20"/>
                <w:color w:val="auto"/>
              </w:rPr>
            </w:pPr>
            <w:r>
              <w:rPr>
                <w:rFonts w:ascii="Arial" w:cs="Arial" w:eastAsia="Arial" w:hAnsi="Arial"/>
                <w:sz w:val="18"/>
                <w:szCs w:val="18"/>
                <w:color w:val="auto"/>
              </w:rPr>
              <w:t>CUSIP No. 00534A102</w:t>
            </w:r>
          </w:p>
        </w:tc>
        <w:tc>
          <w:tcPr>
            <w:tcW w:w="4820" w:type="dxa"/>
            <w:vAlign w:val="bottom"/>
          </w:tcPr>
          <w:p>
            <w:pPr>
              <w:ind w:left="4500"/>
              <w:spacing w:after="0"/>
              <w:rPr>
                <w:sz w:val="20"/>
                <w:szCs w:val="20"/>
                <w:color w:val="auto"/>
              </w:rPr>
            </w:pPr>
            <w:r>
              <w:rPr>
                <w:rFonts w:ascii="Arial" w:cs="Arial" w:eastAsia="Arial" w:hAnsi="Arial"/>
                <w:sz w:val="18"/>
                <w:szCs w:val="18"/>
                <w:color w:val="auto"/>
                <w:w w:val="90"/>
              </w:rPr>
              <w:t>13D</w:t>
            </w:r>
          </w:p>
        </w:tc>
      </w:tr>
    </w:tbl>
    <w:p>
      <w:pPr>
        <w:spacing w:after="0" w:line="2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ind w:left="524" w:hanging="277"/>
        <w:spacing w:after="0"/>
        <w:tabs>
          <w:tab w:leader="none" w:pos="524" w:val="left"/>
        </w:tabs>
        <w:numPr>
          <w:ilvl w:val="0"/>
          <w:numId w:val="58"/>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-130175</wp:posOffset>
            </wp:positionV>
            <wp:extent cx="7003415" cy="64719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003415" cy="6471920"/>
                    </a:xfrm>
                    <a:prstGeom prst="rect">
                      <a:avLst/>
                    </a:prstGeom>
                    <a:noFill/>
                  </pic:spPr>
                </pic:pic>
              </a:graphicData>
            </a:graphic>
          </wp:anchor>
        </w:drawing>
      </w:r>
    </w:p>
    <w:p>
      <w:pPr>
        <w:spacing w:after="0" w:line="225" w:lineRule="exact"/>
        <w:rPr>
          <w:sz w:val="20"/>
          <w:szCs w:val="20"/>
          <w:color w:val="auto"/>
        </w:rPr>
      </w:pPr>
    </w:p>
    <w:p>
      <w:pPr>
        <w:ind w:left="524"/>
        <w:spacing w:after="0"/>
        <w:rPr>
          <w:sz w:val="20"/>
          <w:szCs w:val="20"/>
          <w:color w:val="auto"/>
        </w:rPr>
      </w:pPr>
      <w:r>
        <w:rPr>
          <w:rFonts w:ascii="Arial" w:cs="Arial" w:eastAsia="Arial" w:hAnsi="Arial"/>
          <w:sz w:val="22"/>
          <w:szCs w:val="22"/>
          <w:color w:val="auto"/>
        </w:rPr>
        <w:t>Polaris Healthcare Technology Opportunities Fund, L.P.</w:t>
      </w:r>
    </w:p>
    <w:p>
      <w:pPr>
        <w:spacing w:after="0" w:line="24" w:lineRule="exact"/>
        <w:rPr>
          <w:sz w:val="20"/>
          <w:szCs w:val="20"/>
          <w:color w:val="auto"/>
        </w:rPr>
      </w:pPr>
    </w:p>
    <w:p>
      <w:pPr>
        <w:ind w:left="524" w:hanging="277"/>
        <w:spacing w:after="0"/>
        <w:tabs>
          <w:tab w:leader="none" w:pos="524" w:val="left"/>
        </w:tabs>
        <w:numPr>
          <w:ilvl w:val="0"/>
          <w:numId w:val="59"/>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8" w:lineRule="exact"/>
        <w:rPr>
          <w:sz w:val="20"/>
          <w:szCs w:val="20"/>
          <w:color w:val="auto"/>
        </w:rPr>
      </w:pPr>
    </w:p>
    <w:p>
      <w:pPr>
        <w:ind w:left="524"/>
        <w:spacing w:after="0" w:line="207" w:lineRule="exact"/>
        <w:tabs>
          <w:tab w:leader="none" w:pos="1324"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524" w:hanging="277"/>
        <w:spacing w:after="0"/>
        <w:tabs>
          <w:tab w:leader="none" w:pos="524" w:val="left"/>
        </w:tabs>
        <w:numPr>
          <w:ilvl w:val="0"/>
          <w:numId w:val="60"/>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sz w:val="20"/>
          <w:szCs w:val="20"/>
          <w:color w:val="auto"/>
        </w:rPr>
      </w:pPr>
    </w:p>
    <w:p>
      <w:pPr>
        <w:spacing w:after="0" w:line="322" w:lineRule="exact"/>
        <w:rPr>
          <w:sz w:val="20"/>
          <w:szCs w:val="20"/>
          <w:color w:val="auto"/>
        </w:rPr>
      </w:pPr>
    </w:p>
    <w:p>
      <w:pPr>
        <w:ind w:left="524" w:hanging="277"/>
        <w:spacing w:after="0"/>
        <w:tabs>
          <w:tab w:leader="none" w:pos="524" w:val="left"/>
        </w:tabs>
        <w:numPr>
          <w:ilvl w:val="0"/>
          <w:numId w:val="61"/>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45" w:lineRule="exact"/>
        <w:rPr>
          <w:sz w:val="20"/>
          <w:szCs w:val="20"/>
          <w:color w:val="auto"/>
        </w:rPr>
      </w:pPr>
    </w:p>
    <w:p>
      <w:pPr>
        <w:ind w:left="524"/>
        <w:spacing w:after="0"/>
        <w:rPr>
          <w:sz w:val="20"/>
          <w:szCs w:val="20"/>
          <w:color w:val="auto"/>
        </w:rPr>
      </w:pPr>
      <w:r>
        <w:rPr>
          <w:rFonts w:ascii="Arial" w:cs="Arial" w:eastAsia="Arial" w:hAnsi="Arial"/>
          <w:sz w:val="22"/>
          <w:szCs w:val="22"/>
          <w:color w:val="auto"/>
        </w:rPr>
        <w:t>WC</w:t>
      </w:r>
    </w:p>
    <w:p>
      <w:pPr>
        <w:spacing w:after="0" w:line="21" w:lineRule="exact"/>
        <w:rPr>
          <w:sz w:val="20"/>
          <w:szCs w:val="20"/>
          <w:color w:val="auto"/>
        </w:rPr>
      </w:pPr>
    </w:p>
    <w:p>
      <w:pPr>
        <w:ind w:left="524" w:hanging="277"/>
        <w:spacing w:after="0" w:line="207" w:lineRule="exact"/>
        <w:tabs>
          <w:tab w:leader="none" w:pos="524" w:val="left"/>
        </w:tabs>
        <w:numPr>
          <w:ilvl w:val="0"/>
          <w:numId w:val="62"/>
        </w:numPr>
        <w:rPr>
          <w:rFonts w:ascii="Arial" w:cs="Arial" w:eastAsia="Arial" w:hAnsi="Arial"/>
          <w:sz w:val="18"/>
          <w:szCs w:val="18"/>
          <w:color w:val="auto"/>
        </w:rPr>
      </w:pPr>
      <w:r>
        <w:rPr>
          <w:rFonts w:ascii="Arial" w:cs="Arial" w:eastAsia="Arial" w:hAnsi="Arial"/>
          <w:sz w:val="18"/>
          <w:szCs w:val="18"/>
          <w:color w:val="auto"/>
        </w:rPr>
        <w:t xml:space="preserve">CHECK IF DISCLOSURE OF LEGAL PROCEEDINGS IS REQUIRED PURSUANT TO ITEM 2(d) or 2(e) </w:t>
      </w:r>
      <w:r>
        <w:rPr>
          <w:rFonts w:ascii="MS PGothic" w:cs="MS PGothic" w:eastAsia="MS PGothic" w:hAnsi="MS PGothic"/>
          <w:sz w:val="18"/>
          <w:szCs w:val="18"/>
          <w:color w:val="auto"/>
        </w:rPr>
        <w:t>☐</w:t>
      </w:r>
    </w:p>
    <w:p>
      <w:pPr>
        <w:spacing w:after="0" w:line="200" w:lineRule="exact"/>
        <w:rPr>
          <w:sz w:val="20"/>
          <w:szCs w:val="20"/>
          <w:color w:val="auto"/>
        </w:rPr>
      </w:pPr>
    </w:p>
    <w:p>
      <w:pPr>
        <w:spacing w:after="0" w:line="325" w:lineRule="exact"/>
        <w:rPr>
          <w:sz w:val="20"/>
          <w:szCs w:val="20"/>
          <w:color w:val="auto"/>
        </w:rPr>
      </w:pPr>
    </w:p>
    <w:p>
      <w:pPr>
        <w:ind w:left="524" w:hanging="277"/>
        <w:spacing w:after="0"/>
        <w:tabs>
          <w:tab w:leader="none" w:pos="524" w:val="left"/>
        </w:tabs>
        <w:numPr>
          <w:ilvl w:val="0"/>
          <w:numId w:val="63"/>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45" w:lineRule="exact"/>
        <w:rPr>
          <w:sz w:val="20"/>
          <w:szCs w:val="20"/>
          <w:color w:val="auto"/>
        </w:rPr>
      </w:pPr>
    </w:p>
    <w:p>
      <w:pPr>
        <w:ind w:left="524"/>
        <w:spacing w:after="0"/>
        <w:rPr>
          <w:sz w:val="20"/>
          <w:szCs w:val="20"/>
          <w:color w:val="auto"/>
        </w:rPr>
      </w:pPr>
      <w:r>
        <w:rPr>
          <w:rFonts w:ascii="Arial" w:cs="Arial" w:eastAsia="Arial" w:hAnsi="Arial"/>
          <w:sz w:val="22"/>
          <w:szCs w:val="22"/>
          <w:color w:val="auto"/>
        </w:rPr>
        <w:t>Delaware</w:t>
      </w:r>
    </w:p>
    <w:p>
      <w:pPr>
        <w:spacing w:after="0" w:line="24" w:lineRule="exact"/>
        <w:rPr>
          <w:sz w:val="20"/>
          <w:szCs w:val="20"/>
          <w:color w:val="auto"/>
        </w:rPr>
      </w:pPr>
    </w:p>
    <w:tbl>
      <w:tblPr>
        <w:tblLayout w:type="fixed"/>
        <w:tblInd w:w="204" w:type="dxa"/>
        <w:tblCellMar>
          <w:top w:w="0" w:type="dxa"/>
          <w:left w:w="0" w:type="dxa"/>
          <w:bottom w:w="0" w:type="dxa"/>
          <w:right w:w="0" w:type="dxa"/>
        </w:tblCellMar>
      </w:tblPr>
      <w:tr>
        <w:trPr>
          <w:trHeight w:val="230"/>
        </w:trPr>
        <w:tc>
          <w:tcPr>
            <w:tcW w:w="1340" w:type="dxa"/>
            <w:vAlign w:val="bottom"/>
          </w:tcPr>
          <w:p>
            <w:pPr>
              <w:spacing w:after="0"/>
              <w:rPr>
                <w:sz w:val="20"/>
                <w:szCs w:val="20"/>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7</w:t>
            </w:r>
          </w:p>
        </w:tc>
        <w:tc>
          <w:tcPr>
            <w:tcW w:w="9020" w:type="dxa"/>
            <w:vAlign w:val="bottom"/>
          </w:tcPr>
          <w:p>
            <w:pPr>
              <w:ind w:left="12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58"/>
        </w:trPr>
        <w:tc>
          <w:tcPr>
            <w:tcW w:w="1340" w:type="dxa"/>
            <w:vAlign w:val="bottom"/>
          </w:tcPr>
          <w:p>
            <w:pPr>
              <w:jc w:val="center"/>
              <w:spacing w:after="0"/>
              <w:rPr>
                <w:sz w:val="20"/>
                <w:szCs w:val="20"/>
                <w:color w:val="auto"/>
              </w:rPr>
            </w:pPr>
            <w:r>
              <w:rPr>
                <w:rFonts w:ascii="Arial" w:cs="Arial" w:eastAsia="Arial" w:hAnsi="Arial"/>
                <w:sz w:val="18"/>
                <w:szCs w:val="18"/>
                <w:color w:val="auto"/>
                <w:w w:val="98"/>
              </w:rPr>
              <w:t>NUMBER OF</w:t>
            </w:r>
          </w:p>
        </w:tc>
        <w:tc>
          <w:tcPr>
            <w:tcW w:w="460" w:type="dxa"/>
            <w:vAlign w:val="bottom"/>
          </w:tcPr>
          <w:p>
            <w:pPr>
              <w:spacing w:after="0"/>
              <w:rPr>
                <w:sz w:val="24"/>
                <w:szCs w:val="24"/>
                <w:color w:val="auto"/>
              </w:rPr>
            </w:pPr>
          </w:p>
        </w:tc>
        <w:tc>
          <w:tcPr>
            <w:tcW w:w="9020" w:type="dxa"/>
            <w:vAlign w:val="bottom"/>
          </w:tcPr>
          <w:p>
            <w:pPr>
              <w:ind w:left="12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41"/>
        </w:trPr>
        <w:tc>
          <w:tcPr>
            <w:tcW w:w="1340" w:type="dxa"/>
            <w:vAlign w:val="bottom"/>
            <w:vMerge w:val="restart"/>
          </w:tcPr>
          <w:p>
            <w:pPr>
              <w:jc w:val="center"/>
              <w:spacing w:after="0"/>
              <w:rPr>
                <w:sz w:val="20"/>
                <w:szCs w:val="20"/>
                <w:color w:val="auto"/>
              </w:rPr>
            </w:pPr>
            <w:r>
              <w:rPr>
                <w:rFonts w:ascii="Arial" w:cs="Arial" w:eastAsia="Arial" w:hAnsi="Arial"/>
                <w:sz w:val="18"/>
                <w:szCs w:val="18"/>
                <w:color w:val="auto"/>
                <w:w w:val="94"/>
              </w:rPr>
              <w:t>SHARES</w:t>
            </w:r>
          </w:p>
        </w:tc>
        <w:tc>
          <w:tcPr>
            <w:tcW w:w="460" w:type="dxa"/>
            <w:vAlign w:val="bottom"/>
            <w:tcBorders>
              <w:bottom w:val="single" w:sz="8" w:color="auto"/>
            </w:tcBorders>
          </w:tcPr>
          <w:p>
            <w:pPr>
              <w:spacing w:after="0"/>
              <w:rPr>
                <w:sz w:val="3"/>
                <w:szCs w:val="3"/>
                <w:color w:val="auto"/>
              </w:rPr>
            </w:pPr>
          </w:p>
        </w:tc>
        <w:tc>
          <w:tcPr>
            <w:tcW w:w="90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6"/>
        </w:trPr>
        <w:tc>
          <w:tcPr>
            <w:tcW w:w="1340" w:type="dxa"/>
            <w:vAlign w:val="bottom"/>
            <w:vMerge w:val="continue"/>
          </w:tcPr>
          <w:p>
            <w:pPr>
              <w:spacing w:after="0"/>
              <w:rPr>
                <w:sz w:val="13"/>
                <w:szCs w:val="13"/>
                <w:color w:val="auto"/>
              </w:rPr>
            </w:pPr>
          </w:p>
        </w:tc>
        <w:tc>
          <w:tcPr>
            <w:tcW w:w="460" w:type="dxa"/>
            <w:vAlign w:val="bottom"/>
          </w:tcPr>
          <w:p>
            <w:pPr>
              <w:jc w:val="right"/>
              <w:ind w:right="10"/>
              <w:spacing w:after="0" w:line="156" w:lineRule="exact"/>
              <w:rPr>
                <w:sz w:val="20"/>
                <w:szCs w:val="20"/>
                <w:color w:val="auto"/>
              </w:rPr>
            </w:pPr>
            <w:r>
              <w:rPr>
                <w:rFonts w:ascii="Arial" w:cs="Arial" w:eastAsia="Arial" w:hAnsi="Arial"/>
                <w:sz w:val="18"/>
                <w:szCs w:val="18"/>
                <w:color w:val="auto"/>
              </w:rPr>
              <w:t>8</w:t>
            </w:r>
          </w:p>
        </w:tc>
        <w:tc>
          <w:tcPr>
            <w:tcW w:w="9020" w:type="dxa"/>
            <w:vAlign w:val="bottom"/>
          </w:tcPr>
          <w:p>
            <w:pPr>
              <w:ind w:left="120"/>
              <w:spacing w:after="0" w:line="156" w:lineRule="exact"/>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5"/>
        </w:trPr>
        <w:tc>
          <w:tcPr>
            <w:tcW w:w="1340" w:type="dxa"/>
            <w:vAlign w:val="bottom"/>
          </w:tcPr>
          <w:p>
            <w:pPr>
              <w:jc w:val="center"/>
              <w:spacing w:after="0"/>
              <w:rPr>
                <w:sz w:val="20"/>
                <w:szCs w:val="20"/>
                <w:color w:val="auto"/>
              </w:rPr>
            </w:pPr>
            <w:r>
              <w:rPr>
                <w:rFonts w:ascii="Arial" w:cs="Arial" w:eastAsia="Arial" w:hAnsi="Arial"/>
                <w:sz w:val="18"/>
                <w:szCs w:val="18"/>
                <w:color w:val="auto"/>
                <w:w w:val="99"/>
              </w:rPr>
              <w:t>BENEFICIALLY</w:t>
            </w:r>
          </w:p>
        </w:tc>
        <w:tc>
          <w:tcPr>
            <w:tcW w:w="460" w:type="dxa"/>
            <w:vAlign w:val="bottom"/>
          </w:tcPr>
          <w:p>
            <w:pPr>
              <w:spacing w:after="0"/>
              <w:rPr>
                <w:sz w:val="18"/>
                <w:szCs w:val="18"/>
                <w:color w:val="auto"/>
              </w:rPr>
            </w:pPr>
          </w:p>
        </w:tc>
        <w:tc>
          <w:tcPr>
            <w:tcW w:w="9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jc w:val="center"/>
              <w:spacing w:after="0"/>
              <w:rPr>
                <w:sz w:val="20"/>
                <w:szCs w:val="20"/>
                <w:color w:val="auto"/>
              </w:rPr>
            </w:pPr>
            <w:r>
              <w:rPr>
                <w:rFonts w:ascii="Arial" w:cs="Arial" w:eastAsia="Arial" w:hAnsi="Arial"/>
                <w:sz w:val="18"/>
                <w:szCs w:val="18"/>
                <w:color w:val="auto"/>
                <w:w w:val="99"/>
              </w:rPr>
              <w:t>OWNED BY</w:t>
            </w:r>
          </w:p>
        </w:tc>
        <w:tc>
          <w:tcPr>
            <w:tcW w:w="460" w:type="dxa"/>
            <w:vAlign w:val="bottom"/>
          </w:tcPr>
          <w:p>
            <w:pPr>
              <w:spacing w:after="0"/>
              <w:rPr>
                <w:sz w:val="18"/>
                <w:szCs w:val="18"/>
                <w:color w:val="auto"/>
              </w:rPr>
            </w:pPr>
          </w:p>
        </w:tc>
        <w:tc>
          <w:tcPr>
            <w:tcW w:w="9020" w:type="dxa"/>
            <w:vAlign w:val="bottom"/>
            <w:vMerge w:val="restart"/>
          </w:tcPr>
          <w:p>
            <w:pPr>
              <w:ind w:left="120"/>
              <w:spacing w:after="0"/>
              <w:rPr>
                <w:sz w:val="20"/>
                <w:szCs w:val="20"/>
                <w:color w:val="auto"/>
              </w:rPr>
            </w:pPr>
            <w:r>
              <w:rPr>
                <w:rFonts w:ascii="Arial" w:cs="Arial" w:eastAsia="Arial" w:hAnsi="Arial"/>
                <w:sz w:val="22"/>
                <w:szCs w:val="22"/>
                <w:color w:val="auto"/>
              </w:rPr>
              <w:t>497,660 Shares of Common Stock (1)</w:t>
            </w:r>
          </w:p>
        </w:tc>
        <w:tc>
          <w:tcPr>
            <w:tcW w:w="0" w:type="dxa"/>
            <w:vAlign w:val="bottom"/>
          </w:tcPr>
          <w:p>
            <w:pPr>
              <w:spacing w:after="0"/>
              <w:rPr>
                <w:sz w:val="1"/>
                <w:szCs w:val="1"/>
                <w:color w:val="auto"/>
              </w:rPr>
            </w:pPr>
          </w:p>
        </w:tc>
      </w:tr>
      <w:tr>
        <w:trPr>
          <w:trHeight w:val="121"/>
        </w:trPr>
        <w:tc>
          <w:tcPr>
            <w:tcW w:w="1340" w:type="dxa"/>
            <w:vAlign w:val="bottom"/>
            <w:vMerge w:val="restart"/>
          </w:tcPr>
          <w:p>
            <w:pPr>
              <w:jc w:val="center"/>
              <w:spacing w:after="0"/>
              <w:rPr>
                <w:sz w:val="20"/>
                <w:szCs w:val="20"/>
                <w:color w:val="auto"/>
              </w:rPr>
            </w:pPr>
            <w:r>
              <w:rPr>
                <w:rFonts w:ascii="Arial" w:cs="Arial" w:eastAsia="Arial" w:hAnsi="Arial"/>
                <w:sz w:val="18"/>
                <w:szCs w:val="18"/>
                <w:color w:val="auto"/>
                <w:w w:val="99"/>
              </w:rPr>
              <w:t>EACH</w:t>
            </w:r>
          </w:p>
        </w:tc>
        <w:tc>
          <w:tcPr>
            <w:tcW w:w="460" w:type="dxa"/>
            <w:vAlign w:val="bottom"/>
            <w:tcBorders>
              <w:bottom w:val="single" w:sz="8" w:color="auto"/>
            </w:tcBorders>
          </w:tcPr>
          <w:p>
            <w:pPr>
              <w:spacing w:after="0"/>
              <w:rPr>
                <w:sz w:val="10"/>
                <w:szCs w:val="10"/>
                <w:color w:val="auto"/>
              </w:rPr>
            </w:pPr>
          </w:p>
        </w:tc>
        <w:tc>
          <w:tcPr>
            <w:tcW w:w="902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5"/>
        </w:trPr>
        <w:tc>
          <w:tcPr>
            <w:tcW w:w="1340" w:type="dxa"/>
            <w:vAlign w:val="bottom"/>
            <w:vMerge w:val="continue"/>
          </w:tcPr>
          <w:p>
            <w:pPr>
              <w:spacing w:after="0"/>
              <w:rPr>
                <w:sz w:val="6"/>
                <w:szCs w:val="6"/>
                <w:color w:val="auto"/>
              </w:rPr>
            </w:pPr>
          </w:p>
        </w:tc>
        <w:tc>
          <w:tcPr>
            <w:tcW w:w="460" w:type="dxa"/>
            <w:vAlign w:val="bottom"/>
            <w:vMerge w:val="restart"/>
          </w:tcPr>
          <w:p>
            <w:pPr>
              <w:jc w:val="right"/>
              <w:ind w:right="10"/>
              <w:spacing w:after="0"/>
              <w:rPr>
                <w:sz w:val="20"/>
                <w:szCs w:val="20"/>
                <w:color w:val="auto"/>
              </w:rPr>
            </w:pPr>
            <w:r>
              <w:rPr>
                <w:rFonts w:ascii="Arial" w:cs="Arial" w:eastAsia="Arial" w:hAnsi="Arial"/>
                <w:sz w:val="18"/>
                <w:szCs w:val="18"/>
                <w:color w:val="auto"/>
              </w:rPr>
              <w:t>9</w:t>
            </w:r>
          </w:p>
        </w:tc>
        <w:tc>
          <w:tcPr>
            <w:tcW w:w="9020" w:type="dxa"/>
            <w:vAlign w:val="bottom"/>
            <w:vMerge w:val="restart"/>
          </w:tcPr>
          <w:p>
            <w:pPr>
              <w:ind w:left="12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1340" w:type="dxa"/>
            <w:vAlign w:val="bottom"/>
            <w:vMerge w:val="restart"/>
          </w:tcPr>
          <w:p>
            <w:pPr>
              <w:jc w:val="center"/>
              <w:spacing w:after="0"/>
              <w:rPr>
                <w:sz w:val="20"/>
                <w:szCs w:val="20"/>
                <w:color w:val="auto"/>
              </w:rPr>
            </w:pPr>
            <w:r>
              <w:rPr>
                <w:rFonts w:ascii="Arial" w:cs="Arial" w:eastAsia="Arial" w:hAnsi="Arial"/>
                <w:sz w:val="18"/>
                <w:szCs w:val="18"/>
                <w:color w:val="auto"/>
                <w:w w:val="93"/>
              </w:rPr>
              <w:t>REPORTING</w:t>
            </w:r>
          </w:p>
        </w:tc>
        <w:tc>
          <w:tcPr>
            <w:tcW w:w="460" w:type="dxa"/>
            <w:vAlign w:val="bottom"/>
            <w:vMerge w:val="continue"/>
          </w:tcPr>
          <w:p>
            <w:pPr>
              <w:spacing w:after="0"/>
              <w:rPr>
                <w:sz w:val="13"/>
                <w:szCs w:val="13"/>
                <w:color w:val="auto"/>
              </w:rPr>
            </w:pPr>
          </w:p>
        </w:tc>
        <w:tc>
          <w:tcPr>
            <w:tcW w:w="9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1340" w:type="dxa"/>
            <w:vAlign w:val="bottom"/>
            <w:vMerge w:val="continue"/>
          </w:tcPr>
          <w:p>
            <w:pPr>
              <w:spacing w:after="0"/>
              <w:rPr>
                <w:sz w:val="5"/>
                <w:szCs w:val="5"/>
                <w:color w:val="auto"/>
              </w:rPr>
            </w:pPr>
          </w:p>
        </w:tc>
        <w:tc>
          <w:tcPr>
            <w:tcW w:w="460" w:type="dxa"/>
            <w:vAlign w:val="bottom"/>
          </w:tcPr>
          <w:p>
            <w:pPr>
              <w:spacing w:after="0"/>
              <w:rPr>
                <w:sz w:val="5"/>
                <w:szCs w:val="5"/>
                <w:color w:val="auto"/>
              </w:rPr>
            </w:pPr>
          </w:p>
        </w:tc>
        <w:tc>
          <w:tcPr>
            <w:tcW w:w="90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340" w:type="dxa"/>
            <w:vAlign w:val="bottom"/>
          </w:tcPr>
          <w:p>
            <w:pPr>
              <w:jc w:val="center"/>
              <w:spacing w:after="0"/>
              <w:rPr>
                <w:sz w:val="20"/>
                <w:szCs w:val="20"/>
                <w:color w:val="auto"/>
              </w:rPr>
            </w:pPr>
            <w:r>
              <w:rPr>
                <w:rFonts w:ascii="Arial" w:cs="Arial" w:eastAsia="Arial" w:hAnsi="Arial"/>
                <w:sz w:val="18"/>
                <w:szCs w:val="18"/>
                <w:color w:val="auto"/>
                <w:w w:val="92"/>
              </w:rPr>
              <w:t>PERSON</w:t>
            </w:r>
          </w:p>
        </w:tc>
        <w:tc>
          <w:tcPr>
            <w:tcW w:w="460" w:type="dxa"/>
            <w:vAlign w:val="bottom"/>
          </w:tcPr>
          <w:p>
            <w:pPr>
              <w:spacing w:after="0"/>
              <w:rPr>
                <w:sz w:val="18"/>
                <w:szCs w:val="18"/>
                <w:color w:val="auto"/>
              </w:rPr>
            </w:pPr>
          </w:p>
        </w:tc>
        <w:tc>
          <w:tcPr>
            <w:tcW w:w="9020" w:type="dxa"/>
            <w:vAlign w:val="bottom"/>
            <w:vMerge w:val="restart"/>
          </w:tcPr>
          <w:p>
            <w:pPr>
              <w:ind w:left="12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03"/>
        </w:trPr>
        <w:tc>
          <w:tcPr>
            <w:tcW w:w="1340" w:type="dxa"/>
            <w:vAlign w:val="bottom"/>
          </w:tcPr>
          <w:p>
            <w:pPr>
              <w:jc w:val="center"/>
              <w:spacing w:after="0" w:line="203" w:lineRule="exact"/>
              <w:rPr>
                <w:sz w:val="20"/>
                <w:szCs w:val="20"/>
                <w:color w:val="auto"/>
              </w:rPr>
            </w:pPr>
            <w:r>
              <w:rPr>
                <w:rFonts w:ascii="Arial" w:cs="Arial" w:eastAsia="Arial" w:hAnsi="Arial"/>
                <w:sz w:val="18"/>
                <w:szCs w:val="18"/>
                <w:color w:val="auto"/>
                <w:w w:val="99"/>
              </w:rPr>
              <w:t>WITH</w:t>
            </w:r>
          </w:p>
        </w:tc>
        <w:tc>
          <w:tcPr>
            <w:tcW w:w="460" w:type="dxa"/>
            <w:vAlign w:val="bottom"/>
            <w:tcBorders>
              <w:bottom w:val="single" w:sz="8" w:color="auto"/>
            </w:tcBorders>
          </w:tcPr>
          <w:p>
            <w:pPr>
              <w:spacing w:after="0"/>
              <w:rPr>
                <w:sz w:val="17"/>
                <w:szCs w:val="17"/>
                <w:color w:val="auto"/>
              </w:rPr>
            </w:pPr>
          </w:p>
        </w:tc>
        <w:tc>
          <w:tcPr>
            <w:tcW w:w="90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1340" w:type="dxa"/>
            <w:vAlign w:val="bottom"/>
          </w:tcPr>
          <w:p>
            <w:pPr>
              <w:spacing w:after="0"/>
              <w:rPr>
                <w:sz w:val="19"/>
                <w:szCs w:val="19"/>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10</w:t>
            </w:r>
          </w:p>
        </w:tc>
        <w:tc>
          <w:tcPr>
            <w:tcW w:w="9020" w:type="dxa"/>
            <w:vAlign w:val="bottom"/>
          </w:tcPr>
          <w:p>
            <w:pPr>
              <w:ind w:left="12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bl>
    <w:p>
      <w:pPr>
        <w:spacing w:after="0" w:line="207" w:lineRule="exact"/>
        <w:rPr>
          <w:sz w:val="20"/>
          <w:szCs w:val="20"/>
          <w:color w:val="auto"/>
        </w:rPr>
      </w:pPr>
    </w:p>
    <w:p>
      <w:pPr>
        <w:ind w:left="2124"/>
        <w:spacing w:after="0"/>
        <w:rPr>
          <w:sz w:val="20"/>
          <w:szCs w:val="20"/>
          <w:color w:val="auto"/>
        </w:rPr>
      </w:pPr>
      <w:r>
        <w:rPr>
          <w:rFonts w:ascii="Arial" w:cs="Arial" w:eastAsia="Arial" w:hAnsi="Arial"/>
          <w:sz w:val="22"/>
          <w:szCs w:val="22"/>
          <w:color w:val="auto"/>
        </w:rPr>
        <w:t>497,660 Shares of Common Stock (1)</w:t>
      </w:r>
    </w:p>
    <w:p>
      <w:pPr>
        <w:spacing w:after="0" w:line="24" w:lineRule="exact"/>
        <w:rPr>
          <w:sz w:val="20"/>
          <w:szCs w:val="20"/>
          <w:color w:val="auto"/>
        </w:rPr>
      </w:pPr>
    </w:p>
    <w:p>
      <w:pPr>
        <w:ind w:left="164"/>
        <w:spacing w:after="0"/>
        <w:tabs>
          <w:tab w:leader="none" w:pos="484"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7"/>
          <w:szCs w:val="17"/>
          <w:color w:val="auto"/>
        </w:rPr>
        <w:t>AGGREGATE AMOUNT BENEFICIALLY OWNED BY EACH REPORTING PERSON</w:t>
      </w:r>
    </w:p>
    <w:p>
      <w:pPr>
        <w:spacing w:after="0" w:line="245" w:lineRule="exact"/>
        <w:rPr>
          <w:sz w:val="20"/>
          <w:szCs w:val="20"/>
          <w:color w:val="auto"/>
        </w:rPr>
      </w:pPr>
    </w:p>
    <w:p>
      <w:pPr>
        <w:ind w:left="504"/>
        <w:spacing w:after="0"/>
        <w:rPr>
          <w:sz w:val="20"/>
          <w:szCs w:val="20"/>
          <w:color w:val="auto"/>
        </w:rPr>
      </w:pPr>
      <w:r>
        <w:rPr>
          <w:rFonts w:ascii="Arial" w:cs="Arial" w:eastAsia="Arial" w:hAnsi="Arial"/>
          <w:sz w:val="22"/>
          <w:szCs w:val="22"/>
          <w:color w:val="auto"/>
        </w:rPr>
        <w:t>497,660 Shares of Common Stock (1)</w:t>
      </w:r>
    </w:p>
    <w:p>
      <w:pPr>
        <w:spacing w:after="0" w:line="21" w:lineRule="exact"/>
        <w:rPr>
          <w:sz w:val="20"/>
          <w:szCs w:val="20"/>
          <w:color w:val="auto"/>
        </w:rPr>
      </w:pPr>
    </w:p>
    <w:p>
      <w:pPr>
        <w:ind w:left="504" w:hanging="347"/>
        <w:spacing w:after="0" w:line="207" w:lineRule="exact"/>
        <w:tabs>
          <w:tab w:leader="none" w:pos="504" w:val="left"/>
        </w:tabs>
        <w:numPr>
          <w:ilvl w:val="0"/>
          <w:numId w:val="64"/>
        </w:numPr>
        <w:rPr>
          <w:rFonts w:ascii="Arial" w:cs="Arial" w:eastAsia="Arial" w:hAnsi="Arial"/>
          <w:sz w:val="18"/>
          <w:szCs w:val="18"/>
          <w:color w:val="auto"/>
        </w:rPr>
      </w:pPr>
      <w:r>
        <w:rPr>
          <w:rFonts w:ascii="Arial" w:cs="Arial" w:eastAsia="Arial" w:hAnsi="Arial"/>
          <w:sz w:val="18"/>
          <w:szCs w:val="18"/>
          <w:color w:val="auto"/>
        </w:rPr>
        <w:t xml:space="preserve">CHECK BOX IF THE AGGREGATE AMOUNT IN ROW (11) EXCLUDES CERTAIN SHARES (see instructions) </w:t>
      </w:r>
      <w:r>
        <w:rPr>
          <w:rFonts w:ascii="MS PGothic" w:cs="MS PGothic" w:eastAsia="MS PGothic" w:hAnsi="MS PGothic"/>
          <w:sz w:val="18"/>
          <w:szCs w:val="18"/>
          <w:color w:val="auto"/>
        </w:rPr>
        <w:t>☐</w:t>
      </w:r>
    </w:p>
    <w:p>
      <w:pPr>
        <w:spacing w:after="0" w:line="200" w:lineRule="exact"/>
        <w:rPr>
          <w:rFonts w:ascii="Arial" w:cs="Arial" w:eastAsia="Arial" w:hAnsi="Arial"/>
          <w:sz w:val="18"/>
          <w:szCs w:val="18"/>
          <w:color w:val="auto"/>
        </w:rPr>
      </w:pPr>
    </w:p>
    <w:p>
      <w:pPr>
        <w:spacing w:after="0" w:line="324" w:lineRule="exact"/>
        <w:rPr>
          <w:rFonts w:ascii="Arial" w:cs="Arial" w:eastAsia="Arial" w:hAnsi="Arial"/>
          <w:sz w:val="18"/>
          <w:szCs w:val="18"/>
          <w:color w:val="auto"/>
        </w:rPr>
      </w:pPr>
    </w:p>
    <w:p>
      <w:pPr>
        <w:ind w:left="504" w:hanging="347"/>
        <w:spacing w:after="0"/>
        <w:tabs>
          <w:tab w:leader="none" w:pos="504" w:val="left"/>
        </w:tabs>
        <w:numPr>
          <w:ilvl w:val="0"/>
          <w:numId w:val="64"/>
        </w:numPr>
        <w:rPr>
          <w:rFonts w:ascii="Arial" w:cs="Arial" w:eastAsia="Arial" w:hAnsi="Arial"/>
          <w:sz w:val="18"/>
          <w:szCs w:val="18"/>
          <w:color w:val="auto"/>
        </w:rPr>
      </w:pPr>
      <w:r>
        <w:rPr>
          <w:rFonts w:ascii="Arial" w:cs="Arial" w:eastAsia="Arial" w:hAnsi="Arial"/>
          <w:sz w:val="18"/>
          <w:szCs w:val="18"/>
          <w:color w:val="auto"/>
        </w:rPr>
        <w:t>PERCENT OF CLASS REPRESENTED BY AMOUNT IN ROW 11</w:t>
      </w:r>
    </w:p>
    <w:p>
      <w:pPr>
        <w:spacing w:after="0" w:line="245" w:lineRule="exact"/>
        <w:rPr>
          <w:sz w:val="20"/>
          <w:szCs w:val="20"/>
          <w:color w:val="auto"/>
        </w:rPr>
      </w:pPr>
    </w:p>
    <w:p>
      <w:pPr>
        <w:ind w:left="504"/>
        <w:spacing w:after="0"/>
        <w:rPr>
          <w:sz w:val="20"/>
          <w:szCs w:val="20"/>
          <w:color w:val="auto"/>
        </w:rPr>
      </w:pPr>
      <w:r>
        <w:rPr>
          <w:rFonts w:ascii="Arial" w:cs="Arial" w:eastAsia="Arial" w:hAnsi="Arial"/>
          <w:sz w:val="22"/>
          <w:szCs w:val="22"/>
          <w:color w:val="auto"/>
        </w:rPr>
        <w:t>0.4% (2)</w:t>
      </w:r>
    </w:p>
    <w:p>
      <w:pPr>
        <w:spacing w:after="0" w:line="24" w:lineRule="exact"/>
        <w:rPr>
          <w:sz w:val="20"/>
          <w:szCs w:val="20"/>
          <w:color w:val="auto"/>
        </w:rPr>
      </w:pPr>
    </w:p>
    <w:p>
      <w:pPr>
        <w:ind w:left="164"/>
        <w:spacing w:after="0"/>
        <w:tabs>
          <w:tab w:leader="none" w:pos="484"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6"/>
          <w:szCs w:val="16"/>
          <w:color w:val="auto"/>
        </w:rPr>
        <w:t>TYPE OF REPORTING PERSON (see instructions)</w:t>
      </w:r>
    </w:p>
    <w:p>
      <w:pPr>
        <w:spacing w:after="0" w:line="245" w:lineRule="exact"/>
        <w:rPr>
          <w:sz w:val="20"/>
          <w:szCs w:val="20"/>
          <w:color w:val="auto"/>
        </w:rPr>
      </w:pPr>
    </w:p>
    <w:p>
      <w:pPr>
        <w:ind w:left="504"/>
        <w:spacing w:after="0"/>
        <w:rPr>
          <w:sz w:val="20"/>
          <w:szCs w:val="20"/>
          <w:color w:val="auto"/>
        </w:rPr>
      </w:pPr>
      <w:r>
        <w:rPr>
          <w:rFonts w:ascii="Arial" w:cs="Arial" w:eastAsia="Arial" w:hAnsi="Arial"/>
          <w:sz w:val="22"/>
          <w:szCs w:val="22"/>
          <w:color w:val="auto"/>
        </w:rPr>
        <w:t>PN</w:t>
      </w:r>
    </w:p>
    <w:p>
      <w:pPr>
        <w:spacing w:after="0" w:line="267" w:lineRule="exact"/>
        <w:rPr>
          <w:sz w:val="20"/>
          <w:szCs w:val="20"/>
          <w:color w:val="auto"/>
        </w:rPr>
      </w:pPr>
    </w:p>
    <w:p>
      <w:pPr>
        <w:ind w:left="424" w:right="180" w:hanging="424"/>
        <w:spacing w:after="0" w:line="253" w:lineRule="auto"/>
        <w:tabs>
          <w:tab w:leader="none" w:pos="424" w:val="left"/>
        </w:tabs>
        <w:numPr>
          <w:ilvl w:val="0"/>
          <w:numId w:val="65"/>
        </w:numPr>
        <w:rPr>
          <w:rFonts w:ascii="Arial" w:cs="Arial" w:eastAsia="Arial" w:hAnsi="Arial"/>
          <w:sz w:val="18"/>
          <w:szCs w:val="18"/>
          <w:color w:val="auto"/>
        </w:rPr>
      </w:pPr>
      <w:r>
        <w:rPr>
          <w:rFonts w:ascii="Arial" w:cs="Arial" w:eastAsia="Arial" w:hAnsi="Arial"/>
          <w:sz w:val="18"/>
          <w:szCs w:val="18"/>
          <w:color w:val="auto"/>
        </w:rPr>
        <w:t>All shares are held of record by Polaris HCT (as defined in Item 2(a) below). PHCT GP (as defined in Item 2(a) below) is the general partner of Polaris HCT and may be deemed to have shared voting, investment and dispositive power with respect to these securities. Terrance McGuire, an interest holder in PHCT GP and a member of the Issuer’s board of directors, and the PHCT GP Managing Members (as defined in Item 2(c) below) are the managing members of PHCT GP and may be deemed to have shared voting, investment and dispositive power with respect to the securities held by Polaris HCT.</w:t>
      </w:r>
    </w:p>
    <w:p>
      <w:pPr>
        <w:spacing w:after="0" w:line="3" w:lineRule="exact"/>
        <w:rPr>
          <w:rFonts w:ascii="Arial" w:cs="Arial" w:eastAsia="Arial" w:hAnsi="Arial"/>
          <w:sz w:val="18"/>
          <w:szCs w:val="18"/>
          <w:color w:val="auto"/>
        </w:rPr>
      </w:pPr>
    </w:p>
    <w:p>
      <w:pPr>
        <w:ind w:left="424" w:right="180" w:hanging="424"/>
        <w:spacing w:after="0" w:line="260" w:lineRule="auto"/>
        <w:tabs>
          <w:tab w:leader="none" w:pos="424" w:val="left"/>
        </w:tabs>
        <w:numPr>
          <w:ilvl w:val="0"/>
          <w:numId w:val="65"/>
        </w:numPr>
        <w:rPr>
          <w:rFonts w:ascii="Arial" w:cs="Arial" w:eastAsia="Arial" w:hAnsi="Arial"/>
          <w:sz w:val="18"/>
          <w:szCs w:val="18"/>
          <w:color w:val="auto"/>
        </w:rPr>
      </w:pPr>
      <w:r>
        <w:rPr>
          <w:rFonts w:ascii="Arial" w:cs="Arial" w:eastAsia="Arial" w:hAnsi="Arial"/>
          <w:sz w:val="18"/>
          <w:szCs w:val="18"/>
          <w:color w:val="auto"/>
        </w:rPr>
        <w:t>Based on 111,245,660 shares of Common Stock outstanding (including shares issued upon the full exercise by the underwriters of their option to purchase additional shares in the Offering), as reported by the Issuer in the Prospectus.</w:t>
      </w:r>
    </w:p>
    <w:p>
      <w:pPr>
        <w:sectPr>
          <w:pgSz w:w="11900" w:h="16838" w:orient="portrait"/>
          <w:cols w:equalWidth="0" w:num="1">
            <w:col w:w="11024"/>
          </w:cols>
          <w:pgMar w:left="436" w:top="274" w:right="439" w:bottom="1440" w:gutter="0" w:footer="0" w:header="0"/>
        </w:sectPr>
      </w:pPr>
    </w:p>
    <w:bookmarkStart w:id="9" w:name="page10"/>
    <w:bookmarkEnd w:id="9"/>
    <w:tbl>
      <w:tblPr>
        <w:tblLayout w:type="fixed"/>
        <w:tblInd w:w="4" w:type="dxa"/>
        <w:tblCellMar>
          <w:top w:w="0" w:type="dxa"/>
          <w:left w:w="0" w:type="dxa"/>
          <w:bottom w:w="0" w:type="dxa"/>
          <w:right w:w="0" w:type="dxa"/>
        </w:tblCellMar>
      </w:tblPr>
      <w:tr>
        <w:trPr>
          <w:trHeight w:val="230"/>
        </w:trPr>
        <w:tc>
          <w:tcPr>
            <w:tcW w:w="6200" w:type="dxa"/>
            <w:vAlign w:val="bottom"/>
          </w:tcPr>
          <w:p>
            <w:pPr>
              <w:spacing w:after="0"/>
              <w:rPr>
                <w:sz w:val="20"/>
                <w:szCs w:val="20"/>
                <w:color w:val="auto"/>
              </w:rPr>
            </w:pPr>
            <w:r>
              <w:rPr>
                <w:rFonts w:ascii="Arial" w:cs="Arial" w:eastAsia="Arial" w:hAnsi="Arial"/>
                <w:sz w:val="18"/>
                <w:szCs w:val="18"/>
                <w:color w:val="auto"/>
              </w:rPr>
              <w:t>CUSIP No. 00534A102</w:t>
            </w:r>
          </w:p>
        </w:tc>
        <w:tc>
          <w:tcPr>
            <w:tcW w:w="4820" w:type="dxa"/>
            <w:vAlign w:val="bottom"/>
          </w:tcPr>
          <w:p>
            <w:pPr>
              <w:ind w:left="4500"/>
              <w:spacing w:after="0"/>
              <w:rPr>
                <w:sz w:val="20"/>
                <w:szCs w:val="20"/>
                <w:color w:val="auto"/>
              </w:rPr>
            </w:pPr>
            <w:r>
              <w:rPr>
                <w:rFonts w:ascii="Arial" w:cs="Arial" w:eastAsia="Arial" w:hAnsi="Arial"/>
                <w:sz w:val="18"/>
                <w:szCs w:val="18"/>
                <w:color w:val="auto"/>
                <w:w w:val="90"/>
              </w:rPr>
              <w:t>13D</w:t>
            </w:r>
          </w:p>
        </w:tc>
      </w:tr>
    </w:tbl>
    <w:p>
      <w:pPr>
        <w:spacing w:after="0" w:line="2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ind w:left="524" w:hanging="277"/>
        <w:spacing w:after="0"/>
        <w:tabs>
          <w:tab w:leader="none" w:pos="524" w:val="left"/>
        </w:tabs>
        <w:numPr>
          <w:ilvl w:val="0"/>
          <w:numId w:val="66"/>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-130175</wp:posOffset>
            </wp:positionV>
            <wp:extent cx="7003415" cy="64719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003415" cy="6471920"/>
                    </a:xfrm>
                    <a:prstGeom prst="rect">
                      <a:avLst/>
                    </a:prstGeom>
                    <a:noFill/>
                  </pic:spPr>
                </pic:pic>
              </a:graphicData>
            </a:graphic>
          </wp:anchor>
        </w:drawing>
      </w:r>
    </w:p>
    <w:p>
      <w:pPr>
        <w:spacing w:after="0" w:line="225" w:lineRule="exact"/>
        <w:rPr>
          <w:sz w:val="20"/>
          <w:szCs w:val="20"/>
          <w:color w:val="auto"/>
        </w:rPr>
      </w:pPr>
    </w:p>
    <w:p>
      <w:pPr>
        <w:ind w:left="524"/>
        <w:spacing w:after="0"/>
        <w:rPr>
          <w:sz w:val="20"/>
          <w:szCs w:val="20"/>
          <w:color w:val="auto"/>
        </w:rPr>
      </w:pPr>
      <w:r>
        <w:rPr>
          <w:rFonts w:ascii="Arial" w:cs="Arial" w:eastAsia="Arial" w:hAnsi="Arial"/>
          <w:sz w:val="22"/>
          <w:szCs w:val="22"/>
          <w:color w:val="auto"/>
        </w:rPr>
        <w:t>Polaris Healthcare Technology Opportunities Fund GP, L.L.C.</w:t>
      </w:r>
    </w:p>
    <w:p>
      <w:pPr>
        <w:spacing w:after="0" w:line="24" w:lineRule="exact"/>
        <w:rPr>
          <w:sz w:val="20"/>
          <w:szCs w:val="20"/>
          <w:color w:val="auto"/>
        </w:rPr>
      </w:pPr>
    </w:p>
    <w:p>
      <w:pPr>
        <w:ind w:left="524" w:hanging="277"/>
        <w:spacing w:after="0"/>
        <w:tabs>
          <w:tab w:leader="none" w:pos="524" w:val="left"/>
        </w:tabs>
        <w:numPr>
          <w:ilvl w:val="0"/>
          <w:numId w:val="67"/>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8" w:lineRule="exact"/>
        <w:rPr>
          <w:sz w:val="20"/>
          <w:szCs w:val="20"/>
          <w:color w:val="auto"/>
        </w:rPr>
      </w:pPr>
    </w:p>
    <w:p>
      <w:pPr>
        <w:ind w:left="524"/>
        <w:spacing w:after="0" w:line="207" w:lineRule="exact"/>
        <w:tabs>
          <w:tab w:leader="none" w:pos="1324"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524" w:hanging="277"/>
        <w:spacing w:after="0"/>
        <w:tabs>
          <w:tab w:leader="none" w:pos="524" w:val="left"/>
        </w:tabs>
        <w:numPr>
          <w:ilvl w:val="0"/>
          <w:numId w:val="68"/>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sz w:val="20"/>
          <w:szCs w:val="20"/>
          <w:color w:val="auto"/>
        </w:rPr>
      </w:pPr>
    </w:p>
    <w:p>
      <w:pPr>
        <w:spacing w:after="0" w:line="322" w:lineRule="exact"/>
        <w:rPr>
          <w:sz w:val="20"/>
          <w:szCs w:val="20"/>
          <w:color w:val="auto"/>
        </w:rPr>
      </w:pPr>
    </w:p>
    <w:p>
      <w:pPr>
        <w:ind w:left="524" w:hanging="277"/>
        <w:spacing w:after="0"/>
        <w:tabs>
          <w:tab w:leader="none" w:pos="524" w:val="left"/>
        </w:tabs>
        <w:numPr>
          <w:ilvl w:val="0"/>
          <w:numId w:val="69"/>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45" w:lineRule="exact"/>
        <w:rPr>
          <w:sz w:val="20"/>
          <w:szCs w:val="20"/>
          <w:color w:val="auto"/>
        </w:rPr>
      </w:pPr>
    </w:p>
    <w:p>
      <w:pPr>
        <w:ind w:left="524"/>
        <w:spacing w:after="0"/>
        <w:rPr>
          <w:sz w:val="20"/>
          <w:szCs w:val="20"/>
          <w:color w:val="auto"/>
        </w:rPr>
      </w:pPr>
      <w:r>
        <w:rPr>
          <w:rFonts w:ascii="Arial" w:cs="Arial" w:eastAsia="Arial" w:hAnsi="Arial"/>
          <w:sz w:val="22"/>
          <w:szCs w:val="22"/>
          <w:color w:val="auto"/>
        </w:rPr>
        <w:t>AF</w:t>
      </w:r>
    </w:p>
    <w:p>
      <w:pPr>
        <w:spacing w:after="0" w:line="21" w:lineRule="exact"/>
        <w:rPr>
          <w:sz w:val="20"/>
          <w:szCs w:val="20"/>
          <w:color w:val="auto"/>
        </w:rPr>
      </w:pPr>
    </w:p>
    <w:p>
      <w:pPr>
        <w:ind w:left="524" w:hanging="277"/>
        <w:spacing w:after="0" w:line="207" w:lineRule="exact"/>
        <w:tabs>
          <w:tab w:leader="none" w:pos="524" w:val="left"/>
        </w:tabs>
        <w:numPr>
          <w:ilvl w:val="0"/>
          <w:numId w:val="70"/>
        </w:numPr>
        <w:rPr>
          <w:rFonts w:ascii="Arial" w:cs="Arial" w:eastAsia="Arial" w:hAnsi="Arial"/>
          <w:sz w:val="18"/>
          <w:szCs w:val="18"/>
          <w:color w:val="auto"/>
        </w:rPr>
      </w:pPr>
      <w:r>
        <w:rPr>
          <w:rFonts w:ascii="Arial" w:cs="Arial" w:eastAsia="Arial" w:hAnsi="Arial"/>
          <w:sz w:val="18"/>
          <w:szCs w:val="18"/>
          <w:color w:val="auto"/>
        </w:rPr>
        <w:t xml:space="preserve">CHECK IF DISCLOSURE OF LEGAL PROCEEDINGS IS REQUIRED PURSUANT TO ITEM 2(d) or 2(e) </w:t>
      </w:r>
      <w:r>
        <w:rPr>
          <w:rFonts w:ascii="MS PGothic" w:cs="MS PGothic" w:eastAsia="MS PGothic" w:hAnsi="MS PGothic"/>
          <w:sz w:val="18"/>
          <w:szCs w:val="18"/>
          <w:color w:val="auto"/>
        </w:rPr>
        <w:t>☐</w:t>
      </w:r>
    </w:p>
    <w:p>
      <w:pPr>
        <w:spacing w:after="0" w:line="200" w:lineRule="exact"/>
        <w:rPr>
          <w:sz w:val="20"/>
          <w:szCs w:val="20"/>
          <w:color w:val="auto"/>
        </w:rPr>
      </w:pPr>
    </w:p>
    <w:p>
      <w:pPr>
        <w:spacing w:after="0" w:line="325" w:lineRule="exact"/>
        <w:rPr>
          <w:sz w:val="20"/>
          <w:szCs w:val="20"/>
          <w:color w:val="auto"/>
        </w:rPr>
      </w:pPr>
    </w:p>
    <w:p>
      <w:pPr>
        <w:ind w:left="524" w:hanging="277"/>
        <w:spacing w:after="0"/>
        <w:tabs>
          <w:tab w:leader="none" w:pos="524" w:val="left"/>
        </w:tabs>
        <w:numPr>
          <w:ilvl w:val="0"/>
          <w:numId w:val="71"/>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45" w:lineRule="exact"/>
        <w:rPr>
          <w:sz w:val="20"/>
          <w:szCs w:val="20"/>
          <w:color w:val="auto"/>
        </w:rPr>
      </w:pPr>
    </w:p>
    <w:p>
      <w:pPr>
        <w:ind w:left="524"/>
        <w:spacing w:after="0"/>
        <w:rPr>
          <w:sz w:val="20"/>
          <w:szCs w:val="20"/>
          <w:color w:val="auto"/>
        </w:rPr>
      </w:pPr>
      <w:r>
        <w:rPr>
          <w:rFonts w:ascii="Arial" w:cs="Arial" w:eastAsia="Arial" w:hAnsi="Arial"/>
          <w:sz w:val="22"/>
          <w:szCs w:val="22"/>
          <w:color w:val="auto"/>
        </w:rPr>
        <w:t>Delaware</w:t>
      </w:r>
    </w:p>
    <w:p>
      <w:pPr>
        <w:spacing w:after="0" w:line="24" w:lineRule="exact"/>
        <w:rPr>
          <w:sz w:val="20"/>
          <w:szCs w:val="20"/>
          <w:color w:val="auto"/>
        </w:rPr>
      </w:pPr>
    </w:p>
    <w:tbl>
      <w:tblPr>
        <w:tblLayout w:type="fixed"/>
        <w:tblInd w:w="204" w:type="dxa"/>
        <w:tblCellMar>
          <w:top w:w="0" w:type="dxa"/>
          <w:left w:w="0" w:type="dxa"/>
          <w:bottom w:w="0" w:type="dxa"/>
          <w:right w:w="0" w:type="dxa"/>
        </w:tblCellMar>
      </w:tblPr>
      <w:tr>
        <w:trPr>
          <w:trHeight w:val="230"/>
        </w:trPr>
        <w:tc>
          <w:tcPr>
            <w:tcW w:w="1340" w:type="dxa"/>
            <w:vAlign w:val="bottom"/>
          </w:tcPr>
          <w:p>
            <w:pPr>
              <w:spacing w:after="0"/>
              <w:rPr>
                <w:sz w:val="20"/>
                <w:szCs w:val="20"/>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7</w:t>
            </w:r>
          </w:p>
        </w:tc>
        <w:tc>
          <w:tcPr>
            <w:tcW w:w="9020" w:type="dxa"/>
            <w:vAlign w:val="bottom"/>
          </w:tcPr>
          <w:p>
            <w:pPr>
              <w:ind w:left="12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58"/>
        </w:trPr>
        <w:tc>
          <w:tcPr>
            <w:tcW w:w="1340" w:type="dxa"/>
            <w:vAlign w:val="bottom"/>
          </w:tcPr>
          <w:p>
            <w:pPr>
              <w:jc w:val="center"/>
              <w:spacing w:after="0"/>
              <w:rPr>
                <w:sz w:val="20"/>
                <w:szCs w:val="20"/>
                <w:color w:val="auto"/>
              </w:rPr>
            </w:pPr>
            <w:r>
              <w:rPr>
                <w:rFonts w:ascii="Arial" w:cs="Arial" w:eastAsia="Arial" w:hAnsi="Arial"/>
                <w:sz w:val="18"/>
                <w:szCs w:val="18"/>
                <w:color w:val="auto"/>
                <w:w w:val="98"/>
              </w:rPr>
              <w:t>NUMBER OF</w:t>
            </w:r>
          </w:p>
        </w:tc>
        <w:tc>
          <w:tcPr>
            <w:tcW w:w="460" w:type="dxa"/>
            <w:vAlign w:val="bottom"/>
          </w:tcPr>
          <w:p>
            <w:pPr>
              <w:spacing w:after="0"/>
              <w:rPr>
                <w:sz w:val="24"/>
                <w:szCs w:val="24"/>
                <w:color w:val="auto"/>
              </w:rPr>
            </w:pPr>
          </w:p>
        </w:tc>
        <w:tc>
          <w:tcPr>
            <w:tcW w:w="9020" w:type="dxa"/>
            <w:vAlign w:val="bottom"/>
          </w:tcPr>
          <w:p>
            <w:pPr>
              <w:ind w:left="12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41"/>
        </w:trPr>
        <w:tc>
          <w:tcPr>
            <w:tcW w:w="1340" w:type="dxa"/>
            <w:vAlign w:val="bottom"/>
            <w:vMerge w:val="restart"/>
          </w:tcPr>
          <w:p>
            <w:pPr>
              <w:jc w:val="center"/>
              <w:spacing w:after="0"/>
              <w:rPr>
                <w:sz w:val="20"/>
                <w:szCs w:val="20"/>
                <w:color w:val="auto"/>
              </w:rPr>
            </w:pPr>
            <w:r>
              <w:rPr>
                <w:rFonts w:ascii="Arial" w:cs="Arial" w:eastAsia="Arial" w:hAnsi="Arial"/>
                <w:sz w:val="18"/>
                <w:szCs w:val="18"/>
                <w:color w:val="auto"/>
                <w:w w:val="94"/>
              </w:rPr>
              <w:t>SHARES</w:t>
            </w:r>
          </w:p>
        </w:tc>
        <w:tc>
          <w:tcPr>
            <w:tcW w:w="460" w:type="dxa"/>
            <w:vAlign w:val="bottom"/>
            <w:tcBorders>
              <w:bottom w:val="single" w:sz="8" w:color="auto"/>
            </w:tcBorders>
          </w:tcPr>
          <w:p>
            <w:pPr>
              <w:spacing w:after="0"/>
              <w:rPr>
                <w:sz w:val="3"/>
                <w:szCs w:val="3"/>
                <w:color w:val="auto"/>
              </w:rPr>
            </w:pPr>
          </w:p>
        </w:tc>
        <w:tc>
          <w:tcPr>
            <w:tcW w:w="90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6"/>
        </w:trPr>
        <w:tc>
          <w:tcPr>
            <w:tcW w:w="1340" w:type="dxa"/>
            <w:vAlign w:val="bottom"/>
            <w:vMerge w:val="continue"/>
          </w:tcPr>
          <w:p>
            <w:pPr>
              <w:spacing w:after="0"/>
              <w:rPr>
                <w:sz w:val="13"/>
                <w:szCs w:val="13"/>
                <w:color w:val="auto"/>
              </w:rPr>
            </w:pPr>
          </w:p>
        </w:tc>
        <w:tc>
          <w:tcPr>
            <w:tcW w:w="460" w:type="dxa"/>
            <w:vAlign w:val="bottom"/>
          </w:tcPr>
          <w:p>
            <w:pPr>
              <w:jc w:val="right"/>
              <w:ind w:right="10"/>
              <w:spacing w:after="0" w:line="156" w:lineRule="exact"/>
              <w:rPr>
                <w:sz w:val="20"/>
                <w:szCs w:val="20"/>
                <w:color w:val="auto"/>
              </w:rPr>
            </w:pPr>
            <w:r>
              <w:rPr>
                <w:rFonts w:ascii="Arial" w:cs="Arial" w:eastAsia="Arial" w:hAnsi="Arial"/>
                <w:sz w:val="18"/>
                <w:szCs w:val="18"/>
                <w:color w:val="auto"/>
              </w:rPr>
              <w:t>8</w:t>
            </w:r>
          </w:p>
        </w:tc>
        <w:tc>
          <w:tcPr>
            <w:tcW w:w="9020" w:type="dxa"/>
            <w:vAlign w:val="bottom"/>
          </w:tcPr>
          <w:p>
            <w:pPr>
              <w:ind w:left="120"/>
              <w:spacing w:after="0" w:line="156" w:lineRule="exact"/>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5"/>
        </w:trPr>
        <w:tc>
          <w:tcPr>
            <w:tcW w:w="1340" w:type="dxa"/>
            <w:vAlign w:val="bottom"/>
          </w:tcPr>
          <w:p>
            <w:pPr>
              <w:jc w:val="center"/>
              <w:spacing w:after="0"/>
              <w:rPr>
                <w:sz w:val="20"/>
                <w:szCs w:val="20"/>
                <w:color w:val="auto"/>
              </w:rPr>
            </w:pPr>
            <w:r>
              <w:rPr>
                <w:rFonts w:ascii="Arial" w:cs="Arial" w:eastAsia="Arial" w:hAnsi="Arial"/>
                <w:sz w:val="18"/>
                <w:szCs w:val="18"/>
                <w:color w:val="auto"/>
                <w:w w:val="99"/>
              </w:rPr>
              <w:t>BENEFICIALLY</w:t>
            </w:r>
          </w:p>
        </w:tc>
        <w:tc>
          <w:tcPr>
            <w:tcW w:w="460" w:type="dxa"/>
            <w:vAlign w:val="bottom"/>
          </w:tcPr>
          <w:p>
            <w:pPr>
              <w:spacing w:after="0"/>
              <w:rPr>
                <w:sz w:val="18"/>
                <w:szCs w:val="18"/>
                <w:color w:val="auto"/>
              </w:rPr>
            </w:pPr>
          </w:p>
        </w:tc>
        <w:tc>
          <w:tcPr>
            <w:tcW w:w="9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jc w:val="center"/>
              <w:spacing w:after="0"/>
              <w:rPr>
                <w:sz w:val="20"/>
                <w:szCs w:val="20"/>
                <w:color w:val="auto"/>
              </w:rPr>
            </w:pPr>
            <w:r>
              <w:rPr>
                <w:rFonts w:ascii="Arial" w:cs="Arial" w:eastAsia="Arial" w:hAnsi="Arial"/>
                <w:sz w:val="18"/>
                <w:szCs w:val="18"/>
                <w:color w:val="auto"/>
                <w:w w:val="99"/>
              </w:rPr>
              <w:t>OWNED BY</w:t>
            </w:r>
          </w:p>
        </w:tc>
        <w:tc>
          <w:tcPr>
            <w:tcW w:w="460" w:type="dxa"/>
            <w:vAlign w:val="bottom"/>
          </w:tcPr>
          <w:p>
            <w:pPr>
              <w:spacing w:after="0"/>
              <w:rPr>
                <w:sz w:val="18"/>
                <w:szCs w:val="18"/>
                <w:color w:val="auto"/>
              </w:rPr>
            </w:pPr>
          </w:p>
        </w:tc>
        <w:tc>
          <w:tcPr>
            <w:tcW w:w="9020" w:type="dxa"/>
            <w:vAlign w:val="bottom"/>
            <w:vMerge w:val="restart"/>
          </w:tcPr>
          <w:p>
            <w:pPr>
              <w:ind w:left="120"/>
              <w:spacing w:after="0"/>
              <w:rPr>
                <w:sz w:val="20"/>
                <w:szCs w:val="20"/>
                <w:color w:val="auto"/>
              </w:rPr>
            </w:pPr>
            <w:r>
              <w:rPr>
                <w:rFonts w:ascii="Arial" w:cs="Arial" w:eastAsia="Arial" w:hAnsi="Arial"/>
                <w:sz w:val="22"/>
                <w:szCs w:val="22"/>
                <w:color w:val="auto"/>
              </w:rPr>
              <w:t>497,660 Shares of Common Stock (1)</w:t>
            </w:r>
          </w:p>
        </w:tc>
        <w:tc>
          <w:tcPr>
            <w:tcW w:w="0" w:type="dxa"/>
            <w:vAlign w:val="bottom"/>
          </w:tcPr>
          <w:p>
            <w:pPr>
              <w:spacing w:after="0"/>
              <w:rPr>
                <w:sz w:val="1"/>
                <w:szCs w:val="1"/>
                <w:color w:val="auto"/>
              </w:rPr>
            </w:pPr>
          </w:p>
        </w:tc>
      </w:tr>
      <w:tr>
        <w:trPr>
          <w:trHeight w:val="121"/>
        </w:trPr>
        <w:tc>
          <w:tcPr>
            <w:tcW w:w="1340" w:type="dxa"/>
            <w:vAlign w:val="bottom"/>
            <w:vMerge w:val="restart"/>
          </w:tcPr>
          <w:p>
            <w:pPr>
              <w:jc w:val="center"/>
              <w:spacing w:after="0"/>
              <w:rPr>
                <w:sz w:val="20"/>
                <w:szCs w:val="20"/>
                <w:color w:val="auto"/>
              </w:rPr>
            </w:pPr>
            <w:r>
              <w:rPr>
                <w:rFonts w:ascii="Arial" w:cs="Arial" w:eastAsia="Arial" w:hAnsi="Arial"/>
                <w:sz w:val="18"/>
                <w:szCs w:val="18"/>
                <w:color w:val="auto"/>
                <w:w w:val="99"/>
              </w:rPr>
              <w:t>EACH</w:t>
            </w:r>
          </w:p>
        </w:tc>
        <w:tc>
          <w:tcPr>
            <w:tcW w:w="460" w:type="dxa"/>
            <w:vAlign w:val="bottom"/>
            <w:tcBorders>
              <w:bottom w:val="single" w:sz="8" w:color="auto"/>
            </w:tcBorders>
          </w:tcPr>
          <w:p>
            <w:pPr>
              <w:spacing w:after="0"/>
              <w:rPr>
                <w:sz w:val="10"/>
                <w:szCs w:val="10"/>
                <w:color w:val="auto"/>
              </w:rPr>
            </w:pPr>
          </w:p>
        </w:tc>
        <w:tc>
          <w:tcPr>
            <w:tcW w:w="902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5"/>
        </w:trPr>
        <w:tc>
          <w:tcPr>
            <w:tcW w:w="1340" w:type="dxa"/>
            <w:vAlign w:val="bottom"/>
            <w:vMerge w:val="continue"/>
          </w:tcPr>
          <w:p>
            <w:pPr>
              <w:spacing w:after="0"/>
              <w:rPr>
                <w:sz w:val="6"/>
                <w:szCs w:val="6"/>
                <w:color w:val="auto"/>
              </w:rPr>
            </w:pPr>
          </w:p>
        </w:tc>
        <w:tc>
          <w:tcPr>
            <w:tcW w:w="460" w:type="dxa"/>
            <w:vAlign w:val="bottom"/>
            <w:vMerge w:val="restart"/>
          </w:tcPr>
          <w:p>
            <w:pPr>
              <w:jc w:val="right"/>
              <w:ind w:right="10"/>
              <w:spacing w:after="0"/>
              <w:rPr>
                <w:sz w:val="20"/>
                <w:szCs w:val="20"/>
                <w:color w:val="auto"/>
              </w:rPr>
            </w:pPr>
            <w:r>
              <w:rPr>
                <w:rFonts w:ascii="Arial" w:cs="Arial" w:eastAsia="Arial" w:hAnsi="Arial"/>
                <w:sz w:val="18"/>
                <w:szCs w:val="18"/>
                <w:color w:val="auto"/>
              </w:rPr>
              <w:t>9</w:t>
            </w:r>
          </w:p>
        </w:tc>
        <w:tc>
          <w:tcPr>
            <w:tcW w:w="9020" w:type="dxa"/>
            <w:vAlign w:val="bottom"/>
            <w:vMerge w:val="restart"/>
          </w:tcPr>
          <w:p>
            <w:pPr>
              <w:ind w:left="12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1340" w:type="dxa"/>
            <w:vAlign w:val="bottom"/>
            <w:vMerge w:val="restart"/>
          </w:tcPr>
          <w:p>
            <w:pPr>
              <w:jc w:val="center"/>
              <w:spacing w:after="0"/>
              <w:rPr>
                <w:sz w:val="20"/>
                <w:szCs w:val="20"/>
                <w:color w:val="auto"/>
              </w:rPr>
            </w:pPr>
            <w:r>
              <w:rPr>
                <w:rFonts w:ascii="Arial" w:cs="Arial" w:eastAsia="Arial" w:hAnsi="Arial"/>
                <w:sz w:val="18"/>
                <w:szCs w:val="18"/>
                <w:color w:val="auto"/>
                <w:w w:val="93"/>
              </w:rPr>
              <w:t>REPORTING</w:t>
            </w:r>
          </w:p>
        </w:tc>
        <w:tc>
          <w:tcPr>
            <w:tcW w:w="460" w:type="dxa"/>
            <w:vAlign w:val="bottom"/>
            <w:vMerge w:val="continue"/>
          </w:tcPr>
          <w:p>
            <w:pPr>
              <w:spacing w:after="0"/>
              <w:rPr>
                <w:sz w:val="13"/>
                <w:szCs w:val="13"/>
                <w:color w:val="auto"/>
              </w:rPr>
            </w:pPr>
          </w:p>
        </w:tc>
        <w:tc>
          <w:tcPr>
            <w:tcW w:w="9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1340" w:type="dxa"/>
            <w:vAlign w:val="bottom"/>
            <w:vMerge w:val="continue"/>
          </w:tcPr>
          <w:p>
            <w:pPr>
              <w:spacing w:after="0"/>
              <w:rPr>
                <w:sz w:val="5"/>
                <w:szCs w:val="5"/>
                <w:color w:val="auto"/>
              </w:rPr>
            </w:pPr>
          </w:p>
        </w:tc>
        <w:tc>
          <w:tcPr>
            <w:tcW w:w="460" w:type="dxa"/>
            <w:vAlign w:val="bottom"/>
          </w:tcPr>
          <w:p>
            <w:pPr>
              <w:spacing w:after="0"/>
              <w:rPr>
                <w:sz w:val="5"/>
                <w:szCs w:val="5"/>
                <w:color w:val="auto"/>
              </w:rPr>
            </w:pPr>
          </w:p>
        </w:tc>
        <w:tc>
          <w:tcPr>
            <w:tcW w:w="90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340" w:type="dxa"/>
            <w:vAlign w:val="bottom"/>
          </w:tcPr>
          <w:p>
            <w:pPr>
              <w:jc w:val="center"/>
              <w:spacing w:after="0"/>
              <w:rPr>
                <w:sz w:val="20"/>
                <w:szCs w:val="20"/>
                <w:color w:val="auto"/>
              </w:rPr>
            </w:pPr>
            <w:r>
              <w:rPr>
                <w:rFonts w:ascii="Arial" w:cs="Arial" w:eastAsia="Arial" w:hAnsi="Arial"/>
                <w:sz w:val="18"/>
                <w:szCs w:val="18"/>
                <w:color w:val="auto"/>
                <w:w w:val="92"/>
              </w:rPr>
              <w:t>PERSON</w:t>
            </w:r>
          </w:p>
        </w:tc>
        <w:tc>
          <w:tcPr>
            <w:tcW w:w="460" w:type="dxa"/>
            <w:vAlign w:val="bottom"/>
          </w:tcPr>
          <w:p>
            <w:pPr>
              <w:spacing w:after="0"/>
              <w:rPr>
                <w:sz w:val="18"/>
                <w:szCs w:val="18"/>
                <w:color w:val="auto"/>
              </w:rPr>
            </w:pPr>
          </w:p>
        </w:tc>
        <w:tc>
          <w:tcPr>
            <w:tcW w:w="9020" w:type="dxa"/>
            <w:vAlign w:val="bottom"/>
            <w:vMerge w:val="restart"/>
          </w:tcPr>
          <w:p>
            <w:pPr>
              <w:ind w:left="12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03"/>
        </w:trPr>
        <w:tc>
          <w:tcPr>
            <w:tcW w:w="1340" w:type="dxa"/>
            <w:vAlign w:val="bottom"/>
          </w:tcPr>
          <w:p>
            <w:pPr>
              <w:jc w:val="center"/>
              <w:spacing w:after="0" w:line="203" w:lineRule="exact"/>
              <w:rPr>
                <w:sz w:val="20"/>
                <w:szCs w:val="20"/>
                <w:color w:val="auto"/>
              </w:rPr>
            </w:pPr>
            <w:r>
              <w:rPr>
                <w:rFonts w:ascii="Arial" w:cs="Arial" w:eastAsia="Arial" w:hAnsi="Arial"/>
                <w:sz w:val="18"/>
                <w:szCs w:val="18"/>
                <w:color w:val="auto"/>
                <w:w w:val="99"/>
              </w:rPr>
              <w:t>WITH</w:t>
            </w:r>
          </w:p>
        </w:tc>
        <w:tc>
          <w:tcPr>
            <w:tcW w:w="460" w:type="dxa"/>
            <w:vAlign w:val="bottom"/>
            <w:tcBorders>
              <w:bottom w:val="single" w:sz="8" w:color="auto"/>
            </w:tcBorders>
          </w:tcPr>
          <w:p>
            <w:pPr>
              <w:spacing w:after="0"/>
              <w:rPr>
                <w:sz w:val="17"/>
                <w:szCs w:val="17"/>
                <w:color w:val="auto"/>
              </w:rPr>
            </w:pPr>
          </w:p>
        </w:tc>
        <w:tc>
          <w:tcPr>
            <w:tcW w:w="90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1340" w:type="dxa"/>
            <w:vAlign w:val="bottom"/>
          </w:tcPr>
          <w:p>
            <w:pPr>
              <w:spacing w:after="0"/>
              <w:rPr>
                <w:sz w:val="19"/>
                <w:szCs w:val="19"/>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10</w:t>
            </w:r>
          </w:p>
        </w:tc>
        <w:tc>
          <w:tcPr>
            <w:tcW w:w="9020" w:type="dxa"/>
            <w:vAlign w:val="bottom"/>
          </w:tcPr>
          <w:p>
            <w:pPr>
              <w:ind w:left="12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bl>
    <w:p>
      <w:pPr>
        <w:spacing w:after="0" w:line="207" w:lineRule="exact"/>
        <w:rPr>
          <w:sz w:val="20"/>
          <w:szCs w:val="20"/>
          <w:color w:val="auto"/>
        </w:rPr>
      </w:pPr>
    </w:p>
    <w:p>
      <w:pPr>
        <w:ind w:left="2124"/>
        <w:spacing w:after="0"/>
        <w:rPr>
          <w:sz w:val="20"/>
          <w:szCs w:val="20"/>
          <w:color w:val="auto"/>
        </w:rPr>
      </w:pPr>
      <w:r>
        <w:rPr>
          <w:rFonts w:ascii="Arial" w:cs="Arial" w:eastAsia="Arial" w:hAnsi="Arial"/>
          <w:sz w:val="22"/>
          <w:szCs w:val="22"/>
          <w:color w:val="auto"/>
        </w:rPr>
        <w:t>497,660 Shares of Common Stock (1)</w:t>
      </w:r>
    </w:p>
    <w:p>
      <w:pPr>
        <w:spacing w:after="0" w:line="24" w:lineRule="exact"/>
        <w:rPr>
          <w:sz w:val="20"/>
          <w:szCs w:val="20"/>
          <w:color w:val="auto"/>
        </w:rPr>
      </w:pPr>
    </w:p>
    <w:p>
      <w:pPr>
        <w:ind w:left="164"/>
        <w:spacing w:after="0"/>
        <w:tabs>
          <w:tab w:leader="none" w:pos="484"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7"/>
          <w:szCs w:val="17"/>
          <w:color w:val="auto"/>
        </w:rPr>
        <w:t>AGGREGATE AMOUNT BENEFICIALLY OWNED BY EACH REPORTING PERSON</w:t>
      </w:r>
    </w:p>
    <w:p>
      <w:pPr>
        <w:spacing w:after="0" w:line="245" w:lineRule="exact"/>
        <w:rPr>
          <w:sz w:val="20"/>
          <w:szCs w:val="20"/>
          <w:color w:val="auto"/>
        </w:rPr>
      </w:pPr>
    </w:p>
    <w:p>
      <w:pPr>
        <w:ind w:left="504"/>
        <w:spacing w:after="0"/>
        <w:rPr>
          <w:sz w:val="20"/>
          <w:szCs w:val="20"/>
          <w:color w:val="auto"/>
        </w:rPr>
      </w:pPr>
      <w:r>
        <w:rPr>
          <w:rFonts w:ascii="Arial" w:cs="Arial" w:eastAsia="Arial" w:hAnsi="Arial"/>
          <w:sz w:val="22"/>
          <w:szCs w:val="22"/>
          <w:color w:val="auto"/>
        </w:rPr>
        <w:t>497,660 Shares of Common Stock (1)</w:t>
      </w:r>
    </w:p>
    <w:p>
      <w:pPr>
        <w:spacing w:after="0" w:line="21" w:lineRule="exact"/>
        <w:rPr>
          <w:sz w:val="20"/>
          <w:szCs w:val="20"/>
          <w:color w:val="auto"/>
        </w:rPr>
      </w:pPr>
    </w:p>
    <w:p>
      <w:pPr>
        <w:ind w:left="504" w:hanging="347"/>
        <w:spacing w:after="0" w:line="207" w:lineRule="exact"/>
        <w:tabs>
          <w:tab w:leader="none" w:pos="504" w:val="left"/>
        </w:tabs>
        <w:numPr>
          <w:ilvl w:val="0"/>
          <w:numId w:val="72"/>
        </w:numPr>
        <w:rPr>
          <w:rFonts w:ascii="Arial" w:cs="Arial" w:eastAsia="Arial" w:hAnsi="Arial"/>
          <w:sz w:val="18"/>
          <w:szCs w:val="18"/>
          <w:color w:val="auto"/>
        </w:rPr>
      </w:pPr>
      <w:r>
        <w:rPr>
          <w:rFonts w:ascii="Arial" w:cs="Arial" w:eastAsia="Arial" w:hAnsi="Arial"/>
          <w:sz w:val="18"/>
          <w:szCs w:val="18"/>
          <w:color w:val="auto"/>
        </w:rPr>
        <w:t xml:space="preserve">CHECK BOX IF THE AGGREGATE AMOUNT IN ROW (11) EXCLUDES CERTAIN SHARES (see instructions) </w:t>
      </w:r>
      <w:r>
        <w:rPr>
          <w:rFonts w:ascii="MS PGothic" w:cs="MS PGothic" w:eastAsia="MS PGothic" w:hAnsi="MS PGothic"/>
          <w:sz w:val="18"/>
          <w:szCs w:val="18"/>
          <w:color w:val="auto"/>
        </w:rPr>
        <w:t>☐</w:t>
      </w:r>
    </w:p>
    <w:p>
      <w:pPr>
        <w:spacing w:after="0" w:line="200" w:lineRule="exact"/>
        <w:rPr>
          <w:rFonts w:ascii="Arial" w:cs="Arial" w:eastAsia="Arial" w:hAnsi="Arial"/>
          <w:sz w:val="18"/>
          <w:szCs w:val="18"/>
          <w:color w:val="auto"/>
        </w:rPr>
      </w:pPr>
    </w:p>
    <w:p>
      <w:pPr>
        <w:spacing w:after="0" w:line="324" w:lineRule="exact"/>
        <w:rPr>
          <w:rFonts w:ascii="Arial" w:cs="Arial" w:eastAsia="Arial" w:hAnsi="Arial"/>
          <w:sz w:val="18"/>
          <w:szCs w:val="18"/>
          <w:color w:val="auto"/>
        </w:rPr>
      </w:pPr>
    </w:p>
    <w:p>
      <w:pPr>
        <w:ind w:left="504" w:hanging="347"/>
        <w:spacing w:after="0"/>
        <w:tabs>
          <w:tab w:leader="none" w:pos="504" w:val="left"/>
        </w:tabs>
        <w:numPr>
          <w:ilvl w:val="0"/>
          <w:numId w:val="72"/>
        </w:numPr>
        <w:rPr>
          <w:rFonts w:ascii="Arial" w:cs="Arial" w:eastAsia="Arial" w:hAnsi="Arial"/>
          <w:sz w:val="18"/>
          <w:szCs w:val="18"/>
          <w:color w:val="auto"/>
        </w:rPr>
      </w:pPr>
      <w:r>
        <w:rPr>
          <w:rFonts w:ascii="Arial" w:cs="Arial" w:eastAsia="Arial" w:hAnsi="Arial"/>
          <w:sz w:val="18"/>
          <w:szCs w:val="18"/>
          <w:color w:val="auto"/>
        </w:rPr>
        <w:t>PERCENT OF CLASS REPRESENTED BY AMOUNT IN ROW 11</w:t>
      </w:r>
    </w:p>
    <w:p>
      <w:pPr>
        <w:spacing w:after="0" w:line="245" w:lineRule="exact"/>
        <w:rPr>
          <w:sz w:val="20"/>
          <w:szCs w:val="20"/>
          <w:color w:val="auto"/>
        </w:rPr>
      </w:pPr>
    </w:p>
    <w:p>
      <w:pPr>
        <w:ind w:left="504"/>
        <w:spacing w:after="0"/>
        <w:rPr>
          <w:sz w:val="20"/>
          <w:szCs w:val="20"/>
          <w:color w:val="auto"/>
        </w:rPr>
      </w:pPr>
      <w:r>
        <w:rPr>
          <w:rFonts w:ascii="Arial" w:cs="Arial" w:eastAsia="Arial" w:hAnsi="Arial"/>
          <w:sz w:val="22"/>
          <w:szCs w:val="22"/>
          <w:color w:val="auto"/>
        </w:rPr>
        <w:t>0.4% (2)</w:t>
      </w:r>
    </w:p>
    <w:p>
      <w:pPr>
        <w:spacing w:after="0" w:line="24" w:lineRule="exact"/>
        <w:rPr>
          <w:sz w:val="20"/>
          <w:szCs w:val="20"/>
          <w:color w:val="auto"/>
        </w:rPr>
      </w:pPr>
    </w:p>
    <w:p>
      <w:pPr>
        <w:ind w:left="164"/>
        <w:spacing w:after="0"/>
        <w:tabs>
          <w:tab w:leader="none" w:pos="484"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6"/>
          <w:szCs w:val="16"/>
          <w:color w:val="auto"/>
        </w:rPr>
        <w:t>TYPE OF REPORTING PERSON (see instructions)</w:t>
      </w:r>
    </w:p>
    <w:p>
      <w:pPr>
        <w:spacing w:after="0" w:line="245" w:lineRule="exact"/>
        <w:rPr>
          <w:sz w:val="20"/>
          <w:szCs w:val="20"/>
          <w:color w:val="auto"/>
        </w:rPr>
      </w:pPr>
    </w:p>
    <w:p>
      <w:pPr>
        <w:ind w:left="504"/>
        <w:spacing w:after="0"/>
        <w:rPr>
          <w:sz w:val="20"/>
          <w:szCs w:val="20"/>
          <w:color w:val="auto"/>
        </w:rPr>
      </w:pPr>
      <w:r>
        <w:rPr>
          <w:rFonts w:ascii="Arial" w:cs="Arial" w:eastAsia="Arial" w:hAnsi="Arial"/>
          <w:sz w:val="22"/>
          <w:szCs w:val="22"/>
          <w:color w:val="auto"/>
        </w:rPr>
        <w:t>OO</w:t>
      </w:r>
    </w:p>
    <w:p>
      <w:pPr>
        <w:spacing w:after="0" w:line="267" w:lineRule="exact"/>
        <w:rPr>
          <w:sz w:val="20"/>
          <w:szCs w:val="20"/>
          <w:color w:val="auto"/>
        </w:rPr>
      </w:pPr>
    </w:p>
    <w:p>
      <w:pPr>
        <w:ind w:left="424" w:right="100" w:hanging="424"/>
        <w:spacing w:after="0" w:line="254" w:lineRule="auto"/>
        <w:tabs>
          <w:tab w:leader="none" w:pos="424" w:val="left"/>
        </w:tabs>
        <w:numPr>
          <w:ilvl w:val="0"/>
          <w:numId w:val="73"/>
        </w:numPr>
        <w:rPr>
          <w:rFonts w:ascii="Arial" w:cs="Arial" w:eastAsia="Arial" w:hAnsi="Arial"/>
          <w:sz w:val="18"/>
          <w:szCs w:val="18"/>
          <w:color w:val="auto"/>
        </w:rPr>
      </w:pPr>
      <w:r>
        <w:rPr>
          <w:rFonts w:ascii="Arial" w:cs="Arial" w:eastAsia="Arial" w:hAnsi="Arial"/>
          <w:sz w:val="18"/>
          <w:szCs w:val="18"/>
          <w:color w:val="auto"/>
        </w:rPr>
        <w:t>All shares are held of record by Polaris HCT. PHCT GP is the general partner of Polaris HCT and may be deemed to have shared voting, investment and dispositive power with respect to these securities. Terrance McGuire, an interest holder in PHCT GP and a member of the Issuer’s board of directors, and the PHCT GP Managing Members are the managing members of PHCT GP and may be deemed to have shared voting, investment and dispositive power with respect to the securities held by Polaris HCT.</w:t>
      </w:r>
    </w:p>
    <w:p>
      <w:pPr>
        <w:spacing w:after="0" w:line="2" w:lineRule="exact"/>
        <w:rPr>
          <w:rFonts w:ascii="Arial" w:cs="Arial" w:eastAsia="Arial" w:hAnsi="Arial"/>
          <w:sz w:val="18"/>
          <w:szCs w:val="18"/>
          <w:color w:val="auto"/>
        </w:rPr>
      </w:pPr>
    </w:p>
    <w:p>
      <w:pPr>
        <w:ind w:left="424" w:right="180" w:hanging="424"/>
        <w:spacing w:after="0" w:line="260" w:lineRule="auto"/>
        <w:tabs>
          <w:tab w:leader="none" w:pos="424" w:val="left"/>
        </w:tabs>
        <w:numPr>
          <w:ilvl w:val="0"/>
          <w:numId w:val="73"/>
        </w:numPr>
        <w:rPr>
          <w:rFonts w:ascii="Arial" w:cs="Arial" w:eastAsia="Arial" w:hAnsi="Arial"/>
          <w:sz w:val="18"/>
          <w:szCs w:val="18"/>
          <w:color w:val="auto"/>
        </w:rPr>
      </w:pPr>
      <w:r>
        <w:rPr>
          <w:rFonts w:ascii="Arial" w:cs="Arial" w:eastAsia="Arial" w:hAnsi="Arial"/>
          <w:sz w:val="18"/>
          <w:szCs w:val="18"/>
          <w:color w:val="auto"/>
        </w:rPr>
        <w:t>Based on 111,245,660 shares of Common Stock outstanding (including shares issued upon the full exercise by the underwriters of their option to purchase additional shares in the Offering), as reported by the Issuer in the Prospectus.</w:t>
      </w:r>
    </w:p>
    <w:p>
      <w:pPr>
        <w:sectPr>
          <w:pgSz w:w="11900" w:h="16838" w:orient="portrait"/>
          <w:cols w:equalWidth="0" w:num="1">
            <w:col w:w="11024"/>
          </w:cols>
          <w:pgMar w:left="436" w:top="274" w:right="439" w:bottom="1440" w:gutter="0" w:footer="0" w:header="0"/>
        </w:sectPr>
      </w:pPr>
    </w:p>
    <w:bookmarkStart w:id="10" w:name="page11"/>
    <w:bookmarkEnd w:id="10"/>
    <w:tbl>
      <w:tblPr>
        <w:tblLayout w:type="fixed"/>
        <w:tblInd w:w="4" w:type="dxa"/>
        <w:tblCellMar>
          <w:top w:w="0" w:type="dxa"/>
          <w:left w:w="0" w:type="dxa"/>
          <w:bottom w:w="0" w:type="dxa"/>
          <w:right w:w="0" w:type="dxa"/>
        </w:tblCellMar>
      </w:tblPr>
      <w:tr>
        <w:trPr>
          <w:trHeight w:val="230"/>
        </w:trPr>
        <w:tc>
          <w:tcPr>
            <w:tcW w:w="6200" w:type="dxa"/>
            <w:vAlign w:val="bottom"/>
          </w:tcPr>
          <w:p>
            <w:pPr>
              <w:spacing w:after="0"/>
              <w:rPr>
                <w:sz w:val="20"/>
                <w:szCs w:val="20"/>
                <w:color w:val="auto"/>
              </w:rPr>
            </w:pPr>
            <w:r>
              <w:rPr>
                <w:rFonts w:ascii="Arial" w:cs="Arial" w:eastAsia="Arial" w:hAnsi="Arial"/>
                <w:sz w:val="18"/>
                <w:szCs w:val="18"/>
                <w:color w:val="auto"/>
              </w:rPr>
              <w:t>CUSIP No. 00534A102</w:t>
            </w:r>
          </w:p>
        </w:tc>
        <w:tc>
          <w:tcPr>
            <w:tcW w:w="4820" w:type="dxa"/>
            <w:vAlign w:val="bottom"/>
          </w:tcPr>
          <w:p>
            <w:pPr>
              <w:ind w:left="4500"/>
              <w:spacing w:after="0"/>
              <w:rPr>
                <w:sz w:val="20"/>
                <w:szCs w:val="20"/>
                <w:color w:val="auto"/>
              </w:rPr>
            </w:pPr>
            <w:r>
              <w:rPr>
                <w:rFonts w:ascii="Arial" w:cs="Arial" w:eastAsia="Arial" w:hAnsi="Arial"/>
                <w:sz w:val="18"/>
                <w:szCs w:val="18"/>
                <w:color w:val="auto"/>
                <w:w w:val="90"/>
              </w:rPr>
              <w:t>13D</w:t>
            </w:r>
          </w:p>
        </w:tc>
      </w:tr>
    </w:tbl>
    <w:p>
      <w:pPr>
        <w:spacing w:after="0" w:line="2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524" w:hanging="277"/>
        <w:spacing w:after="0"/>
        <w:tabs>
          <w:tab w:leader="none" w:pos="524" w:val="left"/>
        </w:tabs>
        <w:numPr>
          <w:ilvl w:val="0"/>
          <w:numId w:val="74"/>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-130175</wp:posOffset>
            </wp:positionV>
            <wp:extent cx="7003415" cy="64719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003415" cy="6471920"/>
                    </a:xfrm>
                    <a:prstGeom prst="rect">
                      <a:avLst/>
                    </a:prstGeom>
                    <a:noFill/>
                  </pic:spPr>
                </pic:pic>
              </a:graphicData>
            </a:graphic>
          </wp:anchor>
        </w:drawing>
      </w:r>
    </w:p>
    <w:p>
      <w:pPr>
        <w:spacing w:after="0" w:line="225" w:lineRule="exact"/>
        <w:rPr>
          <w:sz w:val="20"/>
          <w:szCs w:val="20"/>
          <w:color w:val="auto"/>
        </w:rPr>
      </w:pPr>
    </w:p>
    <w:p>
      <w:pPr>
        <w:ind w:left="524"/>
        <w:spacing w:after="0"/>
        <w:rPr>
          <w:sz w:val="20"/>
          <w:szCs w:val="20"/>
          <w:color w:val="auto"/>
        </w:rPr>
      </w:pPr>
      <w:r>
        <w:rPr>
          <w:rFonts w:ascii="Arial" w:cs="Arial" w:eastAsia="Arial" w:hAnsi="Arial"/>
          <w:sz w:val="22"/>
          <w:szCs w:val="22"/>
          <w:color w:val="auto"/>
        </w:rPr>
        <w:t>Terrance McGuire</w:t>
      </w:r>
    </w:p>
    <w:p>
      <w:pPr>
        <w:spacing w:after="0" w:line="24" w:lineRule="exact"/>
        <w:rPr>
          <w:sz w:val="20"/>
          <w:szCs w:val="20"/>
          <w:color w:val="auto"/>
        </w:rPr>
      </w:pPr>
    </w:p>
    <w:p>
      <w:pPr>
        <w:ind w:left="524" w:hanging="277"/>
        <w:spacing w:after="0"/>
        <w:tabs>
          <w:tab w:leader="none" w:pos="524" w:val="left"/>
        </w:tabs>
        <w:numPr>
          <w:ilvl w:val="0"/>
          <w:numId w:val="75"/>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8" w:lineRule="exact"/>
        <w:rPr>
          <w:sz w:val="20"/>
          <w:szCs w:val="20"/>
          <w:color w:val="auto"/>
        </w:rPr>
      </w:pPr>
    </w:p>
    <w:p>
      <w:pPr>
        <w:ind w:left="524"/>
        <w:spacing w:after="0" w:line="207" w:lineRule="exact"/>
        <w:tabs>
          <w:tab w:leader="none" w:pos="1324"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524" w:hanging="277"/>
        <w:spacing w:after="0"/>
        <w:tabs>
          <w:tab w:leader="none" w:pos="524" w:val="left"/>
        </w:tabs>
        <w:numPr>
          <w:ilvl w:val="0"/>
          <w:numId w:val="76"/>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sz w:val="20"/>
          <w:szCs w:val="20"/>
          <w:color w:val="auto"/>
        </w:rPr>
      </w:pPr>
    </w:p>
    <w:p>
      <w:pPr>
        <w:spacing w:after="0" w:line="322" w:lineRule="exact"/>
        <w:rPr>
          <w:sz w:val="20"/>
          <w:szCs w:val="20"/>
          <w:color w:val="auto"/>
        </w:rPr>
      </w:pPr>
    </w:p>
    <w:p>
      <w:pPr>
        <w:ind w:left="524" w:hanging="277"/>
        <w:spacing w:after="0"/>
        <w:tabs>
          <w:tab w:leader="none" w:pos="524" w:val="left"/>
        </w:tabs>
        <w:numPr>
          <w:ilvl w:val="0"/>
          <w:numId w:val="77"/>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45" w:lineRule="exact"/>
        <w:rPr>
          <w:sz w:val="20"/>
          <w:szCs w:val="20"/>
          <w:color w:val="auto"/>
        </w:rPr>
      </w:pPr>
    </w:p>
    <w:p>
      <w:pPr>
        <w:ind w:left="524"/>
        <w:spacing w:after="0"/>
        <w:rPr>
          <w:sz w:val="20"/>
          <w:szCs w:val="20"/>
          <w:color w:val="auto"/>
        </w:rPr>
      </w:pPr>
      <w:r>
        <w:rPr>
          <w:rFonts w:ascii="Arial" w:cs="Arial" w:eastAsia="Arial" w:hAnsi="Arial"/>
          <w:sz w:val="22"/>
          <w:szCs w:val="22"/>
          <w:color w:val="auto"/>
        </w:rPr>
        <w:t>AF</w:t>
      </w:r>
    </w:p>
    <w:p>
      <w:pPr>
        <w:spacing w:after="0" w:line="21" w:lineRule="exact"/>
        <w:rPr>
          <w:sz w:val="20"/>
          <w:szCs w:val="20"/>
          <w:color w:val="auto"/>
        </w:rPr>
      </w:pPr>
    </w:p>
    <w:p>
      <w:pPr>
        <w:ind w:left="524" w:hanging="277"/>
        <w:spacing w:after="0" w:line="207" w:lineRule="exact"/>
        <w:tabs>
          <w:tab w:leader="none" w:pos="524" w:val="left"/>
        </w:tabs>
        <w:numPr>
          <w:ilvl w:val="0"/>
          <w:numId w:val="78"/>
        </w:numPr>
        <w:rPr>
          <w:rFonts w:ascii="Arial" w:cs="Arial" w:eastAsia="Arial" w:hAnsi="Arial"/>
          <w:sz w:val="18"/>
          <w:szCs w:val="18"/>
          <w:color w:val="auto"/>
        </w:rPr>
      </w:pPr>
      <w:r>
        <w:rPr>
          <w:rFonts w:ascii="Arial" w:cs="Arial" w:eastAsia="Arial" w:hAnsi="Arial"/>
          <w:sz w:val="18"/>
          <w:szCs w:val="18"/>
          <w:color w:val="auto"/>
        </w:rPr>
        <w:t xml:space="preserve">CHECK IF DISCLOSURE OF LEGAL PROCEEDINGS IS REQUIRED PURSUANT TO ITEM 2(d) or 2(e) </w:t>
      </w:r>
      <w:r>
        <w:rPr>
          <w:rFonts w:ascii="MS PGothic" w:cs="MS PGothic" w:eastAsia="MS PGothic" w:hAnsi="MS PGothic"/>
          <w:sz w:val="18"/>
          <w:szCs w:val="18"/>
          <w:color w:val="auto"/>
        </w:rPr>
        <w:t>☐</w:t>
      </w:r>
    </w:p>
    <w:p>
      <w:pPr>
        <w:spacing w:after="0" w:line="200" w:lineRule="exact"/>
        <w:rPr>
          <w:sz w:val="20"/>
          <w:szCs w:val="20"/>
          <w:color w:val="auto"/>
        </w:rPr>
      </w:pPr>
    </w:p>
    <w:p>
      <w:pPr>
        <w:spacing w:after="0" w:line="325" w:lineRule="exact"/>
        <w:rPr>
          <w:sz w:val="20"/>
          <w:szCs w:val="20"/>
          <w:color w:val="auto"/>
        </w:rPr>
      </w:pPr>
    </w:p>
    <w:p>
      <w:pPr>
        <w:ind w:left="524" w:hanging="277"/>
        <w:spacing w:after="0"/>
        <w:tabs>
          <w:tab w:leader="none" w:pos="524" w:val="left"/>
        </w:tabs>
        <w:numPr>
          <w:ilvl w:val="0"/>
          <w:numId w:val="79"/>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45" w:lineRule="exact"/>
        <w:rPr>
          <w:sz w:val="20"/>
          <w:szCs w:val="20"/>
          <w:color w:val="auto"/>
        </w:rPr>
      </w:pPr>
    </w:p>
    <w:p>
      <w:pPr>
        <w:ind w:left="524"/>
        <w:spacing w:after="0"/>
        <w:rPr>
          <w:sz w:val="20"/>
          <w:szCs w:val="20"/>
          <w:color w:val="auto"/>
        </w:rPr>
      </w:pPr>
      <w:r>
        <w:rPr>
          <w:rFonts w:ascii="Arial" w:cs="Arial" w:eastAsia="Arial" w:hAnsi="Arial"/>
          <w:sz w:val="22"/>
          <w:szCs w:val="22"/>
          <w:color w:val="auto"/>
        </w:rPr>
        <w:t>United States</w:t>
      </w:r>
    </w:p>
    <w:p>
      <w:pPr>
        <w:spacing w:after="0" w:line="24" w:lineRule="exact"/>
        <w:rPr>
          <w:sz w:val="20"/>
          <w:szCs w:val="20"/>
          <w:color w:val="auto"/>
        </w:rPr>
      </w:pPr>
    </w:p>
    <w:tbl>
      <w:tblPr>
        <w:tblLayout w:type="fixed"/>
        <w:tblInd w:w="204" w:type="dxa"/>
        <w:tblCellMar>
          <w:top w:w="0" w:type="dxa"/>
          <w:left w:w="0" w:type="dxa"/>
          <w:bottom w:w="0" w:type="dxa"/>
          <w:right w:w="0" w:type="dxa"/>
        </w:tblCellMar>
      </w:tblPr>
      <w:tr>
        <w:trPr>
          <w:trHeight w:val="230"/>
        </w:trPr>
        <w:tc>
          <w:tcPr>
            <w:tcW w:w="1340" w:type="dxa"/>
            <w:vAlign w:val="bottom"/>
          </w:tcPr>
          <w:p>
            <w:pPr>
              <w:spacing w:after="0"/>
              <w:rPr>
                <w:sz w:val="20"/>
                <w:szCs w:val="20"/>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7</w:t>
            </w:r>
          </w:p>
        </w:tc>
        <w:tc>
          <w:tcPr>
            <w:tcW w:w="9020" w:type="dxa"/>
            <w:vAlign w:val="bottom"/>
          </w:tcPr>
          <w:p>
            <w:pPr>
              <w:ind w:left="12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58"/>
        </w:trPr>
        <w:tc>
          <w:tcPr>
            <w:tcW w:w="1340" w:type="dxa"/>
            <w:vAlign w:val="bottom"/>
          </w:tcPr>
          <w:p>
            <w:pPr>
              <w:jc w:val="center"/>
              <w:spacing w:after="0"/>
              <w:rPr>
                <w:sz w:val="20"/>
                <w:szCs w:val="20"/>
                <w:color w:val="auto"/>
              </w:rPr>
            </w:pPr>
            <w:r>
              <w:rPr>
                <w:rFonts w:ascii="Arial" w:cs="Arial" w:eastAsia="Arial" w:hAnsi="Arial"/>
                <w:sz w:val="18"/>
                <w:szCs w:val="18"/>
                <w:color w:val="auto"/>
                <w:w w:val="98"/>
              </w:rPr>
              <w:t>NUMBER OF</w:t>
            </w:r>
          </w:p>
        </w:tc>
        <w:tc>
          <w:tcPr>
            <w:tcW w:w="460" w:type="dxa"/>
            <w:vAlign w:val="bottom"/>
          </w:tcPr>
          <w:p>
            <w:pPr>
              <w:spacing w:after="0"/>
              <w:rPr>
                <w:sz w:val="24"/>
                <w:szCs w:val="24"/>
                <w:color w:val="auto"/>
              </w:rPr>
            </w:pPr>
          </w:p>
        </w:tc>
        <w:tc>
          <w:tcPr>
            <w:tcW w:w="9020" w:type="dxa"/>
            <w:vAlign w:val="bottom"/>
          </w:tcPr>
          <w:p>
            <w:pPr>
              <w:ind w:left="12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41"/>
        </w:trPr>
        <w:tc>
          <w:tcPr>
            <w:tcW w:w="1340" w:type="dxa"/>
            <w:vAlign w:val="bottom"/>
            <w:vMerge w:val="restart"/>
          </w:tcPr>
          <w:p>
            <w:pPr>
              <w:jc w:val="center"/>
              <w:spacing w:after="0"/>
              <w:rPr>
                <w:sz w:val="20"/>
                <w:szCs w:val="20"/>
                <w:color w:val="auto"/>
              </w:rPr>
            </w:pPr>
            <w:r>
              <w:rPr>
                <w:rFonts w:ascii="Arial" w:cs="Arial" w:eastAsia="Arial" w:hAnsi="Arial"/>
                <w:sz w:val="18"/>
                <w:szCs w:val="18"/>
                <w:color w:val="auto"/>
                <w:w w:val="94"/>
              </w:rPr>
              <w:t>SHARES</w:t>
            </w:r>
          </w:p>
        </w:tc>
        <w:tc>
          <w:tcPr>
            <w:tcW w:w="460" w:type="dxa"/>
            <w:vAlign w:val="bottom"/>
            <w:tcBorders>
              <w:bottom w:val="single" w:sz="8" w:color="auto"/>
            </w:tcBorders>
          </w:tcPr>
          <w:p>
            <w:pPr>
              <w:spacing w:after="0"/>
              <w:rPr>
                <w:sz w:val="3"/>
                <w:szCs w:val="3"/>
                <w:color w:val="auto"/>
              </w:rPr>
            </w:pPr>
          </w:p>
        </w:tc>
        <w:tc>
          <w:tcPr>
            <w:tcW w:w="90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6"/>
        </w:trPr>
        <w:tc>
          <w:tcPr>
            <w:tcW w:w="1340" w:type="dxa"/>
            <w:vAlign w:val="bottom"/>
            <w:vMerge w:val="continue"/>
          </w:tcPr>
          <w:p>
            <w:pPr>
              <w:spacing w:after="0"/>
              <w:rPr>
                <w:sz w:val="13"/>
                <w:szCs w:val="13"/>
                <w:color w:val="auto"/>
              </w:rPr>
            </w:pPr>
          </w:p>
        </w:tc>
        <w:tc>
          <w:tcPr>
            <w:tcW w:w="460" w:type="dxa"/>
            <w:vAlign w:val="bottom"/>
          </w:tcPr>
          <w:p>
            <w:pPr>
              <w:jc w:val="right"/>
              <w:ind w:right="10"/>
              <w:spacing w:after="0" w:line="156" w:lineRule="exact"/>
              <w:rPr>
                <w:sz w:val="20"/>
                <w:szCs w:val="20"/>
                <w:color w:val="auto"/>
              </w:rPr>
            </w:pPr>
            <w:r>
              <w:rPr>
                <w:rFonts w:ascii="Arial" w:cs="Arial" w:eastAsia="Arial" w:hAnsi="Arial"/>
                <w:sz w:val="18"/>
                <w:szCs w:val="18"/>
                <w:color w:val="auto"/>
              </w:rPr>
              <w:t>8</w:t>
            </w:r>
          </w:p>
        </w:tc>
        <w:tc>
          <w:tcPr>
            <w:tcW w:w="9020" w:type="dxa"/>
            <w:vAlign w:val="bottom"/>
          </w:tcPr>
          <w:p>
            <w:pPr>
              <w:ind w:left="120"/>
              <w:spacing w:after="0" w:line="156" w:lineRule="exact"/>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5"/>
        </w:trPr>
        <w:tc>
          <w:tcPr>
            <w:tcW w:w="1340" w:type="dxa"/>
            <w:vAlign w:val="bottom"/>
          </w:tcPr>
          <w:p>
            <w:pPr>
              <w:jc w:val="center"/>
              <w:spacing w:after="0"/>
              <w:rPr>
                <w:sz w:val="20"/>
                <w:szCs w:val="20"/>
                <w:color w:val="auto"/>
              </w:rPr>
            </w:pPr>
            <w:r>
              <w:rPr>
                <w:rFonts w:ascii="Arial" w:cs="Arial" w:eastAsia="Arial" w:hAnsi="Arial"/>
                <w:sz w:val="18"/>
                <w:szCs w:val="18"/>
                <w:color w:val="auto"/>
                <w:w w:val="99"/>
              </w:rPr>
              <w:t>BENEFICIALLY</w:t>
            </w:r>
          </w:p>
        </w:tc>
        <w:tc>
          <w:tcPr>
            <w:tcW w:w="460" w:type="dxa"/>
            <w:vAlign w:val="bottom"/>
          </w:tcPr>
          <w:p>
            <w:pPr>
              <w:spacing w:after="0"/>
              <w:rPr>
                <w:sz w:val="18"/>
                <w:szCs w:val="18"/>
                <w:color w:val="auto"/>
              </w:rPr>
            </w:pPr>
          </w:p>
        </w:tc>
        <w:tc>
          <w:tcPr>
            <w:tcW w:w="9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jc w:val="center"/>
              <w:spacing w:after="0"/>
              <w:rPr>
                <w:sz w:val="20"/>
                <w:szCs w:val="20"/>
                <w:color w:val="auto"/>
              </w:rPr>
            </w:pPr>
            <w:r>
              <w:rPr>
                <w:rFonts w:ascii="Arial" w:cs="Arial" w:eastAsia="Arial" w:hAnsi="Arial"/>
                <w:sz w:val="18"/>
                <w:szCs w:val="18"/>
                <w:color w:val="auto"/>
                <w:w w:val="99"/>
              </w:rPr>
              <w:t>OWNED BY</w:t>
            </w:r>
          </w:p>
        </w:tc>
        <w:tc>
          <w:tcPr>
            <w:tcW w:w="460" w:type="dxa"/>
            <w:vAlign w:val="bottom"/>
          </w:tcPr>
          <w:p>
            <w:pPr>
              <w:spacing w:after="0"/>
              <w:rPr>
                <w:sz w:val="18"/>
                <w:szCs w:val="18"/>
                <w:color w:val="auto"/>
              </w:rPr>
            </w:pPr>
          </w:p>
        </w:tc>
        <w:tc>
          <w:tcPr>
            <w:tcW w:w="9020" w:type="dxa"/>
            <w:vAlign w:val="bottom"/>
            <w:vMerge w:val="restart"/>
          </w:tcPr>
          <w:p>
            <w:pPr>
              <w:ind w:left="120"/>
              <w:spacing w:after="0"/>
              <w:rPr>
                <w:sz w:val="20"/>
                <w:szCs w:val="20"/>
                <w:color w:val="auto"/>
              </w:rPr>
            </w:pPr>
            <w:r>
              <w:rPr>
                <w:rFonts w:ascii="Arial" w:cs="Arial" w:eastAsia="Arial" w:hAnsi="Arial"/>
                <w:sz w:val="22"/>
                <w:szCs w:val="22"/>
                <w:color w:val="auto"/>
              </w:rPr>
              <w:t>8,531,700 Shares of Common Stock (1)</w:t>
            </w:r>
          </w:p>
        </w:tc>
        <w:tc>
          <w:tcPr>
            <w:tcW w:w="0" w:type="dxa"/>
            <w:vAlign w:val="bottom"/>
          </w:tcPr>
          <w:p>
            <w:pPr>
              <w:spacing w:after="0"/>
              <w:rPr>
                <w:sz w:val="1"/>
                <w:szCs w:val="1"/>
                <w:color w:val="auto"/>
              </w:rPr>
            </w:pPr>
          </w:p>
        </w:tc>
      </w:tr>
      <w:tr>
        <w:trPr>
          <w:trHeight w:val="121"/>
        </w:trPr>
        <w:tc>
          <w:tcPr>
            <w:tcW w:w="1340" w:type="dxa"/>
            <w:vAlign w:val="bottom"/>
            <w:vMerge w:val="restart"/>
          </w:tcPr>
          <w:p>
            <w:pPr>
              <w:jc w:val="center"/>
              <w:spacing w:after="0"/>
              <w:rPr>
                <w:sz w:val="20"/>
                <w:szCs w:val="20"/>
                <w:color w:val="auto"/>
              </w:rPr>
            </w:pPr>
            <w:r>
              <w:rPr>
                <w:rFonts w:ascii="Arial" w:cs="Arial" w:eastAsia="Arial" w:hAnsi="Arial"/>
                <w:sz w:val="18"/>
                <w:szCs w:val="18"/>
                <w:color w:val="auto"/>
                <w:w w:val="99"/>
              </w:rPr>
              <w:t>EACH</w:t>
            </w:r>
          </w:p>
        </w:tc>
        <w:tc>
          <w:tcPr>
            <w:tcW w:w="460" w:type="dxa"/>
            <w:vAlign w:val="bottom"/>
            <w:tcBorders>
              <w:bottom w:val="single" w:sz="8" w:color="auto"/>
            </w:tcBorders>
          </w:tcPr>
          <w:p>
            <w:pPr>
              <w:spacing w:after="0"/>
              <w:rPr>
                <w:sz w:val="10"/>
                <w:szCs w:val="10"/>
                <w:color w:val="auto"/>
              </w:rPr>
            </w:pPr>
          </w:p>
        </w:tc>
        <w:tc>
          <w:tcPr>
            <w:tcW w:w="902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5"/>
        </w:trPr>
        <w:tc>
          <w:tcPr>
            <w:tcW w:w="1340" w:type="dxa"/>
            <w:vAlign w:val="bottom"/>
            <w:vMerge w:val="continue"/>
          </w:tcPr>
          <w:p>
            <w:pPr>
              <w:spacing w:after="0"/>
              <w:rPr>
                <w:sz w:val="6"/>
                <w:szCs w:val="6"/>
                <w:color w:val="auto"/>
              </w:rPr>
            </w:pPr>
          </w:p>
        </w:tc>
        <w:tc>
          <w:tcPr>
            <w:tcW w:w="460" w:type="dxa"/>
            <w:vAlign w:val="bottom"/>
            <w:vMerge w:val="restart"/>
          </w:tcPr>
          <w:p>
            <w:pPr>
              <w:jc w:val="right"/>
              <w:ind w:right="10"/>
              <w:spacing w:after="0"/>
              <w:rPr>
                <w:sz w:val="20"/>
                <w:szCs w:val="20"/>
                <w:color w:val="auto"/>
              </w:rPr>
            </w:pPr>
            <w:r>
              <w:rPr>
                <w:rFonts w:ascii="Arial" w:cs="Arial" w:eastAsia="Arial" w:hAnsi="Arial"/>
                <w:sz w:val="18"/>
                <w:szCs w:val="18"/>
                <w:color w:val="auto"/>
              </w:rPr>
              <w:t>9</w:t>
            </w:r>
          </w:p>
        </w:tc>
        <w:tc>
          <w:tcPr>
            <w:tcW w:w="9020" w:type="dxa"/>
            <w:vAlign w:val="bottom"/>
            <w:vMerge w:val="restart"/>
          </w:tcPr>
          <w:p>
            <w:pPr>
              <w:ind w:left="12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1340" w:type="dxa"/>
            <w:vAlign w:val="bottom"/>
            <w:vMerge w:val="restart"/>
          </w:tcPr>
          <w:p>
            <w:pPr>
              <w:jc w:val="center"/>
              <w:spacing w:after="0"/>
              <w:rPr>
                <w:sz w:val="20"/>
                <w:szCs w:val="20"/>
                <w:color w:val="auto"/>
              </w:rPr>
            </w:pPr>
            <w:r>
              <w:rPr>
                <w:rFonts w:ascii="Arial" w:cs="Arial" w:eastAsia="Arial" w:hAnsi="Arial"/>
                <w:sz w:val="18"/>
                <w:szCs w:val="18"/>
                <w:color w:val="auto"/>
                <w:w w:val="93"/>
              </w:rPr>
              <w:t>REPORTING</w:t>
            </w:r>
          </w:p>
        </w:tc>
        <w:tc>
          <w:tcPr>
            <w:tcW w:w="460" w:type="dxa"/>
            <w:vAlign w:val="bottom"/>
            <w:vMerge w:val="continue"/>
          </w:tcPr>
          <w:p>
            <w:pPr>
              <w:spacing w:after="0"/>
              <w:rPr>
                <w:sz w:val="13"/>
                <w:szCs w:val="13"/>
                <w:color w:val="auto"/>
              </w:rPr>
            </w:pPr>
          </w:p>
        </w:tc>
        <w:tc>
          <w:tcPr>
            <w:tcW w:w="9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1340" w:type="dxa"/>
            <w:vAlign w:val="bottom"/>
            <w:vMerge w:val="continue"/>
          </w:tcPr>
          <w:p>
            <w:pPr>
              <w:spacing w:after="0"/>
              <w:rPr>
                <w:sz w:val="5"/>
                <w:szCs w:val="5"/>
                <w:color w:val="auto"/>
              </w:rPr>
            </w:pPr>
          </w:p>
        </w:tc>
        <w:tc>
          <w:tcPr>
            <w:tcW w:w="460" w:type="dxa"/>
            <w:vAlign w:val="bottom"/>
          </w:tcPr>
          <w:p>
            <w:pPr>
              <w:spacing w:after="0"/>
              <w:rPr>
                <w:sz w:val="5"/>
                <w:szCs w:val="5"/>
                <w:color w:val="auto"/>
              </w:rPr>
            </w:pPr>
          </w:p>
        </w:tc>
        <w:tc>
          <w:tcPr>
            <w:tcW w:w="90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340" w:type="dxa"/>
            <w:vAlign w:val="bottom"/>
          </w:tcPr>
          <w:p>
            <w:pPr>
              <w:jc w:val="center"/>
              <w:spacing w:after="0"/>
              <w:rPr>
                <w:sz w:val="20"/>
                <w:szCs w:val="20"/>
                <w:color w:val="auto"/>
              </w:rPr>
            </w:pPr>
            <w:r>
              <w:rPr>
                <w:rFonts w:ascii="Arial" w:cs="Arial" w:eastAsia="Arial" w:hAnsi="Arial"/>
                <w:sz w:val="18"/>
                <w:szCs w:val="18"/>
                <w:color w:val="auto"/>
                <w:w w:val="92"/>
              </w:rPr>
              <w:t>PERSON</w:t>
            </w:r>
          </w:p>
        </w:tc>
        <w:tc>
          <w:tcPr>
            <w:tcW w:w="460" w:type="dxa"/>
            <w:vAlign w:val="bottom"/>
          </w:tcPr>
          <w:p>
            <w:pPr>
              <w:spacing w:after="0"/>
              <w:rPr>
                <w:sz w:val="18"/>
                <w:szCs w:val="18"/>
                <w:color w:val="auto"/>
              </w:rPr>
            </w:pPr>
          </w:p>
        </w:tc>
        <w:tc>
          <w:tcPr>
            <w:tcW w:w="9020" w:type="dxa"/>
            <w:vAlign w:val="bottom"/>
            <w:vMerge w:val="restart"/>
          </w:tcPr>
          <w:p>
            <w:pPr>
              <w:ind w:left="12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03"/>
        </w:trPr>
        <w:tc>
          <w:tcPr>
            <w:tcW w:w="1340" w:type="dxa"/>
            <w:vAlign w:val="bottom"/>
          </w:tcPr>
          <w:p>
            <w:pPr>
              <w:jc w:val="center"/>
              <w:spacing w:after="0" w:line="203" w:lineRule="exact"/>
              <w:rPr>
                <w:sz w:val="20"/>
                <w:szCs w:val="20"/>
                <w:color w:val="auto"/>
              </w:rPr>
            </w:pPr>
            <w:r>
              <w:rPr>
                <w:rFonts w:ascii="Arial" w:cs="Arial" w:eastAsia="Arial" w:hAnsi="Arial"/>
                <w:sz w:val="18"/>
                <w:szCs w:val="18"/>
                <w:color w:val="auto"/>
                <w:w w:val="99"/>
              </w:rPr>
              <w:t>WITH</w:t>
            </w:r>
          </w:p>
        </w:tc>
        <w:tc>
          <w:tcPr>
            <w:tcW w:w="460" w:type="dxa"/>
            <w:vAlign w:val="bottom"/>
            <w:tcBorders>
              <w:bottom w:val="single" w:sz="8" w:color="auto"/>
            </w:tcBorders>
          </w:tcPr>
          <w:p>
            <w:pPr>
              <w:spacing w:after="0"/>
              <w:rPr>
                <w:sz w:val="17"/>
                <w:szCs w:val="17"/>
                <w:color w:val="auto"/>
              </w:rPr>
            </w:pPr>
          </w:p>
        </w:tc>
        <w:tc>
          <w:tcPr>
            <w:tcW w:w="90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1340" w:type="dxa"/>
            <w:vAlign w:val="bottom"/>
          </w:tcPr>
          <w:p>
            <w:pPr>
              <w:spacing w:after="0"/>
              <w:rPr>
                <w:sz w:val="19"/>
                <w:szCs w:val="19"/>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10</w:t>
            </w:r>
          </w:p>
        </w:tc>
        <w:tc>
          <w:tcPr>
            <w:tcW w:w="9020" w:type="dxa"/>
            <w:vAlign w:val="bottom"/>
          </w:tcPr>
          <w:p>
            <w:pPr>
              <w:ind w:left="12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bl>
    <w:p>
      <w:pPr>
        <w:spacing w:after="0" w:line="207" w:lineRule="exact"/>
        <w:rPr>
          <w:sz w:val="20"/>
          <w:szCs w:val="20"/>
          <w:color w:val="auto"/>
        </w:rPr>
      </w:pPr>
    </w:p>
    <w:p>
      <w:pPr>
        <w:ind w:left="2124"/>
        <w:spacing w:after="0"/>
        <w:rPr>
          <w:sz w:val="20"/>
          <w:szCs w:val="20"/>
          <w:color w:val="auto"/>
        </w:rPr>
      </w:pPr>
      <w:r>
        <w:rPr>
          <w:rFonts w:ascii="Arial" w:cs="Arial" w:eastAsia="Arial" w:hAnsi="Arial"/>
          <w:sz w:val="22"/>
          <w:szCs w:val="22"/>
          <w:color w:val="auto"/>
        </w:rPr>
        <w:t>8,531,700 Shares of Common Stock (1)</w:t>
      </w:r>
    </w:p>
    <w:p>
      <w:pPr>
        <w:spacing w:after="0" w:line="24" w:lineRule="exact"/>
        <w:rPr>
          <w:sz w:val="20"/>
          <w:szCs w:val="20"/>
          <w:color w:val="auto"/>
        </w:rPr>
      </w:pPr>
    </w:p>
    <w:p>
      <w:pPr>
        <w:ind w:left="164"/>
        <w:spacing w:after="0"/>
        <w:tabs>
          <w:tab w:leader="none" w:pos="484"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7"/>
          <w:szCs w:val="17"/>
          <w:color w:val="auto"/>
        </w:rPr>
        <w:t>AGGREGATE AMOUNT BENEFICIALLY OWNED BY EACH REPORTING PERSON</w:t>
      </w:r>
    </w:p>
    <w:p>
      <w:pPr>
        <w:spacing w:after="0" w:line="245" w:lineRule="exact"/>
        <w:rPr>
          <w:sz w:val="20"/>
          <w:szCs w:val="20"/>
          <w:color w:val="auto"/>
        </w:rPr>
      </w:pPr>
    </w:p>
    <w:p>
      <w:pPr>
        <w:ind w:left="504"/>
        <w:spacing w:after="0"/>
        <w:rPr>
          <w:sz w:val="20"/>
          <w:szCs w:val="20"/>
          <w:color w:val="auto"/>
        </w:rPr>
      </w:pPr>
      <w:r>
        <w:rPr>
          <w:rFonts w:ascii="Arial" w:cs="Arial" w:eastAsia="Arial" w:hAnsi="Arial"/>
          <w:sz w:val="22"/>
          <w:szCs w:val="22"/>
          <w:color w:val="auto"/>
        </w:rPr>
        <w:t>8,531,700 Shares of Common Stock (1)</w:t>
      </w:r>
    </w:p>
    <w:p>
      <w:pPr>
        <w:spacing w:after="0" w:line="21" w:lineRule="exact"/>
        <w:rPr>
          <w:sz w:val="20"/>
          <w:szCs w:val="20"/>
          <w:color w:val="auto"/>
        </w:rPr>
      </w:pPr>
    </w:p>
    <w:p>
      <w:pPr>
        <w:ind w:left="504" w:hanging="347"/>
        <w:spacing w:after="0" w:line="207" w:lineRule="exact"/>
        <w:tabs>
          <w:tab w:leader="none" w:pos="504" w:val="left"/>
        </w:tabs>
        <w:numPr>
          <w:ilvl w:val="0"/>
          <w:numId w:val="80"/>
        </w:numPr>
        <w:rPr>
          <w:rFonts w:ascii="Arial" w:cs="Arial" w:eastAsia="Arial" w:hAnsi="Arial"/>
          <w:sz w:val="18"/>
          <w:szCs w:val="18"/>
          <w:color w:val="auto"/>
        </w:rPr>
      </w:pPr>
      <w:r>
        <w:rPr>
          <w:rFonts w:ascii="Arial" w:cs="Arial" w:eastAsia="Arial" w:hAnsi="Arial"/>
          <w:sz w:val="18"/>
          <w:szCs w:val="18"/>
          <w:color w:val="auto"/>
        </w:rPr>
        <w:t xml:space="preserve">CHECK BOX IF THE AGGREGATE AMOUNT IN ROW (11) EXCLUDES CERTAIN SHARES (see instructions) </w:t>
      </w:r>
      <w:r>
        <w:rPr>
          <w:rFonts w:ascii="MS PGothic" w:cs="MS PGothic" w:eastAsia="MS PGothic" w:hAnsi="MS PGothic"/>
          <w:sz w:val="18"/>
          <w:szCs w:val="18"/>
          <w:color w:val="auto"/>
        </w:rPr>
        <w:t>☐</w:t>
      </w:r>
    </w:p>
    <w:p>
      <w:pPr>
        <w:spacing w:after="0" w:line="200" w:lineRule="exact"/>
        <w:rPr>
          <w:rFonts w:ascii="Arial" w:cs="Arial" w:eastAsia="Arial" w:hAnsi="Arial"/>
          <w:sz w:val="18"/>
          <w:szCs w:val="18"/>
          <w:color w:val="auto"/>
        </w:rPr>
      </w:pPr>
    </w:p>
    <w:p>
      <w:pPr>
        <w:spacing w:after="0" w:line="324" w:lineRule="exact"/>
        <w:rPr>
          <w:rFonts w:ascii="Arial" w:cs="Arial" w:eastAsia="Arial" w:hAnsi="Arial"/>
          <w:sz w:val="18"/>
          <w:szCs w:val="18"/>
          <w:color w:val="auto"/>
        </w:rPr>
      </w:pPr>
    </w:p>
    <w:p>
      <w:pPr>
        <w:ind w:left="504" w:hanging="347"/>
        <w:spacing w:after="0"/>
        <w:tabs>
          <w:tab w:leader="none" w:pos="504" w:val="left"/>
        </w:tabs>
        <w:numPr>
          <w:ilvl w:val="0"/>
          <w:numId w:val="80"/>
        </w:numPr>
        <w:rPr>
          <w:rFonts w:ascii="Arial" w:cs="Arial" w:eastAsia="Arial" w:hAnsi="Arial"/>
          <w:sz w:val="18"/>
          <w:szCs w:val="18"/>
          <w:color w:val="auto"/>
        </w:rPr>
      </w:pPr>
      <w:r>
        <w:rPr>
          <w:rFonts w:ascii="Arial" w:cs="Arial" w:eastAsia="Arial" w:hAnsi="Arial"/>
          <w:sz w:val="18"/>
          <w:szCs w:val="18"/>
          <w:color w:val="auto"/>
        </w:rPr>
        <w:t>PERCENT OF CLASS REPRESENTED BY AMOUNT IN ROW 11</w:t>
      </w:r>
    </w:p>
    <w:p>
      <w:pPr>
        <w:spacing w:after="0" w:line="245" w:lineRule="exact"/>
        <w:rPr>
          <w:sz w:val="20"/>
          <w:szCs w:val="20"/>
          <w:color w:val="auto"/>
        </w:rPr>
      </w:pPr>
    </w:p>
    <w:p>
      <w:pPr>
        <w:ind w:left="504"/>
        <w:spacing w:after="0"/>
        <w:rPr>
          <w:sz w:val="20"/>
          <w:szCs w:val="20"/>
          <w:color w:val="auto"/>
        </w:rPr>
      </w:pPr>
      <w:r>
        <w:rPr>
          <w:rFonts w:ascii="Arial" w:cs="Arial" w:eastAsia="Arial" w:hAnsi="Arial"/>
          <w:sz w:val="22"/>
          <w:szCs w:val="22"/>
          <w:color w:val="auto"/>
        </w:rPr>
        <w:t>7.7% (2)</w:t>
      </w:r>
    </w:p>
    <w:p>
      <w:pPr>
        <w:spacing w:after="0" w:line="24" w:lineRule="exact"/>
        <w:rPr>
          <w:sz w:val="20"/>
          <w:szCs w:val="20"/>
          <w:color w:val="auto"/>
        </w:rPr>
      </w:pPr>
    </w:p>
    <w:p>
      <w:pPr>
        <w:ind w:left="164"/>
        <w:spacing w:after="0"/>
        <w:tabs>
          <w:tab w:leader="none" w:pos="484"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6"/>
          <w:szCs w:val="16"/>
          <w:color w:val="auto"/>
        </w:rPr>
        <w:t>TYPE OF REPORTING PERSON (see instructions)</w:t>
      </w:r>
    </w:p>
    <w:p>
      <w:pPr>
        <w:spacing w:after="0" w:line="245" w:lineRule="exact"/>
        <w:rPr>
          <w:sz w:val="20"/>
          <w:szCs w:val="20"/>
          <w:color w:val="auto"/>
        </w:rPr>
      </w:pPr>
    </w:p>
    <w:p>
      <w:pPr>
        <w:ind w:left="504"/>
        <w:spacing w:after="0"/>
        <w:rPr>
          <w:sz w:val="20"/>
          <w:szCs w:val="20"/>
          <w:color w:val="auto"/>
        </w:rPr>
      </w:pPr>
      <w:r>
        <w:rPr>
          <w:rFonts w:ascii="Arial" w:cs="Arial" w:eastAsia="Arial" w:hAnsi="Arial"/>
          <w:sz w:val="22"/>
          <w:szCs w:val="22"/>
          <w:color w:val="auto"/>
        </w:rPr>
        <w:t>IN</w:t>
      </w:r>
    </w:p>
    <w:p>
      <w:pPr>
        <w:spacing w:after="0" w:line="267" w:lineRule="exact"/>
        <w:rPr>
          <w:sz w:val="20"/>
          <w:szCs w:val="20"/>
          <w:color w:val="auto"/>
        </w:rPr>
      </w:pPr>
    </w:p>
    <w:p>
      <w:pPr>
        <w:ind w:left="424" w:right="40" w:hanging="424"/>
        <w:spacing w:after="0" w:line="283" w:lineRule="auto"/>
        <w:tabs>
          <w:tab w:leader="none" w:pos="424" w:val="left"/>
        </w:tabs>
        <w:numPr>
          <w:ilvl w:val="0"/>
          <w:numId w:val="81"/>
        </w:numPr>
        <w:rPr>
          <w:rFonts w:ascii="Arial" w:cs="Arial" w:eastAsia="Arial" w:hAnsi="Arial"/>
          <w:sz w:val="16"/>
          <w:szCs w:val="16"/>
          <w:color w:val="auto"/>
        </w:rPr>
      </w:pPr>
      <w:r>
        <w:rPr>
          <w:rFonts w:ascii="Arial" w:cs="Arial" w:eastAsia="Arial" w:hAnsi="Arial"/>
          <w:sz w:val="16"/>
          <w:szCs w:val="16"/>
          <w:color w:val="auto"/>
        </w:rPr>
        <w:t>Consists of: (i) 3,120,194 shares held of record by Polaris V, (ii) 60,814 shares held of record by Polaris EF V, (iii) 21,374 shares held of record by Polaris FF V, (iv) 31,198 shares held of record by Polaris SFF V, (v) 4,800,460 shares held of record by Polaris IX and (vi) 497,660 shares held of record by Polaris HCT. PVMC V is the general partner of each of Polaris V, Polaris EF V, Polaris FF V and Polaris SFF V and may be deemed to have shared voting, investment and dispositive power with respect to the securities held by each of Polaris V, Polaris EF V, Polaris FF V and Polaris SFF V. The PVMC V Managing Members are the managing members of PVMC V and may be deemed to have shared voting, investment and dispositive power with respect to the securities held by each of Polaris V, Polaris EF V, Polaris FF V and Polaris SFF V. PPGP IX is the general partner of Polaris IX and may be deemed to have shared voting, investment and dispositive power with respect to the securities held by Polaris IX. Terrance McGuire, an interest holder in PPGP IX and a member of the Issuer’s board of directors, and the PPGP IX Managing Members are the managing members of PPGP IX and may be deemed to have shared voting, investment and dispositive power with respect to the securities held by Polaris IX. PHCT GP is the general partner of Polaris HCT and may be deemed to have shared voting, investment and dispositive power with respect to the securities held by Polaris HCT. Terrance McGuire, an interest holder in PHCT GP and a member of the Issuer’s board of directors, and the PHCT GP Managing Members are the managing members of PHCT GP and may be deemed to have shared voting, investment and dispositive power with respect to the securities held by Polaris HCT.</w:t>
      </w:r>
    </w:p>
    <w:p>
      <w:pPr>
        <w:spacing w:after="0" w:line="1" w:lineRule="exact"/>
        <w:rPr>
          <w:rFonts w:ascii="Arial" w:cs="Arial" w:eastAsia="Arial" w:hAnsi="Arial"/>
          <w:sz w:val="16"/>
          <w:szCs w:val="16"/>
          <w:color w:val="auto"/>
        </w:rPr>
      </w:pPr>
    </w:p>
    <w:p>
      <w:pPr>
        <w:ind w:left="424" w:right="180" w:hanging="424"/>
        <w:spacing w:after="0" w:line="260" w:lineRule="auto"/>
        <w:tabs>
          <w:tab w:leader="none" w:pos="424" w:val="left"/>
        </w:tabs>
        <w:numPr>
          <w:ilvl w:val="0"/>
          <w:numId w:val="81"/>
        </w:numPr>
        <w:rPr>
          <w:rFonts w:ascii="Arial" w:cs="Arial" w:eastAsia="Arial" w:hAnsi="Arial"/>
          <w:sz w:val="18"/>
          <w:szCs w:val="18"/>
          <w:color w:val="auto"/>
        </w:rPr>
      </w:pPr>
      <w:r>
        <w:rPr>
          <w:rFonts w:ascii="Arial" w:cs="Arial" w:eastAsia="Arial" w:hAnsi="Arial"/>
          <w:sz w:val="18"/>
          <w:szCs w:val="18"/>
          <w:color w:val="auto"/>
        </w:rPr>
        <w:t>Based on 111,245,660 shares of Common Stock outstanding (including shares issued upon the full exercise by the underwriters of their option to purchase additional shares in the Offering), as reported by the Issuer in the Prospectus.</w:t>
      </w:r>
    </w:p>
    <w:p>
      <w:pPr>
        <w:sectPr>
          <w:pgSz w:w="11900" w:h="16838" w:orient="portrait"/>
          <w:cols w:equalWidth="0" w:num="1">
            <w:col w:w="11024"/>
          </w:cols>
          <w:pgMar w:left="436" w:top="274" w:right="439" w:bottom="1440" w:gutter="0" w:footer="0" w:header="0"/>
        </w:sectPr>
      </w:pPr>
    </w:p>
    <w:bookmarkStart w:id="11" w:name="page12"/>
    <w:bookmarkEnd w:id="11"/>
    <w:tbl>
      <w:tblPr>
        <w:tblLayout w:type="fixed"/>
        <w:tblInd w:w="4" w:type="dxa"/>
        <w:tblCellMar>
          <w:top w:w="0" w:type="dxa"/>
          <w:left w:w="0" w:type="dxa"/>
          <w:bottom w:w="0" w:type="dxa"/>
          <w:right w:w="0" w:type="dxa"/>
        </w:tblCellMar>
      </w:tblPr>
      <w:tr>
        <w:trPr>
          <w:trHeight w:val="230"/>
        </w:trPr>
        <w:tc>
          <w:tcPr>
            <w:tcW w:w="6200" w:type="dxa"/>
            <w:vAlign w:val="bottom"/>
          </w:tcPr>
          <w:p>
            <w:pPr>
              <w:spacing w:after="0"/>
              <w:rPr>
                <w:sz w:val="20"/>
                <w:szCs w:val="20"/>
                <w:color w:val="auto"/>
              </w:rPr>
            </w:pPr>
            <w:r>
              <w:rPr>
                <w:rFonts w:ascii="Arial" w:cs="Arial" w:eastAsia="Arial" w:hAnsi="Arial"/>
                <w:sz w:val="18"/>
                <w:szCs w:val="18"/>
                <w:color w:val="auto"/>
              </w:rPr>
              <w:t>CUSIP No. 00534A102</w:t>
            </w:r>
          </w:p>
        </w:tc>
        <w:tc>
          <w:tcPr>
            <w:tcW w:w="4820" w:type="dxa"/>
            <w:vAlign w:val="bottom"/>
          </w:tcPr>
          <w:p>
            <w:pPr>
              <w:ind w:left="4500"/>
              <w:spacing w:after="0"/>
              <w:rPr>
                <w:sz w:val="20"/>
                <w:szCs w:val="20"/>
                <w:color w:val="auto"/>
              </w:rPr>
            </w:pPr>
            <w:r>
              <w:rPr>
                <w:rFonts w:ascii="Arial" w:cs="Arial" w:eastAsia="Arial" w:hAnsi="Arial"/>
                <w:sz w:val="18"/>
                <w:szCs w:val="18"/>
                <w:color w:val="auto"/>
                <w:w w:val="90"/>
              </w:rPr>
              <w:t>13D</w:t>
            </w:r>
          </w:p>
        </w:tc>
      </w:tr>
    </w:tbl>
    <w:p>
      <w:pPr>
        <w:spacing w:after="0" w:line="2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524" w:hanging="277"/>
        <w:spacing w:after="0"/>
        <w:tabs>
          <w:tab w:leader="none" w:pos="524" w:val="left"/>
        </w:tabs>
        <w:numPr>
          <w:ilvl w:val="0"/>
          <w:numId w:val="82"/>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-130175</wp:posOffset>
            </wp:positionV>
            <wp:extent cx="7003415" cy="64719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003415" cy="6471920"/>
                    </a:xfrm>
                    <a:prstGeom prst="rect">
                      <a:avLst/>
                    </a:prstGeom>
                    <a:noFill/>
                  </pic:spPr>
                </pic:pic>
              </a:graphicData>
            </a:graphic>
          </wp:anchor>
        </w:drawing>
      </w:r>
    </w:p>
    <w:p>
      <w:pPr>
        <w:spacing w:after="0" w:line="225" w:lineRule="exact"/>
        <w:rPr>
          <w:sz w:val="20"/>
          <w:szCs w:val="20"/>
          <w:color w:val="auto"/>
        </w:rPr>
      </w:pPr>
    </w:p>
    <w:p>
      <w:pPr>
        <w:ind w:left="524"/>
        <w:spacing w:after="0"/>
        <w:rPr>
          <w:sz w:val="20"/>
          <w:szCs w:val="20"/>
          <w:color w:val="auto"/>
        </w:rPr>
      </w:pPr>
      <w:r>
        <w:rPr>
          <w:rFonts w:ascii="Arial" w:cs="Arial" w:eastAsia="Arial" w:hAnsi="Arial"/>
          <w:sz w:val="22"/>
          <w:szCs w:val="22"/>
          <w:color w:val="auto"/>
        </w:rPr>
        <w:t>Jonathan Flint</w:t>
      </w:r>
    </w:p>
    <w:p>
      <w:pPr>
        <w:spacing w:after="0" w:line="24" w:lineRule="exact"/>
        <w:rPr>
          <w:sz w:val="20"/>
          <w:szCs w:val="20"/>
          <w:color w:val="auto"/>
        </w:rPr>
      </w:pPr>
    </w:p>
    <w:p>
      <w:pPr>
        <w:ind w:left="524" w:hanging="277"/>
        <w:spacing w:after="0"/>
        <w:tabs>
          <w:tab w:leader="none" w:pos="524" w:val="left"/>
        </w:tabs>
        <w:numPr>
          <w:ilvl w:val="0"/>
          <w:numId w:val="83"/>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8" w:lineRule="exact"/>
        <w:rPr>
          <w:sz w:val="20"/>
          <w:szCs w:val="20"/>
          <w:color w:val="auto"/>
        </w:rPr>
      </w:pPr>
    </w:p>
    <w:p>
      <w:pPr>
        <w:ind w:left="524"/>
        <w:spacing w:after="0" w:line="207" w:lineRule="exact"/>
        <w:tabs>
          <w:tab w:leader="none" w:pos="1324"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524" w:hanging="277"/>
        <w:spacing w:after="0"/>
        <w:tabs>
          <w:tab w:leader="none" w:pos="524" w:val="left"/>
        </w:tabs>
        <w:numPr>
          <w:ilvl w:val="0"/>
          <w:numId w:val="84"/>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sz w:val="20"/>
          <w:szCs w:val="20"/>
          <w:color w:val="auto"/>
        </w:rPr>
      </w:pPr>
    </w:p>
    <w:p>
      <w:pPr>
        <w:spacing w:after="0" w:line="322" w:lineRule="exact"/>
        <w:rPr>
          <w:sz w:val="20"/>
          <w:szCs w:val="20"/>
          <w:color w:val="auto"/>
        </w:rPr>
      </w:pPr>
    </w:p>
    <w:p>
      <w:pPr>
        <w:ind w:left="524" w:hanging="277"/>
        <w:spacing w:after="0"/>
        <w:tabs>
          <w:tab w:leader="none" w:pos="524" w:val="left"/>
        </w:tabs>
        <w:numPr>
          <w:ilvl w:val="0"/>
          <w:numId w:val="85"/>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45" w:lineRule="exact"/>
        <w:rPr>
          <w:sz w:val="20"/>
          <w:szCs w:val="20"/>
          <w:color w:val="auto"/>
        </w:rPr>
      </w:pPr>
    </w:p>
    <w:p>
      <w:pPr>
        <w:ind w:left="524"/>
        <w:spacing w:after="0"/>
        <w:rPr>
          <w:sz w:val="20"/>
          <w:szCs w:val="20"/>
          <w:color w:val="auto"/>
        </w:rPr>
      </w:pPr>
      <w:r>
        <w:rPr>
          <w:rFonts w:ascii="Arial" w:cs="Arial" w:eastAsia="Arial" w:hAnsi="Arial"/>
          <w:sz w:val="22"/>
          <w:szCs w:val="22"/>
          <w:color w:val="auto"/>
        </w:rPr>
        <w:t>AF</w:t>
      </w:r>
    </w:p>
    <w:p>
      <w:pPr>
        <w:spacing w:after="0" w:line="21" w:lineRule="exact"/>
        <w:rPr>
          <w:sz w:val="20"/>
          <w:szCs w:val="20"/>
          <w:color w:val="auto"/>
        </w:rPr>
      </w:pPr>
    </w:p>
    <w:p>
      <w:pPr>
        <w:ind w:left="524" w:hanging="277"/>
        <w:spacing w:after="0" w:line="207" w:lineRule="exact"/>
        <w:tabs>
          <w:tab w:leader="none" w:pos="524" w:val="left"/>
        </w:tabs>
        <w:numPr>
          <w:ilvl w:val="0"/>
          <w:numId w:val="86"/>
        </w:numPr>
        <w:rPr>
          <w:rFonts w:ascii="Arial" w:cs="Arial" w:eastAsia="Arial" w:hAnsi="Arial"/>
          <w:sz w:val="18"/>
          <w:szCs w:val="18"/>
          <w:color w:val="auto"/>
        </w:rPr>
      </w:pPr>
      <w:r>
        <w:rPr>
          <w:rFonts w:ascii="Arial" w:cs="Arial" w:eastAsia="Arial" w:hAnsi="Arial"/>
          <w:sz w:val="18"/>
          <w:szCs w:val="18"/>
          <w:color w:val="auto"/>
        </w:rPr>
        <w:t xml:space="preserve">CHECK IF DISCLOSURE OF LEGAL PROCEEDINGS IS REQUIRED PURSUANT TO ITEM 2(d) or 2(e) </w:t>
      </w:r>
      <w:r>
        <w:rPr>
          <w:rFonts w:ascii="MS PGothic" w:cs="MS PGothic" w:eastAsia="MS PGothic" w:hAnsi="MS PGothic"/>
          <w:sz w:val="18"/>
          <w:szCs w:val="18"/>
          <w:color w:val="auto"/>
        </w:rPr>
        <w:t>☐</w:t>
      </w:r>
    </w:p>
    <w:p>
      <w:pPr>
        <w:spacing w:after="0" w:line="200" w:lineRule="exact"/>
        <w:rPr>
          <w:sz w:val="20"/>
          <w:szCs w:val="20"/>
          <w:color w:val="auto"/>
        </w:rPr>
      </w:pPr>
    </w:p>
    <w:p>
      <w:pPr>
        <w:spacing w:after="0" w:line="325" w:lineRule="exact"/>
        <w:rPr>
          <w:sz w:val="20"/>
          <w:szCs w:val="20"/>
          <w:color w:val="auto"/>
        </w:rPr>
      </w:pPr>
    </w:p>
    <w:p>
      <w:pPr>
        <w:ind w:left="524" w:hanging="277"/>
        <w:spacing w:after="0"/>
        <w:tabs>
          <w:tab w:leader="none" w:pos="524" w:val="left"/>
        </w:tabs>
        <w:numPr>
          <w:ilvl w:val="0"/>
          <w:numId w:val="87"/>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45" w:lineRule="exact"/>
        <w:rPr>
          <w:sz w:val="20"/>
          <w:szCs w:val="20"/>
          <w:color w:val="auto"/>
        </w:rPr>
      </w:pPr>
    </w:p>
    <w:p>
      <w:pPr>
        <w:ind w:left="524"/>
        <w:spacing w:after="0"/>
        <w:rPr>
          <w:sz w:val="20"/>
          <w:szCs w:val="20"/>
          <w:color w:val="auto"/>
        </w:rPr>
      </w:pPr>
      <w:r>
        <w:rPr>
          <w:rFonts w:ascii="Arial" w:cs="Arial" w:eastAsia="Arial" w:hAnsi="Arial"/>
          <w:sz w:val="22"/>
          <w:szCs w:val="22"/>
          <w:color w:val="auto"/>
        </w:rPr>
        <w:t>United States</w:t>
      </w:r>
    </w:p>
    <w:p>
      <w:pPr>
        <w:spacing w:after="0" w:line="24" w:lineRule="exact"/>
        <w:rPr>
          <w:sz w:val="20"/>
          <w:szCs w:val="20"/>
          <w:color w:val="auto"/>
        </w:rPr>
      </w:pPr>
    </w:p>
    <w:tbl>
      <w:tblPr>
        <w:tblLayout w:type="fixed"/>
        <w:tblInd w:w="204" w:type="dxa"/>
        <w:tblCellMar>
          <w:top w:w="0" w:type="dxa"/>
          <w:left w:w="0" w:type="dxa"/>
          <w:bottom w:w="0" w:type="dxa"/>
          <w:right w:w="0" w:type="dxa"/>
        </w:tblCellMar>
      </w:tblPr>
      <w:tr>
        <w:trPr>
          <w:trHeight w:val="230"/>
        </w:trPr>
        <w:tc>
          <w:tcPr>
            <w:tcW w:w="1340" w:type="dxa"/>
            <w:vAlign w:val="bottom"/>
          </w:tcPr>
          <w:p>
            <w:pPr>
              <w:spacing w:after="0"/>
              <w:rPr>
                <w:sz w:val="20"/>
                <w:szCs w:val="20"/>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7</w:t>
            </w:r>
          </w:p>
        </w:tc>
        <w:tc>
          <w:tcPr>
            <w:tcW w:w="9020" w:type="dxa"/>
            <w:vAlign w:val="bottom"/>
          </w:tcPr>
          <w:p>
            <w:pPr>
              <w:ind w:left="12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58"/>
        </w:trPr>
        <w:tc>
          <w:tcPr>
            <w:tcW w:w="1340" w:type="dxa"/>
            <w:vAlign w:val="bottom"/>
          </w:tcPr>
          <w:p>
            <w:pPr>
              <w:jc w:val="center"/>
              <w:spacing w:after="0"/>
              <w:rPr>
                <w:sz w:val="20"/>
                <w:szCs w:val="20"/>
                <w:color w:val="auto"/>
              </w:rPr>
            </w:pPr>
            <w:r>
              <w:rPr>
                <w:rFonts w:ascii="Arial" w:cs="Arial" w:eastAsia="Arial" w:hAnsi="Arial"/>
                <w:sz w:val="18"/>
                <w:szCs w:val="18"/>
                <w:color w:val="auto"/>
                <w:w w:val="98"/>
              </w:rPr>
              <w:t>NUMBER OF</w:t>
            </w:r>
          </w:p>
        </w:tc>
        <w:tc>
          <w:tcPr>
            <w:tcW w:w="460" w:type="dxa"/>
            <w:vAlign w:val="bottom"/>
          </w:tcPr>
          <w:p>
            <w:pPr>
              <w:spacing w:after="0"/>
              <w:rPr>
                <w:sz w:val="24"/>
                <w:szCs w:val="24"/>
                <w:color w:val="auto"/>
              </w:rPr>
            </w:pPr>
          </w:p>
        </w:tc>
        <w:tc>
          <w:tcPr>
            <w:tcW w:w="9020" w:type="dxa"/>
            <w:vAlign w:val="bottom"/>
          </w:tcPr>
          <w:p>
            <w:pPr>
              <w:ind w:left="12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41"/>
        </w:trPr>
        <w:tc>
          <w:tcPr>
            <w:tcW w:w="1340" w:type="dxa"/>
            <w:vAlign w:val="bottom"/>
            <w:vMerge w:val="restart"/>
          </w:tcPr>
          <w:p>
            <w:pPr>
              <w:jc w:val="center"/>
              <w:spacing w:after="0"/>
              <w:rPr>
                <w:sz w:val="20"/>
                <w:szCs w:val="20"/>
                <w:color w:val="auto"/>
              </w:rPr>
            </w:pPr>
            <w:r>
              <w:rPr>
                <w:rFonts w:ascii="Arial" w:cs="Arial" w:eastAsia="Arial" w:hAnsi="Arial"/>
                <w:sz w:val="18"/>
                <w:szCs w:val="18"/>
                <w:color w:val="auto"/>
                <w:w w:val="94"/>
              </w:rPr>
              <w:t>SHARES</w:t>
            </w:r>
          </w:p>
        </w:tc>
        <w:tc>
          <w:tcPr>
            <w:tcW w:w="460" w:type="dxa"/>
            <w:vAlign w:val="bottom"/>
            <w:tcBorders>
              <w:bottom w:val="single" w:sz="8" w:color="auto"/>
            </w:tcBorders>
          </w:tcPr>
          <w:p>
            <w:pPr>
              <w:spacing w:after="0"/>
              <w:rPr>
                <w:sz w:val="3"/>
                <w:szCs w:val="3"/>
                <w:color w:val="auto"/>
              </w:rPr>
            </w:pPr>
          </w:p>
        </w:tc>
        <w:tc>
          <w:tcPr>
            <w:tcW w:w="90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6"/>
        </w:trPr>
        <w:tc>
          <w:tcPr>
            <w:tcW w:w="1340" w:type="dxa"/>
            <w:vAlign w:val="bottom"/>
            <w:vMerge w:val="continue"/>
          </w:tcPr>
          <w:p>
            <w:pPr>
              <w:spacing w:after="0"/>
              <w:rPr>
                <w:sz w:val="13"/>
                <w:szCs w:val="13"/>
                <w:color w:val="auto"/>
              </w:rPr>
            </w:pPr>
          </w:p>
        </w:tc>
        <w:tc>
          <w:tcPr>
            <w:tcW w:w="460" w:type="dxa"/>
            <w:vAlign w:val="bottom"/>
          </w:tcPr>
          <w:p>
            <w:pPr>
              <w:jc w:val="right"/>
              <w:ind w:right="10"/>
              <w:spacing w:after="0" w:line="156" w:lineRule="exact"/>
              <w:rPr>
                <w:sz w:val="20"/>
                <w:szCs w:val="20"/>
                <w:color w:val="auto"/>
              </w:rPr>
            </w:pPr>
            <w:r>
              <w:rPr>
                <w:rFonts w:ascii="Arial" w:cs="Arial" w:eastAsia="Arial" w:hAnsi="Arial"/>
                <w:sz w:val="18"/>
                <w:szCs w:val="18"/>
                <w:color w:val="auto"/>
              </w:rPr>
              <w:t>8</w:t>
            </w:r>
          </w:p>
        </w:tc>
        <w:tc>
          <w:tcPr>
            <w:tcW w:w="9020" w:type="dxa"/>
            <w:vAlign w:val="bottom"/>
          </w:tcPr>
          <w:p>
            <w:pPr>
              <w:ind w:left="120"/>
              <w:spacing w:after="0" w:line="156" w:lineRule="exact"/>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5"/>
        </w:trPr>
        <w:tc>
          <w:tcPr>
            <w:tcW w:w="1340" w:type="dxa"/>
            <w:vAlign w:val="bottom"/>
          </w:tcPr>
          <w:p>
            <w:pPr>
              <w:jc w:val="center"/>
              <w:spacing w:after="0"/>
              <w:rPr>
                <w:sz w:val="20"/>
                <w:szCs w:val="20"/>
                <w:color w:val="auto"/>
              </w:rPr>
            </w:pPr>
            <w:r>
              <w:rPr>
                <w:rFonts w:ascii="Arial" w:cs="Arial" w:eastAsia="Arial" w:hAnsi="Arial"/>
                <w:sz w:val="18"/>
                <w:szCs w:val="18"/>
                <w:color w:val="auto"/>
                <w:w w:val="99"/>
              </w:rPr>
              <w:t>BENEFICIALLY</w:t>
            </w:r>
          </w:p>
        </w:tc>
        <w:tc>
          <w:tcPr>
            <w:tcW w:w="460" w:type="dxa"/>
            <w:vAlign w:val="bottom"/>
          </w:tcPr>
          <w:p>
            <w:pPr>
              <w:spacing w:after="0"/>
              <w:rPr>
                <w:sz w:val="18"/>
                <w:szCs w:val="18"/>
                <w:color w:val="auto"/>
              </w:rPr>
            </w:pPr>
          </w:p>
        </w:tc>
        <w:tc>
          <w:tcPr>
            <w:tcW w:w="9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jc w:val="center"/>
              <w:spacing w:after="0"/>
              <w:rPr>
                <w:sz w:val="20"/>
                <w:szCs w:val="20"/>
                <w:color w:val="auto"/>
              </w:rPr>
            </w:pPr>
            <w:r>
              <w:rPr>
                <w:rFonts w:ascii="Arial" w:cs="Arial" w:eastAsia="Arial" w:hAnsi="Arial"/>
                <w:sz w:val="18"/>
                <w:szCs w:val="18"/>
                <w:color w:val="auto"/>
                <w:w w:val="99"/>
              </w:rPr>
              <w:t>OWNED BY</w:t>
            </w:r>
          </w:p>
        </w:tc>
        <w:tc>
          <w:tcPr>
            <w:tcW w:w="460" w:type="dxa"/>
            <w:vAlign w:val="bottom"/>
          </w:tcPr>
          <w:p>
            <w:pPr>
              <w:spacing w:after="0"/>
              <w:rPr>
                <w:sz w:val="18"/>
                <w:szCs w:val="18"/>
                <w:color w:val="auto"/>
              </w:rPr>
            </w:pPr>
          </w:p>
        </w:tc>
        <w:tc>
          <w:tcPr>
            <w:tcW w:w="9020" w:type="dxa"/>
            <w:vAlign w:val="bottom"/>
            <w:vMerge w:val="restart"/>
          </w:tcPr>
          <w:p>
            <w:pPr>
              <w:ind w:left="120"/>
              <w:spacing w:after="0"/>
              <w:rPr>
                <w:sz w:val="20"/>
                <w:szCs w:val="20"/>
                <w:color w:val="auto"/>
              </w:rPr>
            </w:pPr>
            <w:r>
              <w:rPr>
                <w:rFonts w:ascii="Arial" w:cs="Arial" w:eastAsia="Arial" w:hAnsi="Arial"/>
                <w:sz w:val="22"/>
                <w:szCs w:val="22"/>
                <w:color w:val="auto"/>
              </w:rPr>
              <w:t>3,233,580 Shares of Common Stock (1)</w:t>
            </w:r>
          </w:p>
        </w:tc>
        <w:tc>
          <w:tcPr>
            <w:tcW w:w="0" w:type="dxa"/>
            <w:vAlign w:val="bottom"/>
          </w:tcPr>
          <w:p>
            <w:pPr>
              <w:spacing w:after="0"/>
              <w:rPr>
                <w:sz w:val="1"/>
                <w:szCs w:val="1"/>
                <w:color w:val="auto"/>
              </w:rPr>
            </w:pPr>
          </w:p>
        </w:tc>
      </w:tr>
      <w:tr>
        <w:trPr>
          <w:trHeight w:val="121"/>
        </w:trPr>
        <w:tc>
          <w:tcPr>
            <w:tcW w:w="1340" w:type="dxa"/>
            <w:vAlign w:val="bottom"/>
            <w:vMerge w:val="restart"/>
          </w:tcPr>
          <w:p>
            <w:pPr>
              <w:jc w:val="center"/>
              <w:spacing w:after="0"/>
              <w:rPr>
                <w:sz w:val="20"/>
                <w:szCs w:val="20"/>
                <w:color w:val="auto"/>
              </w:rPr>
            </w:pPr>
            <w:r>
              <w:rPr>
                <w:rFonts w:ascii="Arial" w:cs="Arial" w:eastAsia="Arial" w:hAnsi="Arial"/>
                <w:sz w:val="18"/>
                <w:szCs w:val="18"/>
                <w:color w:val="auto"/>
                <w:w w:val="99"/>
              </w:rPr>
              <w:t>EACH</w:t>
            </w:r>
          </w:p>
        </w:tc>
        <w:tc>
          <w:tcPr>
            <w:tcW w:w="460" w:type="dxa"/>
            <w:vAlign w:val="bottom"/>
            <w:tcBorders>
              <w:bottom w:val="single" w:sz="8" w:color="auto"/>
            </w:tcBorders>
          </w:tcPr>
          <w:p>
            <w:pPr>
              <w:spacing w:after="0"/>
              <w:rPr>
                <w:sz w:val="10"/>
                <w:szCs w:val="10"/>
                <w:color w:val="auto"/>
              </w:rPr>
            </w:pPr>
          </w:p>
        </w:tc>
        <w:tc>
          <w:tcPr>
            <w:tcW w:w="902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5"/>
        </w:trPr>
        <w:tc>
          <w:tcPr>
            <w:tcW w:w="1340" w:type="dxa"/>
            <w:vAlign w:val="bottom"/>
            <w:vMerge w:val="continue"/>
          </w:tcPr>
          <w:p>
            <w:pPr>
              <w:spacing w:after="0"/>
              <w:rPr>
                <w:sz w:val="6"/>
                <w:szCs w:val="6"/>
                <w:color w:val="auto"/>
              </w:rPr>
            </w:pPr>
          </w:p>
        </w:tc>
        <w:tc>
          <w:tcPr>
            <w:tcW w:w="460" w:type="dxa"/>
            <w:vAlign w:val="bottom"/>
            <w:vMerge w:val="restart"/>
          </w:tcPr>
          <w:p>
            <w:pPr>
              <w:jc w:val="right"/>
              <w:ind w:right="10"/>
              <w:spacing w:after="0"/>
              <w:rPr>
                <w:sz w:val="20"/>
                <w:szCs w:val="20"/>
                <w:color w:val="auto"/>
              </w:rPr>
            </w:pPr>
            <w:r>
              <w:rPr>
                <w:rFonts w:ascii="Arial" w:cs="Arial" w:eastAsia="Arial" w:hAnsi="Arial"/>
                <w:sz w:val="18"/>
                <w:szCs w:val="18"/>
                <w:color w:val="auto"/>
              </w:rPr>
              <w:t>9</w:t>
            </w:r>
          </w:p>
        </w:tc>
        <w:tc>
          <w:tcPr>
            <w:tcW w:w="9020" w:type="dxa"/>
            <w:vAlign w:val="bottom"/>
            <w:vMerge w:val="restart"/>
          </w:tcPr>
          <w:p>
            <w:pPr>
              <w:ind w:left="12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1340" w:type="dxa"/>
            <w:vAlign w:val="bottom"/>
            <w:vMerge w:val="restart"/>
          </w:tcPr>
          <w:p>
            <w:pPr>
              <w:jc w:val="center"/>
              <w:spacing w:after="0"/>
              <w:rPr>
                <w:sz w:val="20"/>
                <w:szCs w:val="20"/>
                <w:color w:val="auto"/>
              </w:rPr>
            </w:pPr>
            <w:r>
              <w:rPr>
                <w:rFonts w:ascii="Arial" w:cs="Arial" w:eastAsia="Arial" w:hAnsi="Arial"/>
                <w:sz w:val="18"/>
                <w:szCs w:val="18"/>
                <w:color w:val="auto"/>
                <w:w w:val="93"/>
              </w:rPr>
              <w:t>REPORTING</w:t>
            </w:r>
          </w:p>
        </w:tc>
        <w:tc>
          <w:tcPr>
            <w:tcW w:w="460" w:type="dxa"/>
            <w:vAlign w:val="bottom"/>
            <w:vMerge w:val="continue"/>
          </w:tcPr>
          <w:p>
            <w:pPr>
              <w:spacing w:after="0"/>
              <w:rPr>
                <w:sz w:val="13"/>
                <w:szCs w:val="13"/>
                <w:color w:val="auto"/>
              </w:rPr>
            </w:pPr>
          </w:p>
        </w:tc>
        <w:tc>
          <w:tcPr>
            <w:tcW w:w="9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1340" w:type="dxa"/>
            <w:vAlign w:val="bottom"/>
            <w:vMerge w:val="continue"/>
          </w:tcPr>
          <w:p>
            <w:pPr>
              <w:spacing w:after="0"/>
              <w:rPr>
                <w:sz w:val="5"/>
                <w:szCs w:val="5"/>
                <w:color w:val="auto"/>
              </w:rPr>
            </w:pPr>
          </w:p>
        </w:tc>
        <w:tc>
          <w:tcPr>
            <w:tcW w:w="460" w:type="dxa"/>
            <w:vAlign w:val="bottom"/>
          </w:tcPr>
          <w:p>
            <w:pPr>
              <w:spacing w:after="0"/>
              <w:rPr>
                <w:sz w:val="5"/>
                <w:szCs w:val="5"/>
                <w:color w:val="auto"/>
              </w:rPr>
            </w:pPr>
          </w:p>
        </w:tc>
        <w:tc>
          <w:tcPr>
            <w:tcW w:w="90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340" w:type="dxa"/>
            <w:vAlign w:val="bottom"/>
          </w:tcPr>
          <w:p>
            <w:pPr>
              <w:jc w:val="center"/>
              <w:spacing w:after="0"/>
              <w:rPr>
                <w:sz w:val="20"/>
                <w:szCs w:val="20"/>
                <w:color w:val="auto"/>
              </w:rPr>
            </w:pPr>
            <w:r>
              <w:rPr>
                <w:rFonts w:ascii="Arial" w:cs="Arial" w:eastAsia="Arial" w:hAnsi="Arial"/>
                <w:sz w:val="18"/>
                <w:szCs w:val="18"/>
                <w:color w:val="auto"/>
                <w:w w:val="92"/>
              </w:rPr>
              <w:t>PERSON</w:t>
            </w:r>
          </w:p>
        </w:tc>
        <w:tc>
          <w:tcPr>
            <w:tcW w:w="460" w:type="dxa"/>
            <w:vAlign w:val="bottom"/>
          </w:tcPr>
          <w:p>
            <w:pPr>
              <w:spacing w:after="0"/>
              <w:rPr>
                <w:sz w:val="18"/>
                <w:szCs w:val="18"/>
                <w:color w:val="auto"/>
              </w:rPr>
            </w:pPr>
          </w:p>
        </w:tc>
        <w:tc>
          <w:tcPr>
            <w:tcW w:w="9020" w:type="dxa"/>
            <w:vAlign w:val="bottom"/>
            <w:vMerge w:val="restart"/>
          </w:tcPr>
          <w:p>
            <w:pPr>
              <w:ind w:left="12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03"/>
        </w:trPr>
        <w:tc>
          <w:tcPr>
            <w:tcW w:w="1340" w:type="dxa"/>
            <w:vAlign w:val="bottom"/>
          </w:tcPr>
          <w:p>
            <w:pPr>
              <w:jc w:val="center"/>
              <w:spacing w:after="0" w:line="203" w:lineRule="exact"/>
              <w:rPr>
                <w:sz w:val="20"/>
                <w:szCs w:val="20"/>
                <w:color w:val="auto"/>
              </w:rPr>
            </w:pPr>
            <w:r>
              <w:rPr>
                <w:rFonts w:ascii="Arial" w:cs="Arial" w:eastAsia="Arial" w:hAnsi="Arial"/>
                <w:sz w:val="18"/>
                <w:szCs w:val="18"/>
                <w:color w:val="auto"/>
                <w:w w:val="99"/>
              </w:rPr>
              <w:t>WITH</w:t>
            </w:r>
          </w:p>
        </w:tc>
        <w:tc>
          <w:tcPr>
            <w:tcW w:w="460" w:type="dxa"/>
            <w:vAlign w:val="bottom"/>
            <w:tcBorders>
              <w:bottom w:val="single" w:sz="8" w:color="auto"/>
            </w:tcBorders>
          </w:tcPr>
          <w:p>
            <w:pPr>
              <w:spacing w:after="0"/>
              <w:rPr>
                <w:sz w:val="17"/>
                <w:szCs w:val="17"/>
                <w:color w:val="auto"/>
              </w:rPr>
            </w:pPr>
          </w:p>
        </w:tc>
        <w:tc>
          <w:tcPr>
            <w:tcW w:w="90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1340" w:type="dxa"/>
            <w:vAlign w:val="bottom"/>
          </w:tcPr>
          <w:p>
            <w:pPr>
              <w:spacing w:after="0"/>
              <w:rPr>
                <w:sz w:val="19"/>
                <w:szCs w:val="19"/>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10</w:t>
            </w:r>
          </w:p>
        </w:tc>
        <w:tc>
          <w:tcPr>
            <w:tcW w:w="9020" w:type="dxa"/>
            <w:vAlign w:val="bottom"/>
          </w:tcPr>
          <w:p>
            <w:pPr>
              <w:ind w:left="12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bl>
    <w:p>
      <w:pPr>
        <w:spacing w:after="0" w:line="207" w:lineRule="exact"/>
        <w:rPr>
          <w:sz w:val="20"/>
          <w:szCs w:val="20"/>
          <w:color w:val="auto"/>
        </w:rPr>
      </w:pPr>
    </w:p>
    <w:p>
      <w:pPr>
        <w:ind w:left="2124"/>
        <w:spacing w:after="0"/>
        <w:rPr>
          <w:sz w:val="20"/>
          <w:szCs w:val="20"/>
          <w:color w:val="auto"/>
        </w:rPr>
      </w:pPr>
      <w:r>
        <w:rPr>
          <w:rFonts w:ascii="Arial" w:cs="Arial" w:eastAsia="Arial" w:hAnsi="Arial"/>
          <w:sz w:val="22"/>
          <w:szCs w:val="22"/>
          <w:color w:val="auto"/>
        </w:rPr>
        <w:t>3,233,580 Shares of Common Stock (1)</w:t>
      </w:r>
    </w:p>
    <w:p>
      <w:pPr>
        <w:spacing w:after="0" w:line="24" w:lineRule="exact"/>
        <w:rPr>
          <w:sz w:val="20"/>
          <w:szCs w:val="20"/>
          <w:color w:val="auto"/>
        </w:rPr>
      </w:pPr>
    </w:p>
    <w:p>
      <w:pPr>
        <w:ind w:left="164"/>
        <w:spacing w:after="0"/>
        <w:tabs>
          <w:tab w:leader="none" w:pos="484"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7"/>
          <w:szCs w:val="17"/>
          <w:color w:val="auto"/>
        </w:rPr>
        <w:t>AGGREGATE AMOUNT BENEFICIALLY OWNED BY EACH REPORTING PERSON</w:t>
      </w:r>
    </w:p>
    <w:p>
      <w:pPr>
        <w:spacing w:after="0" w:line="245" w:lineRule="exact"/>
        <w:rPr>
          <w:sz w:val="20"/>
          <w:szCs w:val="20"/>
          <w:color w:val="auto"/>
        </w:rPr>
      </w:pPr>
    </w:p>
    <w:p>
      <w:pPr>
        <w:ind w:left="504"/>
        <w:spacing w:after="0"/>
        <w:rPr>
          <w:sz w:val="20"/>
          <w:szCs w:val="20"/>
          <w:color w:val="auto"/>
        </w:rPr>
      </w:pPr>
      <w:r>
        <w:rPr>
          <w:rFonts w:ascii="Arial" w:cs="Arial" w:eastAsia="Arial" w:hAnsi="Arial"/>
          <w:sz w:val="22"/>
          <w:szCs w:val="22"/>
          <w:color w:val="auto"/>
        </w:rPr>
        <w:t>3,233,580 Shares of Common Stock (1)</w:t>
      </w:r>
    </w:p>
    <w:p>
      <w:pPr>
        <w:spacing w:after="0" w:line="21" w:lineRule="exact"/>
        <w:rPr>
          <w:sz w:val="20"/>
          <w:szCs w:val="20"/>
          <w:color w:val="auto"/>
        </w:rPr>
      </w:pPr>
    </w:p>
    <w:p>
      <w:pPr>
        <w:ind w:left="504" w:hanging="347"/>
        <w:spacing w:after="0" w:line="207" w:lineRule="exact"/>
        <w:tabs>
          <w:tab w:leader="none" w:pos="504" w:val="left"/>
        </w:tabs>
        <w:numPr>
          <w:ilvl w:val="0"/>
          <w:numId w:val="88"/>
        </w:numPr>
        <w:rPr>
          <w:rFonts w:ascii="Arial" w:cs="Arial" w:eastAsia="Arial" w:hAnsi="Arial"/>
          <w:sz w:val="18"/>
          <w:szCs w:val="18"/>
          <w:color w:val="auto"/>
        </w:rPr>
      </w:pPr>
      <w:r>
        <w:rPr>
          <w:rFonts w:ascii="Arial" w:cs="Arial" w:eastAsia="Arial" w:hAnsi="Arial"/>
          <w:sz w:val="18"/>
          <w:szCs w:val="18"/>
          <w:color w:val="auto"/>
        </w:rPr>
        <w:t xml:space="preserve">CHECK BOX IF THE AGGREGATE AMOUNT IN ROW (11) EXCLUDES CERTAIN SHARES (see instructions) </w:t>
      </w:r>
      <w:r>
        <w:rPr>
          <w:rFonts w:ascii="MS PGothic" w:cs="MS PGothic" w:eastAsia="MS PGothic" w:hAnsi="MS PGothic"/>
          <w:sz w:val="18"/>
          <w:szCs w:val="18"/>
          <w:color w:val="auto"/>
        </w:rPr>
        <w:t>☐</w:t>
      </w:r>
    </w:p>
    <w:p>
      <w:pPr>
        <w:spacing w:after="0" w:line="200" w:lineRule="exact"/>
        <w:rPr>
          <w:rFonts w:ascii="Arial" w:cs="Arial" w:eastAsia="Arial" w:hAnsi="Arial"/>
          <w:sz w:val="18"/>
          <w:szCs w:val="18"/>
          <w:color w:val="auto"/>
        </w:rPr>
      </w:pPr>
    </w:p>
    <w:p>
      <w:pPr>
        <w:spacing w:after="0" w:line="324" w:lineRule="exact"/>
        <w:rPr>
          <w:rFonts w:ascii="Arial" w:cs="Arial" w:eastAsia="Arial" w:hAnsi="Arial"/>
          <w:sz w:val="18"/>
          <w:szCs w:val="18"/>
          <w:color w:val="auto"/>
        </w:rPr>
      </w:pPr>
    </w:p>
    <w:p>
      <w:pPr>
        <w:ind w:left="504" w:hanging="347"/>
        <w:spacing w:after="0"/>
        <w:tabs>
          <w:tab w:leader="none" w:pos="504" w:val="left"/>
        </w:tabs>
        <w:numPr>
          <w:ilvl w:val="0"/>
          <w:numId w:val="88"/>
        </w:numPr>
        <w:rPr>
          <w:rFonts w:ascii="Arial" w:cs="Arial" w:eastAsia="Arial" w:hAnsi="Arial"/>
          <w:sz w:val="18"/>
          <w:szCs w:val="18"/>
          <w:color w:val="auto"/>
        </w:rPr>
      </w:pPr>
      <w:r>
        <w:rPr>
          <w:rFonts w:ascii="Arial" w:cs="Arial" w:eastAsia="Arial" w:hAnsi="Arial"/>
          <w:sz w:val="18"/>
          <w:szCs w:val="18"/>
          <w:color w:val="auto"/>
        </w:rPr>
        <w:t>PERCENT OF CLASS REPRESENTED BY AMOUNT IN ROW 11</w:t>
      </w:r>
    </w:p>
    <w:p>
      <w:pPr>
        <w:spacing w:after="0" w:line="245" w:lineRule="exact"/>
        <w:rPr>
          <w:sz w:val="20"/>
          <w:szCs w:val="20"/>
          <w:color w:val="auto"/>
        </w:rPr>
      </w:pPr>
    </w:p>
    <w:p>
      <w:pPr>
        <w:ind w:left="504"/>
        <w:spacing w:after="0"/>
        <w:rPr>
          <w:sz w:val="20"/>
          <w:szCs w:val="20"/>
          <w:color w:val="auto"/>
        </w:rPr>
      </w:pPr>
      <w:r>
        <w:rPr>
          <w:rFonts w:ascii="Arial" w:cs="Arial" w:eastAsia="Arial" w:hAnsi="Arial"/>
          <w:sz w:val="22"/>
          <w:szCs w:val="22"/>
          <w:color w:val="auto"/>
        </w:rPr>
        <w:t>2.9% (2)</w:t>
      </w:r>
    </w:p>
    <w:p>
      <w:pPr>
        <w:spacing w:after="0" w:line="24" w:lineRule="exact"/>
        <w:rPr>
          <w:sz w:val="20"/>
          <w:szCs w:val="20"/>
          <w:color w:val="auto"/>
        </w:rPr>
      </w:pPr>
    </w:p>
    <w:p>
      <w:pPr>
        <w:ind w:left="164"/>
        <w:spacing w:after="0"/>
        <w:tabs>
          <w:tab w:leader="none" w:pos="484"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6"/>
          <w:szCs w:val="16"/>
          <w:color w:val="auto"/>
        </w:rPr>
        <w:t>TYPE OF REPORTING PERSON (see instructions)</w:t>
      </w:r>
    </w:p>
    <w:p>
      <w:pPr>
        <w:spacing w:after="0" w:line="245" w:lineRule="exact"/>
        <w:rPr>
          <w:sz w:val="20"/>
          <w:szCs w:val="20"/>
          <w:color w:val="auto"/>
        </w:rPr>
      </w:pPr>
    </w:p>
    <w:p>
      <w:pPr>
        <w:ind w:left="504"/>
        <w:spacing w:after="0"/>
        <w:rPr>
          <w:sz w:val="20"/>
          <w:szCs w:val="20"/>
          <w:color w:val="auto"/>
        </w:rPr>
      </w:pPr>
      <w:r>
        <w:rPr>
          <w:rFonts w:ascii="Arial" w:cs="Arial" w:eastAsia="Arial" w:hAnsi="Arial"/>
          <w:sz w:val="22"/>
          <w:szCs w:val="22"/>
          <w:color w:val="auto"/>
        </w:rPr>
        <w:t>IN</w:t>
      </w:r>
    </w:p>
    <w:p>
      <w:pPr>
        <w:spacing w:after="0" w:line="267" w:lineRule="exact"/>
        <w:rPr>
          <w:sz w:val="20"/>
          <w:szCs w:val="20"/>
          <w:color w:val="auto"/>
        </w:rPr>
      </w:pPr>
    </w:p>
    <w:p>
      <w:pPr>
        <w:ind w:left="424" w:right="40" w:hanging="424"/>
        <w:spacing w:after="0" w:line="253" w:lineRule="auto"/>
        <w:tabs>
          <w:tab w:leader="none" w:pos="424" w:val="left"/>
        </w:tabs>
        <w:numPr>
          <w:ilvl w:val="0"/>
          <w:numId w:val="89"/>
        </w:numPr>
        <w:rPr>
          <w:rFonts w:ascii="Arial" w:cs="Arial" w:eastAsia="Arial" w:hAnsi="Arial"/>
          <w:sz w:val="18"/>
          <w:szCs w:val="18"/>
          <w:color w:val="auto"/>
        </w:rPr>
      </w:pPr>
      <w:r>
        <w:rPr>
          <w:rFonts w:ascii="Arial" w:cs="Arial" w:eastAsia="Arial" w:hAnsi="Arial"/>
          <w:sz w:val="18"/>
          <w:szCs w:val="18"/>
          <w:color w:val="auto"/>
        </w:rPr>
        <w:t>Consists of: (i) 3,120,194 shares held of record by Polaris V, (ii) 60,814 shares held of record by Polaris EF V, (iii) 21,374 shares held of record by Polaris FF V and (iv) 31,198 shares held of record by Polaris SFF V. PVMC V is the general partner of each of Polaris V, Polaris EF V, Polaris FF V and Polaris SFF V and may be deemed to have shared voting, investment and dispositive power with respect to the securities held by each of Polaris V, Polaris EF V, Polaris FF V and Polaris SFF V. The PVMC V Managing Members are the managing members of PVMC V and may be deemed to have shared voting, investment and dispositive power with respect to the securities held by each of Polaris V, Polaris EF V, Polaris FF V and Polaris SFF V.</w:t>
      </w:r>
    </w:p>
    <w:p>
      <w:pPr>
        <w:spacing w:after="0" w:line="1" w:lineRule="exact"/>
        <w:rPr>
          <w:rFonts w:ascii="Arial" w:cs="Arial" w:eastAsia="Arial" w:hAnsi="Arial"/>
          <w:sz w:val="18"/>
          <w:szCs w:val="18"/>
          <w:color w:val="auto"/>
        </w:rPr>
      </w:pPr>
    </w:p>
    <w:p>
      <w:pPr>
        <w:ind w:left="424" w:right="180" w:hanging="424"/>
        <w:spacing w:after="0" w:line="260" w:lineRule="auto"/>
        <w:tabs>
          <w:tab w:leader="none" w:pos="424" w:val="left"/>
        </w:tabs>
        <w:numPr>
          <w:ilvl w:val="0"/>
          <w:numId w:val="89"/>
        </w:numPr>
        <w:rPr>
          <w:rFonts w:ascii="Arial" w:cs="Arial" w:eastAsia="Arial" w:hAnsi="Arial"/>
          <w:sz w:val="18"/>
          <w:szCs w:val="18"/>
          <w:color w:val="auto"/>
        </w:rPr>
      </w:pPr>
      <w:r>
        <w:rPr>
          <w:rFonts w:ascii="Arial" w:cs="Arial" w:eastAsia="Arial" w:hAnsi="Arial"/>
          <w:sz w:val="18"/>
          <w:szCs w:val="18"/>
          <w:color w:val="auto"/>
        </w:rPr>
        <w:t>Based on 111,245,660 shares of Common Stock outstanding (including shares issued upon the full exercise by the underwriters of their option to purchase additional shares in the Offering), as reported by the Issuer in the Prospectus.</w:t>
      </w:r>
    </w:p>
    <w:p>
      <w:pPr>
        <w:sectPr>
          <w:pgSz w:w="11900" w:h="16838" w:orient="portrait"/>
          <w:cols w:equalWidth="0" w:num="1">
            <w:col w:w="11024"/>
          </w:cols>
          <w:pgMar w:left="436" w:top="274" w:right="439" w:bottom="1440" w:gutter="0" w:footer="0" w:header="0"/>
        </w:sectPr>
      </w:pPr>
    </w:p>
    <w:bookmarkStart w:id="12" w:name="page13"/>
    <w:bookmarkEnd w:id="12"/>
    <w:tbl>
      <w:tblPr>
        <w:tblLayout w:type="fixed"/>
        <w:tblInd w:w="4" w:type="dxa"/>
        <w:tblCellMar>
          <w:top w:w="0" w:type="dxa"/>
          <w:left w:w="0" w:type="dxa"/>
          <w:bottom w:w="0" w:type="dxa"/>
          <w:right w:w="0" w:type="dxa"/>
        </w:tblCellMar>
      </w:tblPr>
      <w:tr>
        <w:trPr>
          <w:trHeight w:val="212"/>
        </w:trPr>
        <w:tc>
          <w:tcPr>
            <w:tcW w:w="6400" w:type="dxa"/>
            <w:vAlign w:val="bottom"/>
          </w:tcPr>
          <w:p>
            <w:pPr>
              <w:spacing w:after="0"/>
              <w:rPr>
                <w:sz w:val="20"/>
                <w:szCs w:val="20"/>
                <w:color w:val="auto"/>
              </w:rPr>
            </w:pPr>
            <w:r>
              <w:rPr>
                <w:rFonts w:ascii="Arial" w:cs="Arial" w:eastAsia="Arial" w:hAnsi="Arial"/>
                <w:sz w:val="18"/>
                <w:szCs w:val="18"/>
                <w:color w:val="auto"/>
              </w:rPr>
              <w:t>CUSIP No. 00534A102</w:t>
            </w:r>
          </w:p>
        </w:tc>
        <w:tc>
          <w:tcPr>
            <w:tcW w:w="4620" w:type="dxa"/>
            <w:vAlign w:val="bottom"/>
          </w:tcPr>
          <w:p>
            <w:pPr>
              <w:ind w:left="4300"/>
              <w:spacing w:after="0"/>
              <w:rPr>
                <w:sz w:val="20"/>
                <w:szCs w:val="20"/>
                <w:color w:val="auto"/>
              </w:rPr>
            </w:pPr>
            <w:r>
              <w:rPr>
                <w:rFonts w:ascii="Arial" w:cs="Arial" w:eastAsia="Arial" w:hAnsi="Arial"/>
                <w:sz w:val="18"/>
                <w:szCs w:val="18"/>
                <w:color w:val="auto"/>
                <w:w w:val="90"/>
              </w:rPr>
              <w:t>13D</w:t>
            </w:r>
          </w:p>
        </w:tc>
      </w:tr>
      <w:tr>
        <w:trPr>
          <w:trHeight w:val="234"/>
        </w:trPr>
        <w:tc>
          <w:tcPr>
            <w:tcW w:w="6400" w:type="dxa"/>
            <w:vAlign w:val="bottom"/>
          </w:tcPr>
          <w:p>
            <w:pPr>
              <w:spacing w:after="0"/>
              <w:rPr>
                <w:sz w:val="20"/>
                <w:szCs w:val="20"/>
                <w:color w:val="auto"/>
              </w:rPr>
            </w:pPr>
            <w:r>
              <w:rPr>
                <w:rFonts w:ascii="Arial" w:cs="Arial" w:eastAsia="Arial" w:hAnsi="Arial"/>
                <w:sz w:val="18"/>
                <w:szCs w:val="18"/>
                <w:b w:val="1"/>
                <w:bCs w:val="1"/>
                <w:color w:val="auto"/>
              </w:rPr>
              <w:t>Item 1. Security and Issuer.</w:t>
            </w:r>
          </w:p>
        </w:tc>
        <w:tc>
          <w:tcPr>
            <w:tcW w:w="4620" w:type="dxa"/>
            <w:vAlign w:val="bottom"/>
          </w:tcPr>
          <w:p>
            <w:pPr>
              <w:spacing w:after="0"/>
              <w:rPr>
                <w:sz w:val="20"/>
                <w:szCs w:val="20"/>
                <w:color w:val="auto"/>
              </w:rPr>
            </w:pPr>
          </w:p>
        </w:tc>
      </w:tr>
    </w:tbl>
    <w:p>
      <w:pPr>
        <w:spacing w:after="0" w:line="2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4" w:right="60"/>
        <w:spacing w:after="0" w:line="263" w:lineRule="auto"/>
        <w:rPr>
          <w:sz w:val="20"/>
          <w:szCs w:val="20"/>
          <w:color w:val="auto"/>
        </w:rPr>
      </w:pPr>
      <w:r>
        <w:rPr>
          <w:rFonts w:ascii="Arial" w:cs="Arial" w:eastAsia="Arial" w:hAnsi="Arial"/>
          <w:sz w:val="18"/>
          <w:szCs w:val="18"/>
          <w:color w:val="auto"/>
        </w:rPr>
        <w:t>This joint statement on Schedule 13D (this “</w:t>
      </w:r>
      <w:r>
        <w:rPr>
          <w:rFonts w:ascii="Arial" w:cs="Arial" w:eastAsia="Arial" w:hAnsi="Arial"/>
          <w:sz w:val="18"/>
          <w:szCs w:val="18"/>
          <w:u w:val="single" w:color="auto"/>
          <w:color w:val="auto"/>
        </w:rPr>
        <w:t>Statement</w:t>
      </w:r>
      <w:r>
        <w:rPr>
          <w:rFonts w:ascii="Arial" w:cs="Arial" w:eastAsia="Arial" w:hAnsi="Arial"/>
          <w:sz w:val="18"/>
          <w:szCs w:val="18"/>
          <w:color w:val="auto"/>
        </w:rPr>
        <w:t>”) is filed with respect to the common stock, par value $0.0001 per share (“</w:t>
      </w:r>
      <w:r>
        <w:rPr>
          <w:rFonts w:ascii="Arial" w:cs="Arial" w:eastAsia="Arial" w:hAnsi="Arial"/>
          <w:sz w:val="18"/>
          <w:szCs w:val="18"/>
          <w:u w:val="single" w:color="auto"/>
          <w:color w:val="auto"/>
        </w:rPr>
        <w:t>Common Stock</w:t>
      </w:r>
      <w:r>
        <w:rPr>
          <w:rFonts w:ascii="Arial" w:cs="Arial" w:eastAsia="Arial" w:hAnsi="Arial"/>
          <w:sz w:val="18"/>
          <w:szCs w:val="18"/>
          <w:color w:val="auto"/>
        </w:rPr>
        <w:t>”), of Adagio Therapeutics, Inc., a Delaware corporation (the “</w:t>
      </w:r>
      <w:r>
        <w:rPr>
          <w:rFonts w:ascii="Arial" w:cs="Arial" w:eastAsia="Arial" w:hAnsi="Arial"/>
          <w:sz w:val="18"/>
          <w:szCs w:val="18"/>
          <w:u w:val="single" w:color="auto"/>
          <w:color w:val="auto"/>
        </w:rPr>
        <w:t>Issuer</w:t>
      </w:r>
      <w:r>
        <w:rPr>
          <w:rFonts w:ascii="Arial" w:cs="Arial" w:eastAsia="Arial" w:hAnsi="Arial"/>
          <w:sz w:val="18"/>
          <w:szCs w:val="18"/>
          <w:color w:val="auto"/>
        </w:rPr>
        <w:t>”). The address of the principal executive offices of the Issuer is 303 Wyman Street, Suite 300, Waltham, MA 02451.</w:t>
      </w:r>
    </w:p>
    <w:p>
      <w:pPr>
        <w:spacing w:after="0" w:line="288"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Item 2. Identity and Background.</w:t>
      </w:r>
    </w:p>
    <w:p>
      <w:pPr>
        <w:spacing w:after="0" w:line="121" w:lineRule="exact"/>
        <w:rPr>
          <w:sz w:val="20"/>
          <w:szCs w:val="20"/>
          <w:color w:val="auto"/>
        </w:rPr>
      </w:pPr>
    </w:p>
    <w:p>
      <w:pPr>
        <w:ind w:left="4" w:right="200" w:hanging="4"/>
        <w:spacing w:after="0" w:line="288" w:lineRule="auto"/>
        <w:tabs>
          <w:tab w:leader="none" w:pos="245" w:val="left"/>
        </w:tabs>
        <w:numPr>
          <w:ilvl w:val="0"/>
          <w:numId w:val="90"/>
        </w:numPr>
        <w:rPr>
          <w:rFonts w:ascii="Arial" w:cs="Arial" w:eastAsia="Arial" w:hAnsi="Arial"/>
          <w:sz w:val="16"/>
          <w:szCs w:val="16"/>
          <w:color w:val="auto"/>
        </w:rPr>
      </w:pPr>
      <w:r>
        <w:rPr>
          <w:rFonts w:ascii="Arial" w:cs="Arial" w:eastAsia="Arial" w:hAnsi="Arial"/>
          <w:sz w:val="16"/>
          <w:szCs w:val="16"/>
          <w:color w:val="auto"/>
        </w:rPr>
        <w:t>This Statement is being filed by Polaris Venture Partners V, L.P. (“</w:t>
      </w:r>
      <w:r>
        <w:rPr>
          <w:rFonts w:ascii="Arial" w:cs="Arial" w:eastAsia="Arial" w:hAnsi="Arial"/>
          <w:sz w:val="16"/>
          <w:szCs w:val="16"/>
          <w:u w:val="single" w:color="auto"/>
          <w:color w:val="auto"/>
        </w:rPr>
        <w:t>Polaris V</w:t>
      </w:r>
      <w:r>
        <w:rPr>
          <w:rFonts w:ascii="Arial" w:cs="Arial" w:eastAsia="Arial" w:hAnsi="Arial"/>
          <w:sz w:val="16"/>
          <w:szCs w:val="16"/>
          <w:color w:val="auto"/>
        </w:rPr>
        <w:t>”), Polaris Venture Partners Entrepreneurs’ Fund V, L.P. (“</w:t>
      </w:r>
      <w:r>
        <w:rPr>
          <w:rFonts w:ascii="Arial" w:cs="Arial" w:eastAsia="Arial" w:hAnsi="Arial"/>
          <w:sz w:val="16"/>
          <w:szCs w:val="16"/>
          <w:u w:val="single" w:color="auto"/>
          <w:color w:val="auto"/>
        </w:rPr>
        <w:t>Polaris EF</w:t>
      </w:r>
      <w:r>
        <w:rPr>
          <w:rFonts w:ascii="Arial" w:cs="Arial" w:eastAsia="Arial" w:hAnsi="Arial"/>
          <w:sz w:val="16"/>
          <w:szCs w:val="16"/>
          <w:color w:val="auto"/>
        </w:rPr>
        <w:t xml:space="preserve"> </w:t>
      </w:r>
      <w:r>
        <w:rPr>
          <w:rFonts w:ascii="Arial" w:cs="Arial" w:eastAsia="Arial" w:hAnsi="Arial"/>
          <w:sz w:val="16"/>
          <w:szCs w:val="16"/>
          <w:u w:val="single" w:color="auto"/>
          <w:color w:val="auto"/>
        </w:rPr>
        <w:t>V</w:t>
      </w:r>
      <w:r>
        <w:rPr>
          <w:rFonts w:ascii="Arial" w:cs="Arial" w:eastAsia="Arial" w:hAnsi="Arial"/>
          <w:sz w:val="16"/>
          <w:szCs w:val="16"/>
          <w:color w:val="auto"/>
        </w:rPr>
        <w:t>”), Polaris Venture Partners Founders’ Fund V, L.P. (“</w:t>
      </w:r>
      <w:r>
        <w:rPr>
          <w:rFonts w:ascii="Arial" w:cs="Arial" w:eastAsia="Arial" w:hAnsi="Arial"/>
          <w:sz w:val="16"/>
          <w:szCs w:val="16"/>
          <w:u w:val="single" w:color="auto"/>
          <w:color w:val="auto"/>
        </w:rPr>
        <w:t>Polaris FF V</w:t>
      </w:r>
      <w:r>
        <w:rPr>
          <w:rFonts w:ascii="Arial" w:cs="Arial" w:eastAsia="Arial" w:hAnsi="Arial"/>
          <w:sz w:val="16"/>
          <w:szCs w:val="16"/>
          <w:color w:val="auto"/>
        </w:rPr>
        <w:t>”), Polaris Venture Partners Special Founders’ Fund V, L.P. (“</w:t>
      </w:r>
      <w:r>
        <w:rPr>
          <w:rFonts w:ascii="Arial" w:cs="Arial" w:eastAsia="Arial" w:hAnsi="Arial"/>
          <w:sz w:val="16"/>
          <w:szCs w:val="16"/>
          <w:u w:val="single" w:color="auto"/>
          <w:color w:val="auto"/>
        </w:rPr>
        <w:t>Polaris SFF V</w:t>
      </w:r>
      <w:r>
        <w:rPr>
          <w:rFonts w:ascii="Arial" w:cs="Arial" w:eastAsia="Arial" w:hAnsi="Arial"/>
          <w:sz w:val="16"/>
          <w:szCs w:val="16"/>
          <w:color w:val="auto"/>
        </w:rPr>
        <w:t>”), Polaris Partners IX, L.P. (“</w:t>
      </w:r>
      <w:r>
        <w:rPr>
          <w:rFonts w:ascii="Arial" w:cs="Arial" w:eastAsia="Arial" w:hAnsi="Arial"/>
          <w:sz w:val="16"/>
          <w:szCs w:val="16"/>
          <w:u w:val="single" w:color="auto"/>
          <w:color w:val="auto"/>
        </w:rPr>
        <w:t>Polaris IX</w:t>
      </w:r>
      <w:r>
        <w:rPr>
          <w:rFonts w:ascii="Arial" w:cs="Arial" w:eastAsia="Arial" w:hAnsi="Arial"/>
          <w:sz w:val="16"/>
          <w:szCs w:val="16"/>
          <w:color w:val="auto"/>
        </w:rPr>
        <w:t>”), Polaris Healthcare Technology Opportunities Fund, L.P. (“</w:t>
      </w:r>
      <w:r>
        <w:rPr>
          <w:rFonts w:ascii="Arial" w:cs="Arial" w:eastAsia="Arial" w:hAnsi="Arial"/>
          <w:sz w:val="16"/>
          <w:szCs w:val="16"/>
          <w:u w:val="single" w:color="auto"/>
          <w:color w:val="auto"/>
        </w:rPr>
        <w:t>Polaris HCT</w:t>
      </w:r>
      <w:r>
        <w:rPr>
          <w:rFonts w:ascii="Arial" w:cs="Arial" w:eastAsia="Arial" w:hAnsi="Arial"/>
          <w:sz w:val="16"/>
          <w:szCs w:val="16"/>
          <w:color w:val="auto"/>
        </w:rPr>
        <w:t>”), Polaris Venture Management Co. V, L.L.C. (“</w:t>
      </w:r>
      <w:r>
        <w:rPr>
          <w:rFonts w:ascii="Arial" w:cs="Arial" w:eastAsia="Arial" w:hAnsi="Arial"/>
          <w:sz w:val="16"/>
          <w:szCs w:val="16"/>
          <w:u w:val="single" w:color="auto"/>
          <w:color w:val="auto"/>
        </w:rPr>
        <w:t>PVMC V</w:t>
      </w:r>
      <w:r>
        <w:rPr>
          <w:rFonts w:ascii="Arial" w:cs="Arial" w:eastAsia="Arial" w:hAnsi="Arial"/>
          <w:sz w:val="16"/>
          <w:szCs w:val="16"/>
          <w:color w:val="auto"/>
        </w:rPr>
        <w:t>”), Polaris Partners GP IX, L.L.C. (“</w:t>
      </w:r>
      <w:r>
        <w:rPr>
          <w:rFonts w:ascii="Arial" w:cs="Arial" w:eastAsia="Arial" w:hAnsi="Arial"/>
          <w:sz w:val="16"/>
          <w:szCs w:val="16"/>
          <w:u w:val="single" w:color="auto"/>
          <w:color w:val="auto"/>
        </w:rPr>
        <w:t>PPGP IX</w:t>
      </w:r>
      <w:r>
        <w:rPr>
          <w:rFonts w:ascii="Arial" w:cs="Arial" w:eastAsia="Arial" w:hAnsi="Arial"/>
          <w:sz w:val="16"/>
          <w:szCs w:val="16"/>
          <w:color w:val="auto"/>
        </w:rPr>
        <w:t>”), Polaris Healthcare Technology Opportunities Fund GP, L.L.C. (“</w:t>
      </w:r>
      <w:r>
        <w:rPr>
          <w:rFonts w:ascii="Arial" w:cs="Arial" w:eastAsia="Arial" w:hAnsi="Arial"/>
          <w:sz w:val="16"/>
          <w:szCs w:val="16"/>
          <w:u w:val="single" w:color="auto"/>
          <w:color w:val="auto"/>
        </w:rPr>
        <w:t>PHCT GP</w:t>
      </w:r>
      <w:r>
        <w:rPr>
          <w:rFonts w:ascii="Arial" w:cs="Arial" w:eastAsia="Arial" w:hAnsi="Arial"/>
          <w:sz w:val="16"/>
          <w:szCs w:val="16"/>
          <w:color w:val="auto"/>
        </w:rPr>
        <w:t>”, and together with Polaris V, Polaris EF V, Polaris FF V, Polaris SFF V, Polaris IX, Polaris HCT, PVMC V and PPGP IX, the “</w:t>
      </w:r>
      <w:r>
        <w:rPr>
          <w:rFonts w:ascii="Arial" w:cs="Arial" w:eastAsia="Arial" w:hAnsi="Arial"/>
          <w:sz w:val="16"/>
          <w:szCs w:val="16"/>
          <w:u w:val="single" w:color="auto"/>
          <w:color w:val="auto"/>
        </w:rPr>
        <w:t>Reporting Entities</w:t>
      </w:r>
      <w:r>
        <w:rPr>
          <w:rFonts w:ascii="Arial" w:cs="Arial" w:eastAsia="Arial" w:hAnsi="Arial"/>
          <w:sz w:val="16"/>
          <w:szCs w:val="16"/>
          <w:color w:val="auto"/>
        </w:rPr>
        <w:t>”) and Terrance McGuire (“</w:t>
      </w:r>
      <w:r>
        <w:rPr>
          <w:rFonts w:ascii="Arial" w:cs="Arial" w:eastAsia="Arial" w:hAnsi="Arial"/>
          <w:sz w:val="16"/>
          <w:szCs w:val="16"/>
          <w:u w:val="single" w:color="auto"/>
          <w:color w:val="auto"/>
        </w:rPr>
        <w:t>McGuire</w:t>
      </w:r>
      <w:r>
        <w:rPr>
          <w:rFonts w:ascii="Arial" w:cs="Arial" w:eastAsia="Arial" w:hAnsi="Arial"/>
          <w:sz w:val="16"/>
          <w:szCs w:val="16"/>
          <w:color w:val="auto"/>
        </w:rPr>
        <w:t>”), a member of the Issuer’s board of directors (the “</w:t>
      </w:r>
      <w:r>
        <w:rPr>
          <w:rFonts w:ascii="Arial" w:cs="Arial" w:eastAsia="Arial" w:hAnsi="Arial"/>
          <w:sz w:val="16"/>
          <w:szCs w:val="16"/>
          <w:u w:val="single" w:color="auto"/>
          <w:color w:val="auto"/>
        </w:rPr>
        <w:t>Board</w:t>
      </w:r>
      <w:r>
        <w:rPr>
          <w:rFonts w:ascii="Arial" w:cs="Arial" w:eastAsia="Arial" w:hAnsi="Arial"/>
          <w:sz w:val="16"/>
          <w:szCs w:val="16"/>
          <w:color w:val="auto"/>
        </w:rPr>
        <w:t>”) and Jonathan Flint (“</w:t>
      </w:r>
      <w:r>
        <w:rPr>
          <w:rFonts w:ascii="Arial" w:cs="Arial" w:eastAsia="Arial" w:hAnsi="Arial"/>
          <w:sz w:val="16"/>
          <w:szCs w:val="16"/>
          <w:u w:val="single" w:color="auto"/>
          <w:color w:val="auto"/>
        </w:rPr>
        <w:t>Flint</w:t>
      </w:r>
      <w:r>
        <w:rPr>
          <w:rFonts w:ascii="Arial" w:cs="Arial" w:eastAsia="Arial" w:hAnsi="Arial"/>
          <w:sz w:val="16"/>
          <w:szCs w:val="16"/>
          <w:color w:val="auto"/>
        </w:rPr>
        <w:t>” and together with McGuire, the “</w:t>
      </w:r>
      <w:r>
        <w:rPr>
          <w:rFonts w:ascii="Arial" w:cs="Arial" w:eastAsia="Arial" w:hAnsi="Arial"/>
          <w:sz w:val="16"/>
          <w:szCs w:val="16"/>
          <w:u w:val="single" w:color="auto"/>
          <w:color w:val="auto"/>
        </w:rPr>
        <w:t>Reporting Individuals</w:t>
      </w:r>
      <w:r>
        <w:rPr>
          <w:rFonts w:ascii="Arial" w:cs="Arial" w:eastAsia="Arial" w:hAnsi="Arial"/>
          <w:sz w:val="16"/>
          <w:szCs w:val="16"/>
          <w:color w:val="auto"/>
        </w:rPr>
        <w:t>”). The Reporting Entities and the Reporting Individuals are collectively referred to as the “</w:t>
      </w:r>
      <w:r>
        <w:rPr>
          <w:rFonts w:ascii="Arial" w:cs="Arial" w:eastAsia="Arial" w:hAnsi="Arial"/>
          <w:sz w:val="16"/>
          <w:szCs w:val="16"/>
          <w:u w:val="single" w:color="auto"/>
          <w:color w:val="auto"/>
        </w:rPr>
        <w:t>Reporting Persons</w:t>
      </w:r>
      <w:r>
        <w:rPr>
          <w:rFonts w:ascii="Arial" w:cs="Arial" w:eastAsia="Arial" w:hAnsi="Arial"/>
          <w:sz w:val="16"/>
          <w:szCs w:val="16"/>
          <w:color w:val="auto"/>
        </w:rPr>
        <w:t xml:space="preserve">”. The agreement among the Reporting Persons to file jointly in accordance with the provisions of Rule 13d-1(k)(1) under the Act is attached hereto as </w:t>
      </w:r>
      <w:r>
        <w:rPr>
          <w:rFonts w:ascii="Arial" w:cs="Arial" w:eastAsia="Arial" w:hAnsi="Arial"/>
          <w:sz w:val="16"/>
          <w:szCs w:val="16"/>
          <w:u w:val="single" w:color="auto"/>
          <w:color w:val="auto"/>
        </w:rPr>
        <w:t>Exhibit 1</w:t>
      </w:r>
      <w:r>
        <w:rPr>
          <w:rFonts w:ascii="Arial" w:cs="Arial" w:eastAsia="Arial" w:hAnsi="Arial"/>
          <w:sz w:val="16"/>
          <w:szCs w:val="16"/>
          <w:color w:val="auto"/>
        </w:rPr>
        <w:t>. Each Reporting Person disclaims beneficial ownership of all securities reported in this Statement except to the extent of such Reporting Person’s pecuniary interest therein, if any, and other than those securities reported herein as being held directly by such Reporting Person.</w:t>
      </w:r>
    </w:p>
    <w:p>
      <w:pPr>
        <w:spacing w:after="0" w:line="168" w:lineRule="exact"/>
        <w:rPr>
          <w:rFonts w:ascii="Arial" w:cs="Arial" w:eastAsia="Arial" w:hAnsi="Arial"/>
          <w:sz w:val="16"/>
          <w:szCs w:val="16"/>
          <w:color w:val="auto"/>
        </w:rPr>
      </w:pPr>
    </w:p>
    <w:p>
      <w:pPr>
        <w:ind w:left="4" w:right="380" w:hanging="4"/>
        <w:spacing w:after="0" w:line="277" w:lineRule="auto"/>
        <w:tabs>
          <w:tab w:leader="none" w:pos="259"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address of the principal offices of each Reporting Entity and the business address each Reporting Individual is One Marina Park Drive, 10</w:t>
      </w:r>
      <w:r>
        <w:rPr>
          <w:rFonts w:ascii="Arial" w:cs="Arial" w:eastAsia="Arial" w:hAnsi="Arial"/>
          <w:sz w:val="15"/>
          <w:szCs w:val="15"/>
          <w:color w:val="auto"/>
        </w:rPr>
        <w:t>th</w:t>
      </w:r>
      <w:r>
        <w:rPr>
          <w:rFonts w:ascii="Arial" w:cs="Arial" w:eastAsia="Arial" w:hAnsi="Arial"/>
          <w:sz w:val="18"/>
          <w:szCs w:val="18"/>
          <w:color w:val="auto"/>
        </w:rPr>
        <w:t xml:space="preserve"> Floor, Boston, MA 02210.</w:t>
      </w:r>
    </w:p>
    <w:p>
      <w:pPr>
        <w:spacing w:after="0" w:line="170" w:lineRule="exact"/>
        <w:rPr>
          <w:rFonts w:ascii="Arial" w:cs="Arial" w:eastAsia="Arial" w:hAnsi="Arial"/>
          <w:sz w:val="18"/>
          <w:szCs w:val="18"/>
          <w:color w:val="auto"/>
        </w:rPr>
      </w:pPr>
    </w:p>
    <w:p>
      <w:pPr>
        <w:ind w:left="4" w:right="20" w:hanging="4"/>
        <w:spacing w:after="0" w:line="257" w:lineRule="auto"/>
        <w:tabs>
          <w:tab w:leader="none" w:pos="249" w:val="left"/>
        </w:tabs>
        <w:numPr>
          <w:ilvl w:val="0"/>
          <w:numId w:val="90"/>
        </w:numPr>
        <w:rPr>
          <w:rFonts w:ascii="Arial" w:cs="Arial" w:eastAsia="Arial" w:hAnsi="Arial"/>
          <w:sz w:val="18"/>
          <w:szCs w:val="18"/>
          <w:color w:val="auto"/>
        </w:rPr>
      </w:pPr>
      <w:r>
        <w:rPr>
          <w:rFonts w:ascii="Arial" w:cs="Arial" w:eastAsia="Arial" w:hAnsi="Arial"/>
          <w:sz w:val="18"/>
          <w:szCs w:val="18"/>
          <w:color w:val="auto"/>
        </w:rPr>
        <w:t>Polaris V, Polaris EF V, Polaris FF V, Polaris SFF V, Polaris IX and Polaris HCT are each a venture capital investment entity. PVMC V is the general partner of each of Polaris V, Polaris EF V, Polaris FF V and Polaris SFF V. PPGP IX is the general partner of Polaris IX. PHCT GP is the general partner of Polaris HCT. Flint and McGuire, a member of the Board, are the managing members of PVMC V (the “</w:t>
      </w:r>
      <w:r>
        <w:rPr>
          <w:rFonts w:ascii="Arial" w:cs="Arial" w:eastAsia="Arial" w:hAnsi="Arial"/>
          <w:sz w:val="18"/>
          <w:szCs w:val="18"/>
          <w:u w:val="single" w:color="auto"/>
          <w:color w:val="auto"/>
        </w:rPr>
        <w:t>PVMC V Managing Members</w:t>
      </w:r>
      <w:r>
        <w:rPr>
          <w:rFonts w:ascii="Arial" w:cs="Arial" w:eastAsia="Arial" w:hAnsi="Arial"/>
          <w:sz w:val="18"/>
          <w:szCs w:val="18"/>
          <w:color w:val="auto"/>
        </w:rPr>
        <w:t>”). Each of David Barrett, Brian Chee, Amir Nashat and Amy Schulman are the managing members of each of PPGP IX (the “</w:t>
      </w:r>
      <w:r>
        <w:rPr>
          <w:rFonts w:ascii="Arial" w:cs="Arial" w:eastAsia="Arial" w:hAnsi="Arial"/>
          <w:sz w:val="18"/>
          <w:szCs w:val="18"/>
          <w:u w:val="single" w:color="auto"/>
          <w:color w:val="auto"/>
        </w:rPr>
        <w:t>PPGP IX Managing Members</w:t>
      </w:r>
      <w:r>
        <w:rPr>
          <w:rFonts w:ascii="Arial" w:cs="Arial" w:eastAsia="Arial" w:hAnsi="Arial"/>
          <w:sz w:val="18"/>
          <w:szCs w:val="18"/>
          <w:color w:val="auto"/>
        </w:rPr>
        <w:t>”) and PHCT GP (the “</w:t>
      </w:r>
      <w:r>
        <w:rPr>
          <w:rFonts w:ascii="Arial" w:cs="Arial" w:eastAsia="Arial" w:hAnsi="Arial"/>
          <w:sz w:val="18"/>
          <w:szCs w:val="18"/>
          <w:u w:val="single" w:color="auto"/>
          <w:color w:val="auto"/>
        </w:rPr>
        <w:t>PHCT GP Managing Members</w:t>
      </w:r>
      <w:r>
        <w:rPr>
          <w:rFonts w:ascii="Arial" w:cs="Arial" w:eastAsia="Arial" w:hAnsi="Arial"/>
          <w:sz w:val="18"/>
          <w:szCs w:val="18"/>
          <w:color w:val="auto"/>
        </w:rPr>
        <w:t>”).</w:t>
      </w:r>
    </w:p>
    <w:p>
      <w:pPr>
        <w:spacing w:after="0" w:line="187" w:lineRule="exact"/>
        <w:rPr>
          <w:rFonts w:ascii="Arial" w:cs="Arial" w:eastAsia="Arial" w:hAnsi="Arial"/>
          <w:sz w:val="18"/>
          <w:szCs w:val="18"/>
          <w:color w:val="auto"/>
        </w:rPr>
      </w:pPr>
    </w:p>
    <w:p>
      <w:pPr>
        <w:ind w:left="4" w:right="540" w:hanging="4"/>
        <w:spacing w:after="0" w:line="277" w:lineRule="auto"/>
        <w:tabs>
          <w:tab w:leader="none" w:pos="259" w:val="left"/>
        </w:tabs>
        <w:numPr>
          <w:ilvl w:val="0"/>
          <w:numId w:val="90"/>
        </w:numPr>
        <w:rPr>
          <w:rFonts w:ascii="Arial" w:cs="Arial" w:eastAsia="Arial" w:hAnsi="Arial"/>
          <w:sz w:val="18"/>
          <w:szCs w:val="18"/>
          <w:color w:val="auto"/>
        </w:rPr>
      </w:pPr>
      <w:r>
        <w:rPr>
          <w:rFonts w:ascii="Arial" w:cs="Arial" w:eastAsia="Arial" w:hAnsi="Arial"/>
          <w:sz w:val="18"/>
          <w:szCs w:val="18"/>
          <w:color w:val="auto"/>
        </w:rPr>
        <w:t>During the past five years, none of the Reporting Persons have been convicted in a criminal proceeding (excluding traffic violations or similar misdemeanors).</w:t>
      </w:r>
    </w:p>
    <w:p>
      <w:pPr>
        <w:spacing w:after="0" w:line="170" w:lineRule="exact"/>
        <w:rPr>
          <w:rFonts w:ascii="Arial" w:cs="Arial" w:eastAsia="Arial" w:hAnsi="Arial"/>
          <w:sz w:val="18"/>
          <w:szCs w:val="18"/>
          <w:color w:val="auto"/>
        </w:rPr>
      </w:pPr>
    </w:p>
    <w:p>
      <w:pPr>
        <w:ind w:left="4" w:right="500" w:hanging="4"/>
        <w:spacing w:after="0" w:line="311" w:lineRule="auto"/>
        <w:tabs>
          <w:tab w:leader="none" w:pos="249" w:val="left"/>
        </w:tabs>
        <w:numPr>
          <w:ilvl w:val="0"/>
          <w:numId w:val="90"/>
        </w:numPr>
        <w:rPr>
          <w:rFonts w:ascii="Arial" w:cs="Arial" w:eastAsia="Arial" w:hAnsi="Arial"/>
          <w:sz w:val="16"/>
          <w:szCs w:val="16"/>
          <w:color w:val="auto"/>
        </w:rPr>
      </w:pPr>
      <w:r>
        <w:rPr>
          <w:rFonts w:ascii="Arial" w:cs="Arial" w:eastAsia="Arial" w:hAnsi="Arial"/>
          <w:sz w:val="16"/>
          <w:szCs w:val="16"/>
          <w:color w:val="auto"/>
        </w:rPr>
        <w:t>None of the Reporting Persons are, nor during the last five years have been, a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p>
      <w:pPr>
        <w:spacing w:after="0" w:line="148" w:lineRule="exact"/>
        <w:rPr>
          <w:rFonts w:ascii="Arial" w:cs="Arial" w:eastAsia="Arial" w:hAnsi="Arial"/>
          <w:sz w:val="16"/>
          <w:szCs w:val="16"/>
          <w:color w:val="auto"/>
        </w:rPr>
      </w:pPr>
    </w:p>
    <w:p>
      <w:pPr>
        <w:ind w:left="4" w:right="140" w:hanging="4"/>
        <w:spacing w:after="0" w:line="263" w:lineRule="auto"/>
        <w:tabs>
          <w:tab w:leader="none" w:pos="229" w:val="left"/>
        </w:tabs>
        <w:numPr>
          <w:ilvl w:val="0"/>
          <w:numId w:val="90"/>
        </w:numPr>
        <w:rPr>
          <w:rFonts w:ascii="Arial" w:cs="Arial" w:eastAsia="Arial" w:hAnsi="Arial"/>
          <w:sz w:val="18"/>
          <w:szCs w:val="18"/>
          <w:color w:val="auto"/>
        </w:rPr>
      </w:pPr>
      <w:r>
        <w:rPr>
          <w:rFonts w:ascii="Arial" w:cs="Arial" w:eastAsia="Arial" w:hAnsi="Arial"/>
          <w:sz w:val="18"/>
          <w:szCs w:val="18"/>
          <w:color w:val="auto"/>
        </w:rPr>
        <w:t>Each of PVCM V, PPGP IX and PHCT GP are limited liability companies organized under the laws of the State of Delaware. Each of Polaris V, Polaris EF V, Polaris FF V, Polaris SFF V, Polaris IX and Polaris HCT are limited partnerships organized under the laws of the State of Delaware. Each of the Reporting Individuals is a citizen of the United States of America.</w:t>
      </w:r>
    </w:p>
    <w:p>
      <w:pPr>
        <w:spacing w:after="0" w:line="288"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Item 3. Source and Amount of Funds or Other Consideration.</w:t>
      </w:r>
    </w:p>
    <w:p>
      <w:pPr>
        <w:spacing w:after="0" w:line="121" w:lineRule="exact"/>
        <w:rPr>
          <w:sz w:val="20"/>
          <w:szCs w:val="20"/>
          <w:color w:val="auto"/>
        </w:rPr>
      </w:pPr>
    </w:p>
    <w:p>
      <w:pPr>
        <w:ind w:left="4" w:right="40"/>
        <w:spacing w:after="0" w:line="293" w:lineRule="auto"/>
        <w:rPr>
          <w:sz w:val="20"/>
          <w:szCs w:val="20"/>
          <w:color w:val="auto"/>
        </w:rPr>
      </w:pPr>
      <w:r>
        <w:rPr>
          <w:rFonts w:ascii="Arial" w:cs="Arial" w:eastAsia="Arial" w:hAnsi="Arial"/>
          <w:sz w:val="16"/>
          <w:szCs w:val="16"/>
          <w:color w:val="auto"/>
        </w:rPr>
        <w:t>In July 2020, (i) Polaris V purchased 361,850 shares of the Issuer’s Series A preferred stock for a purchase price of $8.00 per share and an aggregate purchase price of $2,894,800.00, (ii) Polaris EF V purchased 7,052 shares of the Issuer’s Series A preferred stock for a purchase price of $8.00 per share and an aggregate purchase price of $56,416.00, (iii) Polaris FF V purchased 2,479 shares of the Issuer’s Series A preferred stock for a purchase price of $8.00 per share and an aggregate purchase price of $19,832.00, (iv) Polaris SFF V purchased 3,619 shares of the Issuer’s Series A preferred stock for a purchase price of $8.00 per share and an aggregate purchase price of $28,952.00 and (v) Polaris IX purchased 875,000 shares of the Issuer’s Series A preferred stock for a purchase price of $8.00 per share and an aggregate purchase price of $7,000,000.00.</w:t>
      </w:r>
    </w:p>
    <w:p>
      <w:pPr>
        <w:sectPr>
          <w:pgSz w:w="11900" w:h="16838" w:orient="portrait"/>
          <w:cols w:equalWidth="0" w:num="1">
            <w:col w:w="11024"/>
          </w:cols>
          <w:pgMar w:left="436" w:top="274" w:right="439" w:bottom="1440" w:gutter="0" w:footer="0" w:header="0"/>
        </w:sectPr>
      </w:pPr>
    </w:p>
    <w:bookmarkStart w:id="13" w:name="page14"/>
    <w:bookmarkEnd w:id="13"/>
    <w:p>
      <w:pPr>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October 2020, (i) Polaris V purchased 85,061 shares of the Issuer’s Series B preferred stock for a purchase price of $56.72 per share and an aggregate purchase price of $4,824,659.92, (ii) Polaris EF V purchased 1,658 shares of the Issuer’s Series B preferred stock for a purchase price of $56.72 per share and an aggregate purchase price of $94,041.76, (iii) Polaris FF V purchased 583 shares of the Issuer’s Series B preferred stock for a purchase price of $56.72 per share and an aggregate purchase price of $33,067.76, (iv) Polaris SFF V purchased 850 shares of the Issuer’s Series B preferred stock for a purchase price of $56.72 per share and an aggregate purchase price of $48,212.00, and (v) Polaris IX purchased 44,076 shares of the Issuer’s Series B preferred stock for a purchase price of $56.72 per share and an aggregate purchase price of $2,499,990.72.</w:t>
      </w:r>
    </w:p>
    <w:p>
      <w:pPr>
        <w:spacing w:after="0" w:line="164"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In April 2021, (i) Polaris V purchased an aggregate of 123,574 shares of the Issuer’s Series C preferred stock for a purchase price of $78.08578 per share and an aggregate purchase price of $9,649,372.18, (ii) Polaris EF V purchased an aggregate of 2,409 shares of the Issuer’s Series C preferred stock for a purchase price of $78.08578 per share and an aggregate purchase price of $188,108.64, (iii) Polaris FF V purchased an aggregate of 846 shares of the Issuer’s Series C preferred stock for a purchase price of $78.08578 per share and an aggregate purchase price of $66,060.57, (iv) Polaris SFF V purchased an aggregate of 1,235 shares of the Issuer’s Series C preferred stock for a purchase price of $78.08578 per share and an aggregate purchase price of $96,435.94, (v) Polaris IX purchased an aggregate of 32,016 shares of the Issuer’s Series C preferred stock for a purchase price of $78.08578 per share and an aggregate purchase price of $2,499,994.33, and (vi) Polaris HCT purchased an aggregate of 64,032 shares of the Issuer’s Series C preferred stock for a purchase price of $78.08578 per share and an aggregate purchase price of $4,999,988.66.</w:t>
      </w:r>
    </w:p>
    <w:p>
      <w:pPr>
        <w:spacing w:after="0" w:line="165"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On August 10, 2021, effective upon the closing of the Issuer’s initial public offering of its Common Stock (the “</w:t>
      </w:r>
      <w:r>
        <w:rPr>
          <w:rFonts w:ascii="Arial" w:cs="Arial" w:eastAsia="Arial" w:hAnsi="Arial"/>
          <w:sz w:val="18"/>
          <w:szCs w:val="18"/>
          <w:u w:val="single" w:color="auto"/>
          <w:color w:val="auto"/>
        </w:rPr>
        <w:t>Offering</w:t>
      </w:r>
      <w:r>
        <w:rPr>
          <w:rFonts w:ascii="Arial" w:cs="Arial" w:eastAsia="Arial" w:hAnsi="Arial"/>
          <w:sz w:val="18"/>
          <w:szCs w:val="18"/>
          <w:color w:val="auto"/>
        </w:rPr>
        <w:t>”), each share of the Issuer’s preferred stock automatically converted into 5 shares of the Issuer’s Common Stock for no consideration, which resulted in (i) Polaris V holding 2,852,425 shares of Common Stock, (ii) Polaris EF V holding 55,595 shares of Common Stock, (iii) Polaris FF V holding 19,540 shares of Common Stock, (iv) Polaris SFF V holding 28,520 shares of Common Stock, (v) Polaris IX holding 4,755,460 shares of Common Stock and (vi) Polaris HCT holding 320,160 shares of Common Stock (collectively, the “</w:t>
      </w:r>
      <w:r>
        <w:rPr>
          <w:rFonts w:ascii="Arial" w:cs="Arial" w:eastAsia="Arial" w:hAnsi="Arial"/>
          <w:sz w:val="18"/>
          <w:szCs w:val="18"/>
          <w:u w:val="single" w:color="auto"/>
          <w:color w:val="auto"/>
        </w:rPr>
        <w:t>Conversion</w:t>
      </w:r>
      <w:r>
        <w:rPr>
          <w:rFonts w:ascii="Arial" w:cs="Arial" w:eastAsia="Arial" w:hAnsi="Arial"/>
          <w:sz w:val="18"/>
          <w:szCs w:val="18"/>
          <w:color w:val="auto"/>
        </w:rPr>
        <w:t>”).</w:t>
      </w:r>
    </w:p>
    <w:p>
      <w:pPr>
        <w:spacing w:after="0" w:line="188"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In addition, on August 10, 2021 in connection with the Offering, (i) Polaris V purchased an additional 267,769 shares of the Issuer’s Common Stock for a purchase price of $17.00 per share and an aggregate purchase price of $4,552,073.00, (ii) Polaris EF V purchased an additional 5,219 shares of the Issuer’s Common Stock for a purchase price of $17.00 per share and an aggregate purchase price of $88,723.00, (iii) Polaris FF V purchased an additional 1,834 shares of the Issuer’s Common Stock for a purchase price of $17.00 per share and an aggregate purchase price of $31,178.00, (iv) Polaris SFF V purchased an additional 2,678 shares of the Issuer’s Common Stock for a purchase price of $17.00 per share and an aggregate purchase price of $ $45,526.00, (v) Polaris IX purchased an additional 45,000 shares of the Issuer’s Common Stock for a purchase price of $17.00 per share and an aggregate purchase price of $765,000 and (vi) Polaris HCT purchased an additional 177,500 shares of the Issuer’s Common Stock for a purchase price of $17.00 per share and an aggregate purchase price of $3,017,500.00 (collectively, the “</w:t>
      </w:r>
      <w:r>
        <w:rPr>
          <w:rFonts w:ascii="Arial" w:cs="Arial" w:eastAsia="Arial" w:hAnsi="Arial"/>
          <w:sz w:val="17"/>
          <w:szCs w:val="17"/>
          <w:u w:val="single" w:color="auto"/>
          <w:color w:val="auto"/>
        </w:rPr>
        <w:t>Purchase</w:t>
      </w:r>
      <w:r>
        <w:rPr>
          <w:rFonts w:ascii="Arial" w:cs="Arial" w:eastAsia="Arial" w:hAnsi="Arial"/>
          <w:sz w:val="17"/>
          <w:szCs w:val="17"/>
          <w:color w:val="auto"/>
        </w:rPr>
        <w:t>”). Following the Conversion and the Purchase, each of Polaris V, Polaris EF V, Polaris FF V, Polaris SFF V, Polaris IX and Polaris IX directly held such number of shares of Common Stock set forth in Item 11 of their respective Cover Pages.</w:t>
      </w:r>
    </w:p>
    <w:p>
      <w:pPr>
        <w:spacing w:after="0" w:line="185" w:lineRule="exact"/>
        <w:rPr>
          <w:sz w:val="20"/>
          <w:szCs w:val="20"/>
          <w:color w:val="auto"/>
        </w:rPr>
      </w:pPr>
    </w:p>
    <w:p>
      <w:pPr>
        <w:ind w:right="40"/>
        <w:spacing w:after="0" w:line="311" w:lineRule="auto"/>
        <w:rPr>
          <w:sz w:val="20"/>
          <w:szCs w:val="20"/>
          <w:color w:val="auto"/>
        </w:rPr>
      </w:pPr>
      <w:r>
        <w:rPr>
          <w:rFonts w:ascii="Arial" w:cs="Arial" w:eastAsia="Arial" w:hAnsi="Arial"/>
          <w:sz w:val="16"/>
          <w:szCs w:val="16"/>
          <w:color w:val="auto"/>
        </w:rPr>
        <w:t>All shares of the capital stock of the Issuer purchased by each Polaris V, Polaris EF V, Polaris FF V, Polaris SF V, Polaris IX and Polaris HCT have been purchased using investment funds provided to such funds by their respective limited partner and general partner investors. Unless noted above, no part of the purchase price was borrowed by any Reporting Person for the purpose of acquiring any securities discussed in this Item 3.</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Purpose of Transaction.</w:t>
      </w:r>
    </w:p>
    <w:p>
      <w:pPr>
        <w:spacing w:after="0" w:line="121"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The information set forth in Item 3 of this Statement is incorporated herein by reference. The Reporting Persons hold the securities of the Issuer for general investment purposes. The Reporting Persons may, from time to time, depending on prevailing market, economic and other conditions, acquire additional shares of Common Stock or other securities of the Issuer, dispose of any such securities, or engage in discussions with the Issuer concerning such acquisitions or dispositions or further investments in the Issuer. The Reporting Persons intend to review their investment in the Issuer on a continuing basis and, depending upon the price and availability of shares of Common Stock or other securities of the Issuer, subsequent developments affecting the Issuer, the Issuer’s business and</w:t>
      </w:r>
    </w:p>
    <w:p>
      <w:pPr>
        <w:sectPr>
          <w:pgSz w:w="11900" w:h="16838" w:orient="portrait"/>
          <w:cols w:equalWidth="0" w:num="1">
            <w:col w:w="11000"/>
          </w:cols>
          <w:pgMar w:left="440" w:top="274" w:right="459" w:bottom="1440" w:gutter="0" w:footer="0" w:header="0"/>
        </w:sectPr>
      </w:pPr>
    </w:p>
    <w:bookmarkStart w:id="14" w:name="page15"/>
    <w:bookmarkEnd w:id="14"/>
    <w:p>
      <w:pPr>
        <w:ind w:left="4" w:right="28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prospects, other investment and business opportunities available to the Reporting Persons, general stock market and economic conditions, tax considerations and other factors considered relevant, may decide at any time to increase or to decrease the size of their investment in the Issuer in the open market, in privately negotiated transactions, pursuant to 10b5-1 trading plans or otherwise.</w:t>
      </w:r>
    </w:p>
    <w:p>
      <w:pPr>
        <w:spacing w:after="0" w:line="184" w:lineRule="exact"/>
        <w:rPr>
          <w:sz w:val="20"/>
          <w:szCs w:val="20"/>
          <w:color w:val="auto"/>
        </w:rPr>
      </w:pPr>
    </w:p>
    <w:p>
      <w:pPr>
        <w:ind w:left="4" w:right="560"/>
        <w:spacing w:after="0" w:line="263" w:lineRule="auto"/>
        <w:rPr>
          <w:sz w:val="20"/>
          <w:szCs w:val="20"/>
          <w:color w:val="auto"/>
        </w:rPr>
      </w:pPr>
      <w:r>
        <w:rPr>
          <w:rFonts w:ascii="Arial" w:cs="Arial" w:eastAsia="Arial" w:hAnsi="Arial"/>
          <w:sz w:val="18"/>
          <w:szCs w:val="18"/>
          <w:color w:val="auto"/>
        </w:rPr>
        <w:t>McGuire is a member of the Board. In addition, McGuire, in his capacity as a director, may be entitled to receive cash compensation and equity compensation, including stock option or other equity awards, pursuant to the Issuer’s non-employee director compensation policy, which became effective upon the effective date of the Registration Statement (as defined below).</w:t>
      </w:r>
    </w:p>
    <w:p>
      <w:pPr>
        <w:spacing w:after="0" w:line="184" w:lineRule="exact"/>
        <w:rPr>
          <w:sz w:val="20"/>
          <w:szCs w:val="20"/>
          <w:color w:val="auto"/>
        </w:rPr>
      </w:pPr>
    </w:p>
    <w:p>
      <w:pPr>
        <w:ind w:left="4" w:right="140"/>
        <w:spacing w:after="0" w:line="277" w:lineRule="auto"/>
        <w:rPr>
          <w:sz w:val="20"/>
          <w:szCs w:val="20"/>
          <w:color w:val="auto"/>
        </w:rPr>
      </w:pPr>
      <w:r>
        <w:rPr>
          <w:rFonts w:ascii="Arial" w:cs="Arial" w:eastAsia="Arial" w:hAnsi="Arial"/>
          <w:sz w:val="18"/>
          <w:szCs w:val="18"/>
          <w:color w:val="auto"/>
        </w:rPr>
        <w:t>Except as set forth above, the Reporting Persons have no present plans or intentions which would result in or relate to any of the transactions described in subparagraphs (a) through (j) of Item 4 of Schedule 13D.</w:t>
      </w:r>
    </w:p>
    <w:p>
      <w:pPr>
        <w:spacing w:after="0" w:line="274"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Item 5. Interest in Securities of the Issuer.</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color w:val="auto"/>
        </w:rPr>
        <w:t>(a) and (b) See Items 7-11 of the cover pages of this Statement and Item 2 above.</w:t>
      </w:r>
    </w:p>
    <w:p>
      <w:pPr>
        <w:spacing w:after="0" w:line="225" w:lineRule="exact"/>
        <w:rPr>
          <w:sz w:val="20"/>
          <w:szCs w:val="20"/>
          <w:color w:val="auto"/>
        </w:rPr>
      </w:pPr>
    </w:p>
    <w:p>
      <w:pPr>
        <w:ind w:left="244" w:hanging="244"/>
        <w:spacing w:after="0"/>
        <w:tabs>
          <w:tab w:leader="none" w:pos="244" w:val="left"/>
        </w:tabs>
        <w:numPr>
          <w:ilvl w:val="0"/>
          <w:numId w:val="91"/>
        </w:numPr>
        <w:rPr>
          <w:rFonts w:ascii="Arial" w:cs="Arial" w:eastAsia="Arial" w:hAnsi="Arial"/>
          <w:sz w:val="16"/>
          <w:szCs w:val="16"/>
          <w:color w:val="auto"/>
        </w:rPr>
      </w:pPr>
      <w:r>
        <w:rPr>
          <w:rFonts w:ascii="Arial" w:cs="Arial" w:eastAsia="Arial" w:hAnsi="Arial"/>
          <w:sz w:val="16"/>
          <w:szCs w:val="16"/>
          <w:color w:val="auto"/>
        </w:rPr>
        <w:t>Except as reported in this Statement, none of the Reporting Persons has effected any transactions in the Issuer’s securities within the past 60 days.</w:t>
      </w:r>
    </w:p>
    <w:p>
      <w:pPr>
        <w:spacing w:after="0" w:line="248" w:lineRule="exact"/>
        <w:rPr>
          <w:rFonts w:ascii="Arial" w:cs="Arial" w:eastAsia="Arial" w:hAnsi="Arial"/>
          <w:sz w:val="16"/>
          <w:szCs w:val="16"/>
          <w:color w:val="auto"/>
        </w:rPr>
      </w:pPr>
    </w:p>
    <w:p>
      <w:pPr>
        <w:ind w:left="4" w:right="180" w:hanging="4"/>
        <w:spacing w:after="0" w:line="263" w:lineRule="auto"/>
        <w:tabs>
          <w:tab w:leader="none" w:pos="259" w:val="left"/>
        </w:tabs>
        <w:numPr>
          <w:ilvl w:val="0"/>
          <w:numId w:val="91"/>
        </w:numPr>
        <w:rPr>
          <w:rFonts w:ascii="Arial" w:cs="Arial" w:eastAsia="Arial" w:hAnsi="Arial"/>
          <w:sz w:val="18"/>
          <w:szCs w:val="18"/>
          <w:color w:val="auto"/>
        </w:rPr>
      </w:pPr>
      <w:r>
        <w:rPr>
          <w:rFonts w:ascii="Arial" w:cs="Arial" w:eastAsia="Arial" w:hAnsi="Arial"/>
          <w:sz w:val="18"/>
          <w:szCs w:val="18"/>
          <w:color w:val="auto"/>
        </w:rPr>
        <w:t>Under certain circumstances set forth in the limited partnership agreements each of Polaris V, Polaris EF V, Polaris FF V, Polaris SFF V, Polaris IX and Polaris HCT, the general partner and limited partners of each such entities may be deemed to have the right to receive dividends from, or the proceeds from, the sale of shares of the Issuer owned by such entity of which they are a partner.</w:t>
      </w:r>
    </w:p>
    <w:p>
      <w:pPr>
        <w:spacing w:after="0" w:line="183" w:lineRule="exact"/>
        <w:rPr>
          <w:rFonts w:ascii="Arial" w:cs="Arial" w:eastAsia="Arial" w:hAnsi="Arial"/>
          <w:sz w:val="18"/>
          <w:szCs w:val="18"/>
          <w:color w:val="auto"/>
        </w:rPr>
      </w:pPr>
    </w:p>
    <w:p>
      <w:pPr>
        <w:ind w:left="244" w:hanging="244"/>
        <w:spacing w:after="0"/>
        <w:tabs>
          <w:tab w:leader="none" w:pos="244" w:val="left"/>
        </w:tabs>
        <w:numPr>
          <w:ilvl w:val="0"/>
          <w:numId w:val="91"/>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32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Item 6. Contracts, Arrangements, Understandings or Relationships With Respect to Securities of the Issuer.</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information set forth in Items 3 and 4 of this Statement is incorporated herein by reference.</w:t>
      </w:r>
    </w:p>
    <w:p>
      <w:pPr>
        <w:spacing w:after="0" w:line="225" w:lineRule="exact"/>
        <w:rPr>
          <w:sz w:val="20"/>
          <w:szCs w:val="20"/>
          <w:color w:val="auto"/>
        </w:rPr>
      </w:pPr>
    </w:p>
    <w:p>
      <w:pPr>
        <w:ind w:left="4"/>
        <w:spacing w:after="0" w:line="254" w:lineRule="auto"/>
        <w:rPr>
          <w:sz w:val="20"/>
          <w:szCs w:val="20"/>
          <w:color w:val="auto"/>
        </w:rPr>
      </w:pPr>
      <w:r>
        <w:rPr>
          <w:rFonts w:ascii="Arial" w:cs="Arial" w:eastAsia="Arial" w:hAnsi="Arial"/>
          <w:sz w:val="18"/>
          <w:szCs w:val="18"/>
          <w:color w:val="auto"/>
        </w:rPr>
        <w:t>In connection with its purchase of shares of the Issuer’s Series C preferred stock, each of Polaris V, Polaris EF V, Polaris FF V, Polaris SFF V, Polaris IX, Polaris HCT and certain of the Issuer’s other investors entered into a Second Amended and Restated Investors’ Rights Agreement, dated April 16, 2021, with the Issuer (the “</w:t>
      </w:r>
      <w:r>
        <w:rPr>
          <w:rFonts w:ascii="Arial" w:cs="Arial" w:eastAsia="Arial" w:hAnsi="Arial"/>
          <w:sz w:val="18"/>
          <w:szCs w:val="18"/>
          <w:u w:val="single" w:color="auto"/>
          <w:color w:val="auto"/>
        </w:rPr>
        <w:t>Rights Agreement</w:t>
      </w:r>
      <w:r>
        <w:rPr>
          <w:rFonts w:ascii="Arial" w:cs="Arial" w:eastAsia="Arial" w:hAnsi="Arial"/>
          <w:sz w:val="18"/>
          <w:szCs w:val="18"/>
          <w:color w:val="auto"/>
        </w:rPr>
        <w:t>”). After the closing of the Offering, the stockholders party thereto are entitled to certain registration rights, including the right to demand that that the Issuer file a registration statement or request that their shares be covered by a registration statement that the Issuer is otherwise filing. The terms and provisions of the Rights Agreement are described more fully in the Issuer’s Registration Statement on Form S-1 (File No. 333- 257975) declared effective by the Commission on August 5, 2021 (the “</w:t>
      </w:r>
      <w:r>
        <w:rPr>
          <w:rFonts w:ascii="Arial" w:cs="Arial" w:eastAsia="Arial" w:hAnsi="Arial"/>
          <w:sz w:val="18"/>
          <w:szCs w:val="18"/>
          <w:u w:val="single" w:color="auto"/>
          <w:color w:val="auto"/>
        </w:rPr>
        <w:t>Registration Statement</w:t>
      </w:r>
      <w:r>
        <w:rPr>
          <w:rFonts w:ascii="Arial" w:cs="Arial" w:eastAsia="Arial" w:hAnsi="Arial"/>
          <w:sz w:val="18"/>
          <w:szCs w:val="18"/>
          <w:color w:val="auto"/>
        </w:rPr>
        <w:t xml:space="preserve">”), and the above summary is qualified by reference to such description and the full text of the Rights Agreement, which is filed as </w:t>
      </w:r>
      <w:r>
        <w:rPr>
          <w:rFonts w:ascii="Arial" w:cs="Arial" w:eastAsia="Arial" w:hAnsi="Arial"/>
          <w:sz w:val="18"/>
          <w:szCs w:val="18"/>
          <w:u w:val="single" w:color="auto"/>
          <w:color w:val="auto"/>
        </w:rPr>
        <w:t>Exhibit 2</w:t>
      </w:r>
      <w:r>
        <w:rPr>
          <w:rFonts w:ascii="Arial" w:cs="Arial" w:eastAsia="Arial" w:hAnsi="Arial"/>
          <w:sz w:val="18"/>
          <w:szCs w:val="18"/>
          <w:color w:val="auto"/>
        </w:rPr>
        <w:t xml:space="preserve"> to this Statement and is incorporated herein by reference.</w:t>
      </w:r>
    </w:p>
    <w:p>
      <w:pPr>
        <w:spacing w:after="0" w:line="192" w:lineRule="exact"/>
        <w:rPr>
          <w:sz w:val="20"/>
          <w:szCs w:val="20"/>
          <w:color w:val="auto"/>
        </w:rPr>
      </w:pPr>
    </w:p>
    <w:p>
      <w:pPr>
        <w:ind w:left="4"/>
        <w:spacing w:after="0" w:line="255" w:lineRule="auto"/>
        <w:rPr>
          <w:sz w:val="20"/>
          <w:szCs w:val="20"/>
          <w:color w:val="auto"/>
        </w:rPr>
      </w:pPr>
      <w:r>
        <w:rPr>
          <w:rFonts w:ascii="Arial" w:cs="Arial" w:eastAsia="Arial" w:hAnsi="Arial"/>
          <w:sz w:val="18"/>
          <w:szCs w:val="18"/>
          <w:color w:val="auto"/>
        </w:rPr>
        <w:t xml:space="preserve">In connection with the Offering, each of Polaris V, Polaris EF V, Polaris FF V, Polaris SFF V, Polaris IX, Polaris HCT and McGuire entered into a lock-up agreement, pursuant to which each such party agreed, subject to certain exceptions, not to sell, transfer or otherwise convey any of the Issuer’s securities held by each of Polaris V, Polaris EF V, Polaris FF V, Polaris SFF V, Polaris IX, and Polaris HCT, respectively, for 180 days following the date of the final prospectus for the Offering. The terms and provisions of such lock-up agreement are described more fully in the Registration Statement, and the above summary is qualified by reference to such description and the full text of the lock-up agreement, a form of which is filed as </w:t>
      </w:r>
      <w:r>
        <w:rPr>
          <w:rFonts w:ascii="Arial" w:cs="Arial" w:eastAsia="Arial" w:hAnsi="Arial"/>
          <w:sz w:val="18"/>
          <w:szCs w:val="18"/>
          <w:u w:val="single" w:color="auto"/>
          <w:color w:val="auto"/>
        </w:rPr>
        <w:t>Exhibit 3</w:t>
      </w:r>
      <w:r>
        <w:rPr>
          <w:rFonts w:ascii="Arial" w:cs="Arial" w:eastAsia="Arial" w:hAnsi="Arial"/>
          <w:sz w:val="18"/>
          <w:szCs w:val="18"/>
          <w:color w:val="auto"/>
        </w:rPr>
        <w:t xml:space="preserve"> to this Statement and is incorporated herein by reference.</w:t>
      </w:r>
    </w:p>
    <w:p>
      <w:pPr>
        <w:spacing w:after="0" w:line="192" w:lineRule="exact"/>
        <w:rPr>
          <w:sz w:val="20"/>
          <w:szCs w:val="20"/>
          <w:color w:val="auto"/>
        </w:rPr>
      </w:pPr>
    </w:p>
    <w:p>
      <w:pPr>
        <w:ind w:left="4" w:right="100"/>
        <w:spacing w:after="0" w:line="296" w:lineRule="auto"/>
        <w:rPr>
          <w:sz w:val="20"/>
          <w:szCs w:val="20"/>
          <w:color w:val="auto"/>
        </w:rPr>
      </w:pPr>
      <w:r>
        <w:rPr>
          <w:rFonts w:ascii="Arial" w:cs="Arial" w:eastAsia="Arial" w:hAnsi="Arial"/>
          <w:sz w:val="16"/>
          <w:szCs w:val="16"/>
          <w:color w:val="auto"/>
        </w:rPr>
        <w:t xml:space="preserve">The Issuer has entered into an indemnification agreement with each of its directors and executive officers, including McGuire. The indemnification agreement requires the Issuer, among other things, to indemnify McGuire for some expenses, including attorneys’ fees, judgments, fines and settlement amounts incurred by McGuire in any action or proceeding arising out of his service as a director. The terms and provisions of the indemnification agreement are described more fully in the Registration Statement, and the above summary is qualified by reference to such description and the full text of the indemnification agreement, a form of which is filed as </w:t>
      </w:r>
      <w:r>
        <w:rPr>
          <w:rFonts w:ascii="Arial" w:cs="Arial" w:eastAsia="Arial" w:hAnsi="Arial"/>
          <w:sz w:val="16"/>
          <w:szCs w:val="16"/>
          <w:u w:val="single" w:color="auto"/>
          <w:color w:val="auto"/>
        </w:rPr>
        <w:t>Exhibit 4</w:t>
      </w:r>
      <w:r>
        <w:rPr>
          <w:rFonts w:ascii="Arial" w:cs="Arial" w:eastAsia="Arial" w:hAnsi="Arial"/>
          <w:sz w:val="16"/>
          <w:szCs w:val="16"/>
          <w:color w:val="auto"/>
        </w:rPr>
        <w:t xml:space="preserve"> to this Statement and is incorporated herein by reference.</w:t>
      </w:r>
    </w:p>
    <w:p>
      <w:pPr>
        <w:sectPr>
          <w:pgSz w:w="11900" w:h="16838" w:orient="portrait"/>
          <w:cols w:equalWidth="0" w:num="1">
            <w:col w:w="11004"/>
          </w:cols>
          <w:pgMar w:left="436" w:top="274" w:right="459" w:bottom="1440" w:gutter="0" w:footer="0" w:header="0"/>
        </w:sectPr>
      </w:pPr>
    </w:p>
    <w:bookmarkStart w:id="15" w:name="page16"/>
    <w:bookmarkEnd w:id="15"/>
    <w:p>
      <w:pPr>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McGuire, in his capacity as a director, may be entitled to receive cash compensation and equity compensation, including stock option or other equity awards, pursuant to each of the Issuer’s 2021 Equity Incentive Plan (the “</w:t>
      </w:r>
      <w:r>
        <w:rPr>
          <w:rFonts w:ascii="Arial" w:cs="Arial" w:eastAsia="Arial" w:hAnsi="Arial"/>
          <w:sz w:val="17"/>
          <w:szCs w:val="17"/>
          <w:u w:val="single" w:color="auto"/>
          <w:color w:val="auto"/>
        </w:rPr>
        <w:t>Option Plan</w:t>
      </w:r>
      <w:r>
        <w:rPr>
          <w:rFonts w:ascii="Arial" w:cs="Arial" w:eastAsia="Arial" w:hAnsi="Arial"/>
          <w:sz w:val="17"/>
          <w:szCs w:val="17"/>
          <w:color w:val="auto"/>
        </w:rPr>
        <w:t>”), and the Issuer’s non-employee director compensation policy (the “</w:t>
      </w:r>
      <w:r>
        <w:rPr>
          <w:rFonts w:ascii="Arial" w:cs="Arial" w:eastAsia="Arial" w:hAnsi="Arial"/>
          <w:sz w:val="17"/>
          <w:szCs w:val="17"/>
          <w:u w:val="single" w:color="auto"/>
          <w:color w:val="auto"/>
        </w:rPr>
        <w:t>Compensation Plan</w:t>
      </w:r>
      <w:r>
        <w:rPr>
          <w:rFonts w:ascii="Arial" w:cs="Arial" w:eastAsia="Arial" w:hAnsi="Arial"/>
          <w:sz w:val="17"/>
          <w:szCs w:val="17"/>
          <w:color w:val="auto"/>
        </w:rPr>
        <w:t xml:space="preserve">”). The terms and provisions of the Option Plan and the Compensation Plan are described in the Registration Statement and the full text of which is filed as </w:t>
      </w:r>
      <w:r>
        <w:rPr>
          <w:rFonts w:ascii="Arial" w:cs="Arial" w:eastAsia="Arial" w:hAnsi="Arial"/>
          <w:sz w:val="17"/>
          <w:szCs w:val="17"/>
          <w:u w:val="single" w:color="auto"/>
          <w:color w:val="auto"/>
        </w:rPr>
        <w:t>Exhibit 5</w:t>
      </w:r>
      <w:r>
        <w:rPr>
          <w:rFonts w:ascii="Arial" w:cs="Arial" w:eastAsia="Arial" w:hAnsi="Arial"/>
          <w:sz w:val="17"/>
          <w:szCs w:val="17"/>
          <w:color w:val="auto"/>
        </w:rPr>
        <w:t xml:space="preserve"> to this Statement and is incorporated herein by reference.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Material to be Filed as Exhibits.</w:t>
      </w:r>
    </w:p>
    <w:p>
      <w:pPr>
        <w:spacing w:after="0" w:line="256"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color w:val="auto"/>
        </w:rPr>
        <w:t>Exhibit 1:</w:t>
      </w:r>
      <w:r>
        <w:rPr>
          <w:sz w:val="20"/>
          <w:szCs w:val="20"/>
          <w:color w:val="auto"/>
        </w:rPr>
        <w:tab/>
      </w:r>
      <w:r>
        <w:rPr>
          <w:rFonts w:ascii="Arial" w:cs="Arial" w:eastAsia="Arial" w:hAnsi="Arial"/>
          <w:sz w:val="16"/>
          <w:szCs w:val="16"/>
          <w:color w:val="auto"/>
        </w:rPr>
        <w:t>Joint Filing Agreement, dated August 20, 2021, by and among the Reporting Persons (filed herewith).</w:t>
      </w:r>
    </w:p>
    <w:p>
      <w:pPr>
        <w:spacing w:after="0" w:line="117" w:lineRule="exact"/>
        <w:rPr>
          <w:sz w:val="20"/>
          <w:szCs w:val="20"/>
          <w:color w:val="auto"/>
        </w:rPr>
      </w:pPr>
    </w:p>
    <w:p>
      <w:pPr>
        <w:ind w:left="1100" w:right="380" w:hanging="1106"/>
        <w:spacing w:after="0" w:line="263" w:lineRule="auto"/>
        <w:tabs>
          <w:tab w:leader="none" w:pos="1080" w:val="left"/>
        </w:tabs>
        <w:rPr>
          <w:sz w:val="20"/>
          <w:szCs w:val="20"/>
          <w:color w:val="auto"/>
        </w:rPr>
      </w:pPr>
      <w:r>
        <w:rPr>
          <w:rFonts w:ascii="Arial" w:cs="Arial" w:eastAsia="Arial" w:hAnsi="Arial"/>
          <w:sz w:val="18"/>
          <w:szCs w:val="18"/>
          <w:color w:val="auto"/>
        </w:rPr>
        <w:t>Exhibit 2:</w:t>
      </w:r>
      <w:r>
        <w:rPr>
          <w:sz w:val="20"/>
          <w:szCs w:val="20"/>
          <w:color w:val="auto"/>
        </w:rPr>
        <w:tab/>
      </w:r>
      <w:r>
        <w:rPr>
          <w:rFonts w:ascii="Arial" w:cs="Arial" w:eastAsia="Arial" w:hAnsi="Arial"/>
          <w:sz w:val="18"/>
          <w:szCs w:val="18"/>
          <w:color w:val="auto"/>
        </w:rPr>
        <w:t>Second Amended and Restated Investors’ Rights Agreement, dated April 16, 2021, by and among the Issuer and certain of its stockholders (filed as Exhibit 4.1 to the Issuer’s Registration Statement on Form S-1 as filed with the Commission on July 16, 2021 (SEC File No. 333-257975) and incorporated herein by reference).</w:t>
      </w:r>
    </w:p>
    <w:p>
      <w:pPr>
        <w:spacing w:after="0" w:line="76" w:lineRule="exact"/>
        <w:rPr>
          <w:sz w:val="20"/>
          <w:szCs w:val="20"/>
          <w:color w:val="auto"/>
        </w:rPr>
      </w:pPr>
    </w:p>
    <w:p>
      <w:pPr>
        <w:jc w:val="both"/>
        <w:ind w:left="1100" w:right="320" w:hanging="1106"/>
        <w:spacing w:after="0" w:line="263" w:lineRule="auto"/>
        <w:tabs>
          <w:tab w:leader="none" w:pos="1080" w:val="left"/>
        </w:tabs>
        <w:rPr>
          <w:sz w:val="20"/>
          <w:szCs w:val="20"/>
          <w:color w:val="auto"/>
        </w:rPr>
      </w:pPr>
      <w:r>
        <w:rPr>
          <w:rFonts w:ascii="Arial" w:cs="Arial" w:eastAsia="Arial" w:hAnsi="Arial"/>
          <w:sz w:val="18"/>
          <w:szCs w:val="18"/>
          <w:color w:val="auto"/>
        </w:rPr>
        <w:t>Exhibit 3:</w:t>
      </w:r>
      <w:r>
        <w:rPr>
          <w:sz w:val="20"/>
          <w:szCs w:val="20"/>
          <w:color w:val="auto"/>
        </w:rPr>
        <w:tab/>
      </w:r>
      <w:r>
        <w:rPr>
          <w:rFonts w:ascii="Arial" w:cs="Arial" w:eastAsia="Arial" w:hAnsi="Arial"/>
          <w:sz w:val="18"/>
          <w:szCs w:val="18"/>
          <w:color w:val="auto"/>
        </w:rPr>
        <w:t>Form of Lock-Up Agreement for certain directors, officers and other stockholders of the Issuer (included as Exhibit A to the form of Underwriting Agreement filed as Exhibit 1.1 to the Issuer’s Registration Statement on Form S-1/A as filed with the Commission on August 2, 2021 (SEC File No. 333-257975) and incorporated herein by reference).</w:t>
      </w:r>
    </w:p>
    <w:p>
      <w:pPr>
        <w:spacing w:after="0" w:line="76" w:lineRule="exact"/>
        <w:rPr>
          <w:sz w:val="20"/>
          <w:szCs w:val="20"/>
          <w:color w:val="auto"/>
        </w:rPr>
      </w:pPr>
    </w:p>
    <w:p>
      <w:pPr>
        <w:ind w:left="1100" w:right="240" w:hanging="1106"/>
        <w:spacing w:after="0" w:line="263" w:lineRule="auto"/>
        <w:tabs>
          <w:tab w:leader="none" w:pos="1080" w:val="left"/>
        </w:tabs>
        <w:rPr>
          <w:sz w:val="20"/>
          <w:szCs w:val="20"/>
          <w:color w:val="auto"/>
        </w:rPr>
      </w:pPr>
      <w:r>
        <w:rPr>
          <w:rFonts w:ascii="Arial" w:cs="Arial" w:eastAsia="Arial" w:hAnsi="Arial"/>
          <w:sz w:val="18"/>
          <w:szCs w:val="18"/>
          <w:color w:val="auto"/>
        </w:rPr>
        <w:t>Exhibit 4:</w:t>
      </w:r>
      <w:r>
        <w:rPr>
          <w:sz w:val="20"/>
          <w:szCs w:val="20"/>
          <w:color w:val="auto"/>
        </w:rPr>
        <w:tab/>
      </w:r>
      <w:r>
        <w:rPr>
          <w:rFonts w:ascii="Arial" w:cs="Arial" w:eastAsia="Arial" w:hAnsi="Arial"/>
          <w:sz w:val="18"/>
          <w:szCs w:val="18"/>
          <w:color w:val="auto"/>
        </w:rPr>
        <w:t>Form of Indemnification Agreement by and between the Issuer and its directors and officers (filed as Exhibit 10.4 to the Issuer’s Registration Statement on Form S-1/A as filed with the Commission on August 2, 2021 (SEC File No. 333-257975) and incorporated herein by reference).</w:t>
      </w:r>
    </w:p>
    <w:p>
      <w:pPr>
        <w:spacing w:after="0" w:line="76" w:lineRule="exact"/>
        <w:rPr>
          <w:sz w:val="20"/>
          <w:szCs w:val="20"/>
          <w:color w:val="auto"/>
        </w:rPr>
      </w:pPr>
    </w:p>
    <w:p>
      <w:pPr>
        <w:ind w:left="1100" w:right="80" w:hanging="1106"/>
        <w:spacing w:after="0" w:line="277" w:lineRule="auto"/>
        <w:tabs>
          <w:tab w:leader="none" w:pos="1080" w:val="left"/>
        </w:tabs>
        <w:rPr>
          <w:sz w:val="20"/>
          <w:szCs w:val="20"/>
          <w:color w:val="auto"/>
        </w:rPr>
      </w:pPr>
      <w:r>
        <w:rPr>
          <w:rFonts w:ascii="Arial" w:cs="Arial" w:eastAsia="Arial" w:hAnsi="Arial"/>
          <w:sz w:val="18"/>
          <w:szCs w:val="18"/>
          <w:color w:val="auto"/>
        </w:rPr>
        <w:t>Exhibit 5:</w:t>
      </w:r>
      <w:r>
        <w:rPr>
          <w:sz w:val="20"/>
          <w:szCs w:val="20"/>
          <w:color w:val="auto"/>
        </w:rPr>
        <w:tab/>
      </w:r>
      <w:r>
        <w:rPr>
          <w:rFonts w:ascii="Arial" w:cs="Arial" w:eastAsia="Arial" w:hAnsi="Arial"/>
          <w:sz w:val="18"/>
          <w:szCs w:val="18"/>
          <w:color w:val="auto"/>
        </w:rPr>
        <w:t>2021 Equity Incentive Plan (filed as Exhibit 10.2 to the Issuer’s Registration Statement on Form S-1/A as filed with the Commission on August 2, 2021 (SEC File No. 333-257975) and incorporated herein by reference).</w:t>
      </w:r>
    </w:p>
    <w:p>
      <w:pPr>
        <w:sectPr>
          <w:pgSz w:w="11900" w:h="16838" w:orient="portrait"/>
          <w:cols w:equalWidth="0" w:num="1">
            <w:col w:w="10960"/>
          </w:cols>
          <w:pgMar w:left="440" w:top="274" w:right="499" w:bottom="1440" w:gutter="0" w:footer="0" w:header="0"/>
        </w:sectPr>
      </w:pPr>
    </w:p>
    <w:bookmarkStart w:id="16" w:name="page17"/>
    <w:bookmarkEnd w:id="16"/>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w:t>
      </w:r>
    </w:p>
    <w:p>
      <w:pPr>
        <w:spacing w:after="0" w:line="229"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August 20, 2021</w:t>
      </w:r>
    </w:p>
    <w:p>
      <w:pPr>
        <w:spacing w:after="0" w:line="25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POLARIS VENTURE PARTNERS V, L.P.</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Polaris Venture Management Co. V, L.L.C.</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4472305</wp:posOffset>
            </wp:positionH>
            <wp:positionV relativeFrom="paragraph">
              <wp:posOffset>14605</wp:posOffset>
            </wp:positionV>
            <wp:extent cx="252031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520315" cy="8255"/>
                    </a:xfrm>
                    <a:prstGeom prst="rect">
                      <a:avLst/>
                    </a:prstGeom>
                    <a:noFill/>
                  </pic:spPr>
                </pic:pic>
              </a:graphicData>
            </a:graphic>
          </wp:anchor>
        </w:drawing>
      </w:r>
    </w:p>
    <w:p>
      <w:pPr>
        <w:spacing w:after="0" w:line="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Authorized Signatory</w:t>
      </w:r>
    </w:p>
    <w:p>
      <w:pPr>
        <w:spacing w:after="0" w:line="251" w:lineRule="exact"/>
        <w:rPr>
          <w:sz w:val="20"/>
          <w:szCs w:val="20"/>
          <w:color w:val="auto"/>
        </w:rPr>
      </w:pPr>
    </w:p>
    <w:p>
      <w:pPr>
        <w:ind w:left="6620"/>
        <w:spacing w:after="0"/>
        <w:rPr>
          <w:sz w:val="20"/>
          <w:szCs w:val="20"/>
          <w:color w:val="auto"/>
        </w:rPr>
      </w:pPr>
      <w:r>
        <w:rPr>
          <w:rFonts w:ascii="Arial" w:cs="Arial" w:eastAsia="Arial" w:hAnsi="Arial"/>
          <w:sz w:val="17"/>
          <w:szCs w:val="17"/>
          <w:color w:val="auto"/>
        </w:rPr>
        <w:t>POLARIS VENTURE PARTNERS ENTREPRENEURS’</w:t>
      </w:r>
    </w:p>
    <w:p>
      <w:pPr>
        <w:spacing w:after="0" w:line="3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FUND V, L.P.</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Polaris Venture Management Co. V, L.L.C.</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4472305</wp:posOffset>
            </wp:positionH>
            <wp:positionV relativeFrom="paragraph">
              <wp:posOffset>14605</wp:posOffset>
            </wp:positionV>
            <wp:extent cx="252031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520315" cy="8255"/>
                    </a:xfrm>
                    <a:prstGeom prst="rect">
                      <a:avLst/>
                    </a:prstGeom>
                    <a:noFill/>
                  </pic:spPr>
                </pic:pic>
              </a:graphicData>
            </a:graphic>
          </wp:anchor>
        </w:drawing>
      </w:r>
    </w:p>
    <w:p>
      <w:pPr>
        <w:spacing w:after="0" w:line="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Authorized Signatory</w:t>
      </w:r>
    </w:p>
    <w:p>
      <w:pPr>
        <w:spacing w:after="0" w:line="251" w:lineRule="exact"/>
        <w:rPr>
          <w:sz w:val="20"/>
          <w:szCs w:val="20"/>
          <w:color w:val="auto"/>
        </w:rPr>
      </w:pPr>
    </w:p>
    <w:p>
      <w:pPr>
        <w:ind w:left="6620"/>
        <w:spacing w:after="0"/>
        <w:rPr>
          <w:sz w:val="20"/>
          <w:szCs w:val="20"/>
          <w:color w:val="auto"/>
        </w:rPr>
      </w:pPr>
      <w:r>
        <w:rPr>
          <w:rFonts w:ascii="Arial" w:cs="Arial" w:eastAsia="Arial" w:hAnsi="Arial"/>
          <w:sz w:val="17"/>
          <w:szCs w:val="17"/>
          <w:color w:val="auto"/>
        </w:rPr>
        <w:t>POLARIS VENTURE PARTNERS FOUNDERS’ FUND V,</w:t>
      </w:r>
    </w:p>
    <w:p>
      <w:pPr>
        <w:spacing w:after="0" w:line="3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L.P.</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Polaris Venture Management Co. V, L.L.C.</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4472305</wp:posOffset>
            </wp:positionH>
            <wp:positionV relativeFrom="paragraph">
              <wp:posOffset>14605</wp:posOffset>
            </wp:positionV>
            <wp:extent cx="252031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520315" cy="8255"/>
                    </a:xfrm>
                    <a:prstGeom prst="rect">
                      <a:avLst/>
                    </a:prstGeom>
                    <a:noFill/>
                  </pic:spPr>
                </pic:pic>
              </a:graphicData>
            </a:graphic>
          </wp:anchor>
        </w:drawing>
      </w:r>
    </w:p>
    <w:p>
      <w:pPr>
        <w:spacing w:after="0" w:line="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Authorized Signatory</w:t>
      </w:r>
    </w:p>
    <w:p>
      <w:pPr>
        <w:spacing w:after="0" w:line="25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POLARIS VENTURE PARTNERS SPECIAL</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FOUNDERS’ FUND V, L.P.</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Polaris Venture Management Co. V, L.L.C.</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4472305</wp:posOffset>
            </wp:positionH>
            <wp:positionV relativeFrom="paragraph">
              <wp:posOffset>14605</wp:posOffset>
            </wp:positionV>
            <wp:extent cx="252031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520315" cy="8890"/>
                    </a:xfrm>
                    <a:prstGeom prst="rect">
                      <a:avLst/>
                    </a:prstGeom>
                    <a:noFill/>
                  </pic:spPr>
                </pic:pic>
              </a:graphicData>
            </a:graphic>
          </wp:anchor>
        </w:drawing>
      </w:r>
    </w:p>
    <w:p>
      <w:pPr>
        <w:spacing w:after="0" w:line="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Authorized Signatory</w:t>
      </w:r>
    </w:p>
    <w:p>
      <w:pPr>
        <w:spacing w:after="0" w:line="25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POLARIS VENTURE MANAGEMENT CO. V, L.L.C.</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4472305</wp:posOffset>
            </wp:positionH>
            <wp:positionV relativeFrom="paragraph">
              <wp:posOffset>14605</wp:posOffset>
            </wp:positionV>
            <wp:extent cx="252031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520315" cy="8890"/>
                    </a:xfrm>
                    <a:prstGeom prst="rect">
                      <a:avLst/>
                    </a:prstGeom>
                    <a:noFill/>
                  </pic:spPr>
                </pic:pic>
              </a:graphicData>
            </a:graphic>
          </wp:anchor>
        </w:drawing>
      </w:r>
    </w:p>
    <w:p>
      <w:pPr>
        <w:spacing w:after="0" w:line="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Authorized Signatory</w:t>
      </w:r>
    </w:p>
    <w:p>
      <w:pPr>
        <w:spacing w:after="0" w:line="25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POLARIS PARTNERS IX, L.P.</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Polaris Partners GP IX, L.L.C.</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Lauren Crockett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14605</wp:posOffset>
            </wp:positionV>
            <wp:extent cx="259715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Lauren Crockett</w:t>
      </w:r>
    </w:p>
    <w:p>
      <w:pPr>
        <w:spacing w:after="0" w:line="23"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Title:</w:t>
        <w:tab/>
        <w:t>General Counsel</w:t>
      </w:r>
    </w:p>
    <w:p>
      <w:pPr>
        <w:spacing w:after="0" w:line="238"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POLARIS PARTNERS GP IX, L.L.C.</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Lauren Crockett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14605</wp:posOffset>
            </wp:positionV>
            <wp:extent cx="259715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Lauren Crockett</w:t>
      </w:r>
    </w:p>
    <w:p>
      <w:pPr>
        <w:spacing w:after="0" w:line="23"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Title:</w:t>
        <w:tab/>
        <w:t>General Counsel</w:t>
      </w:r>
    </w:p>
    <w:p>
      <w:pPr>
        <w:spacing w:after="0" w:line="238"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POLARIS HEALTHCARE TECHNOLOGY</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OPPORTUNITIES FUND, L.P.</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6"/>
          <w:szCs w:val="16"/>
          <w:color w:val="auto"/>
        </w:rPr>
        <w:t>By: Polaris Healthcare Technology Opportunities Fund GP,</w:t>
      </w:r>
    </w:p>
    <w:p>
      <w:pPr>
        <w:spacing w:after="0" w:line="3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L.L.C.</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Lauren Crockett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14605</wp:posOffset>
            </wp:positionV>
            <wp:extent cx="259715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Lauren Crockett</w:t>
      </w:r>
    </w:p>
    <w:p>
      <w:pPr>
        <w:spacing w:after="0" w:line="23"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Title:</w:t>
        <w:tab/>
        <w:t>General Counsel</w:t>
      </w:r>
    </w:p>
    <w:p>
      <w:pPr>
        <w:sectPr>
          <w:pgSz w:w="11900" w:h="16838" w:orient="portrait"/>
          <w:cols w:equalWidth="0" w:num="1">
            <w:col w:w="10960"/>
          </w:cols>
          <w:pgMar w:left="440" w:top="270" w:right="499" w:bottom="1440" w:gutter="0" w:footer="0" w:header="0"/>
        </w:sectPr>
      </w:pPr>
    </w:p>
    <w:bookmarkStart w:id="17" w:name="page18"/>
    <w:bookmarkEnd w:id="17"/>
    <w:p>
      <w:pPr>
        <w:ind w:left="66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POLARIS HEALTHCARE TECHNOLOGY</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OPPORTUNITIES FUND GP, L.L.C.</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Lauren Crockett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14605</wp:posOffset>
            </wp:positionV>
            <wp:extent cx="259715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Lauren Crockett</w:t>
      </w:r>
    </w:p>
    <w:p>
      <w:pPr>
        <w:spacing w:after="0" w:line="23"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Title:</w:t>
        <w:tab/>
        <w:t>General Counsel</w:t>
      </w:r>
    </w:p>
    <w:p>
      <w:pPr>
        <w:spacing w:after="0" w:line="238"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TERRANCE MCGUIRE</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4472305</wp:posOffset>
            </wp:positionH>
            <wp:positionV relativeFrom="paragraph">
              <wp:posOffset>14605</wp:posOffset>
            </wp:positionV>
            <wp:extent cx="252031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520315" cy="8255"/>
                    </a:xfrm>
                    <a:prstGeom prst="rect">
                      <a:avLst/>
                    </a:prstGeom>
                    <a:noFill/>
                  </pic:spPr>
                </pic:pic>
              </a:graphicData>
            </a:graphic>
          </wp:anchor>
        </w:drawing>
      </w:r>
    </w:p>
    <w:p>
      <w:pPr>
        <w:spacing w:after="0" w:line="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Authorized Signatory</w:t>
      </w:r>
    </w:p>
    <w:p>
      <w:pPr>
        <w:spacing w:after="0" w:line="25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JONATHAN FLINT</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4472305</wp:posOffset>
            </wp:positionH>
            <wp:positionV relativeFrom="paragraph">
              <wp:posOffset>14605</wp:posOffset>
            </wp:positionV>
            <wp:extent cx="252031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520315" cy="8255"/>
                    </a:xfrm>
                    <a:prstGeom prst="rect">
                      <a:avLst/>
                    </a:prstGeom>
                    <a:noFill/>
                  </pic:spPr>
                </pic:pic>
              </a:graphicData>
            </a:graphic>
          </wp:anchor>
        </w:drawing>
      </w:r>
    </w:p>
    <w:p>
      <w:pPr>
        <w:spacing w:after="0" w:line="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Authorized Signatory</w:t>
      </w:r>
    </w:p>
    <w:p>
      <w:pPr>
        <w:spacing w:after="0" w:line="251"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Lauren Crockett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wp:posOffset>
            </wp:positionH>
            <wp:positionV relativeFrom="paragraph">
              <wp:posOffset>14605</wp:posOffset>
            </wp:positionV>
            <wp:extent cx="243459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434590" cy="8255"/>
                    </a:xfrm>
                    <a:prstGeom prst="rect">
                      <a:avLst/>
                    </a:prstGeom>
                    <a:noFill/>
                  </pic:spPr>
                </pic:pic>
              </a:graphicData>
            </a:graphic>
          </wp:anchor>
        </w:drawing>
      </w:r>
    </w:p>
    <w:p>
      <w:pPr>
        <w:spacing w:after="0" w:line="3" w:lineRule="exact"/>
        <w:rPr>
          <w:sz w:val="20"/>
          <w:szCs w:val="20"/>
          <w:color w:val="auto"/>
        </w:rPr>
      </w:pPr>
    </w:p>
    <w:p>
      <w:pPr>
        <w:jc w:val="right"/>
        <w:ind w:right="9020"/>
        <w:spacing w:after="0"/>
        <w:tabs>
          <w:tab w:leader="none" w:pos="1018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Lauren Crockett</w:t>
      </w:r>
    </w:p>
    <w:p>
      <w:pPr>
        <w:spacing w:after="0" w:line="23" w:lineRule="exact"/>
        <w:rPr>
          <w:sz w:val="20"/>
          <w:szCs w:val="20"/>
          <w:color w:val="auto"/>
        </w:rPr>
      </w:pPr>
    </w:p>
    <w:p>
      <w:pPr>
        <w:jc w:val="right"/>
        <w:ind w:right="9000"/>
        <w:spacing w:after="0"/>
        <w:rPr>
          <w:sz w:val="20"/>
          <w:szCs w:val="20"/>
          <w:color w:val="auto"/>
        </w:rPr>
      </w:pPr>
      <w:r>
        <w:rPr>
          <w:rFonts w:ascii="Arial" w:cs="Arial" w:eastAsia="Arial" w:hAnsi="Arial"/>
          <w:sz w:val="18"/>
          <w:szCs w:val="18"/>
          <w:color w:val="auto"/>
        </w:rPr>
        <w:t>Attorney-in-Fact</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[*This Schedule 13D was executed pursuant to a Power of Attorney. Note that copies of the applicable Powers of Attorney are already on file with the appropriate agencies.]</w:t>
      </w:r>
    </w:p>
    <w:p>
      <w:pPr>
        <w:sectPr>
          <w:pgSz w:w="11900" w:h="16838" w:orient="portrait"/>
          <w:cols w:equalWidth="0" w:num="1">
            <w:col w:w="10820"/>
          </w:cols>
          <w:pgMar w:left="440" w:top="274" w:right="639" w:bottom="1440" w:gutter="0" w:footer="0" w:header="0"/>
        </w:sectPr>
      </w:pPr>
    </w:p>
    <w:bookmarkStart w:id="18" w:name="page19"/>
    <w:bookmarkEnd w:id="18"/>
    <w:p>
      <w:pPr>
        <w:jc w:val="right"/>
        <w:spacing w:after="0"/>
        <w:rPr>
          <w:sz w:val="20"/>
          <w:szCs w:val="20"/>
          <w:color w:val="auto"/>
        </w:rPr>
      </w:pPr>
      <w:r>
        <w:rPr>
          <w:rFonts w:ascii="Arial" w:cs="Arial" w:eastAsia="Arial" w:hAnsi="Arial"/>
          <w:sz w:val="18"/>
          <w:szCs w:val="18"/>
          <w:b w:val="1"/>
          <w:bCs w:val="1"/>
          <w:color w:val="auto"/>
        </w:rPr>
        <w:t>Exhibit 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JOINT FILING AGREEMENT</w:t>
      </w:r>
    </w:p>
    <w:p>
      <w:pPr>
        <w:spacing w:after="0" w:line="229"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The undersigned hereby agree that the foregoing statement on Schedule 13D is filed on behalf of each of the undersigned, and any amendments thereto executed by the undersigned shall be filed on behalf of each of the undersigned without the necessity of filing any additional joint filing agreement. The undersigned acknowledge that each is responsible for the timely filing of such statement on Schedule 13D and any amendments thereto, and for the completeness and accuracy of the information concerning him, her or it contained therein, but shall not be responsible for the completeness or accuracy of the information concerning the others of the undersigned, except to the extent that it knows or has reason to believe that such information is inaccurate or incomplete. This Joint Filing Agreement may be executed in any number of counterparts, all of which taken together shall constitute one and the same instrument.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Dated: August 20, 2021</w:t>
      </w:r>
    </w:p>
    <w:p>
      <w:pPr>
        <w:spacing w:after="0" w:line="25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POLARIS VENTURE PARTNERS V, L.P.</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Polaris Venture Management Co. V, L.L.C.</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*_____________________________________</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Authorized Signatory</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7"/>
          <w:szCs w:val="17"/>
          <w:color w:val="auto"/>
        </w:rPr>
        <w:t>POLARIS VENTURE PARTNERS ENTREPRENEURS’</w:t>
      </w:r>
    </w:p>
    <w:p>
      <w:pPr>
        <w:spacing w:after="0" w:line="3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FUND V, L.P.</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Polaris Venture Management Co. V, L.L.C.</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*_____________________________________</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Authorized Signatory</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7"/>
          <w:szCs w:val="17"/>
          <w:color w:val="auto"/>
        </w:rPr>
        <w:t>POLARIS VENTURE PARTNERS FOUNDERS’ FUND V,</w:t>
      </w:r>
    </w:p>
    <w:p>
      <w:pPr>
        <w:spacing w:after="0" w:line="3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L.P.</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Polaris Venture Management Co. V, L.L.C.</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*_____________________________________</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Authorized Signatory</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POLARIS VENTURE PARTNERS SPECIAL</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FOUNDERS’ FUND V, L.P.</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Polaris Venture Management Co. V, L.L.C.</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*_____________________________________</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Authorized Signatory</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POLARIS VENTURE MANAGEMENT CO. V, L.L.C.</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*_____________________________________</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Authorized Signatory</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POLARIS PARTNERS IX, L.P.</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Polaris Partners GP IX, L.L.C.</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Lauren Crockett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4391660</wp:posOffset>
            </wp:positionH>
            <wp:positionV relativeFrom="paragraph">
              <wp:posOffset>-10160</wp:posOffset>
            </wp:positionV>
            <wp:extent cx="216725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167255" cy="8255"/>
                    </a:xfrm>
                    <a:prstGeom prst="rect">
                      <a:avLst/>
                    </a:prstGeom>
                    <a:noFill/>
                  </pic:spPr>
                </pic:pic>
              </a:graphicData>
            </a:graphic>
          </wp:anchor>
        </w:drawing>
      </w:r>
    </w:p>
    <w:p>
      <w:pPr>
        <w:spacing w:after="0" w:line="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Lauren Crockett</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 General Counsel</w:t>
      </w:r>
    </w:p>
    <w:p>
      <w:pPr>
        <w:sectPr>
          <w:pgSz w:w="11900" w:h="16838" w:orient="portrait"/>
          <w:cols w:equalWidth="0" w:num="1">
            <w:col w:w="11020"/>
          </w:cols>
          <w:pgMar w:left="440" w:top="121" w:right="439" w:bottom="1440" w:gutter="0" w:footer="0" w:header="0"/>
        </w:sectPr>
      </w:pPr>
    </w:p>
    <w:bookmarkStart w:id="19" w:name="page20"/>
    <w:bookmarkEnd w:id="19"/>
    <w:p>
      <w:pPr>
        <w:ind w:left="66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POLARIS PARTNERS GP IX, L.L.C.</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Lauren Crockett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4391660</wp:posOffset>
            </wp:positionH>
            <wp:positionV relativeFrom="paragraph">
              <wp:posOffset>-10160</wp:posOffset>
            </wp:positionV>
            <wp:extent cx="216725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167255" cy="8255"/>
                    </a:xfrm>
                    <a:prstGeom prst="rect">
                      <a:avLst/>
                    </a:prstGeom>
                    <a:noFill/>
                  </pic:spPr>
                </pic:pic>
              </a:graphicData>
            </a:graphic>
          </wp:anchor>
        </w:drawing>
      </w:r>
    </w:p>
    <w:p>
      <w:pPr>
        <w:spacing w:after="0" w:line="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Lauren Crockett</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 General Counsel</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POLARIS HEALTHCARE TECHNOLOGY</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OPPORTUNITIES FUND, L.P.</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6"/>
          <w:szCs w:val="16"/>
          <w:color w:val="auto"/>
        </w:rPr>
        <w:t>By: Polaris Healthcare Technology Opportunities Fund GP,</w:t>
      </w:r>
    </w:p>
    <w:p>
      <w:pPr>
        <w:spacing w:after="0" w:line="3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L.L.C.</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Lauren Crockett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4391660</wp:posOffset>
            </wp:positionH>
            <wp:positionV relativeFrom="paragraph">
              <wp:posOffset>-10160</wp:posOffset>
            </wp:positionV>
            <wp:extent cx="216725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167255" cy="8890"/>
                    </a:xfrm>
                    <a:prstGeom prst="rect">
                      <a:avLst/>
                    </a:prstGeom>
                    <a:noFill/>
                  </pic:spPr>
                </pic:pic>
              </a:graphicData>
            </a:graphic>
          </wp:anchor>
        </w:drawing>
      </w:r>
    </w:p>
    <w:p>
      <w:pPr>
        <w:spacing w:after="0" w:line="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Lauren Crockett</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 General Counsel</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POLARIS HEALTHCARE TECHNOLOGY</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OPPORTUNITIES FUND GP, L.L.C.</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Lauren Crockett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4391660</wp:posOffset>
            </wp:positionH>
            <wp:positionV relativeFrom="paragraph">
              <wp:posOffset>-10160</wp:posOffset>
            </wp:positionV>
            <wp:extent cx="216725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167255" cy="8255"/>
                    </a:xfrm>
                    <a:prstGeom prst="rect">
                      <a:avLst/>
                    </a:prstGeom>
                    <a:noFill/>
                  </pic:spPr>
                </pic:pic>
              </a:graphicData>
            </a:graphic>
          </wp:anchor>
        </w:drawing>
      </w:r>
    </w:p>
    <w:p>
      <w:pPr>
        <w:spacing w:after="0" w:line="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Lauren Crockett</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 General Counsel</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TERRANCE MCGUIRE</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*_____________________________________</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Authorized Signatory</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JONATHAN FLINT</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*_____________________________________</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Authorized Signatory</w:t>
      </w:r>
    </w:p>
    <w:p>
      <w:pPr>
        <w:spacing w:after="0" w:line="238"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Lauren Crockett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wp:posOffset>
            </wp:positionH>
            <wp:positionV relativeFrom="paragraph">
              <wp:posOffset>14605</wp:posOffset>
            </wp:positionV>
            <wp:extent cx="243459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434590" cy="8890"/>
                    </a:xfrm>
                    <a:prstGeom prst="rect">
                      <a:avLst/>
                    </a:prstGeom>
                    <a:noFill/>
                  </pic:spPr>
                </pic:pic>
              </a:graphicData>
            </a:graphic>
          </wp:anchor>
        </w:drawing>
      </w:r>
    </w:p>
    <w:p>
      <w:pPr>
        <w:spacing w:after="0" w:line="3" w:lineRule="exact"/>
        <w:rPr>
          <w:sz w:val="20"/>
          <w:szCs w:val="20"/>
          <w:color w:val="auto"/>
        </w:rPr>
      </w:pPr>
    </w:p>
    <w:p>
      <w:pPr>
        <w:jc w:val="right"/>
        <w:ind w:right="9080"/>
        <w:spacing w:after="0"/>
        <w:tabs>
          <w:tab w:leader="none" w:pos="102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Lauren Crockett</w:t>
      </w:r>
    </w:p>
    <w:p>
      <w:pPr>
        <w:spacing w:after="0" w:line="23" w:lineRule="exact"/>
        <w:rPr>
          <w:sz w:val="20"/>
          <w:szCs w:val="20"/>
          <w:color w:val="auto"/>
        </w:rPr>
      </w:pPr>
    </w:p>
    <w:p>
      <w:pPr>
        <w:jc w:val="right"/>
        <w:ind w:right="9060"/>
        <w:spacing w:after="0"/>
        <w:rPr>
          <w:sz w:val="20"/>
          <w:szCs w:val="20"/>
          <w:color w:val="auto"/>
        </w:rPr>
      </w:pPr>
      <w:r>
        <w:rPr>
          <w:rFonts w:ascii="Arial" w:cs="Arial" w:eastAsia="Arial" w:hAnsi="Arial"/>
          <w:sz w:val="18"/>
          <w:szCs w:val="18"/>
          <w:color w:val="auto"/>
        </w:rPr>
        <w:t>Attorney-in-Fact</w:t>
      </w:r>
    </w:p>
    <w:p>
      <w:pPr>
        <w:spacing w:after="0" w:line="224"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[*This Schedule 13D was executed pursuant to a Power of Attorney. Note that copies of the applicable Powers of Attorney are already on file with the appropriate agencies.]</w:t>
      </w:r>
    </w:p>
    <w:sectPr>
      <w:pgSz w:w="11900" w:h="16838" w:orient="portrait"/>
      <w:cols w:equalWidth="0" w:num="1">
        <w:col w:w="10880"/>
      </w:cols>
      <w:pgMar w:left="440" w:top="274" w:right="5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B588F54"/>
    <w:multiLevelType w:val="hybridMultilevel"/>
    <w:lvl w:ilvl="0">
      <w:lvlJc w:val="left"/>
      <w:lvlText w:val="*"/>
      <w:numFmt w:val="bullet"/>
      <w:start w:val="1"/>
    </w:lvl>
  </w:abstractNum>
  <w:abstractNum w:abstractNumId="1">
    <w:nsid w:val="542289EC"/>
    <w:multiLevelType w:val="hybridMultilevel"/>
    <w:lvl w:ilvl="0">
      <w:lvlJc w:val="left"/>
      <w:lvlText w:val="1"/>
      <w:numFmt w:val="bullet"/>
      <w:start w:val="1"/>
    </w:lvl>
  </w:abstractNum>
  <w:abstractNum w:abstractNumId="2">
    <w:nsid w:val="6DE91B18"/>
    <w:multiLevelType w:val="hybridMultilevel"/>
    <w:lvl w:ilvl="0">
      <w:lvlJc w:val="left"/>
      <w:lvlText w:val="2"/>
      <w:numFmt w:val="bullet"/>
      <w:start w:val="1"/>
    </w:lvl>
  </w:abstractNum>
  <w:abstractNum w:abstractNumId="3">
    <w:nsid w:val="38437FDB"/>
    <w:multiLevelType w:val="hybridMultilevel"/>
    <w:lvl w:ilvl="0">
      <w:lvlJc w:val="left"/>
      <w:lvlText w:val="3"/>
      <w:numFmt w:val="bullet"/>
      <w:start w:val="1"/>
    </w:lvl>
  </w:abstractNum>
  <w:abstractNum w:abstractNumId="4">
    <w:nsid w:val="7644A45C"/>
    <w:multiLevelType w:val="hybridMultilevel"/>
    <w:lvl w:ilvl="0">
      <w:lvlJc w:val="left"/>
      <w:lvlText w:val="4"/>
      <w:numFmt w:val="bullet"/>
      <w:start w:val="1"/>
    </w:lvl>
  </w:abstractNum>
  <w:abstractNum w:abstractNumId="5">
    <w:nsid w:val="32FFF902"/>
    <w:multiLevelType w:val="hybridMultilevel"/>
    <w:lvl w:ilvl="0">
      <w:lvlJc w:val="left"/>
      <w:lvlText w:val="5"/>
      <w:numFmt w:val="bullet"/>
      <w:start w:val="1"/>
    </w:lvl>
  </w:abstractNum>
  <w:abstractNum w:abstractNumId="6">
    <w:nsid w:val="684A481A"/>
    <w:multiLevelType w:val="hybridMultilevel"/>
    <w:lvl w:ilvl="0">
      <w:lvlJc w:val="left"/>
      <w:lvlText w:val="6"/>
      <w:numFmt w:val="bullet"/>
      <w:start w:val="1"/>
    </w:lvl>
  </w:abstractNum>
  <w:abstractNum w:abstractNumId="7">
    <w:nsid w:val="579478FE"/>
    <w:multiLevelType w:val="hybridMultilevel"/>
    <w:lvl w:ilvl="0">
      <w:lvlJc w:val="left"/>
      <w:lvlText w:val="%1"/>
      <w:numFmt w:val="decimal"/>
      <w:start w:val="12"/>
    </w:lvl>
  </w:abstractNum>
  <w:abstractNum w:abstractNumId="8">
    <w:nsid w:val="749ABB43"/>
    <w:multiLevelType w:val="hybridMultilevel"/>
    <w:lvl w:ilvl="0">
      <w:lvlJc w:val="left"/>
      <w:lvlText w:val="(%1)"/>
      <w:numFmt w:val="decimal"/>
      <w:start w:val="1"/>
    </w:lvl>
  </w:abstractNum>
  <w:abstractNum w:abstractNumId="9">
    <w:nsid w:val="3DC240FB"/>
    <w:multiLevelType w:val="hybridMultilevel"/>
    <w:lvl w:ilvl="0">
      <w:lvlJc w:val="left"/>
      <w:lvlText w:val="1"/>
      <w:numFmt w:val="bullet"/>
      <w:start w:val="1"/>
    </w:lvl>
  </w:abstractNum>
  <w:abstractNum w:abstractNumId="10">
    <w:nsid w:val="1BA026FA"/>
    <w:multiLevelType w:val="hybridMultilevel"/>
    <w:lvl w:ilvl="0">
      <w:lvlJc w:val="left"/>
      <w:lvlText w:val="2"/>
      <w:numFmt w:val="bullet"/>
      <w:start w:val="1"/>
    </w:lvl>
  </w:abstractNum>
  <w:abstractNum w:abstractNumId="11">
    <w:nsid w:val="79A1DEAA"/>
    <w:multiLevelType w:val="hybridMultilevel"/>
    <w:lvl w:ilvl="0">
      <w:lvlJc w:val="left"/>
      <w:lvlText w:val="3"/>
      <w:numFmt w:val="bullet"/>
      <w:start w:val="1"/>
    </w:lvl>
  </w:abstractNum>
  <w:abstractNum w:abstractNumId="12">
    <w:nsid w:val="75C6C33A"/>
    <w:multiLevelType w:val="hybridMultilevel"/>
    <w:lvl w:ilvl="0">
      <w:lvlJc w:val="left"/>
      <w:lvlText w:val="4"/>
      <w:numFmt w:val="bullet"/>
      <w:start w:val="1"/>
    </w:lvl>
  </w:abstractNum>
  <w:abstractNum w:abstractNumId="13">
    <w:nsid w:val="12E685FB"/>
    <w:multiLevelType w:val="hybridMultilevel"/>
    <w:lvl w:ilvl="0">
      <w:lvlJc w:val="left"/>
      <w:lvlText w:val="5"/>
      <w:numFmt w:val="bullet"/>
      <w:start w:val="1"/>
    </w:lvl>
  </w:abstractNum>
  <w:abstractNum w:abstractNumId="14">
    <w:nsid w:val="70C6A529"/>
    <w:multiLevelType w:val="hybridMultilevel"/>
    <w:lvl w:ilvl="0">
      <w:lvlJc w:val="left"/>
      <w:lvlText w:val="6"/>
      <w:numFmt w:val="bullet"/>
      <w:start w:val="1"/>
    </w:lvl>
  </w:abstractNum>
  <w:abstractNum w:abstractNumId="15">
    <w:nsid w:val="520EEDD1"/>
    <w:multiLevelType w:val="hybridMultilevel"/>
    <w:lvl w:ilvl="0">
      <w:lvlJc w:val="left"/>
      <w:lvlText w:val="%1"/>
      <w:numFmt w:val="decimal"/>
      <w:start w:val="12"/>
    </w:lvl>
  </w:abstractNum>
  <w:abstractNum w:abstractNumId="16">
    <w:nsid w:val="374A3FE6"/>
    <w:multiLevelType w:val="hybridMultilevel"/>
    <w:lvl w:ilvl="0">
      <w:lvlJc w:val="left"/>
      <w:lvlText w:val="(%1)"/>
      <w:numFmt w:val="decimal"/>
      <w:start w:val="1"/>
    </w:lvl>
  </w:abstractNum>
  <w:abstractNum w:abstractNumId="17">
    <w:nsid w:val="4F4EF005"/>
    <w:multiLevelType w:val="hybridMultilevel"/>
    <w:lvl w:ilvl="0">
      <w:lvlJc w:val="left"/>
      <w:lvlText w:val="1"/>
      <w:numFmt w:val="bullet"/>
      <w:start w:val="1"/>
    </w:lvl>
  </w:abstractNum>
  <w:abstractNum w:abstractNumId="18">
    <w:nsid w:val="23F9C13C"/>
    <w:multiLevelType w:val="hybridMultilevel"/>
    <w:lvl w:ilvl="0">
      <w:lvlJc w:val="left"/>
      <w:lvlText w:val="2"/>
      <w:numFmt w:val="bullet"/>
      <w:start w:val="1"/>
    </w:lvl>
  </w:abstractNum>
  <w:abstractNum w:abstractNumId="19">
    <w:nsid w:val="649BB77C"/>
    <w:multiLevelType w:val="hybridMultilevel"/>
    <w:lvl w:ilvl="0">
      <w:lvlJc w:val="left"/>
      <w:lvlText w:val="3"/>
      <w:numFmt w:val="bullet"/>
      <w:start w:val="1"/>
    </w:lvl>
  </w:abstractNum>
  <w:abstractNum w:abstractNumId="20">
    <w:nsid w:val="275AC794"/>
    <w:multiLevelType w:val="hybridMultilevel"/>
    <w:lvl w:ilvl="0">
      <w:lvlJc w:val="left"/>
      <w:lvlText w:val="4"/>
      <w:numFmt w:val="bullet"/>
      <w:start w:val="1"/>
    </w:lvl>
  </w:abstractNum>
  <w:abstractNum w:abstractNumId="21">
    <w:nsid w:val="39386575"/>
    <w:multiLevelType w:val="hybridMultilevel"/>
    <w:lvl w:ilvl="0">
      <w:lvlJc w:val="left"/>
      <w:lvlText w:val="5"/>
      <w:numFmt w:val="bullet"/>
      <w:start w:val="1"/>
    </w:lvl>
  </w:abstractNum>
  <w:abstractNum w:abstractNumId="22">
    <w:nsid w:val="1CF10FD8"/>
    <w:multiLevelType w:val="hybridMultilevel"/>
    <w:lvl w:ilvl="0">
      <w:lvlJc w:val="left"/>
      <w:lvlText w:val="6"/>
      <w:numFmt w:val="bullet"/>
      <w:start w:val="1"/>
    </w:lvl>
  </w:abstractNum>
  <w:abstractNum w:abstractNumId="23">
    <w:nsid w:val="180115BE"/>
    <w:multiLevelType w:val="hybridMultilevel"/>
    <w:lvl w:ilvl="0">
      <w:lvlJc w:val="left"/>
      <w:lvlText w:val="%1"/>
      <w:numFmt w:val="decimal"/>
      <w:start w:val="12"/>
    </w:lvl>
  </w:abstractNum>
  <w:abstractNum w:abstractNumId="24">
    <w:nsid w:val="235BA861"/>
    <w:multiLevelType w:val="hybridMultilevel"/>
    <w:lvl w:ilvl="0">
      <w:lvlJc w:val="left"/>
      <w:lvlText w:val="(%1)"/>
      <w:numFmt w:val="decimal"/>
      <w:start w:val="1"/>
    </w:lvl>
  </w:abstractNum>
  <w:abstractNum w:abstractNumId="25">
    <w:nsid w:val="47398C89"/>
    <w:multiLevelType w:val="hybridMultilevel"/>
    <w:lvl w:ilvl="0">
      <w:lvlJc w:val="left"/>
      <w:lvlText w:val="1"/>
      <w:numFmt w:val="bullet"/>
      <w:start w:val="1"/>
    </w:lvl>
  </w:abstractNum>
  <w:abstractNum w:abstractNumId="26">
    <w:nsid w:val="354FE9F9"/>
    <w:multiLevelType w:val="hybridMultilevel"/>
    <w:lvl w:ilvl="0">
      <w:lvlJc w:val="left"/>
      <w:lvlText w:val="2"/>
      <w:numFmt w:val="bullet"/>
      <w:start w:val="1"/>
    </w:lvl>
  </w:abstractNum>
  <w:abstractNum w:abstractNumId="27">
    <w:nsid w:val="15B5AF5C"/>
    <w:multiLevelType w:val="hybridMultilevel"/>
    <w:lvl w:ilvl="0">
      <w:lvlJc w:val="left"/>
      <w:lvlText w:val="3"/>
      <w:numFmt w:val="bullet"/>
      <w:start w:val="1"/>
    </w:lvl>
  </w:abstractNum>
  <w:abstractNum w:abstractNumId="28">
    <w:nsid w:val="741226BB"/>
    <w:multiLevelType w:val="hybridMultilevel"/>
    <w:lvl w:ilvl="0">
      <w:lvlJc w:val="left"/>
      <w:lvlText w:val="4"/>
      <w:numFmt w:val="bullet"/>
      <w:start w:val="1"/>
    </w:lvl>
  </w:abstractNum>
  <w:abstractNum w:abstractNumId="29">
    <w:nsid w:val="D34B6A8"/>
    <w:multiLevelType w:val="hybridMultilevel"/>
    <w:lvl w:ilvl="0">
      <w:lvlJc w:val="left"/>
      <w:lvlText w:val="5"/>
      <w:numFmt w:val="bullet"/>
      <w:start w:val="1"/>
    </w:lvl>
  </w:abstractNum>
  <w:abstractNum w:abstractNumId="30">
    <w:nsid w:val="10233C99"/>
    <w:multiLevelType w:val="hybridMultilevel"/>
    <w:lvl w:ilvl="0">
      <w:lvlJc w:val="left"/>
      <w:lvlText w:val="6"/>
      <w:numFmt w:val="bullet"/>
      <w:start w:val="1"/>
    </w:lvl>
  </w:abstractNum>
  <w:abstractNum w:abstractNumId="31">
    <w:nsid w:val="3F6AB60F"/>
    <w:multiLevelType w:val="hybridMultilevel"/>
    <w:lvl w:ilvl="0">
      <w:lvlJc w:val="left"/>
      <w:lvlText w:val="%1"/>
      <w:numFmt w:val="decimal"/>
      <w:start w:val="12"/>
    </w:lvl>
  </w:abstractNum>
  <w:abstractNum w:abstractNumId="32">
    <w:nsid w:val="61574095"/>
    <w:multiLevelType w:val="hybridMultilevel"/>
    <w:lvl w:ilvl="0">
      <w:lvlJc w:val="left"/>
      <w:lvlText w:val="(%1)"/>
      <w:numFmt w:val="decimal"/>
      <w:start w:val="1"/>
    </w:lvl>
  </w:abstractNum>
  <w:abstractNum w:abstractNumId="33">
    <w:nsid w:val="7E0C57B1"/>
    <w:multiLevelType w:val="hybridMultilevel"/>
    <w:lvl w:ilvl="0">
      <w:lvlJc w:val="left"/>
      <w:lvlText w:val="1"/>
      <w:numFmt w:val="bullet"/>
      <w:start w:val="1"/>
    </w:lvl>
  </w:abstractNum>
  <w:abstractNum w:abstractNumId="34">
    <w:nsid w:val="77AE35EB"/>
    <w:multiLevelType w:val="hybridMultilevel"/>
    <w:lvl w:ilvl="0">
      <w:lvlJc w:val="left"/>
      <w:lvlText w:val="2"/>
      <w:numFmt w:val="bullet"/>
      <w:start w:val="1"/>
    </w:lvl>
  </w:abstractNum>
  <w:abstractNum w:abstractNumId="35">
    <w:nsid w:val="579BE4F1"/>
    <w:multiLevelType w:val="hybridMultilevel"/>
    <w:lvl w:ilvl="0">
      <w:lvlJc w:val="left"/>
      <w:lvlText w:val="3"/>
      <w:numFmt w:val="bullet"/>
      <w:start w:val="1"/>
    </w:lvl>
  </w:abstractNum>
  <w:abstractNum w:abstractNumId="36">
    <w:nsid w:val="310C50B3"/>
    <w:multiLevelType w:val="hybridMultilevel"/>
    <w:lvl w:ilvl="0">
      <w:lvlJc w:val="left"/>
      <w:lvlText w:val="4"/>
      <w:numFmt w:val="bullet"/>
      <w:start w:val="1"/>
    </w:lvl>
  </w:abstractNum>
  <w:abstractNum w:abstractNumId="37">
    <w:nsid w:val="5FF87E05"/>
    <w:multiLevelType w:val="hybridMultilevel"/>
    <w:lvl w:ilvl="0">
      <w:lvlJc w:val="left"/>
      <w:lvlText w:val="5"/>
      <w:numFmt w:val="bullet"/>
      <w:start w:val="1"/>
    </w:lvl>
  </w:abstractNum>
  <w:abstractNum w:abstractNumId="38">
    <w:nsid w:val="2F305DEF"/>
    <w:multiLevelType w:val="hybridMultilevel"/>
    <w:lvl w:ilvl="0">
      <w:lvlJc w:val="left"/>
      <w:lvlText w:val="6"/>
      <w:numFmt w:val="bullet"/>
      <w:start w:val="1"/>
    </w:lvl>
  </w:abstractNum>
  <w:abstractNum w:abstractNumId="39">
    <w:nsid w:val="25A70BF7"/>
    <w:multiLevelType w:val="hybridMultilevel"/>
    <w:lvl w:ilvl="0">
      <w:lvlJc w:val="left"/>
      <w:lvlText w:val="%1"/>
      <w:numFmt w:val="decimal"/>
      <w:start w:val="12"/>
    </w:lvl>
  </w:abstractNum>
  <w:abstractNum w:abstractNumId="40">
    <w:nsid w:val="1DBABF00"/>
    <w:multiLevelType w:val="hybridMultilevel"/>
    <w:lvl w:ilvl="0">
      <w:lvlJc w:val="left"/>
      <w:lvlText w:val="(%1)"/>
      <w:numFmt w:val="decimal"/>
      <w:start w:val="1"/>
    </w:lvl>
  </w:abstractNum>
  <w:abstractNum w:abstractNumId="41">
    <w:nsid w:val="4AD084E9"/>
    <w:multiLevelType w:val="hybridMultilevel"/>
    <w:lvl w:ilvl="0">
      <w:lvlJc w:val="left"/>
      <w:lvlText w:val="1"/>
      <w:numFmt w:val="bullet"/>
      <w:start w:val="1"/>
    </w:lvl>
  </w:abstractNum>
  <w:abstractNum w:abstractNumId="42">
    <w:nsid w:val="1F48EAA1"/>
    <w:multiLevelType w:val="hybridMultilevel"/>
    <w:lvl w:ilvl="0">
      <w:lvlJc w:val="left"/>
      <w:lvlText w:val="2"/>
      <w:numFmt w:val="bullet"/>
      <w:start w:val="1"/>
    </w:lvl>
  </w:abstractNum>
  <w:abstractNum w:abstractNumId="43">
    <w:nsid w:val="1381823A"/>
    <w:multiLevelType w:val="hybridMultilevel"/>
    <w:lvl w:ilvl="0">
      <w:lvlJc w:val="left"/>
      <w:lvlText w:val="3"/>
      <w:numFmt w:val="bullet"/>
      <w:start w:val="1"/>
    </w:lvl>
  </w:abstractNum>
  <w:abstractNum w:abstractNumId="44">
    <w:nsid w:val="5DB70AE5"/>
    <w:multiLevelType w:val="hybridMultilevel"/>
    <w:lvl w:ilvl="0">
      <w:lvlJc w:val="left"/>
      <w:lvlText w:val="4"/>
      <w:numFmt w:val="bullet"/>
      <w:start w:val="1"/>
    </w:lvl>
  </w:abstractNum>
  <w:abstractNum w:abstractNumId="45">
    <w:nsid w:val="100F8FCA"/>
    <w:multiLevelType w:val="hybridMultilevel"/>
    <w:lvl w:ilvl="0">
      <w:lvlJc w:val="left"/>
      <w:lvlText w:val="5"/>
      <w:numFmt w:val="bullet"/>
      <w:start w:val="1"/>
    </w:lvl>
  </w:abstractNum>
  <w:abstractNum w:abstractNumId="46">
    <w:nsid w:val="6590700B"/>
    <w:multiLevelType w:val="hybridMultilevel"/>
    <w:lvl w:ilvl="0">
      <w:lvlJc w:val="left"/>
      <w:lvlText w:val="6"/>
      <w:numFmt w:val="bullet"/>
      <w:start w:val="1"/>
    </w:lvl>
  </w:abstractNum>
  <w:abstractNum w:abstractNumId="47">
    <w:nsid w:val="15014ACB"/>
    <w:multiLevelType w:val="hybridMultilevel"/>
    <w:lvl w:ilvl="0">
      <w:lvlJc w:val="left"/>
      <w:lvlText w:val="%1"/>
      <w:numFmt w:val="decimal"/>
      <w:start w:val="12"/>
    </w:lvl>
  </w:abstractNum>
  <w:abstractNum w:abstractNumId="48">
    <w:nsid w:val="5F5E7FD0"/>
    <w:multiLevelType w:val="hybridMultilevel"/>
    <w:lvl w:ilvl="0">
      <w:lvlJc w:val="left"/>
      <w:lvlText w:val="(%1)"/>
      <w:numFmt w:val="decimal"/>
      <w:start w:val="1"/>
    </w:lvl>
  </w:abstractNum>
  <w:abstractNum w:abstractNumId="49">
    <w:nsid w:val="98A3148"/>
    <w:multiLevelType w:val="hybridMultilevel"/>
    <w:lvl w:ilvl="0">
      <w:lvlJc w:val="left"/>
      <w:lvlText w:val="1"/>
      <w:numFmt w:val="bullet"/>
      <w:start w:val="1"/>
    </w:lvl>
  </w:abstractNum>
  <w:abstractNum w:abstractNumId="50">
    <w:nsid w:val="799D0247"/>
    <w:multiLevelType w:val="hybridMultilevel"/>
    <w:lvl w:ilvl="0">
      <w:lvlJc w:val="left"/>
      <w:lvlText w:val="2"/>
      <w:numFmt w:val="bullet"/>
      <w:start w:val="1"/>
    </w:lvl>
  </w:abstractNum>
  <w:abstractNum w:abstractNumId="51">
    <w:nsid w:val="6B94764"/>
    <w:multiLevelType w:val="hybridMultilevel"/>
    <w:lvl w:ilvl="0">
      <w:lvlJc w:val="left"/>
      <w:lvlText w:val="3"/>
      <w:numFmt w:val="bullet"/>
      <w:start w:val="1"/>
    </w:lvl>
  </w:abstractNum>
  <w:abstractNum w:abstractNumId="52">
    <w:nsid w:val="42C296BD"/>
    <w:multiLevelType w:val="hybridMultilevel"/>
    <w:lvl w:ilvl="0">
      <w:lvlJc w:val="left"/>
      <w:lvlText w:val="4"/>
      <w:numFmt w:val="bullet"/>
      <w:start w:val="1"/>
    </w:lvl>
  </w:abstractNum>
  <w:abstractNum w:abstractNumId="53">
    <w:nsid w:val="168E121F"/>
    <w:multiLevelType w:val="hybridMultilevel"/>
    <w:lvl w:ilvl="0">
      <w:lvlJc w:val="left"/>
      <w:lvlText w:val="5"/>
      <w:numFmt w:val="bullet"/>
      <w:start w:val="1"/>
    </w:lvl>
  </w:abstractNum>
  <w:abstractNum w:abstractNumId="54">
    <w:nsid w:val="1EBA5D23"/>
    <w:multiLevelType w:val="hybridMultilevel"/>
    <w:lvl w:ilvl="0">
      <w:lvlJc w:val="left"/>
      <w:lvlText w:val="6"/>
      <w:numFmt w:val="bullet"/>
      <w:start w:val="1"/>
    </w:lvl>
  </w:abstractNum>
  <w:abstractNum w:abstractNumId="55">
    <w:nsid w:val="661E3F1E"/>
    <w:multiLevelType w:val="hybridMultilevel"/>
    <w:lvl w:ilvl="0">
      <w:lvlJc w:val="left"/>
      <w:lvlText w:val="%1"/>
      <w:numFmt w:val="decimal"/>
      <w:start w:val="12"/>
    </w:lvl>
  </w:abstractNum>
  <w:abstractNum w:abstractNumId="56">
    <w:nsid w:val="5DC79EA8"/>
    <w:multiLevelType w:val="hybridMultilevel"/>
    <w:lvl w:ilvl="0">
      <w:lvlJc w:val="left"/>
      <w:lvlText w:val="(%1)"/>
      <w:numFmt w:val="decimal"/>
      <w:start w:val="1"/>
    </w:lvl>
  </w:abstractNum>
  <w:abstractNum w:abstractNumId="57">
    <w:nsid w:val="540A471C"/>
    <w:multiLevelType w:val="hybridMultilevel"/>
    <w:lvl w:ilvl="0">
      <w:lvlJc w:val="left"/>
      <w:lvlText w:val="1"/>
      <w:numFmt w:val="bullet"/>
      <w:start w:val="1"/>
    </w:lvl>
  </w:abstractNum>
  <w:abstractNum w:abstractNumId="58">
    <w:nsid w:val="7BD3EE7B"/>
    <w:multiLevelType w:val="hybridMultilevel"/>
    <w:lvl w:ilvl="0">
      <w:lvlJc w:val="left"/>
      <w:lvlText w:val="2"/>
      <w:numFmt w:val="bullet"/>
      <w:start w:val="1"/>
    </w:lvl>
  </w:abstractNum>
  <w:abstractNum w:abstractNumId="59">
    <w:nsid w:val="51D9C564"/>
    <w:multiLevelType w:val="hybridMultilevel"/>
    <w:lvl w:ilvl="0">
      <w:lvlJc w:val="left"/>
      <w:lvlText w:val="3"/>
      <w:numFmt w:val="bullet"/>
      <w:start w:val="1"/>
    </w:lvl>
  </w:abstractNum>
  <w:abstractNum w:abstractNumId="60">
    <w:nsid w:val="613EFDC5"/>
    <w:multiLevelType w:val="hybridMultilevel"/>
    <w:lvl w:ilvl="0">
      <w:lvlJc w:val="left"/>
      <w:lvlText w:val="4"/>
      <w:numFmt w:val="bullet"/>
      <w:start w:val="1"/>
    </w:lvl>
  </w:abstractNum>
  <w:abstractNum w:abstractNumId="61">
    <w:nsid w:val="BF72B14"/>
    <w:multiLevelType w:val="hybridMultilevel"/>
    <w:lvl w:ilvl="0">
      <w:lvlJc w:val="left"/>
      <w:lvlText w:val="5"/>
      <w:numFmt w:val="bullet"/>
      <w:start w:val="1"/>
    </w:lvl>
  </w:abstractNum>
  <w:abstractNum w:abstractNumId="62">
    <w:nsid w:val="11447B73"/>
    <w:multiLevelType w:val="hybridMultilevel"/>
    <w:lvl w:ilvl="0">
      <w:lvlJc w:val="left"/>
      <w:lvlText w:val="6"/>
      <w:numFmt w:val="bullet"/>
      <w:start w:val="1"/>
    </w:lvl>
  </w:abstractNum>
  <w:abstractNum w:abstractNumId="63">
    <w:nsid w:val="42963E5A"/>
    <w:multiLevelType w:val="hybridMultilevel"/>
    <w:lvl w:ilvl="0">
      <w:lvlJc w:val="left"/>
      <w:lvlText w:val="%1"/>
      <w:numFmt w:val="decimal"/>
      <w:start w:val="12"/>
    </w:lvl>
  </w:abstractNum>
  <w:abstractNum w:abstractNumId="64">
    <w:nsid w:val="A0382C5"/>
    <w:multiLevelType w:val="hybridMultilevel"/>
    <w:lvl w:ilvl="0">
      <w:lvlJc w:val="left"/>
      <w:lvlText w:val="(%1)"/>
      <w:numFmt w:val="decimal"/>
      <w:start w:val="1"/>
    </w:lvl>
  </w:abstractNum>
  <w:abstractNum w:abstractNumId="65">
    <w:nsid w:val="8F2B15E"/>
    <w:multiLevelType w:val="hybridMultilevel"/>
    <w:lvl w:ilvl="0">
      <w:lvlJc w:val="left"/>
      <w:lvlText w:val="1"/>
      <w:numFmt w:val="bullet"/>
      <w:start w:val="1"/>
    </w:lvl>
  </w:abstractNum>
  <w:abstractNum w:abstractNumId="66">
    <w:nsid w:val="1A32234B"/>
    <w:multiLevelType w:val="hybridMultilevel"/>
    <w:lvl w:ilvl="0">
      <w:lvlJc w:val="left"/>
      <w:lvlText w:val="2"/>
      <w:numFmt w:val="bullet"/>
      <w:start w:val="1"/>
    </w:lvl>
  </w:abstractNum>
  <w:abstractNum w:abstractNumId="67">
    <w:nsid w:val="3B0FD379"/>
    <w:multiLevelType w:val="hybridMultilevel"/>
    <w:lvl w:ilvl="0">
      <w:lvlJc w:val="left"/>
      <w:lvlText w:val="3"/>
      <w:numFmt w:val="bullet"/>
      <w:start w:val="1"/>
    </w:lvl>
  </w:abstractNum>
  <w:abstractNum w:abstractNumId="68">
    <w:nsid w:val="68EB2F63"/>
    <w:multiLevelType w:val="hybridMultilevel"/>
    <w:lvl w:ilvl="0">
      <w:lvlJc w:val="left"/>
      <w:lvlText w:val="4"/>
      <w:numFmt w:val="bullet"/>
      <w:start w:val="1"/>
    </w:lvl>
  </w:abstractNum>
  <w:abstractNum w:abstractNumId="69">
    <w:nsid w:val="4962813B"/>
    <w:multiLevelType w:val="hybridMultilevel"/>
    <w:lvl w:ilvl="0">
      <w:lvlJc w:val="left"/>
      <w:lvlText w:val="5"/>
      <w:numFmt w:val="bullet"/>
      <w:start w:val="1"/>
    </w:lvl>
  </w:abstractNum>
  <w:abstractNum w:abstractNumId="70">
    <w:nsid w:val="60B6DF70"/>
    <w:multiLevelType w:val="hybridMultilevel"/>
    <w:lvl w:ilvl="0">
      <w:lvlJc w:val="left"/>
      <w:lvlText w:val="6"/>
      <w:numFmt w:val="bullet"/>
      <w:start w:val="1"/>
    </w:lvl>
  </w:abstractNum>
  <w:abstractNum w:abstractNumId="71">
    <w:nsid w:val="6A5EE64"/>
    <w:multiLevelType w:val="hybridMultilevel"/>
    <w:lvl w:ilvl="0">
      <w:lvlJc w:val="left"/>
      <w:lvlText w:val="%1"/>
      <w:numFmt w:val="decimal"/>
      <w:start w:val="12"/>
    </w:lvl>
  </w:abstractNum>
  <w:abstractNum w:abstractNumId="72">
    <w:nsid w:val="14330624"/>
    <w:multiLevelType w:val="hybridMultilevel"/>
    <w:lvl w:ilvl="0">
      <w:lvlJc w:val="left"/>
      <w:lvlText w:val="(%1)"/>
      <w:numFmt w:val="decimal"/>
      <w:start w:val="1"/>
    </w:lvl>
  </w:abstractNum>
  <w:abstractNum w:abstractNumId="73">
    <w:nsid w:val="7FFFCA11"/>
    <w:multiLevelType w:val="hybridMultilevel"/>
    <w:lvl w:ilvl="0">
      <w:lvlJc w:val="left"/>
      <w:lvlText w:val="1"/>
      <w:numFmt w:val="bullet"/>
      <w:start w:val="1"/>
    </w:lvl>
  </w:abstractNum>
  <w:abstractNum w:abstractNumId="74">
    <w:nsid w:val="1A27709E"/>
    <w:multiLevelType w:val="hybridMultilevel"/>
    <w:lvl w:ilvl="0">
      <w:lvlJc w:val="left"/>
      <w:lvlText w:val="2"/>
      <w:numFmt w:val="bullet"/>
      <w:start w:val="1"/>
    </w:lvl>
  </w:abstractNum>
  <w:abstractNum w:abstractNumId="75">
    <w:nsid w:val="71EA1109"/>
    <w:multiLevelType w:val="hybridMultilevel"/>
    <w:lvl w:ilvl="0">
      <w:lvlJc w:val="left"/>
      <w:lvlText w:val="3"/>
      <w:numFmt w:val="bullet"/>
      <w:start w:val="1"/>
    </w:lvl>
  </w:abstractNum>
  <w:abstractNum w:abstractNumId="76">
    <w:nsid w:val="100F59DC"/>
    <w:multiLevelType w:val="hybridMultilevel"/>
    <w:lvl w:ilvl="0">
      <w:lvlJc w:val="left"/>
      <w:lvlText w:val="4"/>
      <w:numFmt w:val="bullet"/>
      <w:start w:val="1"/>
    </w:lvl>
  </w:abstractNum>
  <w:abstractNum w:abstractNumId="77">
    <w:nsid w:val="7FB7E0AA"/>
    <w:multiLevelType w:val="hybridMultilevel"/>
    <w:lvl w:ilvl="0">
      <w:lvlJc w:val="left"/>
      <w:lvlText w:val="5"/>
      <w:numFmt w:val="bullet"/>
      <w:start w:val="1"/>
    </w:lvl>
  </w:abstractNum>
  <w:abstractNum w:abstractNumId="78">
    <w:nsid w:val="6EB5BD4"/>
    <w:multiLevelType w:val="hybridMultilevel"/>
    <w:lvl w:ilvl="0">
      <w:lvlJc w:val="left"/>
      <w:lvlText w:val="6"/>
      <w:numFmt w:val="bullet"/>
      <w:start w:val="1"/>
    </w:lvl>
  </w:abstractNum>
  <w:abstractNum w:abstractNumId="79">
    <w:nsid w:val="6F6DD9AC"/>
    <w:multiLevelType w:val="hybridMultilevel"/>
    <w:lvl w:ilvl="0">
      <w:lvlJc w:val="left"/>
      <w:lvlText w:val="%1"/>
      <w:numFmt w:val="decimal"/>
      <w:start w:val="12"/>
    </w:lvl>
  </w:abstractNum>
  <w:abstractNum w:abstractNumId="80">
    <w:nsid w:val="94211F2"/>
    <w:multiLevelType w:val="hybridMultilevel"/>
    <w:lvl w:ilvl="0">
      <w:lvlJc w:val="left"/>
      <w:lvlText w:val="(%1)"/>
      <w:numFmt w:val="decimal"/>
      <w:start w:val="1"/>
    </w:lvl>
  </w:abstractNum>
  <w:abstractNum w:abstractNumId="81">
    <w:nsid w:val="885E1B"/>
    <w:multiLevelType w:val="hybridMultilevel"/>
    <w:lvl w:ilvl="0">
      <w:lvlJc w:val="left"/>
      <w:lvlText w:val="1"/>
      <w:numFmt w:val="bullet"/>
      <w:start w:val="1"/>
    </w:lvl>
  </w:abstractNum>
  <w:abstractNum w:abstractNumId="82">
    <w:nsid w:val="76272110"/>
    <w:multiLevelType w:val="hybridMultilevel"/>
    <w:lvl w:ilvl="0">
      <w:lvlJc w:val="left"/>
      <w:lvlText w:val="2"/>
      <w:numFmt w:val="bullet"/>
      <w:start w:val="1"/>
    </w:lvl>
  </w:abstractNum>
  <w:abstractNum w:abstractNumId="83">
    <w:nsid w:val="4C04A8AF"/>
    <w:multiLevelType w:val="hybridMultilevel"/>
    <w:lvl w:ilvl="0">
      <w:lvlJc w:val="left"/>
      <w:lvlText w:val="3"/>
      <w:numFmt w:val="bullet"/>
      <w:start w:val="1"/>
    </w:lvl>
  </w:abstractNum>
  <w:abstractNum w:abstractNumId="84">
    <w:nsid w:val="1716703B"/>
    <w:multiLevelType w:val="hybridMultilevel"/>
    <w:lvl w:ilvl="0">
      <w:lvlJc w:val="left"/>
      <w:lvlText w:val="4"/>
      <w:numFmt w:val="bullet"/>
      <w:start w:val="1"/>
    </w:lvl>
  </w:abstractNum>
  <w:abstractNum w:abstractNumId="85">
    <w:nsid w:val="14E17E33"/>
    <w:multiLevelType w:val="hybridMultilevel"/>
    <w:lvl w:ilvl="0">
      <w:lvlJc w:val="left"/>
      <w:lvlText w:val="5"/>
      <w:numFmt w:val="bullet"/>
      <w:start w:val="1"/>
    </w:lvl>
  </w:abstractNum>
  <w:abstractNum w:abstractNumId="86">
    <w:nsid w:val="3222E7CD"/>
    <w:multiLevelType w:val="hybridMultilevel"/>
    <w:lvl w:ilvl="0">
      <w:lvlJc w:val="left"/>
      <w:lvlText w:val="6"/>
      <w:numFmt w:val="bullet"/>
      <w:start w:val="1"/>
    </w:lvl>
  </w:abstractNum>
  <w:abstractNum w:abstractNumId="87">
    <w:nsid w:val="74DE0EE3"/>
    <w:multiLevelType w:val="hybridMultilevel"/>
    <w:lvl w:ilvl="0">
      <w:lvlJc w:val="left"/>
      <w:lvlText w:val="%1"/>
      <w:numFmt w:val="decimal"/>
      <w:start w:val="12"/>
    </w:lvl>
  </w:abstractNum>
  <w:abstractNum w:abstractNumId="88">
    <w:nsid w:val="68EBC550"/>
    <w:multiLevelType w:val="hybridMultilevel"/>
    <w:lvl w:ilvl="0">
      <w:lvlJc w:val="left"/>
      <w:lvlText w:val="(%1)"/>
      <w:numFmt w:val="decimal"/>
      <w:start w:val="1"/>
    </w:lvl>
  </w:abstractNum>
  <w:abstractNum w:abstractNumId="89">
    <w:nsid w:val="2DF6D648"/>
    <w:multiLevelType w:val="hybridMultilevel"/>
    <w:lvl w:ilvl="0">
      <w:lvlJc w:val="left"/>
      <w:lvlText w:val="(%1)"/>
      <w:numFmt w:val="lowerLetter"/>
      <w:start w:val="1"/>
    </w:lvl>
  </w:abstractNum>
  <w:abstractNum w:abstractNumId="90">
    <w:nsid w:val="46B7D447"/>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2021-08-20T15:22:53Z</dcterms:created>
  <dcterms:modified xsi:type="dcterms:W3CDTF">2021-08-20T15:22:53Z</dcterms:modified>
</cp:coreProperties>
</file>