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645160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662305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64135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78740</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4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4" w:lineRule="exact"/>
        <w:rPr>
          <w:sz w:val="24"/>
          <w:szCs w:val="24"/>
          <w:color w:val="auto"/>
        </w:rPr>
      </w:pPr>
    </w:p>
    <w:p>
      <w:pPr>
        <w:ind w:left="4100" w:right="2860" w:hanging="4079"/>
        <w:spacing w:after="0" w:line="333" w:lineRule="auto"/>
        <w:tabs>
          <w:tab w:leader="none" w:pos="483"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2023</w:t>
      </w:r>
    </w:p>
    <w:p>
      <w:pPr>
        <w:spacing w:after="0" w:line="1" w:lineRule="exact"/>
        <w:rPr>
          <w:rFonts w:ascii="MS PGothic" w:cs="MS PGothic" w:eastAsia="MS PGothic" w:hAnsi="MS PGothic"/>
          <w:sz w:val="16"/>
          <w:szCs w:val="16"/>
          <w:color w:val="auto"/>
          <w:highlight w:val="black"/>
        </w:rPr>
      </w:pPr>
    </w:p>
    <w:p>
      <w:pPr>
        <w:ind w:left="552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or</w:t>
      </w:r>
    </w:p>
    <w:p>
      <w:pPr>
        <w:spacing w:after="0" w:line="86"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w:t>
      </w:r>
    </w:p>
    <w:p>
      <w:pPr>
        <w:spacing w:after="0" w:line="38" w:lineRule="exact"/>
        <w:rPr>
          <w:rFonts w:ascii="MS PGothic" w:cs="MS PGothic" w:eastAsia="MS PGothic" w:hAnsi="MS PGothic"/>
          <w:sz w:val="16"/>
          <w:szCs w:val="16"/>
          <w:color w:val="auto"/>
          <w:highlight w:val="black"/>
        </w:rPr>
      </w:pPr>
    </w:p>
    <w:p>
      <w:pPr>
        <w:ind w:left="48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FROMTO</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001-40703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79375</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INVIVYD, INC.</w:t>
      </w:r>
    </w:p>
    <w:p>
      <w:pPr>
        <w:sectPr>
          <w:pgSz w:w="11900" w:h="16838" w:orient="portrait"/>
          <w:cols w:equalWidth="0" w:num="1">
            <w:col w:w="11240"/>
          </w:cols>
          <w:pgMar w:left="320" w:top="1059" w:right="339" w:bottom="1440" w:gutter="0" w:footer="0" w:header="0"/>
        </w:sectPr>
      </w:pPr>
    </w:p>
    <w:p>
      <w:pPr>
        <w:spacing w:after="0" w:line="5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69215</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61"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8"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spacing w:after="0" w:line="1"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85-1403134</w:t>
      </w:r>
    </w:p>
    <w:p>
      <w:pPr>
        <w:spacing w:after="0" w:line="5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60" w:lineRule="exact"/>
        <w:rPr>
          <w:sz w:val="24"/>
          <w:szCs w:val="24"/>
          <w:color w:val="auto"/>
        </w:rPr>
      </w:pPr>
    </w:p>
    <w:p>
      <w:pPr>
        <w:sectPr>
          <w:pgSz w:w="11900" w:h="16838" w:orient="portrait"/>
          <w:cols w:equalWidth="0" w:num="2">
            <w:col w:w="7460" w:space="480"/>
            <w:col w:w="3300"/>
          </w:cols>
          <w:pgMar w:left="320" w:top="1059" w:right="339" w:bottom="1440" w:gutter="0" w:footer="0" w:header="0"/>
          <w:type w:val="continuous"/>
        </w:sectPr>
      </w:pPr>
    </w:p>
    <w:tbl>
      <w:tblPr>
        <w:tblLayout w:type="fixed"/>
        <w:tblInd w:w="1700" w:type="dxa"/>
        <w:tblCellMar>
          <w:top w:w="0" w:type="dxa"/>
          <w:left w:w="0" w:type="dxa"/>
          <w:bottom w:w="0" w:type="dxa"/>
          <w:right w:w="0" w:type="dxa"/>
        </w:tblCellMar>
      </w:tblPr>
      <w:tr>
        <w:trPr>
          <w:trHeight w:val="229"/>
        </w:trPr>
        <w:tc>
          <w:tcPr>
            <w:tcW w:w="4340" w:type="dxa"/>
            <w:vAlign w:val="bottom"/>
          </w:tcPr>
          <w:p>
            <w:pPr>
              <w:jc w:val="center"/>
              <w:ind w:right="2019"/>
              <w:spacing w:after="0"/>
              <w:rPr>
                <w:sz w:val="20"/>
                <w:szCs w:val="20"/>
                <w:color w:val="auto"/>
              </w:rPr>
            </w:pPr>
            <w:r>
              <w:rPr>
                <w:rFonts w:ascii="Times New Roman" w:cs="Times New Roman" w:eastAsia="Times New Roman" w:hAnsi="Times New Roman"/>
                <w:sz w:val="18"/>
                <w:szCs w:val="18"/>
                <w:b w:val="1"/>
                <w:bCs w:val="1"/>
                <w:color w:val="auto"/>
                <w:w w:val="98"/>
              </w:rPr>
              <w:t>1601 Trapelo Road, Suite 178</w:t>
            </w:r>
          </w:p>
        </w:tc>
        <w:tc>
          <w:tcPr>
            <w:tcW w:w="2680" w:type="dxa"/>
            <w:vAlign w:val="bottom"/>
          </w:tcPr>
          <w:p>
            <w:pPr>
              <w:spacing w:after="0"/>
              <w:rPr>
                <w:sz w:val="19"/>
                <w:szCs w:val="19"/>
                <w:color w:val="auto"/>
              </w:rPr>
            </w:pPr>
          </w:p>
        </w:tc>
      </w:tr>
      <w:tr>
        <w:trPr>
          <w:trHeight w:val="252"/>
        </w:trPr>
        <w:tc>
          <w:tcPr>
            <w:tcW w:w="4340" w:type="dxa"/>
            <w:vAlign w:val="bottom"/>
          </w:tcPr>
          <w:p>
            <w:pPr>
              <w:jc w:val="center"/>
              <w:ind w:right="2019"/>
              <w:spacing w:after="0"/>
              <w:rPr>
                <w:sz w:val="20"/>
                <w:szCs w:val="20"/>
                <w:color w:val="auto"/>
              </w:rPr>
            </w:pPr>
            <w:r>
              <w:rPr>
                <w:rFonts w:ascii="Times New Roman" w:cs="Times New Roman" w:eastAsia="Times New Roman" w:hAnsi="Times New Roman"/>
                <w:sz w:val="18"/>
                <w:szCs w:val="18"/>
                <w:b w:val="1"/>
                <w:bCs w:val="1"/>
                <w:color w:val="auto"/>
                <w:w w:val="97"/>
              </w:rPr>
              <w:t>Waltham, MA</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73"/>
        </w:trPr>
        <w:tc>
          <w:tcPr>
            <w:tcW w:w="4340" w:type="dxa"/>
            <w:vAlign w:val="bottom"/>
          </w:tcPr>
          <w:p>
            <w:pPr>
              <w:jc w:val="center"/>
              <w:ind w:right="2019"/>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680" w:type="dxa"/>
            <w:vAlign w:val="bottom"/>
          </w:tcPr>
          <w:p>
            <w:pPr>
              <w:jc w:val="center"/>
              <w:ind w:left="2024"/>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41"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(781) 819-0080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73025</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45"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940" w:type="dxa"/>
            <w:vAlign w:val="bottom"/>
            <w:gridSpan w:val="3"/>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900" w:type="dxa"/>
            <w:vAlign w:val="bottom"/>
            <w:vMerge w:val="restart"/>
          </w:tcPr>
          <w:p>
            <w:pPr>
              <w:jc w:val="center"/>
              <w:ind w:right="106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3"/>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Common Stock, $0.0001 par value per share</w:t>
            </w:r>
          </w:p>
        </w:tc>
        <w:tc>
          <w:tcPr>
            <w:tcW w:w="120" w:type="dxa"/>
            <w:vAlign w:val="bottom"/>
          </w:tcPr>
          <w:p>
            <w:pPr>
              <w:spacing w:after="0"/>
              <w:rPr>
                <w:sz w:val="15"/>
                <w:szCs w:val="15"/>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IVVD</w:t>
            </w:r>
          </w:p>
        </w:tc>
        <w:tc>
          <w:tcPr>
            <w:tcW w:w="12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3900" w:type="dxa"/>
            <w:vAlign w:val="bottom"/>
            <w:tcBorders>
              <w:top w:val="single" w:sz="8" w:color="auto"/>
            </w:tcBorders>
          </w:tcPr>
          <w:p>
            <w:pPr>
              <w:jc w:val="center"/>
              <w:ind w:right="1068"/>
              <w:spacing w:after="0"/>
              <w:rPr>
                <w:sz w:val="20"/>
                <w:szCs w:val="20"/>
                <w:color w:val="auto"/>
              </w:rPr>
            </w:pPr>
            <w:r>
              <w:rPr>
                <w:rFonts w:ascii="Times New Roman" w:cs="Times New Roman" w:eastAsia="Times New Roman" w:hAnsi="Times New Roman"/>
                <w:sz w:val="14"/>
                <w:szCs w:val="14"/>
                <w:color w:val="auto"/>
              </w:rPr>
              <w:t>The Nasdaq Global Market</w:t>
            </w:r>
          </w:p>
        </w:tc>
        <w:tc>
          <w:tcPr>
            <w:tcW w:w="0" w:type="dxa"/>
            <w:vAlign w:val="bottom"/>
          </w:tcPr>
          <w:p>
            <w:pPr>
              <w:spacing w:after="0"/>
              <w:rPr>
                <w:sz w:val="1"/>
                <w:szCs w:val="1"/>
                <w:color w:val="auto"/>
              </w:rPr>
            </w:pPr>
          </w:p>
        </w:tc>
      </w:tr>
      <w:tr>
        <w:trPr>
          <w:trHeight w:val="205"/>
        </w:trPr>
        <w:tc>
          <w:tcPr>
            <w:tcW w:w="428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340" w:type="dxa"/>
            <w:vAlign w:val="bottom"/>
            <w:gridSpan w:val="5"/>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p>
        </w:tc>
        <w:tc>
          <w:tcPr>
            <w:tcW w:w="3900" w:type="dxa"/>
            <w:vAlign w:val="bottom"/>
          </w:tcPr>
          <w:p>
            <w:pPr>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41"/>
        </w:trPr>
        <w:tc>
          <w:tcPr>
            <w:tcW w:w="7340" w:type="dxa"/>
            <w:vAlign w:val="bottom"/>
            <w:gridSpan w:val="5"/>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p>
        </w:tc>
        <w:tc>
          <w:tcPr>
            <w:tcW w:w="3900" w:type="dxa"/>
            <w:vAlign w:val="bottom"/>
          </w:tcPr>
          <w:p>
            <w:pPr>
              <w:ind w:left="18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6" w:lineRule="exact"/>
        <w:rPr>
          <w:sz w:val="24"/>
          <w:szCs w:val="24"/>
          <w:color w:val="auto"/>
        </w:rPr>
      </w:pPr>
    </w:p>
    <w:p>
      <w:pPr>
        <w:ind w:right="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89"/>
        </w:trPr>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740" w:type="dxa"/>
            <w:vAlign w:val="bottom"/>
          </w:tcPr>
          <w:p>
            <w:pPr>
              <w:ind w:left="48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120"/>
              <w:spacing w:after="0"/>
              <w:rPr>
                <w:sz w:val="20"/>
                <w:szCs w:val="20"/>
                <w:color w:val="auto"/>
              </w:rPr>
            </w:pPr>
            <w:r>
              <w:rPr>
                <w:rFonts w:ascii="Times New Roman" w:cs="Times New Roman" w:eastAsia="Times New Roman" w:hAnsi="Times New Roman"/>
                <w:sz w:val="14"/>
                <w:szCs w:val="14"/>
                <w:color w:val="auto"/>
              </w:rPr>
              <w:t>Accelerated filer</w:t>
            </w:r>
          </w:p>
        </w:tc>
        <w:tc>
          <w:tcPr>
            <w:tcW w:w="52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89"/>
        </w:trPr>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740" w:type="dxa"/>
            <w:vAlign w:val="bottom"/>
          </w:tcPr>
          <w:p>
            <w:pPr>
              <w:ind w:left="48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1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2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1"/>
        </w:trPr>
        <w:tc>
          <w:tcPr>
            <w:tcW w:w="17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5100" w:type="dxa"/>
            <w:vAlign w:val="bottom"/>
          </w:tcPr>
          <w:p>
            <w:pPr>
              <w:ind w:left="3120"/>
              <w:spacing w:after="0"/>
              <w:rPr>
                <w:sz w:val="20"/>
                <w:szCs w:val="20"/>
                <w:color w:val="auto"/>
              </w:rPr>
            </w:pPr>
            <w:r>
              <w:rPr>
                <w:rFonts w:ascii="Times New Roman" w:cs="Times New Roman" w:eastAsia="Times New Roman" w:hAnsi="Times New Roman"/>
                <w:sz w:val="14"/>
                <w:szCs w:val="14"/>
                <w:color w:val="auto"/>
              </w:rPr>
              <w:t>Emerging growth company</w:t>
            </w:r>
          </w:p>
        </w:tc>
        <w:tc>
          <w:tcPr>
            <w:tcW w:w="52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87" w:lineRule="exact"/>
        <w:rPr>
          <w:sz w:val="24"/>
          <w:szCs w:val="24"/>
          <w:color w:val="auto"/>
        </w:rPr>
      </w:pPr>
    </w:p>
    <w:p>
      <w:pPr>
        <w:jc w:val="both"/>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 w:lineRule="exact"/>
        <w:rPr>
          <w:sz w:val="24"/>
          <w:szCs w:val="24"/>
          <w:color w:val="auto"/>
        </w:rPr>
      </w:pPr>
    </w:p>
    <w:p>
      <w:pPr>
        <w:jc w:val="both"/>
        <w:ind w:right="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6" w:lineRule="exact"/>
        <w:rPr>
          <w:sz w:val="24"/>
          <w:szCs w:val="24"/>
          <w:color w:val="auto"/>
        </w:rPr>
      </w:pPr>
    </w:p>
    <w:p>
      <w:pPr>
        <w:jc w:val="both"/>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6" w:lineRule="exact"/>
        <w:rPr>
          <w:sz w:val="24"/>
          <w:szCs w:val="24"/>
          <w:color w:val="auto"/>
        </w:rPr>
      </w:pPr>
    </w:p>
    <w:p>
      <w:pPr>
        <w:jc w:val="both"/>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61" w:lineRule="exact"/>
        <w:tabs>
          <w:tab w:leader="none" w:pos="714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74" w:lineRule="exact"/>
        <w:rPr>
          <w:sz w:val="24"/>
          <w:szCs w:val="24"/>
          <w:color w:val="auto"/>
        </w:rPr>
      </w:pPr>
    </w:p>
    <w:p>
      <w:pPr>
        <w:jc w:val="both"/>
        <w:spacing w:after="0"/>
        <w:rPr>
          <w:sz w:val="20"/>
          <w:szCs w:val="20"/>
          <w:color w:val="auto"/>
        </w:rPr>
      </w:pPr>
      <w:r>
        <w:rPr>
          <w:rFonts w:ascii="Times New Roman" w:cs="Times New Roman" w:eastAsia="Times New Roman" w:hAnsi="Times New Roman"/>
          <w:sz w:val="14"/>
          <w:szCs w:val="14"/>
          <w:color w:val="auto"/>
        </w:rPr>
        <w:t>As of June 30, 2023, the last business day of the registrant’s most recently completed second fiscal quarter, the aggregate market value of voting and non-voting common equity held by non-affiliates of the registrant was approximately $67.1 million based on the closing price of the registrant’s common stock on June 30, 2023. The calculation excludes shares of the registrant’s common stock held by current executive officers, directors and stockholders that the registrant has concluded are affiliates of the registrant. This determination of affiliate status is not a determination for other purposes.</w:t>
      </w:r>
    </w:p>
    <w:p>
      <w:pPr>
        <w:spacing w:after="0" w:line="16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of the registrant’s common stock outstanding as of March 12, 2024 was 119,221,230.</w:t>
      </w:r>
    </w:p>
    <w:p>
      <w:pPr>
        <w:spacing w:after="0" w:line="41"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4"/>
          <w:szCs w:val="14"/>
          <w:color w:val="auto"/>
        </w:rPr>
        <w:t>DOCUMENTS INCORPORATED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type w:val="continuous"/>
        </w:sectPr>
      </w:pPr>
    </w:p>
    <w:bookmarkStart w:id="1" w:name="page2"/>
    <w:bookmarkEnd w:id="1"/>
    <w:p>
      <w:pPr>
        <w:spacing w:after="0" w:line="258" w:lineRule="auto"/>
        <w:rPr>
          <w:sz w:val="20"/>
          <w:szCs w:val="20"/>
          <w:color w:val="auto"/>
        </w:rPr>
      </w:pPr>
      <w:r>
        <w:rPr>
          <w:rFonts w:ascii="Times New Roman" w:cs="Times New Roman" w:eastAsia="Times New Roman" w:hAnsi="Times New Roman"/>
          <w:sz w:val="14"/>
          <w:szCs w:val="14"/>
          <w:color w:val="auto"/>
        </w:rPr>
        <w:t>Certain portions of the registrant’s definitive proxy statement for its 2024 Annual Meeting of Stockholders, which the registrant intends to file pursuant to Regulation 14A with the Securities and Exchange Commission no later than 120 days after the registrant’s fiscal year ended December 31, 2023,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621030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85" w:right="4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60" w:type="dxa"/>
            <w:vAlign w:val="bottom"/>
            <w:gridSpan w:val="9"/>
          </w:tcPr>
          <w:p>
            <w:pPr>
              <w:ind w:left="3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r>
      <w:tr>
        <w:trPr>
          <w:trHeight w:val="391"/>
        </w:trPr>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2"/>
        </w:trPr>
        <w:tc>
          <w:tcPr>
            <w:tcW w:w="120" w:type="dxa"/>
            <w:vAlign w:val="bottom"/>
          </w:tcPr>
          <w:p>
            <w:pPr>
              <w:spacing w:after="0"/>
              <w:rPr>
                <w:sz w:val="15"/>
                <w:szCs w:val="15"/>
                <w:color w:val="auto"/>
              </w:rPr>
            </w:pPr>
          </w:p>
        </w:tc>
        <w:tc>
          <w:tcPr>
            <w:tcW w:w="10320" w:type="dxa"/>
            <w:vAlign w:val="bottom"/>
            <w:gridSpan w:val="24"/>
          </w:tcPr>
          <w:p>
            <w:pPr>
              <w:spacing w:after="0" w:line="182" w:lineRule="exact"/>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w:t>
            </w:r>
          </w:p>
        </w:tc>
      </w:tr>
      <w:tr>
        <w:trPr>
          <w:trHeight w:val="223"/>
        </w:trPr>
        <w:tc>
          <w:tcPr>
            <w:tcW w:w="120" w:type="dxa"/>
            <w:vAlign w:val="bottom"/>
          </w:tcPr>
          <w:p>
            <w:pPr>
              <w:spacing w:after="0"/>
              <w:rPr>
                <w:sz w:val="19"/>
                <w:szCs w:val="19"/>
                <w:color w:val="auto"/>
              </w:rPr>
            </w:pPr>
          </w:p>
        </w:tc>
        <w:tc>
          <w:tcPr>
            <w:tcW w:w="414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Summary of Risk Factors</w:t>
            </w:r>
          </w:p>
        </w:tc>
        <w:tc>
          <w:tcPr>
            <w:tcW w:w="6180" w:type="dxa"/>
            <w:vAlign w:val="bottom"/>
            <w:gridSpan w:val="11"/>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120" w:type="dxa"/>
            <w:vAlign w:val="bottom"/>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506"/>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2"/>
        </w:trPr>
        <w:tc>
          <w:tcPr>
            <w:tcW w:w="120" w:type="dxa"/>
            <w:vAlign w:val="bottom"/>
          </w:tcPr>
          <w:p>
            <w:pPr>
              <w:spacing w:after="0"/>
              <w:rPr>
                <w:sz w:val="17"/>
                <w:szCs w:val="17"/>
                <w:color w:val="auto"/>
              </w:rPr>
            </w:pPr>
          </w:p>
        </w:tc>
        <w:tc>
          <w:tcPr>
            <w:tcW w:w="11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Item 1.</w:t>
            </w:r>
          </w:p>
        </w:tc>
        <w:tc>
          <w:tcPr>
            <w:tcW w:w="9180" w:type="dxa"/>
            <w:vAlign w:val="bottom"/>
            <w:gridSpan w:val="23"/>
          </w:tcPr>
          <w:p>
            <w:pPr>
              <w:spacing w:after="0" w:line="202" w:lineRule="exact"/>
              <w:rPr>
                <w:sz w:val="20"/>
                <w:szCs w:val="20"/>
                <w:color w:val="auto"/>
              </w:rPr>
            </w:pPr>
            <w:r>
              <w:rPr>
                <w:rFonts w:ascii="Times New Roman" w:cs="Times New Roman" w:eastAsia="Times New Roman" w:hAnsi="Times New Roman"/>
                <w:sz w:val="18"/>
                <w:szCs w:val="18"/>
                <w:color w:val="0000FF"/>
              </w:rPr>
              <w:t>Business</w:t>
            </w:r>
          </w:p>
        </w:tc>
        <w:tc>
          <w:tcPr>
            <w:tcW w:w="7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120" w:type="dxa"/>
            <w:vAlign w:val="bottom"/>
          </w:tcPr>
          <w:p>
            <w:pPr>
              <w:spacing w:after="0" w:line="20" w:lineRule="exact"/>
              <w:rPr>
                <w:sz w:val="1"/>
                <w:szCs w:val="1"/>
                <w:color w:val="auto"/>
              </w:rPr>
            </w:pPr>
          </w:p>
        </w:tc>
        <w:tc>
          <w:tcPr>
            <w:tcW w:w="114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1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120" w:type="dxa"/>
            <w:vAlign w:val="bottom"/>
          </w:tcPr>
          <w:p>
            <w:pPr>
              <w:spacing w:after="0" w:line="20" w:lineRule="exact"/>
              <w:rPr>
                <w:sz w:val="1"/>
                <w:szCs w:val="1"/>
                <w:color w:val="auto"/>
              </w:rPr>
            </w:pPr>
          </w:p>
        </w:tc>
        <w:tc>
          <w:tcPr>
            <w:tcW w:w="114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91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0"/>
        </w:trPr>
        <w:tc>
          <w:tcPr>
            <w:tcW w:w="120" w:type="dxa"/>
            <w:vAlign w:val="bottom"/>
          </w:tcPr>
          <w:p>
            <w:pPr>
              <w:spacing w:after="0" w:line="20" w:lineRule="exact"/>
              <w:rPr>
                <w:sz w:val="1"/>
                <w:szCs w:val="1"/>
                <w:color w:val="auto"/>
              </w:rPr>
            </w:pPr>
          </w:p>
        </w:tc>
        <w:tc>
          <w:tcPr>
            <w:tcW w:w="114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1C.</w:t>
            </w:r>
          </w:p>
        </w:tc>
        <w:tc>
          <w:tcPr>
            <w:tcW w:w="91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0"/>
        </w:trPr>
        <w:tc>
          <w:tcPr>
            <w:tcW w:w="120" w:type="dxa"/>
            <w:vAlign w:val="bottom"/>
          </w:tcPr>
          <w:p>
            <w:pPr>
              <w:spacing w:after="0" w:line="20" w:lineRule="exact"/>
              <w:rPr>
                <w:sz w:val="1"/>
                <w:szCs w:val="1"/>
                <w:color w:val="auto"/>
              </w:rPr>
            </w:pPr>
          </w:p>
        </w:tc>
        <w:tc>
          <w:tcPr>
            <w:tcW w:w="114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1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0"/>
        </w:trPr>
        <w:tc>
          <w:tcPr>
            <w:tcW w:w="120" w:type="dxa"/>
            <w:vAlign w:val="bottom"/>
          </w:tcPr>
          <w:p>
            <w:pPr>
              <w:spacing w:after="0" w:line="20" w:lineRule="exact"/>
              <w:rPr>
                <w:sz w:val="1"/>
                <w:szCs w:val="1"/>
                <w:color w:val="auto"/>
              </w:rPr>
            </w:pPr>
          </w:p>
        </w:tc>
        <w:tc>
          <w:tcPr>
            <w:tcW w:w="114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1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0"/>
        </w:trPr>
        <w:tc>
          <w:tcPr>
            <w:tcW w:w="120" w:type="dxa"/>
            <w:vAlign w:val="bottom"/>
          </w:tcPr>
          <w:p>
            <w:pPr>
              <w:spacing w:after="0" w:line="20" w:lineRule="exact"/>
              <w:rPr>
                <w:sz w:val="1"/>
                <w:szCs w:val="1"/>
                <w:color w:val="auto"/>
              </w:rPr>
            </w:pPr>
          </w:p>
        </w:tc>
        <w:tc>
          <w:tcPr>
            <w:tcW w:w="114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1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506"/>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2"/>
        </w:trPr>
        <w:tc>
          <w:tcPr>
            <w:tcW w:w="120" w:type="dxa"/>
            <w:vAlign w:val="bottom"/>
          </w:tcPr>
          <w:p>
            <w:pPr>
              <w:spacing w:after="0"/>
              <w:rPr>
                <w:sz w:val="17"/>
                <w:szCs w:val="17"/>
                <w:color w:val="auto"/>
              </w:rPr>
            </w:pPr>
          </w:p>
        </w:tc>
        <w:tc>
          <w:tcPr>
            <w:tcW w:w="11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Item 5.</w:t>
            </w:r>
          </w:p>
        </w:tc>
        <w:tc>
          <w:tcPr>
            <w:tcW w:w="9180" w:type="dxa"/>
            <w:vAlign w:val="bottom"/>
            <w:gridSpan w:val="23"/>
          </w:tcPr>
          <w:p>
            <w:pPr>
              <w:spacing w:after="0" w:line="202"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100</w:t>
            </w:r>
          </w:p>
        </w:tc>
      </w:tr>
      <w:tr>
        <w:trPr>
          <w:trHeight w:val="20"/>
        </w:trPr>
        <w:tc>
          <w:tcPr>
            <w:tcW w:w="120" w:type="dxa"/>
            <w:vAlign w:val="bottom"/>
          </w:tcPr>
          <w:p>
            <w:pPr>
              <w:spacing w:after="0" w:line="20" w:lineRule="exact"/>
              <w:rPr>
                <w:sz w:val="1"/>
                <w:szCs w:val="1"/>
                <w:color w:val="auto"/>
              </w:rPr>
            </w:pPr>
          </w:p>
        </w:tc>
        <w:tc>
          <w:tcPr>
            <w:tcW w:w="114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1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[Reserved]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0"/>
        </w:trPr>
        <w:tc>
          <w:tcPr>
            <w:tcW w:w="120" w:type="dxa"/>
            <w:vAlign w:val="bottom"/>
          </w:tcPr>
          <w:p>
            <w:pPr>
              <w:spacing w:after="0" w:line="20" w:lineRule="exact"/>
              <w:rPr>
                <w:sz w:val="1"/>
                <w:szCs w:val="1"/>
                <w:color w:val="auto"/>
              </w:rPr>
            </w:pPr>
          </w:p>
        </w:tc>
        <w:tc>
          <w:tcPr>
            <w:tcW w:w="114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EE"/>
            </w:tcBorders>
            <w:gridSpan w:val="3"/>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91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0"/>
        </w:trPr>
        <w:tc>
          <w:tcPr>
            <w:tcW w:w="120" w:type="dxa"/>
            <w:vAlign w:val="bottom"/>
          </w:tcPr>
          <w:p>
            <w:pPr>
              <w:spacing w:after="0" w:line="20" w:lineRule="exact"/>
              <w:rPr>
                <w:sz w:val="1"/>
                <w:szCs w:val="1"/>
                <w:color w:val="auto"/>
              </w:rPr>
            </w:pPr>
          </w:p>
        </w:tc>
        <w:tc>
          <w:tcPr>
            <w:tcW w:w="114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91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0"/>
        </w:trPr>
        <w:tc>
          <w:tcPr>
            <w:tcW w:w="120" w:type="dxa"/>
            <w:vAlign w:val="bottom"/>
          </w:tcPr>
          <w:p>
            <w:pPr>
              <w:spacing w:after="0" w:line="20" w:lineRule="exact"/>
              <w:rPr>
                <w:sz w:val="1"/>
                <w:szCs w:val="1"/>
                <w:color w:val="auto"/>
              </w:rPr>
            </w:pPr>
          </w:p>
        </w:tc>
        <w:tc>
          <w:tcPr>
            <w:tcW w:w="114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91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0"/>
        </w:trPr>
        <w:tc>
          <w:tcPr>
            <w:tcW w:w="120" w:type="dxa"/>
            <w:vAlign w:val="bottom"/>
          </w:tcPr>
          <w:p>
            <w:pPr>
              <w:spacing w:after="0" w:line="20" w:lineRule="exact"/>
              <w:rPr>
                <w:sz w:val="1"/>
                <w:szCs w:val="1"/>
                <w:color w:val="auto"/>
              </w:rPr>
            </w:pPr>
          </w:p>
        </w:tc>
        <w:tc>
          <w:tcPr>
            <w:tcW w:w="114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91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0"/>
        </w:trPr>
        <w:tc>
          <w:tcPr>
            <w:tcW w:w="120" w:type="dxa"/>
            <w:vAlign w:val="bottom"/>
          </w:tcPr>
          <w:p>
            <w:pPr>
              <w:spacing w:after="0" w:line="20" w:lineRule="exact"/>
              <w:rPr>
                <w:sz w:val="1"/>
                <w:szCs w:val="1"/>
                <w:color w:val="auto"/>
              </w:rPr>
            </w:pPr>
          </w:p>
        </w:tc>
        <w:tc>
          <w:tcPr>
            <w:tcW w:w="114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91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0"/>
        </w:trPr>
        <w:tc>
          <w:tcPr>
            <w:tcW w:w="120" w:type="dxa"/>
            <w:vAlign w:val="bottom"/>
          </w:tcPr>
          <w:p>
            <w:pPr>
              <w:spacing w:after="0" w:line="20" w:lineRule="exact"/>
              <w:rPr>
                <w:sz w:val="1"/>
                <w:szCs w:val="1"/>
                <w:color w:val="auto"/>
              </w:rPr>
            </w:pPr>
          </w:p>
        </w:tc>
        <w:tc>
          <w:tcPr>
            <w:tcW w:w="114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91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0"/>
        </w:trPr>
        <w:tc>
          <w:tcPr>
            <w:tcW w:w="120" w:type="dxa"/>
            <w:vAlign w:val="bottom"/>
          </w:tcPr>
          <w:p>
            <w:pPr>
              <w:spacing w:after="0" w:line="20" w:lineRule="exact"/>
              <w:rPr>
                <w:sz w:val="1"/>
                <w:szCs w:val="1"/>
                <w:color w:val="auto"/>
              </w:rPr>
            </w:pPr>
          </w:p>
        </w:tc>
        <w:tc>
          <w:tcPr>
            <w:tcW w:w="114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6"/>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9C.</w:t>
            </w:r>
          </w:p>
        </w:tc>
        <w:tc>
          <w:tcPr>
            <w:tcW w:w="91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506"/>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2"/>
        </w:trPr>
        <w:tc>
          <w:tcPr>
            <w:tcW w:w="120" w:type="dxa"/>
            <w:vAlign w:val="bottom"/>
          </w:tcPr>
          <w:p>
            <w:pPr>
              <w:spacing w:after="0"/>
              <w:rPr>
                <w:sz w:val="17"/>
                <w:szCs w:val="17"/>
                <w:color w:val="auto"/>
              </w:rPr>
            </w:pPr>
          </w:p>
        </w:tc>
        <w:tc>
          <w:tcPr>
            <w:tcW w:w="11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Item 10.</w:t>
            </w:r>
          </w:p>
        </w:tc>
        <w:tc>
          <w:tcPr>
            <w:tcW w:w="9180" w:type="dxa"/>
            <w:vAlign w:val="bottom"/>
            <w:gridSpan w:val="23"/>
          </w:tcPr>
          <w:p>
            <w:pPr>
              <w:spacing w:after="0" w:line="202"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117</w:t>
            </w:r>
          </w:p>
        </w:tc>
      </w:tr>
      <w:tr>
        <w:trPr>
          <w:trHeight w:val="20"/>
        </w:trPr>
        <w:tc>
          <w:tcPr>
            <w:tcW w:w="120" w:type="dxa"/>
            <w:vAlign w:val="bottom"/>
          </w:tcPr>
          <w:p>
            <w:pPr>
              <w:spacing w:after="0" w:line="20" w:lineRule="exact"/>
              <w:rPr>
                <w:sz w:val="1"/>
                <w:szCs w:val="1"/>
                <w:color w:val="auto"/>
              </w:rPr>
            </w:pPr>
          </w:p>
        </w:tc>
        <w:tc>
          <w:tcPr>
            <w:tcW w:w="1140" w:type="dxa"/>
            <w:vAlign w:val="bottom"/>
            <w:tcBorders>
              <w:right w:val="single" w:sz="8" w:color="0000EE"/>
            </w:tcBorders>
          </w:tcPr>
          <w:p>
            <w:pPr>
              <w:spacing w:after="0" w:line="20" w:lineRule="exact"/>
              <w:rPr>
                <w:sz w:val="1"/>
                <w:szCs w:val="1"/>
                <w:color w:val="auto"/>
              </w:rPr>
            </w:pPr>
          </w:p>
        </w:tc>
        <w:tc>
          <w:tcPr>
            <w:tcW w:w="1520" w:type="dxa"/>
            <w:vAlign w:val="bottom"/>
            <w:gridSpan w:val="7"/>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91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0"/>
        </w:trPr>
        <w:tc>
          <w:tcPr>
            <w:tcW w:w="120" w:type="dxa"/>
            <w:vAlign w:val="bottom"/>
          </w:tcPr>
          <w:p>
            <w:pPr>
              <w:spacing w:after="0" w:line="20" w:lineRule="exact"/>
              <w:rPr>
                <w:sz w:val="1"/>
                <w:szCs w:val="1"/>
                <w:color w:val="auto"/>
              </w:rPr>
            </w:pPr>
          </w:p>
        </w:tc>
        <w:tc>
          <w:tcPr>
            <w:tcW w:w="1140" w:type="dxa"/>
            <w:vAlign w:val="bottom"/>
            <w:tcBorders>
              <w:right w:val="single" w:sz="8" w:color="0000EE"/>
            </w:tcBorders>
          </w:tcPr>
          <w:p>
            <w:pPr>
              <w:spacing w:after="0" w:line="20" w:lineRule="exact"/>
              <w:rPr>
                <w:sz w:val="1"/>
                <w:szCs w:val="1"/>
                <w:color w:val="auto"/>
              </w:rPr>
            </w:pPr>
          </w:p>
        </w:tc>
        <w:tc>
          <w:tcPr>
            <w:tcW w:w="1520" w:type="dxa"/>
            <w:vAlign w:val="bottom"/>
            <w:gridSpan w:val="7"/>
            <w:shd w:val="clear" w:color="auto" w:fill="0000FF"/>
          </w:tcPr>
          <w:p>
            <w:pPr>
              <w:spacing w:after="0" w:line="20" w:lineRule="exact"/>
              <w:rPr>
                <w:sz w:val="1"/>
                <w:szCs w:val="1"/>
                <w:color w:val="auto"/>
              </w:rPr>
            </w:pPr>
          </w:p>
        </w:tc>
        <w:tc>
          <w:tcPr>
            <w:tcW w:w="28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91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0"/>
        </w:trPr>
        <w:tc>
          <w:tcPr>
            <w:tcW w:w="120" w:type="dxa"/>
            <w:vAlign w:val="bottom"/>
          </w:tcPr>
          <w:p>
            <w:pPr>
              <w:spacing w:after="0" w:line="20" w:lineRule="exact"/>
              <w:rPr>
                <w:sz w:val="1"/>
                <w:szCs w:val="1"/>
                <w:color w:val="auto"/>
              </w:rPr>
            </w:pPr>
          </w:p>
        </w:tc>
        <w:tc>
          <w:tcPr>
            <w:tcW w:w="1140" w:type="dxa"/>
            <w:vAlign w:val="bottom"/>
            <w:tcBorders>
              <w:right w:val="single" w:sz="8" w:color="0000EE"/>
            </w:tcBorders>
          </w:tcPr>
          <w:p>
            <w:pPr>
              <w:spacing w:after="0" w:line="20" w:lineRule="exact"/>
              <w:rPr>
                <w:sz w:val="1"/>
                <w:szCs w:val="1"/>
                <w:color w:val="auto"/>
              </w:rPr>
            </w:pPr>
          </w:p>
        </w:tc>
        <w:tc>
          <w:tcPr>
            <w:tcW w:w="1520" w:type="dxa"/>
            <w:vAlign w:val="bottom"/>
            <w:gridSpan w:val="7"/>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36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91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0"/>
        </w:trPr>
        <w:tc>
          <w:tcPr>
            <w:tcW w:w="120" w:type="dxa"/>
            <w:vAlign w:val="bottom"/>
          </w:tcPr>
          <w:p>
            <w:pPr>
              <w:spacing w:after="0" w:line="20" w:lineRule="exact"/>
              <w:rPr>
                <w:sz w:val="1"/>
                <w:szCs w:val="1"/>
                <w:color w:val="auto"/>
              </w:rPr>
            </w:pPr>
          </w:p>
        </w:tc>
        <w:tc>
          <w:tcPr>
            <w:tcW w:w="1140" w:type="dxa"/>
            <w:vAlign w:val="bottom"/>
            <w:tcBorders>
              <w:right w:val="single" w:sz="8" w:color="0000EE"/>
            </w:tcBorders>
          </w:tcPr>
          <w:p>
            <w:pPr>
              <w:spacing w:after="0" w:line="20" w:lineRule="exact"/>
              <w:rPr>
                <w:sz w:val="1"/>
                <w:szCs w:val="1"/>
                <w:color w:val="auto"/>
              </w:rPr>
            </w:pPr>
          </w:p>
        </w:tc>
        <w:tc>
          <w:tcPr>
            <w:tcW w:w="1520" w:type="dxa"/>
            <w:vAlign w:val="bottom"/>
            <w:gridSpan w:val="7"/>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360" w:type="dxa"/>
            <w:vAlign w:val="bottom"/>
            <w:gridSpan w:val="5"/>
            <w:shd w:val="clear" w:color="auto" w:fill="0000FF"/>
          </w:tcPr>
          <w:p>
            <w:pPr>
              <w:spacing w:after="0" w:line="20" w:lineRule="exact"/>
              <w:rPr>
                <w:sz w:val="1"/>
                <w:szCs w:val="1"/>
                <w:color w:val="auto"/>
              </w:rPr>
            </w:pPr>
          </w:p>
        </w:tc>
        <w:tc>
          <w:tcPr>
            <w:tcW w:w="37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91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506"/>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2"/>
        </w:trPr>
        <w:tc>
          <w:tcPr>
            <w:tcW w:w="120" w:type="dxa"/>
            <w:vAlign w:val="bottom"/>
          </w:tcPr>
          <w:p>
            <w:pPr>
              <w:spacing w:after="0"/>
              <w:rPr>
                <w:sz w:val="17"/>
                <w:szCs w:val="17"/>
                <w:color w:val="auto"/>
              </w:rPr>
            </w:pPr>
          </w:p>
        </w:tc>
        <w:tc>
          <w:tcPr>
            <w:tcW w:w="11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Item 15.</w:t>
            </w:r>
          </w:p>
        </w:tc>
        <w:tc>
          <w:tcPr>
            <w:tcW w:w="9180" w:type="dxa"/>
            <w:vAlign w:val="bottom"/>
            <w:gridSpan w:val="23"/>
          </w:tcPr>
          <w:p>
            <w:pPr>
              <w:spacing w:after="0" w:line="202" w:lineRule="exact"/>
              <w:rPr>
                <w:sz w:val="20"/>
                <w:szCs w:val="20"/>
                <w:color w:val="auto"/>
              </w:rPr>
            </w:pPr>
            <w:r>
              <w:rPr>
                <w:rFonts w:ascii="Times New Roman" w:cs="Times New Roman" w:eastAsia="Times New Roman" w:hAnsi="Times New Roman"/>
                <w:sz w:val="18"/>
                <w:szCs w:val="18"/>
                <w:color w:val="0000FF"/>
              </w:rPr>
              <w:t>Exhibit and Financial Statement Schedules</w:t>
            </w:r>
          </w:p>
        </w:tc>
        <w:tc>
          <w:tcPr>
            <w:tcW w:w="7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118</w:t>
            </w:r>
          </w:p>
        </w:tc>
      </w:tr>
      <w:tr>
        <w:trPr>
          <w:trHeight w:val="20"/>
        </w:trPr>
        <w:tc>
          <w:tcPr>
            <w:tcW w:w="120" w:type="dxa"/>
            <w:vAlign w:val="bottom"/>
          </w:tcPr>
          <w:p>
            <w:pPr>
              <w:spacing w:after="0" w:line="20" w:lineRule="exact"/>
              <w:rPr>
                <w:sz w:val="1"/>
                <w:szCs w:val="1"/>
                <w:color w:val="auto"/>
              </w:rPr>
            </w:pPr>
          </w:p>
        </w:tc>
        <w:tc>
          <w:tcPr>
            <w:tcW w:w="1140" w:type="dxa"/>
            <w:vAlign w:val="bottom"/>
            <w:tcBorders>
              <w:right w:val="single" w:sz="8" w:color="0000EE"/>
            </w:tcBorders>
          </w:tcPr>
          <w:p>
            <w:pPr>
              <w:spacing w:after="0" w:line="20" w:lineRule="exact"/>
              <w:rPr>
                <w:sz w:val="1"/>
                <w:szCs w:val="1"/>
                <w:color w:val="auto"/>
              </w:rPr>
            </w:pPr>
          </w:p>
        </w:tc>
        <w:tc>
          <w:tcPr>
            <w:tcW w:w="1520" w:type="dxa"/>
            <w:vAlign w:val="bottom"/>
            <w:gridSpan w:val="7"/>
            <w:shd w:val="clear" w:color="auto" w:fill="0000FF"/>
          </w:tcPr>
          <w:p>
            <w:pPr>
              <w:spacing w:after="0" w:line="20" w:lineRule="exact"/>
              <w:rPr>
                <w:sz w:val="1"/>
                <w:szCs w:val="1"/>
                <w:color w:val="auto"/>
              </w:rPr>
            </w:pPr>
          </w:p>
        </w:tc>
        <w:tc>
          <w:tcPr>
            <w:tcW w:w="1540" w:type="dxa"/>
            <w:vAlign w:val="bottom"/>
            <w:gridSpan w:val="6"/>
            <w:shd w:val="clear" w:color="auto" w:fill="0000FF"/>
          </w:tcPr>
          <w:p>
            <w:pPr>
              <w:spacing w:after="0" w:line="20" w:lineRule="exact"/>
              <w:rPr>
                <w:sz w:val="1"/>
                <w:szCs w:val="1"/>
                <w:color w:val="auto"/>
              </w:rPr>
            </w:pPr>
          </w:p>
        </w:tc>
        <w:tc>
          <w:tcPr>
            <w:tcW w:w="612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16.</w:t>
            </w:r>
          </w:p>
        </w:tc>
        <w:tc>
          <w:tcPr>
            <w:tcW w:w="91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0"/>
        </w:trPr>
        <w:tc>
          <w:tcPr>
            <w:tcW w:w="120" w:type="dxa"/>
            <w:vAlign w:val="bottom"/>
          </w:tcPr>
          <w:p>
            <w:pPr>
              <w:spacing w:after="0" w:line="20" w:lineRule="exact"/>
              <w:rPr>
                <w:sz w:val="1"/>
                <w:szCs w:val="1"/>
                <w:color w:val="auto"/>
              </w:rPr>
            </w:pPr>
          </w:p>
        </w:tc>
        <w:tc>
          <w:tcPr>
            <w:tcW w:w="114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483870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088"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the Private Securities Litigation Reform Act of 1995 and Section 21E of the Securities Exchange Act of 1934, as amended (the “Exchange Act”). Forward-looking statements include, but are not limited to, statements regarding our management team’s expectations, hopes, beliefs, intentions or strategies regarding the future, projections, forecasts or other characterizations of future events or circumstances, including any underlying assumptions, and are not guarantees of future performance. The words “may,” “anticipate,” “believe,” “could,” “expect,” “intends,” “might,” “plan,” “possible,” “potential,” “aim,” “predict,” “project,” “should,” “will,” “would” and similar expressions may identify forward-looking statements, but the absence of these words does not mean that a statement is not forward-looking. These statements speak only as of the date of this Annual Report on Form 10-K and involve known and unknown risks, uncertainties and other important factors that may cause our actual results, performance or achievements to be materially different from any future results, performance or achievements expressed or implied by the forward-looking statements. We have based these forward-looking statements largely on our current expectations and projections about future events and financial trends that we believe may affect our business, financial condition and results of operations. These forward-looking statements include, without limitation, statements about the following:</w:t>
      </w:r>
    </w:p>
    <w:p>
      <w:pPr>
        <w:spacing w:after="0" w:line="81" w:lineRule="exact"/>
        <w:rPr>
          <w:sz w:val="20"/>
          <w:szCs w:val="20"/>
          <w:color w:val="auto"/>
        </w:rPr>
      </w:pPr>
    </w:p>
    <w:p>
      <w:pPr>
        <w:jc w:val="both"/>
        <w:ind w:left="1020" w:hanging="504"/>
        <w:spacing w:after="0" w:line="265"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commercialize PEMGARDA™ (pemivibart), which received emergency use authorization (“EUA”) from the U.S. Food and Drug Administration (“FDA”) in March 2024, including our expectations about the potential market opportunity and our ability to meet anticipated initial demand for PEMGARDA;</w:t>
      </w:r>
    </w:p>
    <w:p>
      <w:pPr>
        <w:spacing w:after="0" w:line="69" w:lineRule="exact"/>
        <w:rPr>
          <w:rFonts w:ascii="Times New Roman" w:cs="Times New Roman" w:eastAsia="Times New Roman" w:hAnsi="Times New Roman"/>
          <w:sz w:val="18"/>
          <w:szCs w:val="18"/>
          <w:color w:val="auto"/>
        </w:rPr>
      </w:pPr>
    </w:p>
    <w:p>
      <w:pPr>
        <w:jc w:val="both"/>
        <w:ind w:left="1020" w:hanging="504"/>
        <w:spacing w:after="0" w:line="258"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that PEMGARDA will be our first monoclonal antibody (“mAb”) in a planned series of innovative mAb candidates designed to keep pace with SARS-CoV-2 viral evolution, and our plans to leverage our INVYMAB™ platform approach to periodically introduce new or engineered mAb candidates as the SARS-CoV-2 virus evolves over time, including our expectation that VYD2311, a mAb optimized for neutralization potency against recent SARS-CoV-2 lineages such as BA.2.86 and JN.1, will be the next pipeline program to advance into clinical development;</w:t>
      </w:r>
    </w:p>
    <w:p>
      <w:pPr>
        <w:spacing w:after="0" w:line="74" w:lineRule="exact"/>
        <w:rPr>
          <w:rFonts w:ascii="Times New Roman" w:cs="Times New Roman" w:eastAsia="Times New Roman" w:hAnsi="Times New Roman"/>
          <w:sz w:val="18"/>
          <w:szCs w:val="18"/>
          <w:color w:val="auto"/>
        </w:rPr>
      </w:pPr>
    </w:p>
    <w:p>
      <w:pPr>
        <w:jc w:val="both"/>
        <w:ind w:left="1020" w:hanging="504"/>
        <w:spacing w:after="0" w:line="265"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timing, design, progress and results of preclinical studies and clinical trials of our product candidates, including statements regarding initiation or completion of studies or trials and related preparatory work, the period during which results of any studies or trials will become available, and potential regulatory submissions;</w:t>
      </w:r>
    </w:p>
    <w:p>
      <w:pPr>
        <w:spacing w:after="0" w:line="69" w:lineRule="exact"/>
        <w:rPr>
          <w:rFonts w:ascii="Times New Roman" w:cs="Times New Roman" w:eastAsia="Times New Roman" w:hAnsi="Times New Roman"/>
          <w:sz w:val="18"/>
          <w:szCs w:val="18"/>
          <w:color w:val="auto"/>
        </w:rPr>
      </w:pPr>
    </w:p>
    <w:p>
      <w:pPr>
        <w:jc w:val="both"/>
        <w:ind w:left="1020" w:hanging="504"/>
        <w:spacing w:after="0" w:line="265"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rapidly and perpetually deliver antibody-based therapies that protect vulnerable people from the devastating consequences of circulating viral threats, beginning with SARS-CoV-2, and the potential of our pipeline of therapeutic candidates designed to protect vulnerable people from serious viral diseases, starting with COVID-19 and expanding into influenza and other high-need indications;</w:t>
      </w:r>
    </w:p>
    <w:p>
      <w:pPr>
        <w:spacing w:after="0" w:line="69"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timing of any submission of filings for regulatory authorization or approval of, and our ability to obtain and maintain regulatory authorizations or approvals for, our product candidates;</w:t>
      </w:r>
    </w:p>
    <w:p>
      <w:pPr>
        <w:spacing w:after="0" w:line="54"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size of the patient populations, market acceptance and opportunity for and clinical utility of our product candidates, if authorized or approved for commercial use;</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capabilities and strategy;</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our product candidates, if authorized or approved;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leverage technology and our INVYMAB platform approach to identify and develop future product candidates;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to apply our INVYMAB platform approach to produce lead molecules for other viral diseases, such as influenza;</w:t>
      </w:r>
    </w:p>
    <w:p>
      <w:pPr>
        <w:spacing w:after="0" w:line="116"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our expenses, ongoing losses, future potential revenue, capital requirements and our need for or ability to obtain additional funding;</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anticipated timeline of our cash runway, and our ability to continue as a going concern;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 and the development of and projections relating to our competitors or our industry.</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4" w:name="page5"/>
    <w:bookmarkEnd w:id="4"/>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foregoing list of forward-looking statements is not exhaustive. You should refer to the “Risk Factors” section of this Annual Report on Form 10-K for a discussion of important factors that may cause our actual results to differ materially from those expressed or implied by our forward-looking statements. Other sections of this Annual Report on Form 10-K may include additional factors that could harm our business and financial performance. Moreover, we operate in an evolving environment. New risk factors and uncertainties may emerge from time to time, and it is not possible for management to predict all risk factors and uncertainties. As a result of these factors, we cannot assure you that the forward-looking statements in this Annual Report on Form 10-K will prove to be accurate. Except as required by applicable law, we do not plan to publicly update or revise any forward-looking statements contained herein, whether as a result of any new information, future events, changed circumstances or otherwise. You should, however, review the factors and risks and other information we describe in the reports we file from time to time with the Securities and Exchange Commission (the “SEC”).</w:t>
      </w:r>
    </w:p>
    <w:p>
      <w:pPr>
        <w:spacing w:after="0" w:line="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Because forward-looking statements are inherently subject to risks and uncertainties, some of which cannot be predicted or quantified and some of which are beyond our control, you should not rely on these forward-looking statements as predictions of future events. You should read this Annual Report on Form 10-K and the documents that we reference in this Annual Report on Form 10-K and have filed as exhibits to this Annual Report on Form 10-K completely and with the understanding that our actual future results may be materially different from what we expect. We qualify all of our forward-looking statements by these cautionary statements.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7" w:lineRule="exact"/>
        <w:rPr>
          <w:sz w:val="20"/>
          <w:szCs w:val="20"/>
          <w:color w:val="auto"/>
        </w:rPr>
      </w:pPr>
    </w:p>
    <w:p>
      <w:pPr>
        <w:ind w:right="42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summarizes the principal factors that make an investment in us speculative or risky, all of which are more fully described in the “Risk Factors” section of this Annual Report on Form 10-K. This summary should be read in conjunction with the “Risk Factors” section and should not be relied upon as an exhaustive summary of the material risks facing our business.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Needs</w:t>
      </w:r>
    </w:p>
    <w:p>
      <w:pPr>
        <w:spacing w:after="0" w:line="80" w:lineRule="exact"/>
        <w:rPr>
          <w:sz w:val="20"/>
          <w:szCs w:val="20"/>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condition raises substantial doubt regarding our ability to continue as a going concern.</w:t>
      </w:r>
    </w:p>
    <w:p>
      <w:pPr>
        <w:spacing w:after="0" w:line="89"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our inception. We may continue to incur losses and may never achieve or maintain profitability.</w:t>
      </w:r>
    </w:p>
    <w:p>
      <w:pPr>
        <w:spacing w:after="0" w:line="76"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no history of commercializing products, which may make it difficult for an investor to evaluate the success of our business to date and to assess our future viability.</w:t>
      </w:r>
    </w:p>
    <w:p>
      <w:pPr>
        <w:spacing w:after="0" w:line="14" w:lineRule="exact"/>
        <w:rPr>
          <w:rFonts w:ascii="Times New Roman" w:cs="Times New Roman" w:eastAsia="Times New Roman" w:hAnsi="Times New Roman"/>
          <w:sz w:val="18"/>
          <w:szCs w:val="18"/>
          <w:color w:val="auto"/>
        </w:rPr>
      </w:pPr>
    </w:p>
    <w:p>
      <w:pPr>
        <w:jc w:val="both"/>
        <w:ind w:left="1020" w:hanging="504"/>
        <w:spacing w:after="0" w:line="260"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additional funding through a combination of contribution from revenues, equity offerings, government or private-party grants, debt financings or other capital sources, such as collaborations with other companies, strategic alliances or licensing arrangements to finance our future operations. If we are unable to secure additional funding when needed, we could be forced to curtail our planned operations and the pursuit of our growth strategy.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of our Product Candidates</w:t>
      </w:r>
    </w:p>
    <w:p>
      <w:pPr>
        <w:spacing w:after="0" w:line="94" w:lineRule="exact"/>
        <w:rPr>
          <w:sz w:val="20"/>
          <w:szCs w:val="20"/>
          <w:color w:val="auto"/>
        </w:rPr>
      </w:pPr>
    </w:p>
    <w:p>
      <w:pPr>
        <w:jc w:val="both"/>
        <w:ind w:left="1020" w:hanging="504"/>
        <w:spacing w:after="0" w:line="265"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Newly emerging and future SARS-CoV-2 variants could reduce the activity and effectiveness of antibodies as a potential prevention of or treatment for symptomatic COVID-19, which may significantly and adversely affect our ability to complete our clinical trials and to obtain and maintain authorization or approval of, and commercialize our product candidates.</w:t>
      </w:r>
    </w:p>
    <w:p>
      <w:pPr>
        <w:spacing w:after="0" w:line="29" w:lineRule="exact"/>
        <w:rPr>
          <w:rFonts w:ascii="Times New Roman" w:cs="Times New Roman" w:eastAsia="Times New Roman" w:hAnsi="Times New Roman"/>
          <w:sz w:val="18"/>
          <w:szCs w:val="18"/>
          <w:color w:val="auto"/>
        </w:rPr>
      </w:pPr>
    </w:p>
    <w:p>
      <w:pPr>
        <w:jc w:val="both"/>
        <w:ind w:left="1020" w:hanging="504"/>
        <w:spacing w:after="0" w:line="260"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date, we have received regulatory authorization for only one product candidate, PEMGARDA. All of our other product candidates, other than adintrevimab, are currently in preclinical development. If we are unable to successfully develop, receive regulatory authorization or approval for and commercialize our product candidates for the indications we seek, or successfully develop any other product candidates, or experience significant delays in doing so, our business will be harmed.</w:t>
      </w:r>
    </w:p>
    <w:p>
      <w:pPr>
        <w:spacing w:after="0" w:line="33" w:lineRule="exact"/>
        <w:rPr>
          <w:rFonts w:ascii="Times New Roman" w:cs="Times New Roman" w:eastAsia="Times New Roman" w:hAnsi="Times New Roman"/>
          <w:sz w:val="18"/>
          <w:szCs w:val="18"/>
          <w:color w:val="auto"/>
        </w:rPr>
      </w:pPr>
    </w:p>
    <w:p>
      <w:pPr>
        <w:jc w:val="both"/>
        <w:ind w:left="1020" w:hanging="504"/>
        <w:spacing w:after="0" w:line="260"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our product candidates represent novel approaches to the prevention and/or treatment of relatively new disease, there are many uncertainties regarding the development, market acceptance, third-party reimbursement coverage and commercial potential of our product candidates. We may not be successful in aligning with regulators on an expedited and replicable pathway to SARS-CoV-2 mAb authorization or approval.</w:t>
      </w:r>
    </w:p>
    <w:p>
      <w:pPr>
        <w:spacing w:after="0" w:line="46" w:lineRule="exact"/>
        <w:rPr>
          <w:rFonts w:ascii="Times New Roman" w:cs="Times New Roman" w:eastAsia="Times New Roman" w:hAnsi="Times New Roman"/>
          <w:sz w:val="18"/>
          <w:szCs w:val="18"/>
          <w:color w:val="auto"/>
        </w:rPr>
      </w:pPr>
    </w:p>
    <w:p>
      <w:pPr>
        <w:ind w:left="1020" w:right="180" w:hanging="504"/>
        <w:spacing w:after="0" w:line="265"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INVYMAB platform approach may not produce durable, broadly neutralizing, effective or safe mAbs in an adequate time period to address a changing virus. If we are unable to timely identify, develop, obtain and maintain authorization or approval for, and commercialize mAbs on a perpetual basis that keeps pace with viral evolution, our business prospects will be significantly harmed.</w:t>
      </w:r>
    </w:p>
    <w:p>
      <w:pPr>
        <w:spacing w:after="0" w:line="29" w:lineRule="exact"/>
        <w:rPr>
          <w:rFonts w:ascii="Times New Roman" w:cs="Times New Roman" w:eastAsia="Times New Roman" w:hAnsi="Times New Roman"/>
          <w:sz w:val="18"/>
          <w:szCs w:val="18"/>
          <w:color w:val="auto"/>
        </w:rPr>
      </w:pPr>
    </w:p>
    <w:p>
      <w:pPr>
        <w:jc w:val="both"/>
        <w:ind w:left="1020" w:hanging="504"/>
        <w:spacing w:after="0" w:line="265"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the public health emergency in the U.S. declared under the Federal Food, Drug, and Cosmetic Act (the “FDCA”) permitting the FDA to authorize drugs and biologics for emergency use during the COVID-19 pandemic will continue to be in place for an extended period of time and that the product candidates we are developing for COVID-19 could be granted an EUA by the FDA or similar authorization by regulatory authorities outside of the U.S. if we decide to apply for such an authorization. If we are not able to obtain required regulatory authorization or approval for our product candidates, our business will be substantially harmed.</w:t>
      </w:r>
    </w:p>
    <w:p>
      <w:pPr>
        <w:spacing w:after="0" w:line="30"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in preclinical studies or earlier clinical trials may not be indicative of results in future clinical trials. Our product candidates may not have favorable results in later clinical trials, if any, or receive regulatory authorization or approval.</w:t>
      </w:r>
    </w:p>
    <w:p>
      <w:pPr>
        <w:spacing w:after="0" w:line="27" w:lineRule="exact"/>
        <w:rPr>
          <w:rFonts w:ascii="Times New Roman" w:cs="Times New Roman" w:eastAsia="Times New Roman" w:hAnsi="Times New Roman"/>
          <w:sz w:val="18"/>
          <w:szCs w:val="18"/>
          <w:color w:val="auto"/>
        </w:rPr>
      </w:pPr>
    </w:p>
    <w:p>
      <w:pPr>
        <w:ind w:left="1020" w:right="20" w:hanging="504"/>
        <w:spacing w:after="0" w:line="281"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awareness or negative public opinion of mAb therapies and increased regulatory scrutiny of mAb therapies to prevent or treat COVID-19 may adversely impact the development or commercial success of our product candidates.</w:t>
      </w:r>
    </w:p>
    <w:p>
      <w:pPr>
        <w:spacing w:after="0" w:line="14" w:lineRule="exact"/>
        <w:rPr>
          <w:rFonts w:ascii="Times New Roman" w:cs="Times New Roman" w:eastAsia="Times New Roman" w:hAnsi="Times New Roman"/>
          <w:sz w:val="18"/>
          <w:szCs w:val="18"/>
          <w:color w:val="auto"/>
        </w:rPr>
      </w:pPr>
    </w:p>
    <w:p>
      <w:pPr>
        <w:ind w:left="1020" w:right="20" w:hanging="504"/>
        <w:spacing w:after="0" w:line="281"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or difficulties in the enrollment and/or retention of patients in clinical trials, or we may pause, delay or terminate enrollment in our clinical trials, which could in turn delay or prevent our receipt of necessary regulatory approvals.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6" w:name="page7"/>
    <w:bookmarkEnd w:id="6"/>
    <w:p>
      <w:pPr>
        <w:ind w:left="1020" w:hanging="504"/>
        <w:spacing w:after="0" w:line="28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build a pipeline of additional product candidates through internal efforts or through partnerships for discovery of novel antibody product candidates.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Manufacturing of our Product Candidates</w:t>
      </w:r>
    </w:p>
    <w:p>
      <w:pPr>
        <w:spacing w:after="0" w:line="107" w:lineRule="exact"/>
        <w:rPr>
          <w:sz w:val="20"/>
          <w:szCs w:val="20"/>
          <w:color w:val="auto"/>
        </w:rPr>
      </w:pPr>
    </w:p>
    <w:p>
      <w:pPr>
        <w:jc w:val="both"/>
        <w:ind w:left="1020" w:hanging="504"/>
        <w:spacing w:after="0" w:line="260"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Monoclonal antibody therapies are complex and difficult to manufacture, and we currently rely on a contract manufacturer for access to capacity. We could experience manufacturing problems, may be unable to access desired manufacturing capacity within desired timeframes, or may be unable to access raw materials due to global supply chain shortages or otherwise, that result in delays in the development, supply, or commercialization of our product candidates or otherwise harm our business.</w:t>
      </w:r>
    </w:p>
    <w:p>
      <w:pPr>
        <w:spacing w:after="0" w:line="60" w:lineRule="exact"/>
        <w:rPr>
          <w:rFonts w:ascii="Times New Roman" w:cs="Times New Roman" w:eastAsia="Times New Roman" w:hAnsi="Times New Roman"/>
          <w:sz w:val="18"/>
          <w:szCs w:val="18"/>
          <w:color w:val="auto"/>
        </w:rPr>
      </w:pPr>
    </w:p>
    <w:p>
      <w:pPr>
        <w:jc w:val="both"/>
        <w:ind w:left="1020" w:hanging="504"/>
        <w:spacing w:after="0" w:line="260"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depend on sole-source third-party suppliers and a single contract manufacturer for materials and services that are necessary for the conduct of preclinical studies, manufacture and testing of our product candidates for clinical trials and the commercialization of PEMGARDA, and the loss of these third-party suppliers or contract manufacturer or their inability to supply us with sufficient quantities of adequate materials and services, or to do so at acceptable quality levels and on a timely basis, could harm our business.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Our Product Candidates</w:t>
      </w:r>
    </w:p>
    <w:p>
      <w:pPr>
        <w:spacing w:after="0" w:line="94" w:lineRule="exact"/>
        <w:rPr>
          <w:sz w:val="20"/>
          <w:szCs w:val="20"/>
          <w:color w:val="auto"/>
        </w:rPr>
      </w:pPr>
    </w:p>
    <w:p>
      <w:pPr>
        <w:jc w:val="both"/>
        <w:ind w:left="1020" w:hanging="504"/>
        <w:spacing w:after="0" w:line="265"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FDA revokes or terminates our EUA for PEMGARDA, we will be required to stop commercial distribution of PEMGARDA immediately unless we can obtain FDA approval for PEMGARDA under a traditional regulatory pathway, which is lengthy and expensive, which could harm our future business prospects.</w:t>
      </w:r>
    </w:p>
    <w:p>
      <w:pPr>
        <w:spacing w:after="0" w:line="55" w:lineRule="exact"/>
        <w:rPr>
          <w:rFonts w:ascii="Times New Roman" w:cs="Times New Roman" w:eastAsia="Times New Roman" w:hAnsi="Times New Roman"/>
          <w:sz w:val="18"/>
          <w:szCs w:val="18"/>
          <w:color w:val="auto"/>
        </w:rPr>
      </w:pPr>
    </w:p>
    <w:p>
      <w:pPr>
        <w:jc w:val="both"/>
        <w:ind w:left="1020" w:hanging="504"/>
        <w:spacing w:after="0" w:line="265"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any of our product candidates receive marketing authorization or approval, such as PEMGARDA, they may fail to achieve the degree of market acceptance by physicians, patients, third-party payors and others in the medical community necessary for commercial success, due to the product profile, reimbursement dynamics or other reasons.</w:t>
      </w:r>
    </w:p>
    <w:p>
      <w:pPr>
        <w:spacing w:after="0" w:line="55" w:lineRule="exact"/>
        <w:rPr>
          <w:rFonts w:ascii="Times New Roman" w:cs="Times New Roman" w:eastAsia="Times New Roman" w:hAnsi="Times New Roman"/>
          <w:sz w:val="18"/>
          <w:szCs w:val="18"/>
          <w:color w:val="auto"/>
        </w:rPr>
      </w:pPr>
    </w:p>
    <w:p>
      <w:pPr>
        <w:jc w:val="both"/>
        <w:ind w:left="1020" w:hanging="504"/>
        <w:spacing w:after="0" w:line="265"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build and maintain sales, marketing and distribution capabilities for PEMGARDA or any other product candidate that may receive regulatory authorization or approval, we may not be successful in commercializing PEMGARDA or such other product candidates if and when they are authorized or approved.</w:t>
      </w:r>
    </w:p>
    <w:p>
      <w:pPr>
        <w:spacing w:after="0" w:line="42"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affected populations for our product candidates, including PEMGARDA, may be smaller than we or third parties currently project, which may affect the addressable markets for our product candidates.</w:t>
      </w:r>
    </w:p>
    <w:p>
      <w:pPr>
        <w:spacing w:after="0" w:line="41" w:lineRule="exact"/>
        <w:rPr>
          <w:rFonts w:ascii="Times New Roman" w:cs="Times New Roman" w:eastAsia="Times New Roman" w:hAnsi="Times New Roman"/>
          <w:sz w:val="18"/>
          <w:szCs w:val="18"/>
          <w:color w:val="auto"/>
        </w:rPr>
      </w:pPr>
    </w:p>
    <w:p>
      <w:pPr>
        <w:ind w:left="1020" w:right="20" w:hanging="504"/>
        <w:spacing w:after="0" w:line="28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mAb product candidates may face significant competition from vaccines, antiviral agents and other therapeutics for COVID-19 that are currently available or in development.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07" w:lineRule="exact"/>
        <w:rPr>
          <w:sz w:val="20"/>
          <w:szCs w:val="20"/>
          <w:color w:val="auto"/>
        </w:rPr>
      </w:pPr>
    </w:p>
    <w:p>
      <w:pPr>
        <w:jc w:val="both"/>
        <w:ind w:left="1020" w:right="20" w:hanging="504"/>
        <w:spacing w:after="0" w:line="265"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maintain and enforce patent protection for our product candidates, or if the scope of the patent protection obtained is not sufficiently broad, our competitors or other third parties could develop and commercialize products similar or identical to ours and our ability to successfully develop and commercialize our product candidates may be adversely affected.</w:t>
      </w:r>
    </w:p>
    <w:p>
      <w:pPr>
        <w:spacing w:after="0" w:line="42" w:lineRule="exact"/>
        <w:rPr>
          <w:rFonts w:ascii="Times New Roman" w:cs="Times New Roman" w:eastAsia="Times New Roman" w:hAnsi="Times New Roman"/>
          <w:sz w:val="18"/>
          <w:szCs w:val="18"/>
          <w:color w:val="auto"/>
        </w:rPr>
      </w:pPr>
    </w:p>
    <w:p>
      <w:pPr>
        <w:ind w:left="1020" w:right="20" w:hanging="504"/>
        <w:spacing w:after="0" w:line="281"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initiate legal proceedings alleging that we are infringing, misappropriating or otherwise violating their intellectual property rights, the outcome of which would be uncertain.</w:t>
      </w:r>
    </w:p>
    <w:p>
      <w:pPr>
        <w:spacing w:after="0" w:line="41"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trademarks we have obtained or may obtain may be infringed or otherwise violated, or successfully challenged, resulting in harm to our business.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 and Our Status as a Public Company</w:t>
      </w:r>
    </w:p>
    <w:p>
      <w:pPr>
        <w:spacing w:after="0" w:line="107" w:lineRule="exact"/>
        <w:rPr>
          <w:sz w:val="20"/>
          <w:szCs w:val="20"/>
          <w:color w:val="auto"/>
        </w:rPr>
      </w:pPr>
    </w:p>
    <w:p>
      <w:pPr>
        <w:ind w:left="1020" w:hanging="504"/>
        <w:spacing w:after="0" w:line="28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the shares of our common stock has been and may continue to be volatile, and purchasers of our common stock could incur substantial losses.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21" w:lineRule="exact"/>
        <w:rPr>
          <w:sz w:val="20"/>
          <w:szCs w:val="20"/>
          <w:color w:val="auto"/>
        </w:rPr>
      </w:pPr>
    </w:p>
    <w:p>
      <w:pPr>
        <w:jc w:val="both"/>
        <w:ind w:left="1020" w:hanging="504"/>
        <w:spacing w:after="0" w:line="260"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certain of our former officers have been named as defendants in a pending securities class action lawsuit. This lawsuit, and potential similar or related lawsuits or investigations, could result in substantial damages, divert management’s time and attention from our business, and have a material adverse effect on our results of operations. This lawsuit, and any other lawsuits or investigations to which we are subject, will be costly to defend or comply with and are uncertain in their outcome.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Invivyd, Inc. is a commercial-stage company on a mission to rapidly and perpetually deliver antibody-based therapies that protect vulnerable people from the devastating consequences of circulating viral threats, beginning with SARS-CoV-2. Our proprietary INVYMAB™ platform approach combines state-of-the-art viral surveillance and predictive modeling with advanced antibody engineering. INVYMAB is designed to facilitate the rapid, serial generation of new monoclonal antibodies (“mAbs”) to keep pace with evolving viral threats.</w:t>
      </w:r>
    </w:p>
    <w:p>
      <w:pPr>
        <w:spacing w:after="0" w:line="7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March 22, 2024 we received emergency use authorization (“EUA”) from the U.S. Food and Drug Administration (“FDA”) for PEMGARDA™ (pemivibart) injection, for intravenous use, a half-life extended investigational mAb, for the pre-exposure prophylaxis (prevention) of COVID-19 in adults and adolescents (12 years of age and older weighing at least 40 kg) who have moderate-to-severe immune compromise due to certain medical conditions or receipt of certain immunosuppressive medications or treatments and are unlikely to mount an adequate immune response to COVID-19 vaccination. Recipients should not be currently infected with or have had a known recent exposure to an individual infected with SARS-CoV-2. We expect that PEMGARDA will be available for order in the U.S. imminently.</w:t>
      </w:r>
    </w:p>
    <w:p>
      <w:pPr>
        <w:spacing w:after="0" w:line="7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PEMGARDA is our first mAb in a planned series of innovative mAb candidates designed to keep pace with SARS-CoV-2 viral evolution. As the SARS-CoV-2 virus evolves over time, we anticipate leveraging our INVYMAB platform approach to periodically introduce new or engineered mAb candidates, an approach that would be analogous to the periodic updates made to influenza and COVID-19 vaccines. In January 2024, we nominated VYD2311, a mAb optimized for neutralization potency against recent SARS-CoV-2 lineages such as BA.2.86 and JN.1, as a drug candidate, and we expect it will be the next pipeline program to advance into clinical development. In addition to developing candidates for COVID-19, we expect to apply our INVYMAB platform approach to produce lead molecules for other viral diseases, such as influenza.</w:t>
      </w:r>
    </w:p>
    <w:p>
      <w:pPr>
        <w:spacing w:after="0" w:line="7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Prior to receiving the EUA for PEMGARDA in March 2024, we announced positive initial results from the ongoing CANOPY Phase 3 clinical trial of VYD222 in December 2023. The CANOPY clinical trial enrolled approximately 750 participants across two cohorts, including approximately 300 individuals who are significantly immunocompromised in Cohort A and approximately 450 individuals at risk of exposure to SARS-CoV-2 in Cohort B. Prior to commencing the CANOPY clinical trial, in June 2023, we announced that we reached general alignment with the FDA on a pathway to a potential EUA for VYD222 and anticipated follow-on mAb candidates designed to prevent COVID-19, which included the use of calculated serum neutralizing titers as a correlate of protection (surrogate of clinical efficacy) in an immunobridging approach to a pivotal clinical trial of VYD222. Based on FDA feedback, the use of a correlate of protection in an immunobridging approach to a pivotal EUA-directed clinical trial may be a reasonable approach for a new mAb candidate when clinical trial data from a “prototype” mAb is available, provided that the new mAb candidate: (1) is similar to the prototype mAb such that it leverages a consistent manufacturing platform and has limited structural and functional differences; and (2) has supportive nonclinical data, such as favorable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neutralization data against currently circulating SARS-CoV-2 variants.</w:t>
      </w:r>
    </w:p>
    <w:p>
      <w:pPr>
        <w:spacing w:after="0" w:line="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Globally, COVID-19 has caused millions of deaths and lasting health problems in many survivors and remains a significant global health concern, particularly for immunocompromised individuals. Isolation and mental health impacts, absenteeism from work, and educational losses for children have been profound consequences of this crisis. COVID-19 persists and continues to impact patients, notably those who are immunocompromised, and combating this disease will require a variety of effective and safe prevention and treatment options for years to come. By leveraging our capabilities, which we have developed through our experience with adintrevimab and pemivibart and nearly four years in the COVID-19 space, we aim to develop a continuous repertoire of SARS-CoV-2 neutralizing mAbs to keep pace with viral evolution.</w:t>
      </w:r>
    </w:p>
    <w:p>
      <w:pPr>
        <w:spacing w:after="0" w:line="7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Since our inception, we have devoted substantially all of our resources to organizing and staffing, building an intellectual property portfolio, business planning, conducting research and development, establishing and executing arrangements with third parties for the manufacture of our product candidates, and raising capital. Our focus in recent months has been and will continue to be supporting the commercialization of PEMGARDA and establishing streamlined development pathways that could enable us to efficiently introduce new or engineered mAb candidates targeting SARS-CoV-2, leveraging our INVYMAB platform approach and previously generated safety and efficacy data from our clinical trials of adintrevimab and/or pemivibart.</w:t>
      </w:r>
    </w:p>
    <w:p>
      <w:pPr>
        <w:spacing w:after="0" w:line="7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rely on partnerships, external consultants and contract research organizations (“CROs”) to conduct discovery, nonclinical, preclinical, clinical and commercial activities. Additionally, we rely on contract testing laboratories and contract development and manufacturing organizations (“CDMOs”) to execute our chemistry, manufacturing and controls (“CMC”) development, testing and manufacturing activities. We have engaged WuXi Biologics (Hong Kong) Limited (“WuXi Biologics”), a CDMO, for the development and manufacture of our product candidates for clinical and commercial use. Further, in 2022, we secured dedicated laboratory space and expanded our research team in order to enable internal discovery and</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8" w:name="page9"/>
    <w:bookmarkEnd w:id="8"/>
    <w:p>
      <w:pPr>
        <w:jc w:val="both"/>
        <w:spacing w:after="0" w:line="265" w:lineRule="auto"/>
        <w:rPr>
          <w:sz w:val="20"/>
          <w:szCs w:val="20"/>
          <w:color w:val="auto"/>
        </w:rPr>
      </w:pPr>
      <w:r>
        <w:rPr>
          <w:rFonts w:ascii="Times New Roman" w:cs="Times New Roman" w:eastAsia="Times New Roman" w:hAnsi="Times New Roman"/>
          <w:sz w:val="18"/>
          <w:szCs w:val="18"/>
          <w:color w:val="auto"/>
        </w:rPr>
        <w:t>development of our mAb candidates, while continuing to leverage our existing partnership with Adimab. We are focused on antibody discovery and use of Adimab’s platform technology, while building our internal capabilities. In addition, we expect to continue to rely on third parties for clinical trials and the manufacture and testing of our product candidates, as well as to perform ongoing research and development and other services on our behalf.</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Our strategy is to discover, develop and commercialize differentiated products that could be used for the prevention and/or treatment of viral diseases beginning with COVID-19. We intend to deliver new product candidates on a perpetual, ongoing basis to provide solutions for vulnerable people as new SARS-CoV-2 variants emerge. In order to achieve this goal, our strategy involves execution of the following key elements:</w:t>
      </w:r>
    </w:p>
    <w:p>
      <w:pPr>
        <w:spacing w:after="0" w:line="65" w:lineRule="exact"/>
        <w:rPr>
          <w:sz w:val="20"/>
          <w:szCs w:val="20"/>
          <w:color w:val="auto"/>
        </w:rPr>
      </w:pPr>
    </w:p>
    <w:p>
      <w:pPr>
        <w:jc w:val="both"/>
        <w:ind w:left="1140" w:hanging="504"/>
        <w:spacing w:after="0" w:line="253"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Successfully commercializing PEMGARDA in the U.S. </w:t>
      </w:r>
      <w:r>
        <w:rPr>
          <w:rFonts w:ascii="Times New Roman" w:cs="Times New Roman" w:eastAsia="Times New Roman" w:hAnsi="Times New Roman"/>
          <w:sz w:val="18"/>
          <w:szCs w:val="18"/>
          <w:color w:val="auto"/>
        </w:rPr>
        <w:t>On March 22, 2024, we received an EUA from the FDA for PEMGARDA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pre-exposure prophylaxis (prevention) of COVID-19 in adults and adolescents (12 years of age and older weighing at least 40 kg) who have moderate-to-severe immune compromise due to certain medical conditions or receipt of certain immunosuppressive medications or treatments and are unlikely to mount an adequate immune response to COVID-19 vaccination. Recipients should not be currently infected with or have had a known recent exposure to an individual infected with SARS-CoV-2. To support the commercialization of PEMGARDA, we have directly hired key leaders for our sales, marketing, market access, and medical affairs teams who have extensive experience commercializing products within the infectious diseases space. We are also leveraging contract organizations for certain field-based roles. We plan to concentrate initially on the healthcare practitioners and institutions who care for the highest risk immunocompromised adults and adolescents through a highly focused field sales organization, which can potentially expand over time to reach the additional healthcare practitioners and institutions who care for other groups of moderately to severely immunocompromised adults and adolescents. While we are currently focused on commercializing PEMGARDA in the U.S. with the commercial organization we have built, we continue to explore potential opportunities to expand our ability to serve vulnerable people through partnerships and collaborations.</w:t>
      </w:r>
    </w:p>
    <w:p>
      <w:pPr>
        <w:spacing w:after="0" w:line="78" w:lineRule="exact"/>
        <w:rPr>
          <w:rFonts w:ascii="Times New Roman" w:cs="Times New Roman" w:eastAsia="Times New Roman" w:hAnsi="Times New Roman"/>
          <w:sz w:val="18"/>
          <w:szCs w:val="18"/>
          <w:color w:val="auto"/>
        </w:rPr>
      </w:pPr>
    </w:p>
    <w:p>
      <w:pPr>
        <w:jc w:val="both"/>
        <w:ind w:left="1140" w:hanging="504"/>
        <w:spacing w:after="0" w:line="262"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Ensuring supply of drug product for PEMGARDA and future clinical product candidates. </w:t>
      </w:r>
      <w:r>
        <w:rPr>
          <w:rFonts w:ascii="Times New Roman" w:cs="Times New Roman" w:eastAsia="Times New Roman" w:hAnsi="Times New Roman"/>
          <w:sz w:val="18"/>
          <w:szCs w:val="18"/>
          <w:color w:val="auto"/>
        </w:rPr>
        <w:t>We have partnered with WuXi Biologics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CMC development and for clinical and commercial drug substance and drug product supply of PEMGARDA. We believe we have secured sufficient capacity for the anticipated initial demand for PEMGARDA. We continue to evaluate access to capacity at WuXi Biologics and other CDMOs so we can aim to meet potential future demand for PEMGARDA and future clinical product candidates.</w:t>
      </w:r>
    </w:p>
    <w:p>
      <w:pPr>
        <w:spacing w:after="0" w:line="67" w:lineRule="exact"/>
        <w:rPr>
          <w:rFonts w:ascii="Times New Roman" w:cs="Times New Roman" w:eastAsia="Times New Roman" w:hAnsi="Times New Roman"/>
          <w:sz w:val="18"/>
          <w:szCs w:val="18"/>
          <w:color w:val="auto"/>
        </w:rPr>
      </w:pPr>
    </w:p>
    <w:p>
      <w:pPr>
        <w:jc w:val="both"/>
        <w:ind w:left="1140" w:hanging="504"/>
        <w:spacing w:after="0" w:line="257"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Establishing streamlined development pathways that would allow us to fully leverage our INVYMAB platform approach to efficiently introduce new or engineered mAb candidates targeting SARS-CoV-2. </w:t>
      </w:r>
      <w:r>
        <w:rPr>
          <w:rFonts w:ascii="Times New Roman" w:cs="Times New Roman" w:eastAsia="Times New Roman" w:hAnsi="Times New Roman"/>
          <w:sz w:val="18"/>
          <w:szCs w:val="18"/>
          <w:color w:val="auto"/>
        </w:rPr>
        <w:t>We continue to engage with the FDA with the aim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establishing expedited and replicable pathways for the authorization or approval of new or engineered SARS-CoV-2 mAbs that emerge from our INVYMAB platform approach. There are precedents for streamlined pathways in the influenza and COVID-19 vaccine spaces for leveraging existing safety and efficacy data to bridge quickly to new or modified vaccines. We expect that these discussions with the FDA will continue as we advance VYD2311, our next anticipated mAb candidate developed using our INVYMAB platform approach.</w:t>
      </w:r>
    </w:p>
    <w:p>
      <w:pPr>
        <w:spacing w:after="0" w:line="72" w:lineRule="exact"/>
        <w:rPr>
          <w:rFonts w:ascii="Times New Roman" w:cs="Times New Roman" w:eastAsia="Times New Roman" w:hAnsi="Times New Roman"/>
          <w:sz w:val="18"/>
          <w:szCs w:val="18"/>
          <w:color w:val="auto"/>
        </w:rPr>
      </w:pPr>
    </w:p>
    <w:p>
      <w:pPr>
        <w:jc w:val="both"/>
        <w:ind w:left="1140" w:hanging="504"/>
        <w:spacing w:after="0" w:line="253"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Advancing our INVYMAB platform approach and differentiated product candidates to address infectious diseases through internal research, in-licensing and leveraging collaborations. </w:t>
      </w:r>
      <w:r>
        <w:rPr>
          <w:rFonts w:ascii="Times New Roman" w:cs="Times New Roman" w:eastAsia="Times New Roman" w:hAnsi="Times New Roman"/>
          <w:sz w:val="18"/>
          <w:szCs w:val="18"/>
          <w:color w:val="auto"/>
        </w:rPr>
        <w:t>Leveraging our INVYMAB platform approach which combines state-of-the-art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viral surveillance and predictive modeling with advanced antibody engineering, we have built a portfolio of broadly neutralizing SARS-CoV-2 antibodies as our lead disease area of focus. We have exclusive access to Adimab’s industry-leading B-cell mining, protein and antibody engineering capabilities for coronavirus antibody discovery. We are currently leveraging this partnership and building internal capabilities to further expand our portfolio with additional uniquely differentiated anti-viral antibodies targeting SARS-CoV-2, as well as other infectious diseases. In addition, we can employ unique protein engineering strategies to enhance activity of our antibodies against circulating SARS-CoV-2 variants of concern (“VoCs”). With our cutting edge viral and epidemiological surveillance, we aim to stay ahead of potential future VoCs with our repertoire of broadly neutralizing mAbs. Finally, we continue to evaluate product candidates for infectious diseases with high unmet need through in-licensing opportunities in addition to utilizing our team’s expertise and differentiated design capabilities.</w:t>
      </w:r>
    </w:p>
    <w:p>
      <w:pPr>
        <w:spacing w:after="0" w:line="80" w:lineRule="exact"/>
        <w:rPr>
          <w:rFonts w:ascii="Times New Roman" w:cs="Times New Roman" w:eastAsia="Times New Roman" w:hAnsi="Times New Roman"/>
          <w:sz w:val="18"/>
          <w:szCs w:val="18"/>
          <w:color w:val="auto"/>
        </w:rPr>
      </w:pPr>
    </w:p>
    <w:p>
      <w:pPr>
        <w:jc w:val="both"/>
        <w:ind w:left="1140" w:hanging="504"/>
        <w:spacing w:after="0" w:line="268"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Leveraging our team’s collective expertise in development, manufacturing and commercialization to deliver future product candidates to patients. </w:t>
      </w:r>
      <w:r>
        <w:rPr>
          <w:rFonts w:ascii="Times New Roman" w:cs="Times New Roman" w:eastAsia="Times New Roman" w:hAnsi="Times New Roman"/>
          <w:sz w:val="18"/>
          <w:szCs w:val="18"/>
          <w:color w:val="auto"/>
        </w:rPr>
        <w:t>Since our inception, we have assembled a team with deep and specific expertise in discovering, developing,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manufacturing and commercializing novel treatments for infectious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9" w:name="page10"/>
    <w:bookmarkEnd w:id="9"/>
    <w:p>
      <w:pPr>
        <w:jc w:val="both"/>
        <w:ind w:left="1140"/>
        <w:spacing w:after="0" w:line="265" w:lineRule="auto"/>
        <w:rPr>
          <w:sz w:val="20"/>
          <w:szCs w:val="20"/>
          <w:color w:val="auto"/>
        </w:rPr>
      </w:pPr>
      <w:r>
        <w:rPr>
          <w:rFonts w:ascii="Times New Roman" w:cs="Times New Roman" w:eastAsia="Times New Roman" w:hAnsi="Times New Roman"/>
          <w:sz w:val="18"/>
          <w:szCs w:val="18"/>
          <w:color w:val="auto"/>
        </w:rPr>
        <w:t>diseases, including extensive experience with developing mAb-based therapies. Based on our team’s collective track record, including other COVID-19 product launches, we executed on the clinical, regulatory, and manufacturing plan for PEMGARDA, which we expect to leverage to support our anticipated follow-on programs.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on COVID-19 and SARS-CoV-2 Variants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COVID-19, the disease caused by SARS-CoV-2 and its variants, gave rise to a global pandemic in 2020. SARS-CoV-2 continues to cause infections and disease. COVID-19 remains a significant global health problem. According to recent estimates from the World Health Organization (“WHO”), there have been approximately 774 million cases of laboratory-confirmed COVID-19 and 7.0 million COVID-19-related deaths worldwide, with approximately 103 million laboratory-confirmed cases of COVID-19 and more than 1.2 million COVID-19-related deaths in the U.S. Disease modeling conducted by several different organizations suggests that these estimates significantly underrepresent the true number of infections and deaths related to COVID-19.</w:t>
      </w:r>
    </w:p>
    <w:p>
      <w:pPr>
        <w:spacing w:after="0" w:line="7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Evolution of SARS-CoV-2 resulting in the rise of new variants and VoCs continues to pose significant issues. A VoC is a variant designated by the WHO for which there is evidence of an increase in transmissibility, more severe disease, significant reduction in neutralization by antibodies generated during previous infection or vaccination, reduced effectiveness of treatments or vaccines, or diagnostic detection failures. From early 2022, several Omicron sublineages have represented the dominant VoCs circulating globally. Several of the amino acid substitutions within the receptor binding domain (“RBD”) of the spike glycoprotein of the Omicron sublineages are associated with escape from common classes of neutralizing antibodies, thereby endowing Omicron with significantly increased resistance to serum neutralizing antibodies induced following natural infection and vaccination with ancestral strains of the virus. Importantly, all therapeutic mAbs targeting SARS-CoV-2 previously authorized, prior to the EUA for PEMGARDA, have had their authorizations revoked in the U.S. due to loss of activity as new variants emerged.</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Current Approaches for Prevention and Treatment of COVID-19 and Their Limitations</w:t>
      </w:r>
    </w:p>
    <w:p>
      <w:pPr>
        <w:spacing w:after="0" w:line="121"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In response to the COVID-19 pandemic, multiple therapeutics have been discovered, developed and authorized at an unprecedented speed. Currently available vaccines demonstrate limited effectiveness, and antiviral medications can have significant drug-drug interactions, particularly in the immunocompromised that can limit their utility. Monoclonal antibody therapies have the potential to provide vulnerable populations with additional protection from COVID-19.</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mAbs for Prevention or Treatment of COVID-19 in the U.S.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of the date of this report, no mAb has been approved in the U.S. for prevention (pre- or post-exposure) or treatment of COVID-19. Other than the EUA for PEMGARDA issued by the FDA in March 2024, the FDA previously issued an EUA for tixagevimab/cilgavimab for pre-exposure prophylaxis of COVID-19, in addition to EUAs for casirivimab/imdevimab and bamlanivimab/etesevimab for post-exposure prophylaxis of COVID-19 in certain individuals. In addition, four mAb products, casirivimab/imdevimab, bamlanivimab/etesevimab, sotrovimab, and bebtelovimab, received an EUA from the FDA for the treatment of COVID-19 in patients at high risk of disease progression. Despite this progress in the availability of mAbs for the prevention and treatment of COVID-19, the clinical utility of these products has varied over time due to the emergence of SARS-CoV-2 variants demonstrating partial or full resistance to neutralization. At this time none of these products, other than PEMGARDA, are authorized for use in prevention or treatment of COVID-19 in the U.S. due to loss of activity as new variants emerged. For this reason, an ongoing supply of novel or engineered mAb products are needed to protect against SARS-COV-2 variants that continue to emerge over time.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Approach to The Development of Antibody-based Solutions for COVID-19 and Other Viral Diseases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approach is designed to perpetually deliver new product candidates that keep pace with viral evolution. Our technology works at the intersection of evolutionary virology and predictive modeling, and antibody discovery and engineering. By coupling ongoing variant surveillance and prediction of viral evolution with our discovery and engineering capabilities, our innovation engine has generated a pipeline of therapeutic candidates which could be used in prevention or treatment of serious viral diseases, starting with SARS-CoV-2. In order to provide solutions to vulnerable people as new variants emerge, we seek to leverage evolving regulatory paradigms, which may rely on surrogate endpoints, to expedite drug development. Our company has been designed to identify and develop high-quality, long-lasting antibodies with a high barrier to viral escape on a perpetual basis. Our product candidates can be tuned to improve potency, breadth of neutralization, as well as format,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10" w:name="page11"/>
    <w:bookmarkEnd w:id="10"/>
    <w:p>
      <w:pPr>
        <w:ind w:right="20"/>
        <w:spacing w:after="0" w:line="281" w:lineRule="auto"/>
        <w:rPr>
          <w:sz w:val="20"/>
          <w:szCs w:val="20"/>
          <w:color w:val="auto"/>
        </w:rPr>
      </w:pPr>
      <w:r>
        <w:rPr>
          <w:rFonts w:ascii="Times New Roman" w:cs="Times New Roman" w:eastAsia="Times New Roman" w:hAnsi="Times New Roman"/>
          <w:sz w:val="18"/>
          <w:szCs w:val="18"/>
          <w:color w:val="auto"/>
        </w:rPr>
        <w:t>including half-life extending and other fragment crystallizable (“Fc”) region modifications. Key elements that we believe differentiate our approach include:</w:t>
      </w:r>
    </w:p>
    <w:p>
      <w:pPr>
        <w:spacing w:after="0" w:line="51" w:lineRule="exact"/>
        <w:rPr>
          <w:sz w:val="20"/>
          <w:szCs w:val="20"/>
          <w:color w:val="auto"/>
        </w:rPr>
      </w:pPr>
    </w:p>
    <w:p>
      <w:pPr>
        <w:ind w:left="1020" w:right="20" w:hanging="504"/>
        <w:spacing w:after="0" w:line="259"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Recognition of the importance of broadly neutralizing antibodies with a reduced risk of viral escape: </w:t>
      </w:r>
      <w:r>
        <w:rPr>
          <w:rFonts w:ascii="Times New Roman" w:cs="Times New Roman" w:eastAsia="Times New Roman" w:hAnsi="Times New Roman"/>
          <w:sz w:val="18"/>
          <w:szCs w:val="18"/>
          <w:color w:val="auto"/>
        </w:rPr>
        <w:t>From the outset of our COVID-19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program, we chose to identify and engineer mAbs with a high potential to resist SARS-CoV-2 variant escape. We are targeting epitopes that are (1) conserved, non-overlapping, (2) rare and under less immune pressure, and (3) potentially conserved across other human angiotensin converting enzyme-2 (“ACE-2”) using sarbecoviruses (such as SARS-CoV-2), providing anticipated neutralization breadth to our mAb candidates.</w:t>
      </w:r>
    </w:p>
    <w:p>
      <w:pPr>
        <w:spacing w:after="0" w:line="69" w:lineRule="exact"/>
        <w:rPr>
          <w:rFonts w:ascii="Times New Roman" w:cs="Times New Roman" w:eastAsia="Times New Roman" w:hAnsi="Times New Roman"/>
          <w:sz w:val="18"/>
          <w:szCs w:val="18"/>
          <w:color w:val="auto"/>
        </w:rPr>
      </w:pPr>
    </w:p>
    <w:p>
      <w:pPr>
        <w:ind w:left="1020" w:right="60" w:hanging="504"/>
        <w:spacing w:after="0" w:line="268"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Continuous monitoring for SARS-CoV-2 variants: </w:t>
      </w:r>
      <w:r>
        <w:rPr>
          <w:rFonts w:ascii="Times New Roman" w:cs="Times New Roman" w:eastAsia="Times New Roman" w:hAnsi="Times New Roman"/>
          <w:sz w:val="18"/>
          <w:szCs w:val="18"/>
          <w:color w:val="auto"/>
        </w:rPr>
        <w:t>We continuously maintain and improve our in-house monitoring system for identifying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and upcoming SARS-CoV-2 variants before they become VoCs. Further, by pinpointing dominant spike glycoprotein sites targeted by human antibody repertoires and mapping common mutational escape routes, we aim to predict future variants.</w:t>
      </w:r>
    </w:p>
    <w:p>
      <w:pPr>
        <w:spacing w:after="0" w:line="61" w:lineRule="exact"/>
        <w:rPr>
          <w:rFonts w:ascii="Times New Roman" w:cs="Times New Roman" w:eastAsia="Times New Roman" w:hAnsi="Times New Roman"/>
          <w:sz w:val="18"/>
          <w:szCs w:val="18"/>
          <w:color w:val="auto"/>
        </w:rPr>
      </w:pPr>
    </w:p>
    <w:p>
      <w:pPr>
        <w:jc w:val="both"/>
        <w:ind w:left="1020" w:hanging="504"/>
        <w:spacing w:after="0" w:line="257"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Industry-leading antibody mining, engineering and developability screening capabilities through internal expertise and our partnership with Adimab: </w:t>
      </w:r>
      <w:r>
        <w:rPr>
          <w:rFonts w:ascii="Times New Roman" w:cs="Times New Roman" w:eastAsia="Times New Roman" w:hAnsi="Times New Roman"/>
          <w:sz w:val="18"/>
          <w:szCs w:val="18"/>
          <w:color w:val="auto"/>
        </w:rPr>
        <w:t>We leverage deep B-cell mining capabilities to isolate broadly neutralizing antibodies linked to utilization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antibody engineering capabilities to improve the potency, breadth, biophysical properties and developability of our candidates we advance into preclinical development. Where applicable, we specifically engineer our antibodies, for example to extend their half-lives or modify their Fc-mediated innate immune effector function. Additionally, we profile the activity of our candidates expressed in alternative formats such as single-domain or bispecific molecules.</w:t>
      </w:r>
    </w:p>
    <w:p>
      <w:pPr>
        <w:spacing w:after="0" w:line="72" w:lineRule="exact"/>
        <w:rPr>
          <w:rFonts w:ascii="Times New Roman" w:cs="Times New Roman" w:eastAsia="Times New Roman" w:hAnsi="Times New Roman"/>
          <w:sz w:val="18"/>
          <w:szCs w:val="18"/>
          <w:color w:val="auto"/>
        </w:rPr>
      </w:pPr>
    </w:p>
    <w:p>
      <w:pPr>
        <w:jc w:val="both"/>
        <w:ind w:left="1020" w:hanging="504"/>
        <w:spacing w:after="0" w:line="253"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Expedited path to the clinic and market: </w:t>
      </w:r>
      <w:r>
        <w:rPr>
          <w:rFonts w:ascii="Times New Roman" w:cs="Times New Roman" w:eastAsia="Times New Roman" w:hAnsi="Times New Roman"/>
          <w:sz w:val="18"/>
          <w:szCs w:val="18"/>
          <w:color w:val="auto"/>
        </w:rPr>
        <w:t>In order to deliver new mAb products that keep pace with emerging SARS-CoV-2 variants,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believe that new, expedited approaches and pathways are needed across nonclinical, clinical and CMC development to provide more rapid solutions to vulnerable people. We are leveraging and applying our experience with adintrevimab, which demonstrated clinically meaningful results and a robust safety package, and PEMGARDA, to new therapeutic candidates. We seek to streamline nonclinical toxicology studies where possible, with the intention of reducing dependence on animal studies, which we believe is well in line with the FDA’s position. Furthermore, the SARS-CoV-2 RBD is a well validated target and mechanism of action for mAbs with robust safety and efficacy data generated across the class. We expect that these data will enable the continued application of surrogate endpoints in future development programs, an approach that was leveraged in our CANOPY clinical trial of VYD222 with the use of calculated serum neutralizing antibody titers as a correlate of protection. We also seek to streamline our manufacturing approach, leveraging platform processes and historical data to ensure product quality for future product candidates. We will be actively engaging with regulatory authorities to seek concurrence on these proposals as we advance our product candidates.</w:t>
      </w:r>
    </w:p>
    <w:p>
      <w:pPr>
        <w:spacing w:after="0" w:line="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employing similar strategies for other antigenically variable viruses, such as influenza.</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Emergency Use Authorization Environment in the U.S.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Under Section 564 of the FDCA, the FDA Commissioner has the authority to authorize the emergency use of an unapproved medical product or an unapproved use of an approved medical product for certain emergency circumstances after the Secretary of the U.S. Department of Health and Human Services (“HHS”) has made a declaration of an emergency or threat justifying authorization of emergency use. On January 31, 2020, the Secretary of HHS issued a declaration of a public health emergency related to COVID-19 under Section 319 of the Public Health Service Act (the “PHS Act”). On February 4, 2020, the Secretary of HHS determined pursuant to his authority under Section 564 of the FDCA that COVID-19 represented a public health emergency with significant potential to affect national security or the health and security of U.S. citizens living abroad. Following this determination, on March 27, 2020, the Secretary of HHS declared that circumstances exist justifying the authorization of the emergency use of drugs and biological products during the COVID-19 pandemic, subject to the terms of any authorization issued by the FDA.</w:t>
      </w:r>
    </w:p>
    <w:p>
      <w:pPr>
        <w:spacing w:after="0" w:line="8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Although the Biden Administration allowed the COVID-19 public health emergency declared by HHS under Section 319 of the PHS Act to expire on May 11, 2023, this did not impact the FDA’s ability to authorize COVID-19 drugs and biological products for emergency use. The FDA may continue to issue new EUAs going forward when criteria for issuance are met. Such ability arises from the determinations and declarations issued pursuant to Section 564 of the FDCA, including the EUA declaration on March 27, 2020, which remains in effect unless or until the Secretary of HHS terminates such declaration. If an EUA declaration is terminated, the EUAs based on such declaration would cease to be in effect and the FDA may no longer issue EUAs for products covered by such declaration.</w:t>
      </w:r>
    </w:p>
    <w:p>
      <w:pPr>
        <w:spacing w:after="0" w:line="78"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Unlike previous EUAs for COVID-19, where products were available via an Advance Purchase Agreement with the U.S. federal government, PEMGARDA will follow a traditional commercial distribution model. In the traditional commercial</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11" w:name="page12"/>
    <w:bookmarkEnd w:id="11"/>
    <w:p>
      <w:pPr>
        <w:jc w:val="both"/>
        <w:spacing w:after="0" w:line="281" w:lineRule="auto"/>
        <w:rPr>
          <w:sz w:val="20"/>
          <w:szCs w:val="20"/>
          <w:color w:val="auto"/>
        </w:rPr>
      </w:pPr>
      <w:r>
        <w:rPr>
          <w:rFonts w:ascii="Times New Roman" w:cs="Times New Roman" w:eastAsia="Times New Roman" w:hAnsi="Times New Roman"/>
          <w:sz w:val="18"/>
          <w:szCs w:val="18"/>
          <w:color w:val="auto"/>
        </w:rPr>
        <w:t>model, customers purchase the product directly from wholesalers and/or distributors and the product is shipped to the various sites of care, including provider institutions and clinics that bill health insurance plans for the product.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Addressable Patient Populations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Pre-Exposure Prophylaxis</w:t>
      </w:r>
    </w:p>
    <w:p>
      <w:pPr>
        <w:spacing w:after="0" w:line="117"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Based on our market research and internal analysis, we believe that there are more than 9 million immunocompromised people, with varying degrees of immune compromise, in the U.S. alone who may not adequately respond to COVID-19 vaccination, increasing their risk for severe COVID-19.</w:t>
      </w:r>
    </w:p>
    <w:p>
      <w:pPr>
        <w:spacing w:after="0" w:line="5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total addressable market in the U.S. for PEMGARDA is limited to the population that falls within the product’s authorized use, specifically certain adults and adolescents (12 years of age and older weighing at least 40 kg) who have moderate-to-severe immune compromise due to certain medical conditions or receipt of certain immunosuppressive medications or treatments and are unlikely to mount an adequate immune response to COVID-19 vaccination. Of the various groups with moderate-to-severe immune compromise, we believe that there are approximately 485,000 people in the highest risk group, such as solid organ transplant recipients and those with certain hematological/lymphatic cancers, including stem cell transplant recipients.</w:t>
      </w:r>
    </w:p>
    <w:p>
      <w:pPr>
        <w:spacing w:after="0" w:line="74"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In an EUA environment, the Healthcare Provider and Patient Fact Sheets specify the patient populations eligible to receive an authorized product, such as PEMGARDA, and utilization is bound by these specifications.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Treatment</w:t>
      </w:r>
    </w:p>
    <w:p>
      <w:pPr>
        <w:spacing w:after="0" w:line="117"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We believe that there are still gaps in COVID-19 treatment alternatives. For instance, significant drug-drug interactions can limit the utility of some oral antivirals as a treatment option for immunocompromised people or others who are taking certain medications. While COVID-19 prevention is our current focus, and PEMGARDA is not authorized for use for treatment of COVID-19 or for post-exposure prophylaxis of COVID-19, we believe there could be opportunities to further explore the development of mAbs for the treatment of COVID-19.</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Pediatrics</w:t>
      </w:r>
    </w:p>
    <w:p>
      <w:pPr>
        <w:spacing w:after="0" w:line="11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Although children are at lower risk of developing severe COVID-19 compared to adults, a subset of children experience severe disease and poor outcomes, such as multisystem inflammatory syndrome and long COVID. Safe and effective therapies are needed to prevent disease and hospitalization in high-risk children including these complications. Although there is a paucity of data regarding the immune response to COVID-19 vaccines in children with moderate-to-severe immunocompromise, a subset of these children may have suboptimal immune responses to vaccines similar to adults with certain forms of immunocompromise and thus have the potential to benefit from a passive immune approach.</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Pipeline Overview</w:t>
      </w:r>
    </w:p>
    <w:p>
      <w:pPr>
        <w:spacing w:after="0" w:line="121" w:lineRule="exact"/>
        <w:rPr>
          <w:sz w:val="20"/>
          <w:szCs w:val="20"/>
          <w:color w:val="auto"/>
        </w:rPr>
      </w:pPr>
    </w:p>
    <w:p>
      <w:pPr>
        <w:jc w:val="both"/>
        <w:ind w:right="20" w:firstLine="509"/>
        <w:spacing w:after="0" w:line="260" w:lineRule="auto"/>
        <w:rPr>
          <w:sz w:val="20"/>
          <w:szCs w:val="20"/>
          <w:color w:val="auto"/>
        </w:rPr>
      </w:pPr>
      <w:r>
        <w:rPr>
          <w:rFonts w:ascii="Times New Roman" w:cs="Times New Roman" w:eastAsia="Times New Roman" w:hAnsi="Times New Roman"/>
          <w:sz w:val="18"/>
          <w:szCs w:val="18"/>
          <w:color w:val="auto"/>
        </w:rPr>
        <w:t>With our INVYMAB platform approach, we aim to rapidly and perpetually deliver antibody-based therapies that protect vulnerable people from the devastating consequences of circulating viral threats. Leveraging state-of-the-art viral surveillance, predictive modeling, and advanced antibody engineering techniques, we have generated a pipeline of therapeutic candidates designed to protect vulnerable people from serious viral diseases, starting with COVID-19 and expanding into influenza and other high-need indications.</w:t>
      </w:r>
    </w:p>
    <w:p>
      <w:pPr>
        <w:spacing w:after="0" w:line="74"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PEMGARDA is our first mAb in a planned series of innovative mAb candidates designed to keep pace with SARS-CoV-2 viral evolution. As the virus evolves over time, we anticipate periodically introducing new or engineered mAb candidates, an approach that would be analogous to the periodic updates made to influenza and COVID-19 vaccines. We expect that VYD2311 will be the next anti-SARS-CoV-2 mAb candidate that we advance into clinical development. VYD2311 is optimized for neutralization potency against recent SARS-CoV-2 lineages such as BA.2.86 and JN.1.</w:t>
      </w:r>
    </w:p>
    <w:p>
      <w:pPr>
        <w:spacing w:after="0" w:line="74" w:lineRule="exact"/>
        <w:rPr>
          <w:sz w:val="20"/>
          <w:szCs w:val="20"/>
          <w:color w:val="auto"/>
        </w:rPr>
      </w:pPr>
    </w:p>
    <w:p>
      <w:pPr>
        <w:jc w:val="both"/>
        <w:ind w:right="20" w:firstLine="509"/>
        <w:spacing w:after="0" w:line="281" w:lineRule="auto"/>
        <w:rPr>
          <w:sz w:val="20"/>
          <w:szCs w:val="20"/>
          <w:color w:val="auto"/>
        </w:rPr>
      </w:pPr>
      <w:r>
        <w:rPr>
          <w:rFonts w:ascii="Times New Roman" w:cs="Times New Roman" w:eastAsia="Times New Roman" w:hAnsi="Times New Roman"/>
          <w:sz w:val="18"/>
          <w:szCs w:val="18"/>
          <w:color w:val="auto"/>
        </w:rPr>
        <w:t>Beyond PEMGARDA and VYD2311, we have additional anti-SARS-CoV-2 mAb candidates in discovery and pre-clinical characterization. Our robust pipeline reflects our strategy to continuously discover and engineer new candidates that can be leveraged to keep pace with viral evolution.</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1201420</wp:posOffset>
            </wp:positionH>
            <wp:positionV relativeFrom="page">
              <wp:posOffset>774065</wp:posOffset>
            </wp:positionV>
            <wp:extent cx="5445760" cy="2440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5445760" cy="2440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PEMGARDA</w:t>
      </w:r>
    </w:p>
    <w:p>
      <w:pPr>
        <w:spacing w:after="0" w:line="121"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PEMGARDA (pemivibart) injection, for intravenous use received EUA from the FDA in March 2024 for the pre-exposure prophylaxis (prevention) of COVID-19 in adults and adolescents (12 years of age and older weighing at least 40 kg) who have moderate-to-severe immune compromise due to certain medical conditions or receipt of certain immunosuppressive medications or treatments and are unlikely to mount an adequate immune response to COVID-19 vaccination. Recipients should not be currently infected with or had recent known exposure to a person infected with SARS-CoV-2.</w:t>
      </w:r>
    </w:p>
    <w:p>
      <w:pPr>
        <w:spacing w:after="0" w:line="74"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Per the PEMGARDA Fact Sheet for Healthcare Providers, medical conditions or treatments that may result in moderate-to-severe immune compromise and an inadequate immune response to COVID-19 vaccination include:</w:t>
      </w:r>
    </w:p>
    <w:p>
      <w:pPr>
        <w:spacing w:after="0" w:line="55" w:lineRule="exact"/>
        <w:rPr>
          <w:sz w:val="20"/>
          <w:szCs w:val="20"/>
          <w:color w:val="auto"/>
        </w:rPr>
      </w:pPr>
    </w:p>
    <w:p>
      <w:pPr>
        <w:ind w:left="1020" w:hanging="50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treatment for solid tumor and hematologic malignancies</w:t>
      </w:r>
    </w:p>
    <w:p>
      <w:pPr>
        <w:spacing w:after="0" w:line="116" w:lineRule="exact"/>
        <w:rPr>
          <w:rFonts w:ascii="Times New Roman" w:cs="Times New Roman" w:eastAsia="Times New Roman" w:hAnsi="Times New Roman"/>
          <w:sz w:val="18"/>
          <w:szCs w:val="18"/>
          <w:color w:val="auto"/>
        </w:rPr>
      </w:pPr>
    </w:p>
    <w:p>
      <w:pPr>
        <w:ind w:left="1020" w:right="20" w:hanging="504"/>
        <w:spacing w:after="0" w:line="281"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Hematologic malignancies associated with poor responses to COVID-19 vaccines regardless of current treatment status (e.g., chronic lymphocytic leukemia, non-Hodgkin lymphoma, multiple myeloma, acute leukemia)</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solid-organ transplant or an islet transplant and taking immunosuppressive therapy</w:t>
      </w:r>
    </w:p>
    <w:p>
      <w:pPr>
        <w:spacing w:after="0" w:line="116"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chimeric antigen receptor (CAR)-T-cell or hematopoietic stem cell transplant (within 2 years of transplantation or taking immunosuppressive therapy)</w:t>
      </w:r>
    </w:p>
    <w:p>
      <w:pPr>
        <w:spacing w:after="0" w:line="54" w:lineRule="exact"/>
        <w:rPr>
          <w:rFonts w:ascii="Times New Roman" w:cs="Times New Roman" w:eastAsia="Times New Roman" w:hAnsi="Times New Roman"/>
          <w:sz w:val="18"/>
          <w:szCs w:val="18"/>
          <w:color w:val="auto"/>
        </w:rPr>
      </w:pPr>
    </w:p>
    <w:p>
      <w:pPr>
        <w:ind w:left="1020" w:right="20" w:hanging="504"/>
        <w:spacing w:after="0" w:line="281"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Moderate or severe primary immunodeficiency (e.g., common variable immunodeficiency disease, severe combined immunodeficiency, DiGeorge syndrome, Wiskott-Aldrich syndrome)</w:t>
      </w:r>
    </w:p>
    <w:p>
      <w:pPr>
        <w:spacing w:after="0" w:line="61" w:lineRule="exact"/>
        <w:rPr>
          <w:rFonts w:ascii="Times New Roman" w:cs="Times New Roman" w:eastAsia="Times New Roman" w:hAnsi="Times New Roman"/>
          <w:sz w:val="18"/>
          <w:szCs w:val="18"/>
          <w:color w:val="auto"/>
        </w:rPr>
      </w:pPr>
    </w:p>
    <w:p>
      <w:pPr>
        <w:ind w:left="1020" w:right="20" w:hanging="504"/>
        <w:spacing w:after="0" w:line="233"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or untreated HIV infection (people with HIV and CD4 cell counts &lt;200/mm</w:t>
      </w:r>
      <w:r>
        <w:rPr>
          <w:rFonts w:ascii="Times New Roman" w:cs="Times New Roman" w:eastAsia="Times New Roman" w:hAnsi="Times New Roman"/>
          <w:sz w:val="24"/>
          <w:szCs w:val="24"/>
          <w:color w:val="auto"/>
          <w:vertAlign w:val="superscript"/>
        </w:rPr>
        <w:t>3</w:t>
      </w:r>
      <w:r>
        <w:rPr>
          <w:rFonts w:ascii="Times New Roman" w:cs="Times New Roman" w:eastAsia="Times New Roman" w:hAnsi="Times New Roman"/>
          <w:sz w:val="18"/>
          <w:szCs w:val="18"/>
          <w:color w:val="auto"/>
        </w:rPr>
        <w:t>, history of an AIDS-defining illness without immune reconstitution, or clinical manifestations of symptomatic HIV)</w:t>
      </w:r>
    </w:p>
    <w:p>
      <w:pPr>
        <w:spacing w:after="0" w:line="90" w:lineRule="exact"/>
        <w:rPr>
          <w:rFonts w:ascii="Times New Roman" w:cs="Times New Roman" w:eastAsia="Times New Roman" w:hAnsi="Times New Roman"/>
          <w:sz w:val="18"/>
          <w:szCs w:val="18"/>
          <w:color w:val="auto"/>
        </w:rPr>
      </w:pPr>
    </w:p>
    <w:p>
      <w:pPr>
        <w:jc w:val="both"/>
        <w:ind w:left="1020" w:hanging="504"/>
        <w:spacing w:after="0" w:line="265"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treatment with high-dose corticosteroids (i.e., ≥20 mg prednisone or equivalent per day when administered for ≥2 weeks), alkylating agents, antimetabolites, transplant-related immunosuppressive drugs, cancer chemotherapeutic agents classified as severely immunosuppressive, and biologic agents that are immunosuppressive or immunomodulatory (e.g., B-cell depleting agents)</w:t>
      </w:r>
    </w:p>
    <w:p>
      <w:pPr>
        <w:spacing w:after="0" w:line="6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PEMGARDA is not authorized for treatment of COVID-19, or for post-exposure prophylaxis of COVID-19 in individuals who have been exposed to someone infected with SARS-CoV-2. PEMGARDA has not been approved, but has been authorized for emergency use by the FDA under an EUA, for pre-exposure prophylaxis of COVID-19 in certain adults and adolescent individuals (12 years of age and older weighing at least 40 kg). The emergency use of PEMGARDA is only authorized for the duration of the declaration that circumstances exist justifying the authorization of the emergency use of drugs and biological products during the COVID-19 pandemic under Section 564(b)(1) of the FDCA, 21 U.S.C. § 360bbb-3(b)(1), unless the declaration is terminated or authorization revoked sooner.</w:t>
      </w:r>
    </w:p>
    <w:p>
      <w:pPr>
        <w:spacing w:after="0" w:line="78"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Based on the FDA’s review of the totality of scientific evidence available, the FDA determined that it is reasonable to believe that PEMGARDA may be effective for pre-exposure prophylaxis of COVID-19 in certain adults and adolescents, as described in the EUA, and that when used under the conditions described in the EUA, the known and potential benefits of PEMGARDA outweigh the known and potential risks of such product. To support the EUA for PEMGARDA, an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jc w:val="both"/>
        <w:spacing w:after="0" w:line="254" w:lineRule="auto"/>
        <w:rPr>
          <w:sz w:val="20"/>
          <w:szCs w:val="20"/>
          <w:color w:val="auto"/>
        </w:rPr>
      </w:pPr>
      <w:r>
        <w:rPr>
          <w:rFonts w:ascii="Times New Roman" w:cs="Times New Roman" w:eastAsia="Times New Roman" w:hAnsi="Times New Roman"/>
          <w:sz w:val="18"/>
          <w:szCs w:val="18"/>
          <w:color w:val="auto"/>
        </w:rPr>
        <w:t>immunobridging approach was used to determine if PEMGARDA may be effective for pre-exposure prophylaxis of COVID-19. Immunobridging is based on the serum neutralization titer-efficacy relationships identified with other neutralizing human mAbs against SARS-CoV-2. This includes adintrevimab, the parent mAb of pemivibart, and other mAbs that were previously authorized for EUA. The CANOPY clinical trial was designed to utilize current relevant SARS-CoV-2 variants in the analyses of neutralizing titers. The most relevant SARS-CoV-2 variant circulating in the U.S. at the time of the analysis (JN.1) was selected as the variant for the analysis of the primary immunobridging endpoint. Initial immunobridging data from the immunocompromised cohort showed that immunobridging was established in the CANOPY clinical trial and that the calculated serum neutralizing antibody titers against JN.1 were consistent with the titer levels associated with efficacy in prior clinical trials of adintrevimab and other mAb products previously authorized for the prevention of COVID-19.</w:t>
      </w:r>
    </w:p>
    <w:p>
      <w:pPr>
        <w:spacing w:after="0" w:line="81"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18"/>
          <w:szCs w:val="18"/>
          <w:color w:val="auto"/>
        </w:rPr>
        <w:t>There are limitations of the data supporting the benefits of PEMGARDA. Evidence of clinical efficacy for other neutralizing human mAbs against SARS-CoV-2 was based on different populations and SARS-CoV-2 variants that are no longer circulating. Additionally, the variability associated with cell-based EC</w:t>
      </w:r>
      <w:r>
        <w:rPr>
          <w:rFonts w:ascii="Times New Roman" w:cs="Times New Roman" w:eastAsia="Times New Roman" w:hAnsi="Times New Roman"/>
          <w:sz w:val="24"/>
          <w:szCs w:val="24"/>
          <w:color w:val="auto"/>
          <w:vertAlign w:val="subscript"/>
        </w:rPr>
        <w:t>50</w:t>
      </w:r>
      <w:r>
        <w:rPr>
          <w:rFonts w:ascii="Times New Roman" w:cs="Times New Roman" w:eastAsia="Times New Roman" w:hAnsi="Times New Roman"/>
          <w:sz w:val="18"/>
          <w:szCs w:val="18"/>
          <w:color w:val="auto"/>
        </w:rPr>
        <w:t xml:space="preserve"> value determinations, along with limitations related to pharmacokinetic data and efficacy estimates for the mAbs in prior clinical trials, impact the ability to precisely estimate protective titer ranges.</w:t>
      </w:r>
    </w:p>
    <w:p>
      <w:pPr>
        <w:spacing w:after="0" w:line="91"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With regards to the safety profile, anaphylaxis has been observed with PEMGARDA and the PEMGARDA Fact Sheet for Healthcare Providers includes a boxed warning for anaphylaxis. The most common adverse events (all grades, incidence ≥2%) observed in participants who have moderate-to-severe immune compromise treated with PEMGARDA included systemic and local infusion-related or hypersensitivity reactions, upper respiratory tract infection, viral infection, influenza-like illness, fatigue, headache, and nausea.</w:t>
      </w:r>
    </w:p>
    <w:p>
      <w:pPr>
        <w:spacing w:after="0" w:line="7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Following the recent authorization of PEMGARDA, we expect that product will be available for order in the U.S. imminently. We plan to concentrate initially on the healthcare practitioners and institutions who care for the estimated 485,000 highest risk moderately to severely immunocompromised adults and adolescents through a highly focused field sales organization which can potentially expand over time to reach additional healthcare practitioners and institutions who care for other groups of moderately to severely immunocompromised adults and adolescents. We have directly hired key leaders for our sales, marketing, market access, and medical affairs teams, in addition to leveraging contract organizations for certain field-based roles.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Strategy</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do not currently own or operate any manufacturing facilities and have invested significant resources to develop commercial-scale manufacturing in partnership with our contract manufacturer partner, WuXi Biologics, with whom we have been working since our inception. We have contracted with WuXi Biologics for the manufacturing of commercial-scale PEMGARDA and VYD2311. PEMGARDA and VYD2311 are produced using an industry standard mAb manufacturing process including a recombinant Chinese Hamster Ovary (“CHO”) commercial cell line, fed-batch suspension cell culture and a chromatography column-based purification process. The drug product manufacture uses an industry standard sterile liquid drug product manufacturing process.</w:t>
      </w:r>
    </w:p>
    <w:p>
      <w:pPr>
        <w:spacing w:after="0" w:line="7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have established long-term master services agreements with WuXi Biologics, pursuant to which we purchase drug substance and drug product for both clinical and commercial supply. The master services agreements are also applicable to any future clinical candidates identified for development, should we elect to use WuXi Biologics for development and supply of those candidates. We may stop placing orders under the master services agreements at any time, provided that we fulfill our obligations to make payment for, or pay cancellation-related costs related to, all committed purchases. Either party may also terminate the master services agreements with respect to an uncured breach by the other party in accordance with the terms of the agreements. The agreements include confidentiality and intellectual property provisions to protect our proprietary rights related to our product candidates.</w:t>
      </w:r>
    </w:p>
    <w:p>
      <w:pPr>
        <w:spacing w:after="0" w:line="78"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We have also established a cell line license agreement with WuXi Biologics that allows for the transfer and use in drug substance manufacturing of any cell line developed by WuXi Biologics on our behalf, including those used in the manufacture of PEMGARDA, VYD2311 and other product candidates. This license enables cell line and manufacturing process transfer to additional contract manufacturers.</w:t>
      </w:r>
    </w:p>
    <w:p>
      <w:pPr>
        <w:spacing w:after="0" w:line="69"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We have devoted and expect to continue to devote significant resources to the manufacture of PEMGARDA, and we expect to have sufficient clinical supply to support our ongoing clinical trial needs and sufficient commercial supply to meet anticipated initial demand for PEMGARDA.</w:t>
      </w:r>
    </w:p>
    <w:p>
      <w:pPr>
        <w:spacing w:after="0" w:line="55"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Foreign contract manufacturing organizations, including WuXi Biologics, may be subject to U.S. legislation, including the proposed BIOSECURE Act, investigations, sanctions, trade restrictions, and other foreign regulatory requirements, which could increase the cost or reduce the supply of material available to us, delay or impact clinical trials, or delay procurement of</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14" w:name="page15"/>
    <w:bookmarkEnd w:id="14"/>
    <w:p>
      <w:pPr>
        <w:jc w:val="both"/>
        <w:spacing w:after="0" w:line="281" w:lineRule="auto"/>
        <w:rPr>
          <w:sz w:val="20"/>
          <w:szCs w:val="20"/>
          <w:color w:val="auto"/>
        </w:rPr>
      </w:pPr>
      <w:r>
        <w:rPr>
          <w:rFonts w:ascii="Times New Roman" w:cs="Times New Roman" w:eastAsia="Times New Roman" w:hAnsi="Times New Roman"/>
          <w:sz w:val="18"/>
          <w:szCs w:val="18"/>
          <w:color w:val="auto"/>
        </w:rPr>
        <w:t>commercial supply. Accordingly, we continue to evaluate access to capacity at WuXi Biologics, as well as other CDMOs so we can aim to meet potential future demand for PEMGARDA and future clinical product candidates.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Relationship with Adimab</w:t>
      </w:r>
    </w:p>
    <w:p>
      <w:pPr>
        <w:spacing w:after="0" w:line="121"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Since our founding in June 2020, we have focused on the development of mAbs for both the prevention and treatment of COVID-19. Adimab is a leading provider of antibody discovery, engineering and optimization services and has established an extensive presence in the drug discovery industry.</w:t>
      </w:r>
    </w:p>
    <w:p>
      <w:pPr>
        <w:spacing w:after="0" w:line="5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Since July 2020, we are party to an assignment and license agreement with Adimab under which Adimab assigned to us its rights to all existing coronavirus antibodies controlled by it and their derivatives, including adintrevimab. See “—Licensing, Collaborations and Partnerships—Assignment and License Agreement with Adimab.” In May 2021, we entered into a funded discovery agreement with Adimab focused on discovery efforts for new antibodies that may be effective against other coronaviruses and influenza, both of which have the potential to cause pandemics. In the event that Adimab discovers an antibody that is expected to meet certain product profiles developed by us, we will have the exclusive option to require Adimab to assign us its rights in any such antibody and to grant us certain licenses. See “—Licensing, Collaborations and Partnerships—Collaboration Agreement with Adimab.” In addition, in September 2022, we entered into a platform transfer agreement with Adimab. Under the platform transfer agreement, we were granted the right under certain intellectual property of Adimab to practice certain elements of Adimab’s platform technology, including B-cell cloning using Adimab’s proprietary yeast cell lines and other antibody optimization libraries, trade secrets, protocols and software of Adimab, to discover, engineer and optimize antibodies. We do not have access to Adimab’s proprietary discovery libraries. We were also granted the right under certain intellectual property of Adimab to research, develop, make, sell and exploit such antibodies and products containing such antibodies. See “—Licensing, Collaborations and Partnerships— Adimab Platform Transfer Agreement.”</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Licensing, Collaborations and Partnerships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Adimab Assignment Agreement</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July 2020, we entered into an Assignment and License Agreement with Adimab (the “Adimab Assignment Agreement”) with respect to discovery and optimization of coronavirus-specific antibodies, including COVID-19 and SARS. Under the Adimab Assignment Agreement, Adimab assigned to us its rights, title and interest in and to certain of its coronavirus-specific antibodies (each, a “CoV Antibody” and together, the “CoV Antibodies”), including modified or derivative forms thereof, and related intellectual property. Adimab also granted us a non-exclusive, worldwide, royalty-bearing, sublicensable license to certain of its platform patents and technology for the development, manufacture and commercialization of the CoV Antibodies and pharmaceutical products containing or comprising one or more CoV Antibodies (each, a “Product”) for all indications and uses, with the exception of certain diagnostic uses and use as a research reagent. We are entitled to sublicense the assigned rights and licensed intellectual property solely with respect to any CoV Antibody or Product, subject to specified conditions of the agreement. We are obligated to use commercially reasonable efforts to achieve specified development and regulatory milestones for Products in certain major markets and to commercialize a product in any country in which we obtain marketing approval.</w:t>
      </w:r>
    </w:p>
    <w:p>
      <w:pPr>
        <w:spacing w:after="0" w:line="8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July 2020, in consideration for the rights assigned and license conveyed under the Adimab Assignment Agreement, we issued 5,000,000 shares of our Series A preferred stock, then having a fair value of $40.0 million, to Adimab. In addition, under the Adimab Assignment Agreement, we are obligated to pay Adimab up to $16.5 million upon the achievement of specified development and regulatory milestones for the first Product under the agreement that achieves such specified milestones and up to $8.1 million upon the achievement of specified development and regulatory milestones for the second Product under the agreement that achieves such specified milestones. The maximum aggregate amount of milestone payments payable under the agreement for any and all Products is $24.6 million. Through December 31, 2023, we had made aggregate milestone payments of $11.1 million to Adimab under the Adimab Assignment Agreement. We are also obligated to pay Adimab royalties of a mid-single-digit percentage based on net sales of any Products, beginning upon the first commercial sale of a Product in accordance with the Adimab Assignment Agreement. The royalty rate is subject to reductions specified under the agreement. Royalties are due on a Product-by-Product and country-by-country basis beginning upon the first commercial sale of each Product and ending on the later of (i) 12 years after the first commercial sale of such Product in such country and (ii) the expiration of the last valid claim of a patent covering such Product in such country (the “Royalty Term”).</w:t>
      </w:r>
    </w:p>
    <w:p>
      <w:pPr>
        <w:spacing w:after="0" w:line="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Unless earlier terminated, the Adimab Assignment Agreement remains in effect until the expiration of the last-to-expire Royalty Term for any and all Products. We may terminate the Adimab Assignment Agreement at any time for any or no reason upon advance written notice to Adimab or in the event of a material breach by Adimab that is not cured with specific periods. Adimab may only terminate the agreement if we materially breach, and do not cure, our diligence obligation or a payment obligation. Upon any termination of the agreement prior to its expiration, all licenses and rights granted pursuant to the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arrangement will automatically terminate and revert to the granting party and all other rights and obligations of the parties will terminate.</w:t>
      </w:r>
    </w:p>
    <w:p>
      <w:pPr>
        <w:spacing w:after="0" w:line="117" w:lineRule="exact"/>
        <w:rPr>
          <w:sz w:val="20"/>
          <w:szCs w:val="20"/>
          <w:color w:val="auto"/>
        </w:rPr>
      </w:pPr>
    </w:p>
    <w:p>
      <w:pPr>
        <w:jc w:val="both"/>
        <w:ind w:right="20" w:firstLine="509"/>
        <w:spacing w:after="0" w:line="281" w:lineRule="auto"/>
        <w:rPr>
          <w:sz w:val="20"/>
          <w:szCs w:val="20"/>
          <w:color w:val="auto"/>
        </w:rPr>
      </w:pPr>
      <w:r>
        <w:rPr>
          <w:rFonts w:ascii="Times New Roman" w:cs="Times New Roman" w:eastAsia="Times New Roman" w:hAnsi="Times New Roman"/>
          <w:sz w:val="18"/>
          <w:szCs w:val="18"/>
          <w:color w:val="auto"/>
        </w:rPr>
        <w:t>Through December 31, 2023, we had made aggregate payments of $13.7 million to Adimab under the Adimab Assignment Agreement, inclusive of the aforementioned milestone payments.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Adimab Collaboration Agreement</w:t>
      </w:r>
    </w:p>
    <w:p>
      <w:pPr>
        <w:spacing w:after="0" w:line="121"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8"/>
          <w:szCs w:val="18"/>
          <w:color w:val="auto"/>
        </w:rPr>
        <w:t>In May 2021, we entered into a Collaboration Agreement with Adimab, as amended in November 2022 and September 2023 (the “Adimab Collaboration Agreement”), for the discovery and optimization of proprietary antibodies as potential therapeutic product candidates. Under the Adimab Collaboration Agreement, we could collaborate with Adimab on research programs for a specified number of targets selected by us within a specified time period. Under the Adimab Collaboration Agreement, Adimab granted us a worldwide, non-exclusive license to certain of Adimab’s platform patents and technology and antibody patents to perform our responsibilities during the ongoing research period and for a specified evaluation period thereafter (the “Evaluation Term”). We granted Adimab a license to certain of our patents and intellectual property solely to perform Adimab’s responsibilities under the research plans. Under the Adimab Collaboration Agreement, we have an exclusive option, on a program-by-program basis, to obtain licenses and assignments to commercialize selected products containing or comprising antibodies directed against the applicable target, which option may be exercised upon the payment of a specified option fee for each program. Upon our exercise of an option, Adimab will assign to us all right, title and interest in the antibodies of the optioned research program and will grant us a worldwide, royalty-free, fully paid-up, non-exclusive, sublicensable license under the Adimab platform technology for the development, manufacture and commercialization of the antibodies for which we have exercised our options and products containing or comprising those antibodies.</w:t>
      </w:r>
    </w:p>
    <w:p>
      <w:pPr>
        <w:spacing w:after="0" w:line="78"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Under the Adimab Collaboration Agreement, we are obligated to use commercially reasonable efforts to develop, seek marketing approval for, and commercialize one product that contains an antibody discovered in each optioned research program.</w:t>
      </w:r>
    </w:p>
    <w:p>
      <w:pPr>
        <w:spacing w:after="0" w:line="5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Under the Adimab Collaboration Agreement, we agreed to pay Adimab a quarterly fee of $1.3 million, which could be cancelled at our option at any time. For so long as we were paying such quarterly fee (or earlier if (i) we experience a change of control after the third anniversary of the Adimab Collaboration Agreement or (ii) Adimab owns less than a specified percentage of our equity), Adimab and its affiliates agreed not to assist or direct certain third parties to discover or optimize antibodies intended to bind to coronaviruses or influenza viruses. Under the Adimab Collaboration Agreement, we could also elect to decrease the scope of Adimab’s exclusivity obligations and obtain a corresponding decrease in the quarterly fee. In December 2023, we elected to decrease the scope of Adimab’s exclusivity obligations to cover only coronaviruses and obtained a corresponding decrease in the quarterly fee, and we are now obligated to pay Adimab a quarterly fee of $0.6 million starting in the first quarter of 2024.</w:t>
      </w:r>
    </w:p>
    <w:p>
      <w:pPr>
        <w:spacing w:after="0" w:line="79"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For each agreed upon research program that is commenced, we are obligated to pay Adimab quarterly for its services performed during a given research program at a specified full-time equivalent rate; a discovery delivery fee of $0.2 million; and an optimization completion fee of $0.2 million. For each option exercised by us to commercialize a specific research program, we are obligated to pay Adimab an exercise fee of $1.0 million.</w:t>
      </w:r>
    </w:p>
    <w:p>
      <w:pPr>
        <w:spacing w:after="0" w:line="6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are obligated to pay Adimab up to $18.0 million upon the achievement of specified development and regulatory milestones for each product under the Adimab Collaboration Agreement that achieves such milestones. We are also obligated to pay Adimab royalties of a mid-single-digit percentage based on net sales of any product under the Adimab Collaboration Agreement, subject to reductions for third-party licenses. The royalty term will expire for each product on a country-by-country basis upon the later of (i) 12 years after the first commercial sale of such product in such country and (ii) the expiration of the last valid claim of any patent claiming composition of matter or method of making or using any antibody identified or optimized under the Adimab Collaboration Agreement in such country.</w:t>
      </w:r>
    </w:p>
    <w:p>
      <w:pPr>
        <w:spacing w:after="0" w:line="78"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In addition, we are obligated to pay Adimab for Adimab’s performance of certain validation work with respect to certain antigens acquired from a third party. In consideration for this work, we are obligated to pay Adimab royalties of a low single-digit percentage based on net sales of products that contain such antigens for the same royalty term as antibody-based products, but we are not obligated to make any milestone payments for such antigen products.</w:t>
      </w:r>
    </w:p>
    <w:p>
      <w:pPr>
        <w:spacing w:after="0" w:line="7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Adimab Collaboration Agreement will expire (i) if we do not exercise any option, upon the conclusion of the last Evaluation Term for the research programs, or (ii) if we exercise an option, on the expiration of the last royalty term for a product in a particular country, unless the agreement is earlier terminated. We may terminate the Adimab Collaboration Agreement at any time upon advance written notice to Adimab. In addition, subject to certain conditions, either party may terminate the Adimab Collaboration Agreement in the event of a material breach by the other party that is not cured within specified periods.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16" w:name="page17"/>
    <w:bookmarkEnd w:id="16"/>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Through December 31, 2023, we had made aggregate payments of $17.1 million to Adimab under the Adimab Collaboration Agreement. As of December 31, 2023, $0.7 million was due to Adimab by us.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Adimab Platform Transfer Agreement</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September 2022 (the “Adimab Platform Transfer Agreement Effective Date”), we entered into a Platform Transfer Agreement with Adimab (the “Adimab Platform Transfer Agreement”), under which we were granted the right under certain intellectual property of Adimab to practice certain elements of Adimab’s platform technology, including B-cell cloning using Adimab’s proprietary yeast cell lines and other antibody optimization libraries, trade secrets, protocols and software of Adimab, to discover, engineer and optimize antibodies. We do not have access to Adimab’s proprietary discovery libraries. We were also granted the right under certain intellectual property of Adimab to research, develop, make, sell and exploit such antibodies and products containing such antibodies. The Adimab platform has been transferred to us in accordance with the terms of the Adimab Platform Transfer Agreement.</w:t>
      </w:r>
    </w:p>
    <w:p>
      <w:pPr>
        <w:spacing w:after="0" w:line="7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are obligated to pay Adimab an annual fee of single digit millions on each of the first four anniversaries of the Adimab Platform Transfer Agreement Effective Date, which allows us to receive material improvements to the platform technology, including materially improved antibody optimization libraries, updates that provide new functionality to the platform, and software upgrades, from Adimab through June 2027. The first annual fee became due in September 2023 and was paid in October 2023. Beginning in July 2027 and ending in June 2042, unless terminated earlier, we have the option to receive additional material improvements to the platform technology from Adimab, subject to a commercially reasonable fee to be negotiated by the parties.</w:t>
      </w:r>
    </w:p>
    <w:p>
      <w:pPr>
        <w:spacing w:after="0" w:line="7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are also obligated to pay Adimab up to $9.5 million upon the achievement of specified development and regulatory milestones for each product under the Adimab Platform Transfer Agreement that achieves such milestones. In addition, we are obligated to pay Adimab royalties of a low single-digit percentage based on net sales of products containing an antibody discovered, engineered or optimized using Adimab’s platform technology, subject to reductions specified under the Adimab Platform Transfer Agreement. Royalties are due on a product-by-product and country-by-country basis. The royalty term will expire for each product on a country-by-country basis upon the later of (i) 12 years after the first commercial sale of such product in such country and (ii) the expiration of the last valid claim of a program antibody patent for covering the program antibody contained in such product in such country.</w:t>
      </w:r>
    </w:p>
    <w:p>
      <w:pPr>
        <w:spacing w:after="0" w:line="78"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We may terminate the Adimab Platform Transfer Agreement at any time upon advance written notice to Adimab. In addition, subject to certain conditions, either party may terminate the Adimab Platform Transfer Agreement in the event of a material breach by the other party that is not cured within specified periods or in connection with the other party’s insolvency.</w:t>
      </w:r>
    </w:p>
    <w:p>
      <w:pPr>
        <w:spacing w:after="0" w:line="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Through December 31, 2023, we had made aggregate payments of $5.0 million to Adimab under the Adimab Platform Transfer Agreement.</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Population Health Partners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November 2022 (the “PHP Effective Date”), we entered into a Master Services Agreement with Population Health Partners, L.P. (“PHP”), pursuant to which PHP agreed to provide services and create deliverables for us as agreed between us and PHP and set forth in one or more work orders under such agreement (the “PHP MSA”). The term of the PHP MSA commenced on the PHP Effective Date for an initial term of one year. The PHP MSA renews for subsequent periods, until terminated in accordance with its terms. On the PHP Effective Date, we and PHP entered into the first work order under the PHP MSA (the “PHP Work Order”), pursuant to which PHP agreed to advise and counsel us regarding clinical development and regulatory matters with respect to our product candidates. The PHP Work Order was effective for six months from the PHP Effective Date and terminated in accordance with its terms in May 2023. The PHP MSA contains customary confidentiality provisions and representations and warranties of the parties, as well as mutual non-solicitation of certain employees during the term of the PHP MSA and for a period of one year thereafter. Clive Meanwell, M.D. and Tamsin Berry, members of our board of directors, are Managing Partner and Limited Partner of PHP, respectively.</w:t>
      </w:r>
    </w:p>
    <w:p>
      <w:pPr>
        <w:spacing w:after="0" w:line="78"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As compensation for the services and deliverables under the PHP Work Order, we paid PHP a cash fee of $0.5 million per month during the term of the PHP Work Order for an aggregate fee of $3.0 million.</w:t>
      </w:r>
    </w:p>
    <w:p>
      <w:pPr>
        <w:spacing w:after="0" w:line="5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to the cash compensation, on the PHP Effective Date, we issued a warrant to purchase shares of our common stock, par value $0.0001 (“Common Stock”), to PHP (the “PHP Warrant”). The exercise price of the PHP Warrant is $3.48 per share of Common Stock, which was equal to the Nasdaq official closing price of a share of Common Stock on the trading day immediately prior to the PHP Effective Date. The PHP Warrant is exercisable for up to an aggregate of 6,824,712 shares of Common Stock, and vests in up to three separate tranches upon either the achievement of corresponding market capitalization targets or a consummation of a fundamental transaction (as defined in the PHP Warrant).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Cell Line License Agreement with WuXi Biologics</w:t>
      </w:r>
    </w:p>
    <w:p>
      <w:pPr>
        <w:spacing w:after="0" w:line="121"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We are also party to a Cell Line License Agreement with WuXi Biologics, entered into as of December 2, 2020, as amended in February 2023 and March 2024. See “Management’s Discussion and Analysis of Financial Condition and Results of Operations—Contractual Obligations and Commitments” and “—Other Commitments.”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Biocon Biologics Limited</w:t>
      </w:r>
    </w:p>
    <w:p>
      <w:pPr>
        <w:spacing w:after="0" w:line="12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In July 2021, we entered into a license agreement with Biocon Biologics Limited (“Biocon”) to combat the ongoing COVID-19 crisis in southern Asia. Under the license agreement, we granted Biocon exclusive rights to manufacture and commercialize an antibody treatment in India and additional select emerging markets based on the commercial process developed for adintrevimab. As part of the agreement, Biocon will be granted access to the data from our Phase 2/3 adintrevimab clinical trials and access to our EUA package, if applicable, including regulatory submissions, to support approval or emergency authorization in India and other select emerging markets.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biotechnology and pharmaceutical industry is characterized by the rapid evolution of technologies and understanding of disease etiology, intense competition and a strong emphasis on intellectual property. We believe that our approach, strategy, scientific, development and manufacturing capabilities, know-how, partnerships and experience provide us with competitive advantages. However, we expect competition from multiple sources, including major pharmaceutical, specialty pharmaceutical and existing or emerging biotechnology companies, academic research institutions, governmental agencies and public and private research institutions worldwide. Many of our competitors, either alone or through collaborations, have significantly greater financial resources and expertise in research and development, preclinical testing, conducting clinical trials, manufacturing, obtaining regulatory authorizations or approvals, and commercializing authorized or approved products than we do. Smaller or early-stage companies may also prove to be significant competitors, particularly through collaborative arrangements with large and established companies. These entities also compete with us in recruiting and retaining qualified scientific, clinical, manufacturing and management personnel, establishing clinical trial sites and enrolling patient in clinical trials, as well as in acquiring technologies complementary to, or necessary for, our programs. As a result, our competitors may discover, develop, license or commercialize products before or more successfully than we do.</w:t>
      </w:r>
    </w:p>
    <w:p>
      <w:pPr>
        <w:spacing w:after="0" w:line="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face competition from segments of the pharmaceutical, biotechnology and other related markets that pursue the development of antibody and small molecule antivirals targeting COVID-19. Companies that have active COVID-19 antibody-based programs include but may not be limited to, AstraZeneca plc, Regeneron Pharmaceuticals, Inc. in collaboration with Roche Pharmaceuticals, Vir Biotechnology, Inc., and Aerium Therapeutics. In addition, companies that have approved or authorized antiviral programs for the treatment of COVID-19 include Merck and Co., Inc. (oral), Pfizer Pharmaceuticals (oral), and Gilead (IV).</w:t>
      </w:r>
    </w:p>
    <w:p>
      <w:pPr>
        <w:spacing w:after="0" w:line="7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could see a reduction or elimination in our commercial opportunity if our competitors develop and commercialize drugs that are safer, better tolerated, more effective, more convenient to administer, less expensive, more resistant to viral escape, or receive a more favorable label than PEMGARDA or our other product candidates. Some of our competitors have already previously obtained EUAs from the FDA for the prevention of COVID-19 in immunocompromised patients and the treatment of mild to moderate COVID-19 in high-risk patients, and others in the future may obtain EUAs from the FDA or other regulatory approval or authorization more rapidly than we may, which could result in our competitors establishing a strong market position. The key competitive factors affecting the success of PEMGARDA and our other product candidates, if authorized or approved, are likely to be their efficacy, safety, convenience, price and the availability of reimbursement from government and other third-party payors.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commercial success depends in part on our ability to obtain and maintain patent and other proprietary protection in the U.S. and in other countries for commercially important technology, current and future inventions, improvements and know-how related to our business; defend and enforce our patents and other intellectual property; preserve the confidentiality of our trade secrets; and operate without infringing, misappropriating or otherwise violating the valid enforceable patents and proprietary rights of third parties. Our ability to stop third parties from making, using, selling, offering to sell or importing our products may depend on the extent to which we have rights under valid and enforceable patents or trade secrets that cover these activities. With respect to both licensed and company-owned intellectual property, we cannot be sure that patents will be granted with respect to any of our pending patent applications or with respect to any patent applications filed by us in the future, nor can we be sure that any of our existing patents or any patents that may be granted to us in the future will be commercially useful in protecting our commercial products and methods of manufacturing the same. Our pending Patent Cooperation Treaty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8" w:name="page19"/>
    <w:bookmarkEnd w:id="18"/>
    <w:p>
      <w:pPr>
        <w:jc w:val="both"/>
        <w:spacing w:after="0" w:line="256" w:lineRule="auto"/>
        <w:rPr>
          <w:sz w:val="20"/>
          <w:szCs w:val="20"/>
          <w:color w:val="auto"/>
        </w:rPr>
      </w:pPr>
      <w:r>
        <w:rPr>
          <w:rFonts w:ascii="Times New Roman" w:cs="Times New Roman" w:eastAsia="Times New Roman" w:hAnsi="Times New Roman"/>
          <w:sz w:val="18"/>
          <w:szCs w:val="18"/>
          <w:color w:val="auto"/>
        </w:rPr>
        <w:t>(“PCT”) patent applications are not eligible to become issued patents until, among other things, we file a national stage patent application within 30 months in the countries in which we seek patent protection. Furthermore, our pending U.S. provisional patent applications are not eligible to become issued patents until, among other things, we file a non-provisional U.S. patent application within one year of filing of the U.S. provisional patent application with the U.S. Patent and Trademark Office (the “USPTO”). If we do not timely file any national stage patent applications or non-provisional U.S. patent applications, we may lose our priority date with respect to our PCT and provisional U.S. patent applications and any patent protection on the inventions disclosed in such patent applications. See “Risk Factors—Risks Related to Our Intellectual Property.”</w:t>
      </w:r>
    </w:p>
    <w:p>
      <w:pPr>
        <w:spacing w:after="0" w:line="7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actively seek to protect our proprietary technology, inventions and other intellectual property that is commercially important to the development of our business by a variety of means, such as seeking, maintaining, and defending patent rights, whether developed internally or licensed from third parties. We also may rely on trade secrets and know-how relating to our proprietary technology platform, on continuing technological innovation and on in-licensing opportunities to develop, strengthen and maintain the strength of our position in the antibody field that may be important for the development of our business. We also intend to seek patent protection or rely upon trade secret rights to protect other technologies that may be used to discover and validate targets, as well as to manufacture and develop novel antibody products. Additional regulatory protection may also be afforded through data exclusivity, market exclusivity and patent term extensions where available.</w:t>
      </w:r>
    </w:p>
    <w:p>
      <w:pPr>
        <w:spacing w:after="0" w:line="79"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We file patent applications directed to compositions comprising our antibodies, classes of antibodies covering our product candidates, use of such antibodies for preventing and treating disease, diagnostic methods, pharmaceutical compositions, combination therapies, and methods of manufacturing. We continue to review new inventions for patent filings.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of March 12, 2024, we own one patent family for which we have three issued U.S. patents (U.S. 11,192,940, issued December 7, 2021; U.S. 11,220,536, issued January 11, 2022; and U.S. 11,414,479, issued August 16, 2022), one pending U.S. non-provisional patent application, and foreign patent applications in Argentina, Brazil, Canada, China, Europe, Japan, Mexico, and Taiwan. This patent family is directed to broadly neutralizing anti-coronavirus antibodies, including ADG20 (adintrevimab) and ADG10, and uses thereof. These patents and patent applications and any additional U.S. non-provisional patent applications or foreign patent applications timely filed based upon such applications, if issued, are expected to expire in 2041, without taking into account any possible patent term adjustment or extension.</w:t>
      </w:r>
    </w:p>
    <w:p>
      <w:pPr>
        <w:spacing w:after="0" w:line="78"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As of March 12, 2024, we own a second patent family for which we have filed one PCT patent application. This patent family is directed to formulations and methods of use for ADG20 (adintrevimab). Any additional U.S. non-provisional patent applications or foreign patent applications timely filed based upon such application, if issued, are expected to expire in 2042, without taking into account any possible patent term adjustment or extension.</w:t>
      </w:r>
    </w:p>
    <w:p>
      <w:pPr>
        <w:spacing w:after="0" w:line="6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of March 12, 2024, we own two additional patent families. The first patent family is directed to additional broadly neutralizing anti-coronavirus antibodies, combination therapies, and uses thereof, and includes one PCT application and one foreign patent application in Taiwan. The second patent family is directed to additional broadly neutralizing anti-coronavirus antibodies, including VYD222, as well as combination therapies, and uses thereof, and includes one PCT patent application. Any U.S. non-provisional patent applications timely filed based upon these U.S. provisional patent applications, if issued, are expected to expire in 2043, without taking into account any possible patent term adjustment or extension.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Trademarks</w:t>
      </w:r>
    </w:p>
    <w:p>
      <w:pPr>
        <w:spacing w:after="0" w:line="121"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Certain features of our business and product candidates are protected by trademarks. As of March 12, 2024, we have filed trademark applications for marks including INVIVYD, PEMGARDA and INVYMAB, as well as logos and certain stylized versions of these word marks. Applications have been filed inside and outside of the United States, and while many are still pending, a number of registrations have been issued in Australia, China, European Union, Japan, New Zealand, Norway, Switzerland, and United Kingdom.</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Secrets and Proprietary Information</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also rely, in some circumstances, on trade secrets to protect our technology, including our proprietary scientific, business and technical information and know-how that is not or may not be patentable or that we elect not to patent. We seek to protect our proprietary information, data and processes, in part, by confidentiality agreements and invention assignment agreements with our employees, consultants, scientific advisors, contractors and partners. Although these agreements are designed to protect our proprietary information, we cannot be certain that our trade secrets and other confidential proprietary information will not be disclosed or that competitors will not otherwise gain access to our trade secrets or independently develop substantially equivalent information and techniques. Although we generally require all of our employees to assign their</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19" w:name="page20"/>
    <w:bookmarkEnd w:id="19"/>
    <w:p>
      <w:pPr>
        <w:jc w:val="both"/>
        <w:spacing w:after="0" w:line="260" w:lineRule="auto"/>
        <w:rPr>
          <w:sz w:val="20"/>
          <w:szCs w:val="20"/>
          <w:color w:val="auto"/>
        </w:rPr>
      </w:pPr>
      <w:r>
        <w:rPr>
          <w:rFonts w:ascii="Times New Roman" w:cs="Times New Roman" w:eastAsia="Times New Roman" w:hAnsi="Times New Roman"/>
          <w:sz w:val="18"/>
          <w:szCs w:val="18"/>
          <w:color w:val="auto"/>
        </w:rPr>
        <w:t>inventions to us, and require all of our employees, consultants, advisors and any third parties who have access to our proprietary know-how, information or technology to enter into confidentiality agreements, we cannot provide any assurances that all such agreements have been duly executed with all third parties who may have helped to develop our intellectual property or who had access to our proprietary information, or that our agreements will not be breached. For more information regarding the risks related to our intellectual property, see “Risk Factors—Risks Related to Our Intellectual Property.”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the U.S., we are subject to extensive regulation by the FDA and other federal, state, and local regulatory agencies. In the U.S., biologics such as our product candidates are licensed by the FDA for marketing under the PHS Act and regulated under the FDCA. Both the FDCA and the PHS Act and their corresponding regulations govern, among other things, the testing, development, manufacturing, quality control, safety, purity, potency, efficacy, approval, labeling, packaging, storage, record keeping, distribution, marketing, sales, import, export, reporting, advertising and other promotional practices involving biologics. FDA clearance must be obtained before clinical testing of biological product candidates. FDA licensure also must be obtained before biologics can be marketed. Additionally, although significant regulatory aspects in the European Union are addressed in a centralized way through the European Medicines Agency (the “EMA”) and the European Commission, country-specific regulation remains essential in many respects. Further, any failure to comply with applicable laws and regulations could have a material negative impact on our ability to successfully develop and commercialize product candidates, and therefore on our financial performance. In addition, the laws, rules and regulations that apply to our business are subject to change and it is difficult to foresee whether, how, or when such changes may affect our business. The process of obtaining regulatory authorizations and/or approvals and the subsequent compliance with appropriate federal, state, local and foreign statutes and regulations require the expenditure of substantial time and financial resources.</w:t>
      </w:r>
    </w:p>
    <w:p>
      <w:pPr>
        <w:spacing w:after="0" w:line="2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 Development Process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process required by the FDA before a biological product candidate may be marketed in the U.S. generally involves the following:</w:t>
      </w:r>
    </w:p>
    <w:p>
      <w:pPr>
        <w:spacing w:after="0" w:line="117" w:lineRule="exact"/>
        <w:rPr>
          <w:sz w:val="20"/>
          <w:szCs w:val="20"/>
          <w:color w:val="auto"/>
        </w:rPr>
      </w:pPr>
    </w:p>
    <w:p>
      <w:pPr>
        <w:ind w:left="1140" w:hanging="504"/>
        <w:spacing w:after="0" w:line="281"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nonclinical laboratory tests and animal studies according to current Good Laboratory Practices (“cGLP”) and applicable requirements for the humane use of laboratory animals or other applicable regulations;</w:t>
      </w:r>
    </w:p>
    <w:p>
      <w:pPr>
        <w:spacing w:after="0" w:line="54"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and preparation of clinical trial material in accordance with applicable current Good Manufacturing Practices (“cGMP”);</w:t>
      </w:r>
    </w:p>
    <w:p>
      <w:pPr>
        <w:spacing w:after="0" w:line="116" w:lineRule="exact"/>
        <w:rPr>
          <w:rFonts w:ascii="Times New Roman" w:cs="Times New Roman" w:eastAsia="Times New Roman" w:hAnsi="Times New Roman"/>
          <w:sz w:val="18"/>
          <w:szCs w:val="18"/>
          <w:color w:val="auto"/>
        </w:rPr>
      </w:pPr>
    </w:p>
    <w:p>
      <w:pPr>
        <w:jc w:val="both"/>
        <w:ind w:left="1140" w:hanging="504"/>
        <w:spacing w:after="0" w:line="258"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application for an Investigational New Drug Application (“IND”), which contains, among other data and information, nonclinical testing results and provides a basis for the FDA to conclude that there is an adequate basis for testing the investigational product in humans. If the FDA does not object to the IND application within 30 days of submission, the clinical testing proposed in the IND may begin. Even after the IND has gone into effect and clinical testing has begun, the FDA may put clinical trials on “clinical hold,” suspending (or in some cases, ending) them because of safety concerns or for other reasons;</w:t>
      </w:r>
    </w:p>
    <w:p>
      <w:pPr>
        <w:spacing w:after="0" w:line="74"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institutional review board (“IRB”), reviewing each clinical site before each clinical trial may be initiated;</w:t>
      </w:r>
    </w:p>
    <w:p>
      <w:pPr>
        <w:spacing w:after="0" w:line="116" w:lineRule="exact"/>
        <w:rPr>
          <w:rFonts w:ascii="Times New Roman" w:cs="Times New Roman" w:eastAsia="Times New Roman" w:hAnsi="Times New Roman"/>
          <w:sz w:val="18"/>
          <w:szCs w:val="18"/>
          <w:color w:val="auto"/>
        </w:rPr>
      </w:pPr>
    </w:p>
    <w:p>
      <w:pPr>
        <w:jc w:val="both"/>
        <w:ind w:left="1140" w:hanging="504"/>
        <w:spacing w:after="0" w:line="255"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according to the FDA’s bioresearch monitoring regulations and current Good Clinical Practices (“cGCP”), which establish standards for conducting, recording data from, and reporting the results of clinical trials, with the goals of assuring that the data and results are credible and accurate and that study participants’ rights, safety and well-being are protected, and any additional requirements for the protection of human research subjects and their health information to establish the safety, purity, potency and efficacy of the proposed biological product candidate for its intended use. Each clinical trial must be conducted under a protocol which details, among other things, the study objectives and parameters for monitoring safety and the efficacy criteria, if any, to be evaluated. The protocol is submitted to the FDA as part of the IND and reviewed by the agency;</w:t>
      </w:r>
    </w:p>
    <w:p>
      <w:pPr>
        <w:spacing w:after="0" w:line="78" w:lineRule="exact"/>
        <w:rPr>
          <w:rFonts w:ascii="Times New Roman" w:cs="Times New Roman" w:eastAsia="Times New Roman" w:hAnsi="Times New Roman"/>
          <w:sz w:val="18"/>
          <w:szCs w:val="18"/>
          <w:color w:val="auto"/>
        </w:rPr>
      </w:pPr>
    </w:p>
    <w:p>
      <w:pPr>
        <w:ind w:left="1140" w:right="20" w:hanging="504"/>
        <w:spacing w:after="0" w:line="281"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 BLA for marketing approval that includes substantive evidence of safety, purity, potency, and efficacy from results of nonclinical testing and clinical trials;</w:t>
      </w:r>
    </w:p>
    <w:p>
      <w:pPr>
        <w:spacing w:after="0" w:line="54" w:lineRule="exact"/>
        <w:rPr>
          <w:rFonts w:ascii="Times New Roman" w:cs="Times New Roman" w:eastAsia="Times New Roman" w:hAnsi="Times New Roman"/>
          <w:sz w:val="18"/>
          <w:szCs w:val="18"/>
          <w:color w:val="auto"/>
        </w:rPr>
      </w:pPr>
    </w:p>
    <w:p>
      <w:pPr>
        <w:jc w:val="both"/>
        <w:ind w:left="1140" w:hanging="504"/>
        <w:spacing w:after="0" w:line="265"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 potential FDA pre-licensure inspection prior to BLA approval of the manufacturing facility or facilities where the biological product candidate is produced to assess compliance with cGMP to assure that the facilities, methods and controls are adequate to preserve the biological product candidate’s identity, strength, quality and purity;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20" w:name="page21"/>
    <w:bookmarkEnd w:id="20"/>
    <w:p>
      <w:pPr>
        <w:ind w:left="1140" w:hanging="504"/>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audit of the nonclinical and clinical trial sites that generated the data in support of the BLA;</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advisory committee meeting to elicit expert input on critical issues, including a vote by external committee members; and</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or licensure, of the BLA and payment of associated user fees, when applicable.</w:t>
      </w:r>
    </w:p>
    <w:p>
      <w:pPr>
        <w:spacing w:after="0" w:line="117"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Before testing any biological product candidate in humans, the product candidate enters the preclinical testing stage. Nonclinical tests include laboratory evaluations of product chemistry, pharmacology, toxicity and formulation, as well as animal studies to assess the potential safety and activity of the product candidate. The conduct of the nonclinical tests must comply with federal regulations and requirements, including cGLP and the Animal Welfare Act, which are enforced by the Department of Agriculture.</w:t>
      </w:r>
    </w:p>
    <w:p>
      <w:pPr>
        <w:spacing w:after="0" w:line="7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clinical trial sponsor must submit the results of the nonclinical tests, together with manufacturing information, analytical data, any available clinical data or literature and a proposed clinical protocol, to the FDA as part of the IND before clinical testing may begin. Some nonclinical testing typically continues after the IND is submitted. An IND is an exemption from the FDCA that allows an unapproved product to be shipped in interstate commerce for use in an investigational clinical trial and a request for FDA authorization to administer an investigational product to humans. The IND automatically becomes effective 30 days after receipt by the FDA unless the FDA raises concerns or questions regarding the proposed clinical trial, including, for example, if the FDA questions whether subjects will be exposed to unreasonable health risks, requests certain changes to a protocol before the trial can begin, or places the clinical trial on hold within that 30-day time period. In such a case, the IND sponsor and the FDA must resolve any outstanding concerns before the clinical trial can begin. The FDA may also impose clinical holds on a biological product candidate at any time before or during clinical trials due to safety concerns or non-compliance. If the FDA imposes a clinical hold, trials may not recommence without FDA authorization and then only under terms authorized by the FDA.</w:t>
      </w:r>
    </w:p>
    <w:p>
      <w:pPr>
        <w:spacing w:after="0" w:line="8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Clinical trials may involve the administration of the biological product candidate to healthy volunteers or subjects under the supervision of qualified investigators, generally physicians not employed by or under the trial sponsor’s control. Clinical trials involving some products for certain diseases may begin with testing in patients with the disease. Clinical trials are conducted under protocols detailing, among other things, the objectives of the clinical trial, dosing procedures, subject selection and exclusion criteria, and the parameters to be used to monitor subject safety, including stopping rules that assure a clinical trial will be stopped if certain adverse events should occur. Each protocol and any amendments to the protocol must be submitted to the FDA as part of the IND. Clinical trials must be conducted and monitored in accordance with cGCP and FDA regulations, including the requirement that all research subjects or their legal representative provide informed consent. Further, each clinical trial must be reviewed and approved by an independent IRB at or servicing each institution at which the clinical trial will be conducted. IRBs are charged with protecting the welfare and rights of study participants and consider such items as whether the risks to individuals participating in clinical trials are minimized and are reasonable in relation to potential benefits, if any. The IRB also approves the form and content of the informed consent that must be signed by each clinical trial subject or his or her legal representative and must monitor the clinical trial until completed. Additionally, some trials are overseen by an independent group of qualified experts organized by the trial sponsor, known as a data safety monitoring board or committee.</w:t>
      </w:r>
    </w:p>
    <w:p>
      <w:pPr>
        <w:spacing w:after="0" w:line="7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 sponsor who wishes to conduct a clinical trial outside the U.S. may, but need not, obtain FDA authorization to conduct the clinical trial under an IND. Foreign trials conducted under an IND must meet the same requirements that apply to trials being conducted in the U.S. If a foreign clinical trial is not conducted under an IND, the sponsor may submit data from the clinical trial to the FDA in support of a BLA so long as the clinical trial is conducted in compliance with cGCP, including review and approval by an independent ethics committee and compliance with informed consent principles, the foreign data are applicable to the U.S. population and U.S. medical practice, and the FDA is able to validate the data from the study through an on-site inspection if deemed necessary.</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that may overlap or be combined:</w:t>
      </w:r>
    </w:p>
    <w:p>
      <w:pPr>
        <w:spacing w:after="0" w:line="113" w:lineRule="exact"/>
        <w:rPr>
          <w:sz w:val="20"/>
          <w:szCs w:val="20"/>
          <w:color w:val="auto"/>
        </w:rPr>
      </w:pPr>
    </w:p>
    <w:p>
      <w:pPr>
        <w:jc w:val="both"/>
        <w:ind w:left="520" w:hanging="512"/>
        <w:spacing w:after="0" w:line="268"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Phase 1</w:t>
      </w:r>
      <w:r>
        <w:rPr>
          <w:rFonts w:ascii="Times New Roman" w:cs="Times New Roman" w:eastAsia="Times New Roman" w:hAnsi="Times New Roman"/>
          <w:sz w:val="18"/>
          <w:szCs w:val="18"/>
          <w:color w:val="auto"/>
        </w:rPr>
        <w:t>. The biological product candidate is initially introduced into healthy human subjects and tested for safety. In the case of some biological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 candidates for rare diseases, the initial human testing is often conducted in the intended patient population. In addition to testing for safety, the purpose of these clinical trials is to assess the metabolism, pharmacologic action, and side effect tolerability of the biological product candidate.</w:t>
      </w:r>
    </w:p>
    <w:p>
      <w:pPr>
        <w:spacing w:after="0" w:line="61" w:lineRule="exact"/>
        <w:rPr>
          <w:rFonts w:ascii="Times New Roman" w:cs="Times New Roman" w:eastAsia="Times New Roman" w:hAnsi="Times New Roman"/>
          <w:sz w:val="18"/>
          <w:szCs w:val="18"/>
          <w:color w:val="auto"/>
        </w:rPr>
      </w:pPr>
    </w:p>
    <w:p>
      <w:pPr>
        <w:jc w:val="both"/>
        <w:ind w:left="520" w:hanging="512"/>
        <w:spacing w:after="0" w:line="268"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Phase 2</w:t>
      </w:r>
      <w:r>
        <w:rPr>
          <w:rFonts w:ascii="Times New Roman" w:cs="Times New Roman" w:eastAsia="Times New Roman" w:hAnsi="Times New Roman"/>
          <w:sz w:val="18"/>
          <w:szCs w:val="18"/>
          <w:color w:val="auto"/>
        </w:rPr>
        <w:t>. The biological product candidate is evaluated in a limited population of patients afflicted with the target disease to identify possible adverse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effects and safety risks, to preliminarily evaluate the efficacy of the biological product candidate for specific targeted diseases and to determine dosage tolerance, optimal dosage and dosing schedule.</w:t>
      </w:r>
    </w:p>
    <w:p>
      <w:pPr>
        <w:spacing w:after="0" w:line="61" w:lineRule="exact"/>
        <w:rPr>
          <w:rFonts w:ascii="Times New Roman" w:cs="Times New Roman" w:eastAsia="Times New Roman" w:hAnsi="Times New Roman"/>
          <w:sz w:val="18"/>
          <w:szCs w:val="18"/>
          <w:color w:val="auto"/>
        </w:rPr>
      </w:pPr>
    </w:p>
    <w:p>
      <w:pPr>
        <w:ind w:left="520" w:hanging="512"/>
        <w:spacing w:after="0" w:line="286"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Phase 3</w:t>
      </w:r>
      <w:r>
        <w:rPr>
          <w:rFonts w:ascii="Times New Roman" w:cs="Times New Roman" w:eastAsia="Times New Roman" w:hAnsi="Times New Roman"/>
          <w:sz w:val="18"/>
          <w:szCs w:val="18"/>
          <w:color w:val="auto"/>
        </w:rPr>
        <w:t>. The biological product candidate is further evaluated in terms of dosage, clinical efficacy, potency and safety in an expanded patient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population (typically from several hundred to several thousand subjects) often at geographically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21" w:name="page22"/>
    <w:bookmarkEnd w:id="21"/>
    <w:p>
      <w:pPr>
        <w:jc w:val="both"/>
        <w:ind w:left="520" w:right="20"/>
        <w:spacing w:after="0" w:line="265" w:lineRule="auto"/>
        <w:rPr>
          <w:sz w:val="20"/>
          <w:szCs w:val="20"/>
          <w:color w:val="auto"/>
        </w:rPr>
      </w:pPr>
      <w:r>
        <w:rPr>
          <w:rFonts w:ascii="Times New Roman" w:cs="Times New Roman" w:eastAsia="Times New Roman" w:hAnsi="Times New Roman"/>
          <w:sz w:val="18"/>
          <w:szCs w:val="18"/>
          <w:color w:val="auto"/>
        </w:rPr>
        <w:t>dispersed clinical trial sites. These clinical trials are intended to establish the overall risk-benefit ratio of the biological product candidate and provide an adequate basis for product labeling. In biologics for rare diseases where patient populations are small and there is an urgent need for treatment, Phase 3 trials might not be required if a positive risk-benefit assessment can be demonstrated from the Phase 2 trial.</w:t>
      </w:r>
    </w:p>
    <w:p>
      <w:pPr>
        <w:spacing w:after="0" w:line="69"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Post-approval clinical trials, sometimes referred to as Phase 4 clinical trials, may be conducted after initial marketing approval. These clinical trials are used to gain additional experience from the treatment of patients in the intended therapeutic indication, particularly for long-term safety follow-up. In certain instances, the FDA may mandate the performance of Phase 4 clinical trials as a condition of licensure of a BLA.</w:t>
      </w:r>
    </w:p>
    <w:p>
      <w:pPr>
        <w:spacing w:after="0" w:line="6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studies, tests in laboratory animals,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Phase 1, Phase 2 and Phase 3 clinical trials may not be completed successfully within any specified period, if at all. The FDA, the sponsor or the sponsor’s data safety monitoring board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biologic has been associated with a serious harm to patients.</w:t>
      </w:r>
    </w:p>
    <w:p>
      <w:pPr>
        <w:spacing w:after="0" w:line="8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physical characteristics of the biologic as well as finalize a process for manufacturing the product in commercial quantities in accordance with cGMP requirements. To help reduce the risk of the introduction of adventitious agents with the use of biologics, the PHS Act emphasizes the importance of manufacturing control for biological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79"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There are also various laws and regulations regarding laboratory practices, the experimental use of animals and the use and disposal of hazardous or potentially hazardous substances in connection with the research. In each of these areas, the FDA and other regulatory authorities have broad regulatory and enforcement powers, including the ability to levy fines and civil penalties, suspend or delay issuance of approvals, seize or recall products, and withdraw approvals.</w:t>
      </w:r>
    </w:p>
    <w:p>
      <w:pPr>
        <w:spacing w:after="0" w:line="74"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Information about certain clinical trials must be submitted within specific timeframes to the National Institutes of Health for public dissemination on its clinicaltrials.gov website. Sponsors or distributors of investigational products for the diagnosis, monitoring or treatment of one or more serious diseases or conditions that have reached certain development milestones must also have a publicly available policy on evaluating and responding to requests for expanded access.</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 Review and Approval Processes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After the completion of clinical trials of a biological product candidate, FDA approval of a BLA must be obtained before commercial marketing of the product. The BLA must include results of product development, laboratory and animal studies, clinical trials, information on the manufacture and composition of the product, proposed labeling and other relevant information. The product development and approval processes require substantial time and effort, and there can be no assurance that the FDA will accept the BLA for filing and, even if filed, that any approval will be granted on a timely basis, if at all.</w:t>
      </w:r>
    </w:p>
    <w:p>
      <w:pPr>
        <w:spacing w:after="0" w:line="74" w:lineRule="exact"/>
        <w:rPr>
          <w:sz w:val="20"/>
          <w:szCs w:val="20"/>
          <w:color w:val="auto"/>
        </w:rPr>
      </w:pPr>
    </w:p>
    <w:p>
      <w:pPr>
        <w:jc w:val="both"/>
        <w:ind w:firstLine="509"/>
        <w:spacing w:after="0" w:line="288" w:lineRule="auto"/>
        <w:rPr>
          <w:sz w:val="20"/>
          <w:szCs w:val="20"/>
          <w:color w:val="auto"/>
        </w:rPr>
      </w:pPr>
      <w:r>
        <w:rPr>
          <w:rFonts w:ascii="Times New Roman" w:cs="Times New Roman" w:eastAsia="Times New Roman" w:hAnsi="Times New Roman"/>
          <w:sz w:val="17"/>
          <w:szCs w:val="17"/>
          <w:color w:val="auto"/>
        </w:rPr>
        <w:t>Under the Prescription Drug User Fee Act, as amended (the “PDUFA”), each BLA may be accompanied by a significant user fee. Under federal law, the submission of most applications is subject to an application user fee. The sponsor of an approved application is also subject to an annual program fee. Fee waivers or reductions are available in certain circumstances, including a waiver of the application fee for the first application filed by a small business.</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Within 60 days following submission of the application, the FDA reviews the BLA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The resubmitted application is also subject to review before the FDA accepts it for filing. The application also needs to be published and submitted in an electronic format that can be processed through the FDA’s electronic</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22" w:name="page23"/>
    <w:bookmarkEnd w:id="22"/>
    <w:p>
      <w:pPr>
        <w:jc w:val="both"/>
        <w:spacing w:after="0" w:line="252" w:lineRule="auto"/>
        <w:rPr>
          <w:sz w:val="20"/>
          <w:szCs w:val="20"/>
          <w:color w:val="auto"/>
        </w:rPr>
      </w:pPr>
      <w:r>
        <w:rPr>
          <w:rFonts w:ascii="Times New Roman" w:cs="Times New Roman" w:eastAsia="Times New Roman" w:hAnsi="Times New Roman"/>
          <w:sz w:val="18"/>
          <w:szCs w:val="18"/>
          <w:color w:val="auto"/>
        </w:rPr>
        <w:t>systems. If the electronic submission is not compatible with the FDA’s systems, the BLA can be refused for filing. Once the submission is accepted for filing, the FDA begins an in-depth substantive review of the BLA. The FDA performance goals generally provide for action on a BLA within 10 months after the 60-day filing date, or within 12 months of the BLA submission. That deadline can be extended under certain circumstances, including by the FDA’s requests for additional information. The targeted action date can also be shortened to within six months after the 60-day filing date, or eight months after BLA submission, for product candidates that are granted priority review designation because they are intended to treat serious or life-threatening conditions and demonstrate the potential to address unmet medical needs. The FDA reviews the BLA to determine, among other things, whether the proposed product is safe, potent and effective for its intended use, has an acceptable purity profile and is being manufactured in accordance with cGMP to assure and preserve the product’s identity, safety, strength, quality, potency and purity. The FDA may refer applications for novel products or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 also will determine whether a Risk Evaluation and Mitigation Strategy (“REMS”) is necessary to mitigate certain specific safety risks of the biological product. If the FDA concludes a REMS is needed, the sponsor of the BLA must submit a proposed REMS; the FDA will not approve the BLA without a REMS, if required.</w:t>
      </w:r>
    </w:p>
    <w:p>
      <w:pPr>
        <w:spacing w:after="0" w:line="8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Before approving a BLA, the FDA may inspect the facilities at which the product candidate is manufactured. The FDA will not approve the product candidate unless it determines that the manufacturing processes and facilities are in compliance with cGMP requirements and are adequate to assure consistent production of the product within required specifications. Additionally, before approving a BLA, the FDA will typically inspect one or more clinical trial sites to assure that the clinical trials were conducted in compliance with IND study requirements and cGCP requirements. To assure cGMP and cGCP compliance, an applicant must incur a significant expenditure of time, money and effort in the areas of training, record keeping, production and quality control, among others.</w:t>
      </w:r>
    </w:p>
    <w:p>
      <w:pPr>
        <w:spacing w:after="0" w:line="7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After the FDA evaluates a BLA, it may issue an approval letter or a complete response letter. An approval letter authorizes commercial marketing of the product candidate with specific prescribing information for specific indications. A complete response letter indicates that the review cycle of the application is complete and the FDA will not approve the application in its present form. A complete response letter usually describes all of the specific deficiencies in the BLA identified by the FDA. The complete response letter may require additional clinical data and/or one or more additional pivotal Phase 3 clinical trials, and/or other significant and time-consuming requirements related to clinical trials, nonclinical studies or manufacturing. If a complete response letter is issued, the applicant may either resubmit the BLA, addressing all of the deficiencies identified in the letter, or withdraw the application. The applicant may also appeal the decision through the FDA’s formal dispute resolution process. Even if such additional data and information are submitted in a BLA resubmission, the FDA may ultimately decide that the BLA does not satisfy the criteria for approval. Data obtained from clinical trials are not always conclusive, and the FDA may interpret data differently than the sponsor interprets the same data.</w:t>
      </w:r>
    </w:p>
    <w:p>
      <w:pPr>
        <w:spacing w:after="0" w:line="7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If a product candidate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or other safety information be included in the product labeling. The FDA may impose restrictions and conditions on product distribution, prescribing or dispensing in the form of a REMS, or otherwise limit the scope of any approval. In addition, the FDA may require post-approval clinical trials, sometimes referred to as Phase 4 clinical trials, designed to further assess a biological product’s safety and effectiveness, and testing and surveillance programs to monitor the safety of approved products that have been commercialized. As a condition for approval, the FDA may also require additional trials or nonclinical testing as a Phase 4 commitment. Product approvals may be withdrawn for non-compliance with regulatory requirements if problems occur following launch, or if the FDA determines that the product is no longer safe or effective.</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Pediatric Trials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Food and Drug Administration Safety and Innovation Act, which was signed into law on July 9, 2012, amended the FDCA to require that a sponsor who is planning to submit a marketing application for a drug that includes a new active ingredient, new indication, new dosage form, new dosing regimen or new route of administration submit an initial Pediatric Study Plan (“PSP”) within 60 days of an end-of-Phase 2 meeting or as may be agreed between the sponsor and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agreement on the PSP. A sponsor can submit amendments to an agreed-upon initial PSP at any time if changes to the pediatric plan need to be considered based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23" w:name="page24"/>
    <w:bookmarkEnd w:id="23"/>
    <w:p>
      <w:pPr>
        <w:jc w:val="both"/>
        <w:spacing w:after="0" w:line="281" w:lineRule="auto"/>
        <w:rPr>
          <w:sz w:val="20"/>
          <w:szCs w:val="20"/>
          <w:color w:val="auto"/>
        </w:rPr>
      </w:pPr>
      <w:r>
        <w:rPr>
          <w:rFonts w:ascii="Times New Roman" w:cs="Times New Roman" w:eastAsia="Times New Roman" w:hAnsi="Times New Roman"/>
          <w:sz w:val="18"/>
          <w:szCs w:val="18"/>
          <w:color w:val="auto"/>
        </w:rPr>
        <w:t>on data collected from nonclinical studies, early phase clinical trials, and/or other clinical development programs. The FDA, if it learns of new information, may also request that the sponsor amend the initial PSP.</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Emergency Use Authorization in the U.S.</w:t>
      </w:r>
    </w:p>
    <w:p>
      <w:pPr>
        <w:spacing w:after="0" w:line="121"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In emergency situations, such as a pandemic, and with a declaration of a public health emergency by the Secretary of HHS, the FDA has the authority to issue an EUA for a medical product to allow unapproved medical products or unapproved uses of cleared or approved medical products to be used to diagnose, treat or prevent serious or life-threatening diseases or conditions caused by chemical, biological, radiological or nuclear warfare threat agents when there are no adequate, approved and available alternatives.</w:t>
      </w:r>
    </w:p>
    <w:p>
      <w:pPr>
        <w:spacing w:after="0" w:line="74"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Under this authority, the FDA may issue an EUA for a medical product if the following four statutory criteria have been met: (1) a serious or life-threatening condition exists; (2) evidence that the medical product “may be effective” to prevent, diagnose, or treat the relevant disease or condition exists;</w:t>
      </w:r>
    </w:p>
    <w:p>
      <w:pPr>
        <w:spacing w:after="0" w:line="1" w:lineRule="exact"/>
        <w:rPr>
          <w:sz w:val="20"/>
          <w:szCs w:val="20"/>
          <w:color w:val="auto"/>
        </w:rPr>
      </w:pPr>
    </w:p>
    <w:p>
      <w:pPr>
        <w:jc w:val="both"/>
        <w:ind w:firstLine="8"/>
        <w:spacing w:after="0" w:line="251" w:lineRule="auto"/>
        <w:tabs>
          <w:tab w:leader="none" w:pos="26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risk-benefit analysis shows that the known and potential benefits of the product outweigh the known and potential risks; and (4) no other adequate, approved, and available alternatives exist for diagnosing, preventing or treating the disease or condition. The “may be effective” standard for EUAs requires a lower level of evidence than the “effectiveness” standard that FDA uses for product clearances or approvals in non-emergency situations. The FDA assesses the potential effectiveness of a possible EUA product on a case-by-case basis using a risk-benefit analysis. In determining whether the known and potential benefits of the product outweigh the known and potential risks, the FDA examines the totality of the scientific evidence to make an overall risk-benefit determination. Such evidence, which could arise from a variety of sources, may include (but is not limited to) results of domestic and foreign clinical trials, in vivo efficacy data from animal models, in vitro data, as well as the quality and quantity of the available evidence. Although the criteria of an EUA differ from the criteria for approval of a BLA, EUAs nevertheless require the development and submission of data to satisfy the relevant FDA standards, and EUA holders must comply with a number of ongoing compliance obligations.</w:t>
      </w:r>
    </w:p>
    <w:p>
      <w:pPr>
        <w:spacing w:after="0" w:line="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FDA expects EUA holders to work toward submission of full applications, such as a BLA or a New Drug Application, as soon as possible. An EUA is also subject to additional conditions and restrictions that may be product-specific. Once granted, an EUA will remain in effect and generally terminate on the earlier of (1) the determination by the Secretary of HHS that the public health emergency has ceased or (2) a change in the approval status of the product such that the authorized use(s) of the product are no longer unapproved. After the EUA is no longer valid, the product is no longer considered to be legally marketed and one of the FDA’s non-emergency premarket pathways would be necessary to resume or continue distribution of the subject product.</w:t>
      </w:r>
    </w:p>
    <w:p>
      <w:pPr>
        <w:spacing w:after="0" w:line="78"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The FDA also may revise or revoke an EUA if the circumstances justifying its issuance no longer exist, the criteria for its issuance are no longer met, or other circumstances make a revision or revocation appropriate to protect the public health or safety.</w:t>
      </w:r>
    </w:p>
    <w:p>
      <w:pPr>
        <w:spacing w:after="0" w:line="5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Under Section 564 of the FDCA, the FDA Commissioner has the authority to authorize the emergency use of an unapproved medical product or an unapproved use of an approved medical product for certain emergency circumstances after the Secretary of HHS has made a declaration of an emergency or threat justifying authorization of emergency use. On January 31, 2020, the Secretary of HHS issued a declaration of a public health emergency related to COVID-19 under Section 319 of the PHS Act. On February 4, 2020, the Secretary of HHS determined pursuant to his authority under Section 564 of the FDCA that COVID-19 represented a public health emergency with significant potential to affect national security or the health and security of U.S. citizens living abroad. Following this determination, on March 27, 2020, the Secretary of HHS declared that circumstances exist justifying the authorization of emergency use of drugs and biological products during the COVID-19 pandemic, subject to the terms of any authorization issued by the FDA.</w:t>
      </w:r>
    </w:p>
    <w:p>
      <w:pPr>
        <w:spacing w:after="0" w:line="7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Although the Biden Administration allowed the COVID-19 public health emergency declared by HHS under Section 319 of the PHS Act to expire on May 11, 2023, this did not impact the FDA’s ability to authorize COVID-19 drugs and biological products for emergency use. The FDA may continue to issue new EUAs going forward when criteria for issuance are met. Such ability arises from the determinations and declarations issued pursuant to Section 564 of the FDCA, including the EUA declaration on March 27, 2020, which remains in effect unless or until the Secretary of HHS terminates such declaration. If an EUA declaration is terminated, the EUAs based on such declaration would cease to be in effect and the FDA may no longer issue EUAs for products covered by such declaration.</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Post-Authorization or Post-Approval Requirements</w:t>
      </w:r>
    </w:p>
    <w:p>
      <w:pPr>
        <w:spacing w:after="0" w:line="121"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Maintaining compliance with applicable federal, state and local statutes and regulations requires the expenditure of substantial time and financial resources. Rigorous and extensive FDA regulation of biological products continues after authorization or approval, particularly with respect to cGMP. If ongoing regulatory requirements are not met, safety problems occur after a product reaches market, or additional data change the FDA’s view of the risk-benefit profile of the product, the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24" w:name="page25"/>
    <w:bookmarkEnd w:id="24"/>
    <w:p>
      <w:pPr>
        <w:jc w:val="both"/>
        <w:spacing w:after="0" w:line="260" w:lineRule="auto"/>
        <w:rPr>
          <w:sz w:val="20"/>
          <w:szCs w:val="20"/>
          <w:color w:val="auto"/>
        </w:rPr>
      </w:pPr>
      <w:r>
        <w:rPr>
          <w:rFonts w:ascii="Times New Roman" w:cs="Times New Roman" w:eastAsia="Times New Roman" w:hAnsi="Times New Roman"/>
          <w:sz w:val="18"/>
          <w:szCs w:val="18"/>
          <w:color w:val="auto"/>
        </w:rPr>
        <w:t>FDA may take actions to change the conditions under which the product is marketed, such as requiring labeling modifications, restricting distribution, or even withdrawing authorization or approval. We rely, and expect to continue to rely, on third parties for the production of clinical and commercial quantities of any products that we may commercialize. Manufacturers of our product candidates are required to comply with applicable requirements in the cGMP regulations, including quality control and quality assurance and maintenance of records and documentation.</w:t>
      </w:r>
    </w:p>
    <w:p>
      <w:pPr>
        <w:spacing w:after="0" w:line="7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Good Manufacturing Practices. </w:t>
      </w:r>
      <w:r>
        <w:rPr>
          <w:rFonts w:ascii="Times New Roman" w:cs="Times New Roman" w:eastAsia="Times New Roman" w:hAnsi="Times New Roman"/>
          <w:sz w:val="18"/>
          <w:szCs w:val="18"/>
          <w:color w:val="auto"/>
        </w:rPr>
        <w:t>Companies engaged in manufacturing drug and biological products or their components must comply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cGMP requirements, which include requirements regarding organization and training of personnel, facility registration, building and facilities, equipment, control of components and drug product containers, closures, production and process controls, packaging and labeling controls, holding and distribution, laboratory controls and records and reports. The FDA often inspects equipment, facilities and manufacturing processes before authorization or approval and conducts periodic re-inspections after authorization or approval. If, after receiving authorization or approval, a company makes a material change in manufacturing equipment, location, or process (all of which are, to some degree, incorporated in the EUA or BLA), additional regulatory review and approval may be required. Failure to comply with applicable cGMP requirements or the conditions of the product’s authorization or approval may lead the FDA to take enforcement actions, such as issuing a warning letter, or to seek sanctions, including fines, civil penalties, injunctions, suspension of manufacturing operations, imposition of operating restrictions, withdrawal of FDA authorization or approval, seizure or recall of products, and criminal prosecution. Although we periodically monitor FDA compliance of the third parties on which we rely for manufacturing our product candidates, we cannot be certain that our present or future third-party manufacturers will consistently comply with cGMP or other applicable FDA regulatory requirements.</w:t>
      </w:r>
    </w:p>
    <w:p>
      <w:pPr>
        <w:spacing w:after="0" w:line="8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After a BLA is approved or an EUA is issued,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such as viral vaccines, before releasing the lots for distribution by the manufacturer. In addition, the FDA may conduct laboratory research related to the regulatory standards on the safety, purity, potency, and effectiveness of biological products. Systems need to be put in place to record and evaluate adverse events reported by healthcare providers and patients and to assess product complaints. An increase in severity or new adverse events can result in labeling changes or product recalls. Defects in manufacturing of commercial products can result in product recalls.</w:t>
      </w:r>
    </w:p>
    <w:p>
      <w:pPr>
        <w:spacing w:after="0" w:line="7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We also must comply with the FDA’s advertising and promotion requirements, such as those related to direct-to-patient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advertising, promotion to healthcare practitioners and payors, the prohibition on promoting products for uses or patient populations that are not described in the product’s approved labeling (known as “off-label use”), industry-sponsored scientific and educational activities, and promotional activities involving the internet. In addition to FDA restrictions on marketing of pharmaceutical products, state and federal fraud and abuse laws have been applied to restrict certain marketing practices in the pharmaceutical industry. Discovery of previously unknown problems or the failure to comply with applicable regulatory requirements, including the FDA, the Department of Justice, the Office of the Inspector General of HHS, and/or state authorities may result in restrictions on the marketing of a product or withdrawal of the product from the market, as well as possible civil or criminal sanctions. Failure to comply with applicable U.S. requirements at any time during the product development process, authorization or approval process or after authorization or approval may subject an applicant or manufacturer to administrative or judicial civil or criminal sanctions and adverse publicity. FDA sanctions could include refusal to authorize or approve pending applications, withdrawal of an authorization or approval or license revocation, clinical hold,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 Any agency or judicial enforcement action could have a material adverse effect on our business and operations.</w:t>
      </w:r>
    </w:p>
    <w:p>
      <w:pPr>
        <w:spacing w:after="0" w:line="87" w:lineRule="exact"/>
        <w:rPr>
          <w:sz w:val="20"/>
          <w:szCs w:val="20"/>
          <w:color w:val="auto"/>
        </w:rPr>
      </w:pPr>
    </w:p>
    <w:p>
      <w:pPr>
        <w:jc w:val="both"/>
        <w:ind w:firstLine="509"/>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Other Requirements. </w:t>
      </w:r>
      <w:r>
        <w:rPr>
          <w:rFonts w:ascii="Times New Roman" w:cs="Times New Roman" w:eastAsia="Times New Roman" w:hAnsi="Times New Roman"/>
          <w:sz w:val="18"/>
          <w:szCs w:val="18"/>
          <w:color w:val="auto"/>
        </w:rPr>
        <w:t>Companies that manufacture or distribute drug products pursuant to EUAs or approved BLAs must meet numerous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regulatory requirements, including adverse event reporting, submission of periodic reports, and record-keeping obligations.</w:t>
      </w:r>
    </w:p>
    <w:p>
      <w:pPr>
        <w:spacing w:after="0" w:line="5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are also subject to federal, state and foreign laws and regulations governing data privacy and security of health information, and the collection, use and disclosure, and protection of health-related and other personal information. The legislative and regulatory landscape for privacy and data protection continues to evolve, and there has been an increasing focus on privacy and data protection issues that may affect our business, including recently enacted laws in all jurisdictions where we operate. Numerous federal and state laws, including state security breach notification laws, state health information privacy laws, and federal and state consumer protection and privacy laws, (including, for example, Section 5 of the Federal Trade Commission Act of 1914 (“FTC Act”), and the California Consumer Privacy Act (“CCPA”), as amended by the California Privacy Rights Act (“CPRA”)) govern the collection, use and disclosure of personal information. These laws may differ from</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25" w:name="page26"/>
    <w:bookmarkEnd w:id="25"/>
    <w:p>
      <w:pPr>
        <w:jc w:val="both"/>
        <w:spacing w:after="0" w:line="258" w:lineRule="auto"/>
        <w:rPr>
          <w:sz w:val="20"/>
          <w:szCs w:val="20"/>
          <w:color w:val="auto"/>
        </w:rPr>
      </w:pPr>
      <w:r>
        <w:rPr>
          <w:rFonts w:ascii="Times New Roman" w:cs="Times New Roman" w:eastAsia="Times New Roman" w:hAnsi="Times New Roman"/>
          <w:sz w:val="18"/>
          <w:szCs w:val="18"/>
          <w:color w:val="auto"/>
        </w:rPr>
        <w:t>each other in significant ways, thus complicating compliance efforts. Federal regulators, state attorneys general, and plaintiffs’ attorneys have been and will likely continue to be active in this space. Activities outside of the U.S. implicate local and national data protection standards, impose additional compliance requirements and generate additional risks of enforcement for non-compliance. The European Union’s General Data Protection Regulation, including as implemented in the United Kingdom (collectively, “GDPR”) and other data protection, privacy and similar national, state/provincial and local laws may restrict the access, use and disclosure of patient health information abroad. Compliance efforts will likely be an increasing and substantial cost in the future.</w:t>
      </w:r>
    </w:p>
    <w:p>
      <w:pPr>
        <w:spacing w:after="0" w:line="7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Failure to comply with such laws and regulations could result in government enforcement actions and create liability for us (including the imposition of significant penalties), private litigation and/or adverse publicity that could negatively affect our business. In addition, we may obtain health information from third parties, including research institutions from which we obtain clinical trial data, that are subject to privacy and security requirements under the federal Health Insurance Portability and Accountability Act (“HIPAA”), as amended by the Health Information Technology for Economic and Clinical Health Act, and the regulations promulgated thereunder. HIPAA imposes privacy and security obligations on covered entity health care providers, health plans, and health care clearinghouses, as well as their “business associates” – certain persons or entities that create, receive, maintain, or transmit protected health information in connection with providing a specified service or performing a function for or on behalf of a covered entity. Depending on the facts and circumstances, we could be subject to significant penalties if we, our affiliates, or our agents knowingly receive individually identifiable health information maintained by a HIPAA-covered entity in a manner that is not authorized or permitted by HIPAA.</w:t>
      </w:r>
    </w:p>
    <w:p>
      <w:pPr>
        <w:spacing w:after="0" w:line="7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Also at the federal level, the Federal Trade Commission (“FTC”), sets expectations for failing to take appropriate steps to keep consumers’ personal information secure, or failing to provide a level of security commensurate to promises made to individuals about the security of their personal information (such as in a privacy notice) may constitute unfair or deceptive acts or practices in violation of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With respect to privacy, the FTC also sets expectations for failing to honor the privacy promises made to individuals about how the company handles consumers’ personal information; such failure may also constitute unfair or deceptive acts or practices in violation of the FTC Act. Enforcement by the FTC under the FTC Act can result in civil penalties or enforcement actions.</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Expedited Review and Approval Programs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FDA has various programs, including fast track designation, priority review, accelerated approval and breakthrough therapy designation, that are intended to expedite the process for the development and FDA review of certain biological product candidates that are intended for the treatment of serious or life-threatening diseases or conditions and demonstrate the potential to address unmet medical needs. To be eligible for a fast-track designation, the FDA must determine, based on the request of a sponsor, that a biological product is intended to treat a serious or life-threatening disease or condition and demonstrates the potential to address an unmet medical need. The FDA will determine that a product will fill an unmet medical need if it will provide a therapy where none exists or provide a therapy that may be potentially superior to existing therapy based on efficacy or safety factors. In addition to other benefits, such as the ability to have more frequent interactions with the FDA, the FDA may initiate review of sections of a fast track BLA before the application is complete, a process known as rolling review.</w:t>
      </w:r>
    </w:p>
    <w:p>
      <w:pPr>
        <w:spacing w:after="0" w:line="81"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The FDA may give a priority review designation, such as a rare pediatric disease designation, to biological products that treat a serious condition and, if approved, would provide a significant improvement in safety or effectiveness. A priority review means that the goal for the FDA’s review of an application is six months from the 60-day filing date rather than the standard goal of 10 months from the 60-day filing date under current PDUFA guidelines. Most products that are eligible for fast track designation may also be considered appropriate to receive a priority review.</w:t>
      </w:r>
    </w:p>
    <w:p>
      <w:pPr>
        <w:spacing w:after="0" w:line="7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biological products studied for their safety and effectiveness in treating serious or life-threatening illnesses and that provide meaningful therapeutic benefit over existing treatments may receive accelerated approval and may be approved on the basis of adequate and well-controlled clinical trials establishing that the biological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may require a sponsor of a biological product receiving accelerated approval to perform post-approval studies to verify and describe the predicted effect on irreversible morbidity or mortality or other clinical endpoints, and the biological product may be subject to accelerated withdrawal procedures.</w:t>
      </w:r>
    </w:p>
    <w:p>
      <w:pPr>
        <w:spacing w:after="0" w:line="81"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Moreover, under the Food and Drug Administration Safety and Innovation Act enacted in 2012, a sponsor can request designation of a product candidate as a “breakthrough therapy.” A breakthrough therapy is defined as a drug or biological product that is intended, alone or in combination with one or more other drugs or biologics, to treat a serious or life-threatening</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26" w:name="page27"/>
    <w:bookmarkEnd w:id="26"/>
    <w:p>
      <w:pPr>
        <w:jc w:val="both"/>
        <w:spacing w:after="0" w:line="260" w:lineRule="auto"/>
        <w:rPr>
          <w:sz w:val="20"/>
          <w:szCs w:val="20"/>
          <w:color w:val="auto"/>
        </w:rPr>
      </w:pPr>
      <w:r>
        <w:rPr>
          <w:rFonts w:ascii="Times New Roman" w:cs="Times New Roman" w:eastAsia="Times New Roman" w:hAnsi="Times New Roman"/>
          <w:sz w:val="18"/>
          <w:szCs w:val="18"/>
          <w:color w:val="auto"/>
        </w:rPr>
        <w:t>disease or condition and preliminary clinical evidence indicates that the drug or biological product may demonstrate substantial improvement over existing therapies on one or more clinically significant endpoints, such as substantial treatment effects observed early in clinical development. Drug and biological products designated as breakthrough therapies are also eligible for accelerated approval. The FDA must take certain actions, such as holding timely meetings and providing advice, intended to expedite the development and review of an application for approval of a breakthrough therapy.</w:t>
      </w:r>
    </w:p>
    <w:p>
      <w:pPr>
        <w:spacing w:after="0" w:line="74"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Even if a product qualifies for one or more of these programs, the FDA may later decide that the product no longer meets the conditions for qualification or decides that the time period for FDA review or approval will not be shortened. Furthermore, fast track designation, priority review, accelerated approval and breakthrough therapy designation do not change the standards for approval and may not ultimately expedite the development or approval process.</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Biologics Price Competition and Innovation Act</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 xml:space="preserve">The Biologics Price Competition and Innovation Act of 2009 (“BPCIA”), which was enacted as part of the Patient Protection and Affordable Care Act of 2010, as amended by the Health Care and Education Reconciliation Act of 2010 (the “ACA”), created an abbreviated approval pathway for biological products that are demonstrated to be “biosimilar” or “interchangeable” with an FDA-licensed reference biological product via an approved BLA. Biosimilarity to an approved reference product requires that there be no differences in conditions of use, route of administration, dosage form and strength and no clinically meaningful differences between the biological product and the reference product in terms of safety, purity and potency. Biosimilarity is demonstrated in steps beginning with rigorous analytical studies or “fingerprinting,”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studies,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animal studies and generally at least one clinical trial, absent a waiver from the Secretary of the HHS. The biosimilarity exercise tests the hypothesis that the investigational product and the reference product are the same. If at any point in the stepwise biosimilarity process a significant difference is observed, then the products are not biosimilar, and the development of a standalone BLA is necessary. In order to meet the higher hurdle of interchangeability, a sponsor must demonstrate that the biosimilar product can be expected to produce the same clinical result as the reference product, and for a product that is administered more than once, that the risk of switching between the reference product and biosimilar product is not greater than the risk of maintaining the patient on the reference product. Complexities associated with the larger, and often more complex, structures of biological products, as well as the process by which such products are manufactured, pose significant hurdles to implementation that are still being evaluated by the FDA. Under the BPCIA, a reference biologic is granted 12 years of exclusivity from the time of first licensure of the reference product.</w:t>
      </w:r>
    </w:p>
    <w:p>
      <w:pPr>
        <w:spacing w:after="0" w:line="2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 Patent Term Restoration</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FDA approval of product candidates, some of a sponsor’s U.S. patents may be eligible for limited patent term extension under the Drug Price Competition and Patent Term Restoration Act of 1984 (the “Hatch-Waxman Amendments”). The Hatch-Waxman Amendments permit a patent restoration term of up to five years as compensation for patent term lost during the product development and FDA regulatory review process. However, patent term restoration cannot extend the remaining term of a patent beyond a total of 14 years from the product’s approval date. The patent term restoration period generally is one-half the time between the effective date of an IND and the submission date of a BLA less any time the sponsor did not act with due diligence during the period, plus the time between the submission date of a BLA and the approval of that application less any time the sponsor did not act with due diligence during the period. Only one patent applicable to an approved biological product is eligible for the extension, only those claims covering the approved drug, a method for using it or a method for manufacturing it may be extended and the application for the extension must be submitted prior to the expiration of the patent. Moreover, a given patent may only be extended once based on a single product. The USPTO, in consultation with the FDA, reviews and approves the application for any patent term extension or restoration.</w:t>
      </w:r>
    </w:p>
    <w:p>
      <w:pPr>
        <w:spacing w:after="0" w:line="2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Regulation Outside of the U.S.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regulations in the U.S., we may be subject to a variety of regulations in other jurisdictions governing, among other things, clinical trials and any commercial sales and distribution of our product candidates. Because biologically sourced raw materials are subject to unique contamination risks, their use may be restricted in some countries. Whether or not we obtain FDA authorization or approval for a product, we must obtain the requisite approvals from regulatory authorities in foreign countries prior to the commencement of clinical trials or marketing of the product in those countries. Certain countries outside of the U.S. have a similar process that requires the submission of a clinical trial application much like the IND prior to the commencement of human clinical trials.</w:t>
      </w:r>
    </w:p>
    <w:p>
      <w:pPr>
        <w:spacing w:after="0" w:line="78"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In the European Union, for example, the Clinical Trials Regulation (Regulation (EU) No 536/2014) (the “Current CTR”) came into effect on January 31, 2022, and is directly applicable in all the European Union Member States, repealing the previous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27" w:name="page28"/>
    <w:bookmarkEnd w:id="27"/>
    <w:p>
      <w:pPr>
        <w:jc w:val="both"/>
        <w:spacing w:after="0" w:line="253" w:lineRule="auto"/>
        <w:rPr>
          <w:sz w:val="20"/>
          <w:szCs w:val="20"/>
          <w:color w:val="auto"/>
        </w:rPr>
      </w:pPr>
      <w:r>
        <w:rPr>
          <w:rFonts w:ascii="Times New Roman" w:cs="Times New Roman" w:eastAsia="Times New Roman" w:hAnsi="Times New Roman"/>
          <w:sz w:val="18"/>
          <w:szCs w:val="18"/>
          <w:color w:val="auto"/>
        </w:rPr>
        <w:t>Clinical Trials Directive (Directive 2001/20/EC) (the “Previous CTD”) which previously regulated clinical trials in the European Union. Prior to the Current CTR, clinical trial sponsors had to submit clinical trial applications (“CTAs”) to each country’s national health authority and independent ethics committees, much like the FDA and the IRB, respectively. The Current CTR enables sponsors to submit one application via an online platform known as the Clinical Trials Information System (“CTIS”) for authorization to run a clinical trial in several European countries. The evaluation and authorization of clinical trials, however, remains a responsibility of each country. The use of the CTIS is mandatory for CTAs submitted on or after January 31, 2023. Clinical trials authorized under the Previous CTD before January 31, 2023, can continue without any discontinuation or hold requirements. However, beginning on January 31, 2025, such clinical trials will need to be transitioned to the Current CTR framework, including the requirement to record information on the trials in the CTIS. An application to transition ongoing trials from the Previous CTD to the Current CTR must be submitted and authorized in time before the end of the transitional period. The Current CTR harmonizes the assessment and supervision processes for clinical trials throughout the CTIS, which contains a centralized European Union portal and database. The main characteristics of the Current CTR include: (i) a streamlined application procedure through a single-entry point; (ii) a single set of documents to be prepared and submitted for an application as well as simplified reporting procedures for clinical trial sponsors; and (iii) a harmonized procedure for the assessment of applications for clinical trials.</w:t>
      </w:r>
    </w:p>
    <w:p>
      <w:pPr>
        <w:spacing w:after="0" w:line="78"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Once a CTA is approved in accordance with the applicable requirements, clinical trial development may proceed. The requirements and processes governing the conduct of clinical trials are overall harmonized at the European Union level. In all cases, the clinical studies are conducted in accordance with cGCP, applicable regulatory requirements and applicable ethical principles.</w:t>
      </w:r>
    </w:p>
    <w:p>
      <w:pPr>
        <w:spacing w:after="0" w:line="6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To obtain regulatory approval of an investigational biological product under European Union regulatory systems, we must submit a Marketing Authorization Application (“MAA”). The application used to file the BLA in the U.S. is similar to that required in the European Union, with the exception of, among other things, country-specific document requirements. In the European Union, marketing authorization for a medicinal product can be obtained through a centralized procedure, mutual recognition procedure, decentralized procedure, or the national procedure of an individual European Union Member State. A marketing authorization, irrespective of its route to authorization, may be granted only to an applicant established in the European Union.</w:t>
      </w:r>
    </w:p>
    <w:p>
      <w:pPr>
        <w:spacing w:after="0" w:line="7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centralized procedure provides for the grant of a single marketing authorization by the European Commission that is valid for all 27 European Union Member States and three of the four European Free Trade Association States (Iceland, Liechtenstein and Norway). Under the centralized procedure, the Committee for Medicinal Products for Human Use (the “CHMP”) established at the EMA is responsible for conducting the initial assessment of a product. The maximum timeframe for the evaluation of an MAA is 210 days. This period excludes clock stops during which additional information or written or oral explanation is to be provided by the applicant in response to questions posed by the CHMP. Accelerated evaluation might be granted by the CHMP in exceptional cases, such as when a medicinal product is expected to be of a major public health interest. A major public health interest defined by three cumulative criteria: (i) the seriousness of the disease (for example, heavy disabling or life-threatening diseases) to be treated; (ii) the absence or insufficiency of an appropriate alternative therapeutic approach; and (iii) the anticipation of high therapeutic benefit. If the CHMP accepts to review a medicinal product as a major public health interest, the time limit of 210 days will be reduced to 150 days. It is, however, possible that the CHMP can revert to the standard time limit for the centralized procedure if it considers that it is no longer appropriate to conduct an accelerated assessment.</w:t>
      </w:r>
    </w:p>
    <w:p>
      <w:pPr>
        <w:spacing w:after="0" w:line="8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Irrespective of the related procedure, at the completion of the review period the CHMP will provide a scientific opinion concerning whether or not a marketing authorization should be granted in relation to a medicinal product. This opinion is based on a review of the quality, safety, and efficacy of the product. Within 15 days of the adoption, the EMA will forward its opinion to the European Commission for its decision. Following the opinion of the EMA, the European Commission makes a final decision to grant a centralized marketing authorization. The centralized procedure is mandatory for certain types of medicinal products, including orphan medicinal products, medicinal products derived from certain biotechnological processes, advanced therapy medicinal products and medicinal products containing a new active substance for the treatment of certain diseases. This route is optional for certain other products, including medicinal products that are of significant therapeutic, scientific or technical innovation, or whose authorization would be in the interest of public or animal health at European Union level.</w:t>
      </w:r>
    </w:p>
    <w:p>
      <w:pPr>
        <w:spacing w:after="0" w:line="8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Unlike the centralized authorization procedure, the decentralized marketing authorization procedure requires a separate application to, and leads to separate approval by, the authorities of each European Union Member State in which the product is to be marketed. This application process is identical to the application that would be submitted to the EMA for authorization through the centralized procedure and must be completed within 210 days, excluding potential clock-stops, during which the applicant can respond to questions. The relevant European Union Member State prepares a draft assessment and drafts of the related materials. The relevant European Union Member States must decide whether to approve the assessment report and related materials. If a European Union Member State cannot approve the assessment report and related materials due to concerns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28" w:name="page29"/>
    <w:bookmarkEnd w:id="28"/>
    <w:p>
      <w:pPr>
        <w:jc w:val="both"/>
        <w:spacing w:after="0" w:line="281" w:lineRule="auto"/>
        <w:rPr>
          <w:sz w:val="20"/>
          <w:szCs w:val="20"/>
          <w:color w:val="auto"/>
        </w:rPr>
      </w:pPr>
      <w:r>
        <w:rPr>
          <w:rFonts w:ascii="Times New Roman" w:cs="Times New Roman" w:eastAsia="Times New Roman" w:hAnsi="Times New Roman"/>
          <w:sz w:val="18"/>
          <w:szCs w:val="18"/>
          <w:color w:val="auto"/>
        </w:rPr>
        <w:t>relating to a potential serious risk to public health, disputed elements may be referred to the European Commission, whose decision is binding on all European Union Member States.</w:t>
      </w:r>
    </w:p>
    <w:p>
      <w:pPr>
        <w:spacing w:after="0" w:line="55"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The mutual recognition procedure is similarly based on the acceptance by the relevant authorities of the European Union Member States of the marketing authorization of a medicinal product by the relevant authorities of other European Union Member States. The holder of a national marketing authorization may submit an application to the authority of a European Union Member State requesting that this authority recognize the marketing authorization delivered by the authority of another European Union Member State.</w:t>
      </w:r>
    </w:p>
    <w:p>
      <w:pPr>
        <w:spacing w:after="0" w:line="7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Innovative products that target an unmet medical need may be eligible for a number of expedited development and review programs in the European Union, such as The Priority Medicines scheme, which provides incentives similar to the breakthrough therapy designation in the U.S. Such products are generally eligible for accelerated assessment and may also benefit from different types of fast-track approvals, such as a conditional marketing authorization or a marketing authorization under exceptional circumstances granted on the basis of less comprehensive clinical data than normally required (respectively in the likelihood that the sponsor will provide such data within an agreed timeframe or when comprehensive data cannot be obtained even after authorization).</w:t>
      </w:r>
    </w:p>
    <w:p>
      <w:pPr>
        <w:spacing w:after="0" w:line="7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European Union also provides opportunities for market exclusivity. For example, in the European Union, upon receiving marketing authorization, new active substances generally receive eight years of data exclusivity and an additional two years of market exclusivity. If granted, data exclusivity prevents regulatory authorities in the European Union from referencing the innovator’s data to assess a generic or biosimilar application. During the additional two-year period of market exclusivity, a generic or biosimilar marketing authorization can be submitted, and the innovator’s data may be referenced, but no generic or biosimilar product can be marketed until the expiration of the market exclusivity. The overall ten-year period will be extended to a maximum of 11 years if, during the first eight years of those 10 years, the marketing authorization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European Union’s regulatory authorities to be a new active substance, and products may not qualify for data exclusivity.</w:t>
      </w:r>
    </w:p>
    <w:p>
      <w:pPr>
        <w:spacing w:after="0" w:line="7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 Pediatric Investigation Plan (“PIP”) in the European Union is aimed at ensuring that the necessary data are obtained to support the authorization of a medicine for children, through studies in children. All applications for marketing authorization for new medicines have to include the results of studies as described in an agreed PIP, unless the medicine is exempt because of a deferral or waiver. This requirement also applies when a marketing-authorization holder wants to add a new indication, pharmaceutical form or route of administration for a medicine that is already authorized and covered by intellectual property rights. For treatments and vaccines for COVID-19, the EMA reviews applications in an expedited manner for agreement of a PIP, deferrals or waivers and accelerates compliance checks, to speed up these products’ development and approval. Several rewards and incentives for the development of pediatric medicines for children are available in the European Union. Medicines authorized with the results of studies from a PIP included in the product information are eligible for an extension of their supplementary protection certificate by six months, even when the results of the studies are negative. Scientific advice and protocol assistance at the EMA are free of charge for questions relating to the development of pediatric medicines. Medicines developed specifically for children that are already authorized but are not protected by a patent or supplementary protection certificate are eligible for a pediatric-use marketing authorization, which if granted, provides 10 years of market protection.</w:t>
      </w:r>
    </w:p>
    <w:p>
      <w:pPr>
        <w:spacing w:after="0" w:line="8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Medicines and Healthcare products Regulatory Agency (“MHRA”) is responsible for regulating the United Kingdom medicinal products market (Great Britain and Northern Ireland). The United Kingdom left the European Union on January 31, 2020, following which existing European Union medicinal product legislation continued to apply in the United Kingdom during the transition period under the terms of the EU-UK Withdrawal Agreement. A transition period, which ended on December 31, 2020, maintained the United Kingdom’s access to the European Union single market and to the global trade deals negotiated by the European Union on behalf of its members. The transition period provided time for the United Kingdom and European Union to negotiate a framework for partnership for the future, which was crystallized in the Trade and Cooperation Agreement (“TCA”) that became effective on January 1, 2021.</w:t>
      </w:r>
    </w:p>
    <w:p>
      <w:pPr>
        <w:spacing w:after="0" w:line="7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Among the changes that have had a direct impact are that Great Britain (England, Scotland and Wales) is now treated as a “third country,” a country that is not a member of the European Union and whose citizens do not enjoy the European Union right to free movement. As a result of the Northern Ireland Protocol, different rules apply in Northern Ireland than in Great Britain. In general, Northern Ireland continues to follow the European Union regulatory regime, but its national medicines and medical devices authority remains the MHRA. Following the effectiveness of the Human Medicines (Amendment etc.) (EU Exit) Regulations 2019 on January 31, 2020, the United Kingdom regulatory regime for clinical trials, marketing authorizations, importing, exporting and pharmacovigilance largely mirrors that of the European Union. As part of the TCA, the European Union and the United Kingdom will recognize cGMP inspections carried out by the other party and the acceptance of official cGMP documents issued by the other party. The TCA also encourages, although it does not oblige, the parties to consult one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29" w:name="page30"/>
    <w:bookmarkEnd w:id="29"/>
    <w:p>
      <w:pPr>
        <w:jc w:val="both"/>
        <w:spacing w:after="0" w:line="252" w:lineRule="auto"/>
        <w:rPr>
          <w:sz w:val="20"/>
          <w:szCs w:val="20"/>
          <w:color w:val="auto"/>
        </w:rPr>
      </w:pPr>
      <w:r>
        <w:rPr>
          <w:rFonts w:ascii="Times New Roman" w:cs="Times New Roman" w:eastAsia="Times New Roman" w:hAnsi="Times New Roman"/>
          <w:sz w:val="18"/>
          <w:szCs w:val="18"/>
          <w:color w:val="auto"/>
        </w:rPr>
        <w:t>another on proposals to introduce significant changes to technical regulations or inspection procedures. Among the areas of absence of mutual recognition are batch testing and batch release. The United Kingdom has unilaterally agreed to accept European Union batch testing and batch release, and any change to this position is subject to a minimum two-year notice period. However, the European Union continues to apply European Union laws that require batch testing and batch release to take place in the European Union territory. This means that medicinal products that are tested and released in the United Kingdom must be retested and re-released when entering the European Union market for commercial use. As it relates to marketing authorizations, Great Britain has introduced a separate regulatory submission process, approval process and a separate national marketing authorization. However, as of January 1, 2024, Great Britain implemented the international recognition procedure (the “IRP”) which provides for an expedited authorization procedure for applicants that have already received an authorization for the same product from one of MHRA’s specified reference regulators (each, an “RR”). A positive opinion from the CHMP is considered for this purpose as an “RR” authorization”. The IRP allows the MHRA to take into account the expertise and decision-making of trusted regulatory partners, including the EMA. The MHRA will conduct a targeted assessment of IRP applications but retains the authority to reject applications. Northern Ireland continues to be covered by the marketing authorizations granted by the European Commission. However, the new Windsor Framework agreed to by the United Kingdom and European Union, effective as of January 1, 2025, brings new measures. Prior to January 1, 2025, marketing authorizations issued by the European Commission through the centralized procedure will continue to be applicable in Northern Ireland. Beginning on January 1, 2025, medicinal products intended for the United Kingdom market (including Northern Ireland) must be authorized by the MHRA and bear a clear “UK only” label.</w:t>
      </w:r>
    </w:p>
    <w:p>
      <w:pPr>
        <w:spacing w:after="0" w:line="84"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For other countries outside of the European Union, such as countries in Eastern Europe, Latin America or Asia, the requirements governing the conduct of clinical studies, product licensing, pricing and reimbursement vary from country to country. In all cases, again, the clinical studies are conducted in accordance with cGCP and the applicable regulatory requirements and the ethical principles that have their origin in the Declaration of Helsinki.</w:t>
      </w:r>
    </w:p>
    <w:p>
      <w:pPr>
        <w:spacing w:after="0" w:line="69" w:lineRule="exact"/>
        <w:rPr>
          <w:sz w:val="20"/>
          <w:szCs w:val="20"/>
          <w:color w:val="auto"/>
        </w:rPr>
      </w:pPr>
    </w:p>
    <w:p>
      <w:pPr>
        <w:jc w:val="both"/>
        <w:ind w:right="20" w:firstLine="509"/>
        <w:spacing w:after="0" w:line="281" w:lineRule="auto"/>
        <w:rPr>
          <w:sz w:val="20"/>
          <w:szCs w:val="20"/>
          <w:color w:val="auto"/>
        </w:rPr>
      </w:pPr>
      <w:r>
        <w:rPr>
          <w:rFonts w:ascii="Times New Roman" w:cs="Times New Roman" w:eastAsia="Times New Roman" w:hAnsi="Times New Roman"/>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Pharmaceutical coverage, pricing and reimbursement</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Significant uncertainty exists as to obtaining and maintaining coverage and adequate reimbursement for our product candidates and the extent to which patients will be willing to pay out-of-pocket for such products in the absence of reimbursement for all or part of the cost. In the U.S. and in other countries, patients who are provided medical treatment for their conditions generally rely on third-party payors to reimburse all or part of the costs associated with their treatment. The availability of coverage and adequacy of reimbursement for our product candidates by third-party payors, including government healthcare programs (e.g., Medicare, Medicaid, TRICARE), managed care providers, private health insurers, health maintenance organizations and other organizations is essential for most patients to be able to afford medical services and pharmaceutical products such as our product candidates. Third-party payors often rely upon Medicare coverage policy and payment limitations in setting their own coverage and reimbursement policies. However, decisions regarding the extent of coverage and amount of reimbursement to be provided are made on a payor-by-payor basis. One payor’s determination to provide coverage for a drug product does not ensure that other payors will also provide coverage or adequate reimbursement. The principal decisions about reimbursement for new medicines are typically made on the federal level by the Centers for Medicare &amp; Medicaid Services (“CMS”), an agency within HHS that administers the Medicare program, and, on the state level, by state Medicaid programs. CMS and state Medicaid programs decide whether and to what extent products will be covered and reimbursed under Medicare and Medicaid, and private payors tend to follow Medicare and Medicaid to a substantial degree.</w:t>
      </w:r>
    </w:p>
    <w:p>
      <w:pPr>
        <w:spacing w:after="0" w:line="87"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Third-party payors determine which products and procedures they will cover and establish reimbursement levels. Even if a third-party payor covers a particular product or procedure, the resulting reimbursement payment rates may not be adequate. In addition, for products administered under the supervision of a physician, obtaining coverage and adequate reimbursement may be particularly difficult because of the higher prices often associated with such drugs.</w:t>
      </w:r>
    </w:p>
    <w:p>
      <w:pPr>
        <w:spacing w:after="0" w:line="74"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7"/>
          <w:szCs w:val="17"/>
          <w:color w:val="auto"/>
        </w:rPr>
        <w:t>Reimbursement by a third-party payor may depend upon a number of factors, including the third-party payor’s determination that a product is safe, effective and medically necessary, appropriate for the specific patient, cost-effective, supported by peer-reviewed medical journals, included in clinical practice guidelines, and neither cosmetic, experimental nor investigational. Further, increasing efforts by third-party payors in the U.S. and abroad to cap or reduce healthcare costs may cause such organizations to limit both coverage and the level of reimbursement for newly authorized or approved products and, as a result, they may not cover or provide adequate payment for our product candidates. In order to secure coverage and reimbursement for any product that might be authorized or approved for sale, we may need to conduct expensive pharmacoeconomic studies to demonstrate the medical necessity and cost-effectiveness of our product candidates, in addition to the costs required to obtain FDA or comparable regulatory approvals. We may also need to provide discounts to purchasers, private health plans or government healthcare programs. Our product candidates may nonetheless not be considered medically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30" w:name="page31"/>
    <w:bookmarkEnd w:id="30"/>
    <w:p>
      <w:pPr>
        <w:jc w:val="both"/>
        <w:spacing w:after="0" w:line="258" w:lineRule="auto"/>
        <w:rPr>
          <w:sz w:val="20"/>
          <w:szCs w:val="20"/>
          <w:color w:val="auto"/>
        </w:rPr>
      </w:pPr>
      <w:r>
        <w:rPr>
          <w:rFonts w:ascii="Times New Roman" w:cs="Times New Roman" w:eastAsia="Times New Roman" w:hAnsi="Times New Roman"/>
          <w:sz w:val="18"/>
          <w:szCs w:val="18"/>
          <w:color w:val="auto"/>
        </w:rPr>
        <w:t>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 There may be pricing pressures from third-party payors in connection with the potential sale of any of our product candidates. Decreases in third-party reimbursement for any product or a decision by a third-party payor not to cover a product could reduce physician usage and patient demand for the product.</w:t>
      </w:r>
    </w:p>
    <w:p>
      <w:pPr>
        <w:spacing w:after="0" w:line="74"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Foreign governments also have their own healthcare reimbursement systems, which vary significantly by country and region. Coverage and adequate reimbursement may not be available with respect to the treatments in which our product candidates, if approved, are used under any foreign reimbursement system. In the European Union, each European Union Member State can restrict the range of medicinal products for which its national health insurance system provides reimbursement and can control the prices of medicinal products for human use marketed on its territory. As a result, following receipt of marketing authorization in a European Union Member State, through any application route, the applicant is required to engage in pricing discussions and negotiations with the relevant pricing authority in the individual European Union Member State. The governments of the European Union Member States influence the price of pharmaceutical products through their pricing and reimbursement rules and control of national healthcare systems that fund a large part of the cost of those products to consumers. Some European Union Member States operate positive and negative list systems under which products may only be marketed once a reimbursement price has been agreed upon. To obtain reimbursement or pricing approval, some of these countries may require the completion of clinical trials that compare the cost-effectiveness of a particular product candidate to currently available therapies. Other European Union Member States allow companies to fix their own prices for medicinal products, but monitor and control company profits. Others adopt a system of reference pricing, basing the price or reimbursement level in their territories either on the pricing and reimbursement levels in other countries or on the pricing and reimbursement levels of medicinal products intended for the same therapeutic indication. Further, some European Union Member States approve a specific price for the medicinal product or may instead adopt a system of direct or indirect controls on the profitability of the company placing the medicinal on the market. The downward pressure on healthcare costs in general, particularly prescription drugs, has become more intense. As a result, increasingly high barriers are being erected to the entry of new products. In addition, we may face competition for our product candidates from lower-priced products in foreign countries that have placed price controls on pharmaceutical products. In addition, in some countries, cross-border imports from low-priced markets exert a commercial pressure on pricing within a country.</w:t>
      </w:r>
    </w:p>
    <w:p>
      <w:pPr>
        <w:spacing w:after="0" w:line="7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Health Technology Assessment (“HTA”) of medicinal products is becoming an increasingly common part of the pricing and reimbursement procedures in some European Union Member States. These European Union Member States include France, Germany, Ireland, Italy and Sweden. HTA is the procedure according to which the assessment of the public health impact, therapeutic impact and the economic and societal impact of use of a given medicinal product in the national healthcare systems of the individual country is conducted. HTA generally focuses on the clinical efficacy and effectiveness, safety, cost, and cost-effectiveness of individual medicinal products as well as their potential implications for the healthcare system. Those elements of medicinal products are compared with other treatment options available on the market. The outcome of HTA regarding specific medicinal products will often influence the pricing and reimbursement status granted to these medicinal products by the competent authorities of individual European Union Member States. The extent to which pricing and reimbursement decisions are influenced by the HTA of the specific medicinal product varies between European Union Member States.</w:t>
      </w:r>
    </w:p>
    <w:p>
      <w:pPr>
        <w:spacing w:after="0" w:line="7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pursuant to Directive 2011/24/EU on the application of patients’ rights in cross-border healthcare, a voluntary network of national authorities or bodies responsible for HTA in the individual European Union Member States was established. The purpose of the network is to facilitate and support the exchange of scientific information concerning HTAs. This may lead to harmonization of the criteria taken into account in the conduct of HTAs between European Union Member States and in pricing and reimbursement decisions and may negatively affect price in at least some European Union Member States.</w:t>
      </w:r>
    </w:p>
    <w:p>
      <w:pPr>
        <w:spacing w:after="0" w:line="7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January 31, 2018, the European Commission adopted a proposal for an HTA Regulation intended to set out a European Union-wide framework for HTA and boost cooperation among European Union Member States in assessing health technologies, including new medicinal products. The HTA Regulation provides the basis for permanent and sustainable cooperation at the European Union level for joint clinical assessments in these areas and is therefore complementary to Directive 2011/24/EU. The HTA Regulation was adopted on December 13, 2021, and entered into force on January 11, 2022. The HTA Regulation will apply to all European Union Member States beginning on January 12, 2025. The HTA Regulation provides that European Union Member States will be able to use common HTA tools, methodologies, and procedures across the European Union. Individual European Union Member States will continue to be responsible for drawing conclusions on the overall value of new health technology for their healthcare system, and pricing and reimbursement decisions.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31" w:name="page32"/>
    <w:bookmarkEnd w:id="31"/>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Healthcare Laws and Regulations</w:t>
      </w:r>
    </w:p>
    <w:p>
      <w:pPr>
        <w:spacing w:after="0" w:line="121"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Sales of our product candidates, if authorized or approved, or any other future product candidate will be subject to healthcare regulation and enforcement by the federal government and the states and foreign governments in which we might conduct our business. The healthcare laws and regulations that may affect our ability to operate include the following:</w:t>
      </w:r>
    </w:p>
    <w:p>
      <w:pPr>
        <w:spacing w:after="0" w:line="69" w:lineRule="exact"/>
        <w:rPr>
          <w:sz w:val="20"/>
          <w:szCs w:val="20"/>
          <w:color w:val="auto"/>
        </w:rPr>
      </w:pPr>
    </w:p>
    <w:p>
      <w:pPr>
        <w:jc w:val="both"/>
        <w:ind w:left="1140" w:hanging="504"/>
        <w:spacing w:after="0" w:line="253"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makes it illegal for any person or entity to knowingly and willfully, directly or indirectly, solicit, receive, offer, or pay any remuneration that is in exchange for or to induce or reward the referral of business, including the purchase, order, lease, or arranging for or recommending purchasing, leasing, or ordering any good, facility, item or service for which payment may be made under a federal healthcare program, such as Medicare or Medicaid. The term “remuneration” has been broadly interpreted to include anything of value. This statute has been interpreted to apply to arrangements between pharmaceutical companies on one hand and prescribers, patients, purchasers, and formulary managers on the other. Liability under the Anti-Kickback Statute may be established without proving actual knowledge of the statute or specific intent to violate it. In addition, the government may assert that a claim including items or services resulting from a violation of the federal Anti-Kickback Statute constitutes a false or fraudulent claim for purposes of the federal civil False Claims Act. Violations of this law may be punishable by up to ten years in prison, criminal fines, damages, administrative civil money penalties, and the potential for exclusion from participation in federal healthcare programs. Analogous anti-kickback laws and regulations exist in the European Union;</w:t>
      </w:r>
    </w:p>
    <w:p>
      <w:pPr>
        <w:spacing w:after="0" w:line="80" w:lineRule="exact"/>
        <w:rPr>
          <w:rFonts w:ascii="Times New Roman" w:cs="Times New Roman" w:eastAsia="Times New Roman" w:hAnsi="Times New Roman"/>
          <w:sz w:val="18"/>
          <w:szCs w:val="18"/>
          <w:color w:val="auto"/>
        </w:rPr>
      </w:pPr>
    </w:p>
    <w:p>
      <w:pPr>
        <w:jc w:val="both"/>
        <w:ind w:left="11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Federal false claims and false statement laws, including the federal civil False Claims Act, which prohibits, among other things, any person or entity from knowingly presenting, or causing to be presented, claims for payment of government funds, including Medicare and Medicaid, that are false or fraudulent, or knowingly making, using, or causing to be made or used, a false record or statement material to an obligation to pay or transmit money to the federal government, or knowingly concealing or improperly avoiding or decreasing an obligation to pay money to the federal government. Actions under the False Claims Act may be brought by the federal government or as a qui tam action by a private individual in the name of the government. Penalties for a False Claims Act violation may include three times the actual damages sustained by the government, plus significant civil penalties for each separate false or fraudulent claim, and the potential for exclusion from participation in federal healthcare programs.</w:t>
      </w:r>
    </w:p>
    <w:p>
      <w:pPr>
        <w:spacing w:after="0" w:line="81" w:lineRule="exact"/>
        <w:rPr>
          <w:rFonts w:ascii="Times New Roman" w:cs="Times New Roman" w:eastAsia="Times New Roman" w:hAnsi="Times New Roman"/>
          <w:sz w:val="18"/>
          <w:szCs w:val="18"/>
          <w:color w:val="auto"/>
        </w:rPr>
      </w:pPr>
    </w:p>
    <w:p>
      <w:pPr>
        <w:jc w:val="both"/>
        <w:ind w:left="1140" w:hanging="504"/>
        <w:spacing w:after="0" w:line="253"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European Union, the advertising and promotion of products are subject to laws governing promotion of medicinal products, interactions with physicians, misleading and comparative advertising and unfair commercial practices. For example, applicable laws require that promotional materials and advertising in relation to medicinal products comply with the product’s Summary of Product Characteristics (“SmPC”), as approved by the competent authorities in connection with a marketing authorization approval. The SmPC is the document that provides information to physicians concerning the safe and effective use of the product. Promotional activity that does not comply with the SmPC is considered off-label and is prohibited in the European Union. Other applicable laws at the European Union level and in the individual European Union Member States also apply to the advertising and promotion of medicinal products, including laws that prohibit the direct-to-consumer advertising of prescription-only medicinal products and further limit or restrict the advertising and promotion of products to the general public and to health care professionals. Violations of the rules governing the promotion of medicinal products in the European Union could be penalized by administrative measures, fines and imprisonment;</w:t>
      </w:r>
    </w:p>
    <w:p>
      <w:pPr>
        <w:spacing w:after="0" w:line="83" w:lineRule="exact"/>
        <w:rPr>
          <w:rFonts w:ascii="Times New Roman" w:cs="Times New Roman" w:eastAsia="Times New Roman" w:hAnsi="Times New Roman"/>
          <w:sz w:val="18"/>
          <w:szCs w:val="18"/>
          <w:color w:val="auto"/>
        </w:rPr>
      </w:pPr>
    </w:p>
    <w:p>
      <w:pPr>
        <w:jc w:val="both"/>
        <w:ind w:left="1140" w:hanging="504"/>
        <w:spacing w:after="0" w:line="265"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created additional federal criminal statutes that prohibit among other actions, knowingly and willfully executing, or attempting to execute, a scheme to defraud any healthcare benefit program, including private third-party payors, or making any false, fictitious or fraudulent statement in connection with the delivery of or payment for healthcare benefits, items or services;</w:t>
      </w:r>
    </w:p>
    <w:p>
      <w:pPr>
        <w:spacing w:after="0" w:line="69" w:lineRule="exact"/>
        <w:rPr>
          <w:rFonts w:ascii="Times New Roman" w:cs="Times New Roman" w:eastAsia="Times New Roman" w:hAnsi="Times New Roman"/>
          <w:sz w:val="18"/>
          <w:szCs w:val="18"/>
          <w:color w:val="auto"/>
        </w:rPr>
      </w:pPr>
    </w:p>
    <w:p>
      <w:pPr>
        <w:jc w:val="both"/>
        <w:ind w:left="1140" w:hanging="504"/>
        <w:spacing w:after="0" w:line="253"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and its implementing regulations, impose obligations on certain types of individuals and entities regarding the electronic exchange of information in common healthcare transactions, as well as standards relating to the privacy and security of individually identifiable health information. In the European Union, there has been increased attention to privacy and data security issues that could potentially affect our business, including the GDPR, which became effective on May 25, 2018. The GDPR regulates the processing of personal data and imposes strict obligations and restrictions on the ability to collect, analyze and transfer personal data from the European Union to the U.S., including health data from clinical trials. The GDPR confers a private right of action on data subjects and consumer associations to lodge complaints with supervisory authorities, seek judicial remedies, and obtain compensation for damages resulting from violations of the GDPR. Failure to comply with the requirements of GDPR may result in fines of up to 20,000,000 Euros or up to 4% of the total worldwide annual turnover of the preceding financial year, whichever is higher, and other administrative penalties;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32" w:name="page33"/>
    <w:bookmarkEnd w:id="32"/>
    <w:p>
      <w:pPr>
        <w:jc w:val="both"/>
        <w:ind w:left="1140" w:hanging="504"/>
        <w:spacing w:after="0" w:line="258"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requires certain manufacturers of drugs, devices, biologics and medical supplies for which payment is available under Medicare, Medicaid or the Children’s Health Insurance Program, with specific exceptions, to report annually to CMS information related to payments, ownership and investment interests, or other transfers of value made to physicians (defined to include doctors, dentists, optometrists, podiatrists and chiropractors), other healthcare professionals (such as physician assistants and nurse practitioners) and teaching hospitals.</w:t>
      </w:r>
    </w:p>
    <w:p>
      <w:pPr>
        <w:spacing w:after="0" w:line="74" w:lineRule="exact"/>
        <w:rPr>
          <w:rFonts w:ascii="Times New Roman" w:cs="Times New Roman" w:eastAsia="Times New Roman" w:hAnsi="Times New Roman"/>
          <w:sz w:val="18"/>
          <w:szCs w:val="18"/>
          <w:color w:val="auto"/>
        </w:rPr>
      </w:pPr>
    </w:p>
    <w:p>
      <w:pPr>
        <w:jc w:val="both"/>
        <w:ind w:left="1140" w:hanging="504"/>
        <w:spacing w:after="0" w:line="254"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European Union, interactions between pharmaceutical companies and physicians are also governed by strict laws, regulations, industry self-regulation codes of conduct and physicians’ codes of professional conduct. The provision of benefits or advantages to physicians to induce or encourage the prescription, recommendation, endorsement, purchase, supply, order or use of medicinal products, which is prohibited in the European Union, is governed by the national anti-bribery laws of the European Union Member States, as described below. Violation of these laws could result in substantial fines and imprisonment. Certain European Union Member States, or industry codes of conduct, require that payments made to physicians be publicly disclosed. Moreover, agreements with physicians must often be the subject of prior notification and approval by the physician’s employer, his/her competent professional organization, and/or the competent authorities of the individual European Union Member States. Failure to comply with these requirements could result in reputational risk, public reprimands, administrative penalties, fines or imprisonment; and</w:t>
      </w:r>
    </w:p>
    <w:p>
      <w:pPr>
        <w:spacing w:after="0" w:line="78" w:lineRule="exact"/>
        <w:rPr>
          <w:rFonts w:ascii="Times New Roman" w:cs="Times New Roman" w:eastAsia="Times New Roman" w:hAnsi="Times New Roman"/>
          <w:sz w:val="18"/>
          <w:szCs w:val="18"/>
          <w:color w:val="auto"/>
        </w:rPr>
      </w:pPr>
    </w:p>
    <w:p>
      <w:pPr>
        <w:jc w:val="both"/>
        <w:ind w:left="1140" w:hanging="504"/>
        <w:spacing w:after="0" w:line="256"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Corrupt Practices Act (“FCPA”) prohibits U.S. businesses and their representatives from offering to pay, paying, promising to pay or authorizing the payment of money or anything of value to a foreign official in order to influence any act or decision of the foreign official in his or her official capacity or to secure any other improper advantage in order to obtain or retain business. Our business activities outside of the U.S. are subject to similar anti-bribery or anti-corruption laws, regulations, industry self-regulation codes of conduct and physicians’ codes of professional conduct or rules of other countries in which we operate, including the United Kingdom Bribery Act of 2010.</w:t>
      </w:r>
    </w:p>
    <w:p>
      <w:pPr>
        <w:spacing w:after="0" w:line="7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Many states have similar laws and regulations, such as anti-kickback and false claims laws, that may be broader in scope and may apply regardless of payor, in addition to items and services reimbursed under Medicaid and other state programs. Additionally, we may be subject to state laws that require pharmaceutical companies to comply with the federal government’s and/or pharmaceutical industry’s voluntary compliance guidelines and state laws that require drug and biologics manufacturers to report information related to payments and other transfers of value to physicians and other healthcare providers or marketing expenditures, as well as state and foreign laws governing the privacy and security of health information, many of which differ from each other in significant ways and often are not preempted by HIPAA. Additionally, to the extent that any of our products, if approved, are sold in a foreign country, we may be subject to similar foreign laws.</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federal and state healthcare laws described above or any other governmental regulations that apply to us, we may be subject to significant penalties, including without limitation, civil, criminal and/or administrative penalties, damages, fines, disgorgement, imprisonment, exclusion from participation in government programs, such as Medicare and Medicaid, injunctions, private “qui tam” actions brought by individual whistleblowers in the name of the government, refusal to allow us to enter into government contracts, contractual damages, reputational harm, administrative burdens, diminished profits and future earnings and the curtailment or restructuring of our operations.</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U.S. and many foreign jurisdictions have enacted or proposed legislative and regulatory changes affecting the healthcare system. The U.S. government, state legislatures and foreign governments also have shown significant interest in implementing cost-containment programs to limit the growth of government-paid healthcare costs, including price controls, restrictions on reimbursement and requirements for substitution of generic products for branded prescription drugs and biologics. In recent years, Congress has considered reductions in Medicare reimbursement levels for drugs and biologics administered by physicians. CMS also has authority to revise reimbursement rates and to implement coverage restrictions for some drugs and biologics. Cost reduction initiatives and changes in coverage implemented through legislation or regulation could decrease utilization of and reimbursement for any authorized or approved products. While Medicare laws and regulations apply only to benefits for Medicare beneficiaries, private payors often follow Medicare coverage policy and payment limitations in setting their own reimbursement rates. Therefore, any reduction in Medicare reimbursement may result in a similar reduction in payments from private payors.</w:t>
      </w:r>
    </w:p>
    <w:p>
      <w:pPr>
        <w:spacing w:after="0" w:line="78"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The ACA substantially changed the way healthcare is financed by both governmental and private insurers and significantly impacts the pharmaceutical industry. The ACA is intended to broaden access to health insurance, reduce or constrain the growth of healthcare spending, enhance remedies against healthcare fraud and abuse, add new transparency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33" w:name="page34"/>
    <w:bookmarkEnd w:id="33"/>
    <w:p>
      <w:pPr>
        <w:jc w:val="both"/>
        <w:spacing w:after="0" w:line="252" w:lineRule="auto"/>
        <w:rPr>
          <w:sz w:val="20"/>
          <w:szCs w:val="20"/>
          <w:color w:val="auto"/>
        </w:rPr>
      </w:pPr>
      <w:r>
        <w:rPr>
          <w:rFonts w:ascii="Times New Roman" w:cs="Times New Roman" w:eastAsia="Times New Roman" w:hAnsi="Times New Roman"/>
          <w:sz w:val="18"/>
          <w:szCs w:val="18"/>
          <w:color w:val="auto"/>
        </w:rPr>
        <w:t>requirements for healthcare and health insurance industries, impose new taxes and fees on pharmaceutical manufacturers and impose additional health policy reforms. Among other things, the ACA expanded manufacturers’ rebate liability under the Medicaid Drug Rebate Program by increasing the minimum Medicaid rebate for both branded and generic drugs and biologics, expanded the 340B program, and revised the definition of average manufacturer price (“AMP”), which could increase the amount of Medicaid drug rebates manufacturers are required to pay to states. The legislation also extended Medicaid drug rebates, previously due only on fee-for-service Medicaid utilization, to include the utilization of Medicaid managed care organizations as well and created an alternative rebate formula for certain new formulations of certain existing products that is intended to increase the amount of rebates due on those drugs. On February 1, 2016, CMS issued final regulations to implement the changes to the Medicaid Drug Rebate program under the ACA. These regulations became effective on April 1, 2016. The ACA also requires pharmaceutical manufacturers of branded prescription drugs and biologics to pay a branded prescription drug fee to the federal government. Each individual pharmaceutical manufacturer pays a prorated share of the branded prescription drug fee, based on the dollar value of its branded prescription drug sales to certain federal programs identified in the law. Furthermore, the ACA, as amended by the Bipartisan Budget Act of 2018, requires manufacturers participating in Part D to provide a 70% point-of-sale discount on the negotiated price of prescriptions filled by beneficiaries in the Medicare Part D coverage gap. The Inflation Reduction Act of 2022 (“IRA”) sunsets the Part D coverage cap discount program and replaces it with a new Part D discounting program beginning in 2025.</w:t>
      </w:r>
    </w:p>
    <w:p>
      <w:pPr>
        <w:spacing w:after="0" w:line="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ACA also expanded the Public Health Service’s 340B drug pricing program. The 340B drug pricing program requires participating manufacturers to agree to charge statutorily defined covered entities no more than the 340B “ceiling price” for the manufacturer’s covered outpatient drugs. The ACA expanded the 340B program to include additional types of covered entities: certain free-standing cancer hospitals, critical access hospitals, rural referral centers and sole community hospitals, each as defined by the ACA. Because the 340B ceiling price is determined based on AMP, best price, and Medicaid drug rebate data, revisions to the Medicaid rebate formula, best price, and AMP definition could cause the required 340B discounts to increase.</w:t>
      </w:r>
    </w:p>
    <w:p>
      <w:pPr>
        <w:spacing w:after="0" w:line="74"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Additional regulations governing the ACA have been finalized. Since enactment, there have been significant efforts to modify or challenge the ACA. For example, the Tax Cuts and Jobs Act (the “Tax Act”), enacted on December 22, 2017, repealed the shared responsibility payment for individuals who fail to maintain minimum essential coverage under section 5000A of the Internal Revenue Code of 1986, as amended, commonly referred to as the individual mandate.</w:t>
      </w:r>
    </w:p>
    <w:p>
      <w:pPr>
        <w:spacing w:after="0" w:line="7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Other legislative changes have been proposed and adopted since passage of the ACA. For example, on August 2, 2011, the Budget Control Act of 2011, among other things, created the Joint Select Committee on Deficit Reduction to recommend to Congress proposals for spending reductions. The Joint Select Committee did not achieve a targeted deficit reduction, which triggered the legislation’s automatic reductions. In concert with subsequent legislation, this has resulted in aggregate reductions to Medicare payments to providers of, on average, 2% per fiscal year. Sequestration is currently set at 2% through the first 7 months of 2032. The American Rescue Plan Act of 2021 eliminated the statutory Medicaid drug rebate cap, currently set at 100% of a drug’s AMP, for single-source and innovator multiple-source drugs, as of January 1, 2024. Additionally, the American Taxpayer Relief Act reduced Medicare payments to several types of providers, including hospitals, imaging centers and cancer treatment centers, and increased the statute of limitations period for the government to recover overpayments to providers from three to five years.</w:t>
      </w:r>
    </w:p>
    <w:p>
      <w:pPr>
        <w:spacing w:after="0" w:line="8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IRA, among other things, establishes a Medicare Part B inflation rebate scheme, under which, generally speaking, manufacturers will owe rebates if the average sales price of a Part B drug increases faster than the pace of inflation. Failure to timely pay a Part B inflation rebate is subject to a civil monetary penalty. The IRA also establishes a Medicare Part D inflation rebate scheme, under which, generally speaking, manufacturers will owe rebates if the AMP of a Part D drug increases faster than the pace of inflation. The IRA also creates a drug price negotiation program under which the prices for Medicare units of certain high Medicare spend drugs and biologics without generic or biosimilar competition will be capped by reference to, among other things, a specified non-federal AMP, starting in 2026. Failure to comply with requirements under the drug price negotiation program is subject to an excise tax and/or a civil monetary penalty. The IRA further makes several changes to the Medicare Part D benefit, including a limit on annual out-of-pocket costs, and a change in manufacturer liability under the program that could negatively affect the profitability of our product candidates. The IRA also prohibits Medicare Part D plans from imposing cost-sharing for certain vaccines that are recommended by the Advisory Committee on Immunization Practices. Congress continues to examine various policy proposals that may result in pressure on the prices of prescription drugs in the government health benefit programs. The IRA or other legislative change could impact the market conditions for our product candidates. Payment methodologies may be subject to changes in healthcare legislation and regulatory initiatives as well. For example, CMS may develop new payment and delivery models, such as bundled payment models.</w:t>
      </w:r>
    </w:p>
    <w:p>
      <w:pPr>
        <w:spacing w:after="0" w:line="87"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Further legislative and regulatory changes related to the aforementioned laws remain possible. It is unknown what form any other such changes or law would take and how or whether it may affect our business in the future. We expect that changes or additions to the ACA, IRA or their implementing regulations or guidance, changes to the Medicare and Medicaid programs, changes regarding the federal government’s authority to directly negotiate drug prices and changes stemming from other</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34" w:name="page35"/>
    <w:bookmarkEnd w:id="34"/>
    <w:p>
      <w:pPr>
        <w:jc w:val="both"/>
        <w:spacing w:after="0" w:line="281" w:lineRule="auto"/>
        <w:rPr>
          <w:sz w:val="20"/>
          <w:szCs w:val="20"/>
          <w:color w:val="auto"/>
        </w:rPr>
      </w:pPr>
      <w:r>
        <w:rPr>
          <w:rFonts w:ascii="Times New Roman" w:cs="Times New Roman" w:eastAsia="Times New Roman" w:hAnsi="Times New Roman"/>
          <w:sz w:val="18"/>
          <w:szCs w:val="18"/>
          <w:color w:val="auto"/>
        </w:rPr>
        <w:t>healthcare reform measures, especially with regard to healthcare access or financing or other legislation in individual states, could have a material adverse effect on the healthcare industry and our business.</w:t>
      </w:r>
    </w:p>
    <w:p>
      <w:pPr>
        <w:spacing w:after="0" w:line="5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There has been heightened governmental scrutiny over the manner in which manufacturers set prices for their marketed products. Such scrutiny has resulted in several recent congressional inquiries, executive orders and proposed and enacted federal and state legislation and regulation designed to, among other things, bring more transparency to drug pricing, review the relationship between pricing and manufacturer patient programs, reduce the cost of drugs under Medicare and reform government program reimbursement methodologies for pharmaceutical products. At the federal level, the FDA concurrently released a final rule and guidance in September 2020 providing pathways for states to build and submit importation plans for drugs from Canada. Further, on November 20, 2020, HHS finalized a regulation removing safe harbor protection for price reductions from pharmaceutical manufacturers to plan sponsors under Medicare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The implementation of this rule has been delayed until 2032 and it is uncertain if and how it will be implemented.</w:t>
      </w:r>
    </w:p>
    <w:p>
      <w:pPr>
        <w:spacing w:after="0" w:line="78"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69"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We expect that additional federal, state and foreign healthcare reform measures will be adopted in the future, any of which could limit the amounts that governmental health benefit programs or commercial payors will pay for healthcare products and services, which could result in limited coverage and reimbursement and reduced demand for our products, once authorized or approved, or additional pricing pressures. Further, it is possible that additional governmental action will be taken in response to the COVID-19 pandemic.</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of February 1, 2024, we had 94 full-time employees and one part-time employee. Of our 95 full- and part-time employees, approximately 20 have Ph.D. or M.D. degrees and 62 are engaged in research and development activities. We have a hybrid workforce, with approximately 51% of our employees based in Massachusetts, 11% based in California, 7% based in New Jersey, 5% based in North Carolina, and the remaining 26% in various additional states. None of our employees are represented by labor unions or covered by collective bargaining agreements. We consider our relationship with our employees to be strong.</w:t>
      </w:r>
    </w:p>
    <w:p>
      <w:pPr>
        <w:spacing w:after="0" w:line="74"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Our human capital resources objectives include identifying, recruiting, retaining, incentivizing and integrating our existing and new employees, advisors and consultants, and ensuring we have a diverse and inclusive team.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We operate as a hybrid company with employees working at our corporate headquarters in Waltham, Massachusetts, our laboratory in Newton, Massachusetts and remotely.</w:t>
      </w:r>
    </w:p>
    <w:p>
      <w:pPr>
        <w:spacing w:after="0" w:line="55"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We rent office space in an office building in Waltham, Massachusetts for general and administrative purposes. We rent laboratory and office space in a shared laboratory building in Newton, Massachusetts for research and development purposes. We believe that our hybrid working approach is adequate to meet our ongoing needs, and that, if we require additional physical facilities, we will be able to obtain additional facilities on commercially reasonable terms.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information sets forth risk factors that could cause our actual results to differ materially from those contained in forward-looking statements we have made in this Annual Report on Form 10-K and those we may make from time to time. You should carefully consider the risks described below, in addition to the other information contained in this Annual Report on Form 10-K and our other public filings. Our business, financial condition or results of operations could be harmed by any of these risks. The risks and uncertainties described below are not the only ones we face. Additional risks not presently known to us or other factors not perceived by us to present significant risks to our business at this time also may impair our business operations.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Needs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Our </w:t>
      </w:r>
      <w:r>
        <w:rPr>
          <w:rFonts w:ascii="Times New Roman" w:cs="Times New Roman" w:eastAsia="Times New Roman" w:hAnsi="Times New Roman"/>
          <w:sz w:val="18"/>
          <w:szCs w:val="18"/>
          <w:b w:val="1"/>
          <w:bCs w:val="1"/>
          <w:i w:val="1"/>
          <w:iCs w:val="1"/>
          <w:color w:val="231F20"/>
        </w:rPr>
        <w:t>financial condition raises substantial doubt regarding our ability to continue as a going concern.</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231F20"/>
        </w:rPr>
        <w:t>Our consolidated financial statements have been prepared assuming that we will continue to operate as a going concern, which contemplates the realization of assets, and the satisfaction of liabilities and commitments in the ordinary course of business. Based on our current operating plans and excluding any contribution from revenues or external financing, however, we believe that our existing cash and cash equivalents will not be sufficient to fund our operating expenses and capital expenditure requirements for more than one year from the issuance of the consolidated financial statements for the year ended December 31, 2023. Specifically, b</w:t>
      </w:r>
      <w:r>
        <w:rPr>
          <w:rFonts w:ascii="Times New Roman" w:cs="Times New Roman" w:eastAsia="Times New Roman" w:hAnsi="Times New Roman"/>
          <w:sz w:val="18"/>
          <w:szCs w:val="18"/>
          <w:color w:val="000000"/>
        </w:rPr>
        <w:t>ased on our current operating plans and excluding any contribution from revenues or external financing,</w:t>
      </w:r>
      <w:r>
        <w:rPr>
          <w:rFonts w:ascii="Times New Roman" w:cs="Times New Roman" w:eastAsia="Times New Roman" w:hAnsi="Times New Roman"/>
          <w:sz w:val="18"/>
          <w:szCs w:val="18"/>
          <w:color w:val="231F20"/>
        </w:rPr>
        <w:t xml:space="preserve"> we believe these funds will be sufficient to fund our operating expenses and capital expenditure requirements into the fourth quarter of 2024. As a result, we have determined that there is substantial doubt regarding our ability to continue as a going concern, and our independent registered public accounting firm has included in its audit opinion for the year ended December 31, 2023, an explanatory paragraph about such substantial doubt regarding our ability to continue as a going concern.</w:t>
      </w:r>
    </w:p>
    <w:p>
      <w:pPr>
        <w:spacing w:after="0" w:line="78" w:lineRule="exact"/>
        <w:rPr>
          <w:sz w:val="20"/>
          <w:szCs w:val="20"/>
          <w:color w:val="auto"/>
        </w:rPr>
      </w:pPr>
    </w:p>
    <w:p>
      <w:pPr>
        <w:jc w:val="both"/>
        <w:ind w:firstLine="567"/>
        <w:spacing w:after="0" w:line="260"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color w:val="231F20"/>
        </w:rPr>
        <w:t>substantial doubt regarding our ability to continue as a going concern may adversely affect our stock price and our ability to raise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necessary to execute our current operating plans. If we are unable to obtain additional capital, we may not be able to continue our operations on the scope or scale as currently conducted, and that could have a material adverse effect on our business, results of operations, financial condition, and ability to operate as a going concern.</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We may continue to incur losses and may never achieve or maintain profitability.</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Since our inception, we have incurred significant losses, and we may continue to incur significant expenses and operating losses for the foreseeable future. Our net losses were $198.6 million and $241.3 million for the years ended December 31, 2023 and 2022, respectively. As of December 31, 2023, we had an accumulated deficit of $732.1 million. Since our inception, we have financed our operations primarily with net proceeds from several public and private offerings of our capital stock. In March 2024, we received an EUA from the FDA for PEMGARDA, but have no other products authorized or approved for commercialization and have not yet generated any revenue from product sales to date.</w:t>
      </w:r>
    </w:p>
    <w:p>
      <w:pPr>
        <w:spacing w:after="0" w:line="74"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We may continue to incur significant expenses and operating losses. Our net losses may fluctuate significantly from quarter to quarter and year to year. Our expenses could increase substantially as we:</w:t>
      </w:r>
    </w:p>
    <w:p>
      <w:pPr>
        <w:spacing w:after="0" w:line="55" w:lineRule="exact"/>
        <w:rPr>
          <w:sz w:val="20"/>
          <w:szCs w:val="20"/>
          <w:color w:val="auto"/>
        </w:rPr>
      </w:pPr>
    </w:p>
    <w:p>
      <w:pPr>
        <w:ind w:left="1140" w:hanging="504"/>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commercialize PEMGARDA;</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conduct clinical trials of our product candidates;</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product candidates in new indications or patient populations;</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preclinical and discovery programs, including development and screening of additional antibodies;</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authorization or approval for any product candidates that successfully complete clinical trials;</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regulatory authorizations or approvals and coverage and reimbursement for our product candidates, if authorized or approved;</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product candidates, intellectual property and/or technologies;</w:t>
      </w:r>
    </w:p>
    <w:p>
      <w:pPr>
        <w:spacing w:after="0" w:line="116" w:lineRule="exact"/>
        <w:rPr>
          <w:rFonts w:ascii="Times New Roman" w:cs="Times New Roman" w:eastAsia="Times New Roman" w:hAnsi="Times New Roman"/>
          <w:sz w:val="18"/>
          <w:szCs w:val="18"/>
          <w:color w:val="auto"/>
        </w:rPr>
      </w:pPr>
    </w:p>
    <w:p>
      <w:pPr>
        <w:ind w:left="1140" w:right="20" w:hanging="504"/>
        <w:spacing w:after="0" w:line="281" w:lineRule="auto"/>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validate our commercial-scale cGMP manufacturing processes, and manufacture material under cGMP at our contracted manufacturing facilities for clinical trials and potential commercial sales;</w:t>
      </w:r>
    </w:p>
    <w:p>
      <w:pPr>
        <w:spacing w:after="0" w:line="54"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enforce, defend and protect our intellectual property portfolio;</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regulatory requirements established by the applicable regulatory authorities;</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36" w:name="page37"/>
    <w:bookmarkEnd w:id="36"/>
    <w:p>
      <w:pPr>
        <w:ind w:left="1140" w:hanging="504"/>
        <w:spacing w:after="0" w:line="281" w:lineRule="auto"/>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expand a sales, marketing and distribution infrastructure to commercialize any product candidates for which we may obtain regulatory authorization or approval;</w:t>
      </w:r>
    </w:p>
    <w:p>
      <w:pPr>
        <w:spacing w:after="0" w:line="54" w:lineRule="exact"/>
        <w:rPr>
          <w:rFonts w:ascii="Times New Roman" w:cs="Times New Roman" w:eastAsia="Times New Roman" w:hAnsi="Times New Roman"/>
          <w:sz w:val="18"/>
          <w:szCs w:val="18"/>
          <w:color w:val="auto"/>
        </w:rPr>
      </w:pPr>
    </w:p>
    <w:p>
      <w:pPr>
        <w:ind w:left="1140" w:hanging="504"/>
        <w:spacing w:after="0" w:line="281" w:lineRule="auto"/>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retain personnel, including research, clinical, development, manufacturing quality control, quality assurance, regulatory, scientific, and other personnel; and</w:t>
      </w:r>
    </w:p>
    <w:p>
      <w:pPr>
        <w:spacing w:after="0" w:line="54"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and other expenses in operating as a public company.</w:t>
      </w:r>
    </w:p>
    <w:p>
      <w:pPr>
        <w:spacing w:after="0" w:line="11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Although we have received an EUA from the FDA for PEMGARDA, to date, we have not yet generated any revenue from product sales. Our ability to execute our current business strategy and become and remain profitable is heavily dependent on our ability to develop and commercialize product candidates that generate significant revenue. This will require us to be successful in a range of challenging activities on a timeline that keeps pace with viral evolution, including completing preclinical testing and clinical trials of our product candidates, validating manufacturing processes, obtaining regulatory authorization or approval, and manufacturing, distributing, marketing, and selling any products for which we obtain regulatory authorization or approval, as well as discovering and developing additional product candidates. We may never succeed in these activities and, even if we do, may never generate revenue that is significant enough to achieve profitability.</w:t>
      </w:r>
    </w:p>
    <w:p>
      <w:pPr>
        <w:spacing w:after="0" w:line="79"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product candidate development, we are unable to accurately predict the timing or amount of expenses or when, or if, we will be able to achieve profitability. If we are required by regulatory authorities to perform clinical trials or preclinical studies in addition to those currently expected, or if there are any delays in the initiation and completion of our clinical trials or the development of any of our product candidates, our expenses could increase.</w:t>
      </w:r>
    </w:p>
    <w:p>
      <w:pPr>
        <w:spacing w:after="0" w:line="74"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Even if we achieve profitability, we may not be able to sustain or increase profitability on a quarterly or annual basis. Our failure to become and remain profitable would depress the value of our company and could impair our ability to raise capital, expand our business, maintain our development efforts, obtain product authorizations or approvals, diversify our offerings or continue our operations. A decline in the value of our company could also cause you to lose all or part of your investment.</w:t>
      </w:r>
    </w:p>
    <w:p>
      <w:pPr>
        <w:spacing w:after="0" w:line="70" w:lineRule="exact"/>
        <w:rPr>
          <w:sz w:val="20"/>
          <w:szCs w:val="20"/>
          <w:color w:val="auto"/>
        </w:rPr>
      </w:pPr>
    </w:p>
    <w:p>
      <w:pPr>
        <w:jc w:val="both"/>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no history of commercializing products, which may make it difficult for an investor to evaluate the success of our business to date and to assess our future viability.</w:t>
      </w:r>
    </w:p>
    <w:p>
      <w:pPr>
        <w:spacing w:after="0" w:line="5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a biopharmaceutical company with a limited operating history. We commenced operations in June 2020, and our operations to date have been largely focused on organizing and staffing, building an intellectual property portfolio, business planning, conducting research and development, establishing and executing arrangements with third parties for the manufacture of our product candidates, and capital raising. To date, we have received regulatory authorization for only one product candidate, PEMGARDA, which received an EUA from the FDA in March 2024 and which we are currently focused on commercializing in the U.S. We have not historically demonstrated our ability to successfully conduct sales and marketing activities necessary for commercialization, and we may not be successful in doing so. Additionally, it is uncertain as to if or when we may submit a request for an EUA or application for regulatory approval for any other product candidate, and we may not be successful in receiving any such EUA or regulatory approval. Consequently, any predictions you make about our future success or viability may not be as accurate as they could be if we had a longer operating history or a history of successfully developing and commercializing products.</w:t>
      </w:r>
    </w:p>
    <w:p>
      <w:pPr>
        <w:spacing w:after="0" w:line="78"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In addition, as a business with a limited operating history, we may encounter unforeseen expenses, difficulties, complications, delays and other known and unknown factors. Having received an EUA from the FDA for PEMGARDA, we are transitioning from a company with a research and clinical focus to a commercial company, and we may not be successful in such a transition.</w:t>
      </w:r>
    </w:p>
    <w:p>
      <w:pPr>
        <w:spacing w:after="0" w:line="65"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will require additional funding through a combination of contribution from revenues, equity offerings, government or private-party grants, debt financings or other capital sources, such as collaborations with other companies, strategic alliances or licensing arrangements to finance our future operations. If we are unable to secure additional funding when needed, we could be forced to curtail our planned operations and the pursuit of our growth strategy.</w:t>
      </w:r>
    </w:p>
    <w:p>
      <w:pPr>
        <w:spacing w:after="0" w:line="7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operations have consumed substantial amounts of cash since inception, and, although we received an EUA from the FDA for PEMGARDA in March 2024, we may continue to incur significant expenses and operating losses as we continue to develop our product candidate pipeline and build out our manufacturing capabilities for our product candidates, which, if authorized or approved, may not achieve commercial success. Aside from any revenue generated from sales of PEMGARDA, additional revenue, if any, will be derived from sales of products that may not be commercially available for a number of years, if at all. Furthermore, even if we obtain regulatory authorization or approval for a product candidate that we develop, such as PEMGARDA, or otherwise acquire, we may incur significant commercialization expenses related to product sales, marketing, distribution and manufacturing. Accordingly, until such time, if ever, as we can generate substantial revenue from sales of authorized or approved products, we expect to finance our operations through a combination of equity offerings, government</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37" w:name="page38"/>
    <w:bookmarkEnd w:id="37"/>
    <w:p>
      <w:pPr>
        <w:jc w:val="both"/>
        <w:spacing w:after="0" w:line="281" w:lineRule="auto"/>
        <w:rPr>
          <w:sz w:val="20"/>
          <w:szCs w:val="20"/>
          <w:color w:val="auto"/>
        </w:rPr>
      </w:pPr>
      <w:r>
        <w:rPr>
          <w:rFonts w:ascii="Times New Roman" w:cs="Times New Roman" w:eastAsia="Times New Roman" w:hAnsi="Times New Roman"/>
          <w:sz w:val="18"/>
          <w:szCs w:val="18"/>
          <w:color w:val="auto"/>
        </w:rPr>
        <w:t>or private-party funding or grants, debt financings or other capital sources, such as collaborations with other companies, strategic alliances or licensing arrangements.</w:t>
      </w:r>
    </w:p>
    <w:p>
      <w:pPr>
        <w:spacing w:after="0" w:line="5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2023, we had cash and cash equivalents of $200.6 million. Based on our current operating plans and excluding any contribution from revenues or external financing, we believe that our existing cash and cash equivalents will be sufficient to fund our operating expenses and capital expenditure requirements into the fourth quarter of 2024. This estimate is based on assumptions that may prove to be wrong, and we could exhaust our available capital resources sooner than we expect. We plan to use our cash and cash equivalents to fund research and development, manufacturing supply and commercialization costs for our product candidates, the development of additional programs in our pipeline and for working capital and other general corporate purposes. The timing and amount of our funding requirements will depend on many factors, including:</w:t>
      </w:r>
    </w:p>
    <w:p>
      <w:pPr>
        <w:spacing w:after="0" w:line="78" w:lineRule="exact"/>
        <w:rPr>
          <w:sz w:val="20"/>
          <w:szCs w:val="20"/>
          <w:color w:val="auto"/>
        </w:rPr>
      </w:pPr>
    </w:p>
    <w:p>
      <w:pPr>
        <w:ind w:left="1140" w:hanging="504"/>
        <w:spacing w:after="0" w:line="281" w:lineRule="auto"/>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received from sales of PEMGARDA and any other product candidates for which we receive future regulatory authorization or approval;</w:t>
      </w:r>
    </w:p>
    <w:p>
      <w:pPr>
        <w:spacing w:after="0" w:line="54"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in the development of our product candidates;</w:t>
      </w:r>
    </w:p>
    <w:p>
      <w:pPr>
        <w:spacing w:after="0" w:line="116" w:lineRule="exact"/>
        <w:rPr>
          <w:rFonts w:ascii="Times New Roman" w:cs="Times New Roman" w:eastAsia="Times New Roman" w:hAnsi="Times New Roman"/>
          <w:sz w:val="18"/>
          <w:szCs w:val="18"/>
          <w:color w:val="auto"/>
        </w:rPr>
      </w:pPr>
    </w:p>
    <w:p>
      <w:pPr>
        <w:ind w:left="1140" w:hanging="504"/>
        <w:spacing w:after="0" w:line="281" w:lineRule="auto"/>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discovery, nonclinical studies, preclinical development, laboratory testing and clinical trials for our product candidates and associated development programs;</w:t>
      </w:r>
    </w:p>
    <w:p>
      <w:pPr>
        <w:spacing w:after="0" w:line="54"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develop, in-license or acquire other product candidates, intellectual property and/or technologies;</w:t>
      </w:r>
    </w:p>
    <w:p>
      <w:pPr>
        <w:spacing w:after="0" w:line="116" w:lineRule="exact"/>
        <w:rPr>
          <w:rFonts w:ascii="Times New Roman" w:cs="Times New Roman" w:eastAsia="Times New Roman" w:hAnsi="Times New Roman"/>
          <w:sz w:val="18"/>
          <w:szCs w:val="18"/>
          <w:color w:val="auto"/>
        </w:rPr>
      </w:pPr>
    </w:p>
    <w:p>
      <w:pPr>
        <w:ind w:left="1140" w:hanging="504"/>
        <w:spacing w:after="0" w:line="281" w:lineRule="auto"/>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manufacturing and validation activities associated with our current product candidates and with the development and manufacturing of our future product candidates as we advance them through preclinical and clinical development;</w:t>
      </w:r>
    </w:p>
    <w:p>
      <w:pPr>
        <w:spacing w:after="0" w:line="54"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product candidates that we may pursue;</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6" w:lineRule="exact"/>
        <w:rPr>
          <w:rFonts w:ascii="Times New Roman" w:cs="Times New Roman" w:eastAsia="Times New Roman" w:hAnsi="Times New Roman"/>
          <w:sz w:val="18"/>
          <w:szCs w:val="18"/>
          <w:color w:val="auto"/>
        </w:rPr>
      </w:pPr>
    </w:p>
    <w:p>
      <w:pPr>
        <w:ind w:left="1140" w:right="20" w:hanging="504"/>
        <w:spacing w:after="0" w:line="281" w:lineRule="auto"/>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capabilities and build and maintain a commercial infrastructure for product candidates for which we obtain regulatory authorization or approval;</w:t>
      </w:r>
    </w:p>
    <w:p>
      <w:pPr>
        <w:spacing w:after="0" w:line="54" w:lineRule="exact"/>
        <w:rPr>
          <w:rFonts w:ascii="Times New Roman" w:cs="Times New Roman" w:eastAsia="Times New Roman" w:hAnsi="Times New Roman"/>
          <w:sz w:val="18"/>
          <w:szCs w:val="18"/>
          <w:color w:val="auto"/>
        </w:rPr>
      </w:pPr>
    </w:p>
    <w:p>
      <w:pPr>
        <w:ind w:left="1140" w:hanging="504"/>
        <w:spacing w:after="0" w:line="281" w:lineRule="auto"/>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costs of securing sufficient manufacturing capacity for clinical and commercial supply of our product candidates, or the raw material components thereof;</w:t>
      </w:r>
    </w:p>
    <w:p>
      <w:pPr>
        <w:spacing w:after="0" w:line="54" w:lineRule="exact"/>
        <w:rPr>
          <w:rFonts w:ascii="Times New Roman" w:cs="Times New Roman" w:eastAsia="Times New Roman" w:hAnsi="Times New Roman"/>
          <w:sz w:val="18"/>
          <w:szCs w:val="18"/>
          <w:color w:val="auto"/>
        </w:rPr>
      </w:pPr>
    </w:p>
    <w:p>
      <w:pPr>
        <w:ind w:left="1140" w:hanging="504"/>
        <w:spacing w:after="0" w:line="281" w:lineRule="auto"/>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commercialization activities, including product manufacturing, marketing, sales and distribution, for any of our product candidates for which we receive regulatory authorization or approval;</w:t>
      </w:r>
    </w:p>
    <w:p>
      <w:pPr>
        <w:spacing w:after="0" w:line="54" w:lineRule="exact"/>
        <w:rPr>
          <w:rFonts w:ascii="Times New Roman" w:cs="Times New Roman" w:eastAsia="Times New Roman" w:hAnsi="Times New Roman"/>
          <w:sz w:val="18"/>
          <w:szCs w:val="18"/>
          <w:color w:val="auto"/>
        </w:rPr>
      </w:pPr>
    </w:p>
    <w:p>
      <w:pPr>
        <w:ind w:left="1140" w:hanging="504"/>
        <w:spacing w:after="0" w:line="281" w:lineRule="auto"/>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necessary to obtain regulatory authorizations or approvals, and the costs of post-marketing studies that could be required by regulatory authorities in jurisdictions where authorization or approval is obtained;</w:t>
      </w:r>
    </w:p>
    <w:p>
      <w:pPr>
        <w:spacing w:after="0" w:line="54" w:lineRule="exact"/>
        <w:rPr>
          <w:rFonts w:ascii="Times New Roman" w:cs="Times New Roman" w:eastAsia="Times New Roman" w:hAnsi="Times New Roman"/>
          <w:sz w:val="18"/>
          <w:szCs w:val="18"/>
          <w:color w:val="auto"/>
        </w:rPr>
      </w:pPr>
    </w:p>
    <w:p>
      <w:pPr>
        <w:ind w:left="1140" w:right="20" w:hanging="504"/>
        <w:spacing w:after="0" w:line="281" w:lineRule="auto"/>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spacing w:after="0" w:line="54" w:lineRule="exact"/>
        <w:rPr>
          <w:rFonts w:ascii="Times New Roman" w:cs="Times New Roman" w:eastAsia="Times New Roman" w:hAnsi="Times New Roman"/>
          <w:sz w:val="18"/>
          <w:szCs w:val="18"/>
          <w:color w:val="auto"/>
        </w:rPr>
      </w:pPr>
    </w:p>
    <w:p>
      <w:pPr>
        <w:ind w:left="1140" w:right="20" w:hanging="504"/>
        <w:spacing w:after="0" w:line="281" w:lineRule="auto"/>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continuation of our existing licensing and collaboration arrangements and entry into new collaborations and licensing arrangements, if at all;</w:t>
      </w:r>
    </w:p>
    <w:p>
      <w:pPr>
        <w:spacing w:after="0" w:line="54"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and ability to hire and retain additional research, clinical, development, scientific and manufacturing personnel;</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we incur in maintaining business operations;</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implement additional internal systems and infrastructure;</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product and market developments;</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 and</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business interruptions to our operations or to those of our third-party contractors resulting from any public health crisis.</w:t>
      </w:r>
    </w:p>
    <w:p>
      <w:pPr>
        <w:spacing w:after="0" w:line="124" w:lineRule="exact"/>
        <w:rPr>
          <w:sz w:val="20"/>
          <w:szCs w:val="20"/>
          <w:color w:val="auto"/>
        </w:rPr>
      </w:pPr>
    </w:p>
    <w:p>
      <w:pPr>
        <w:jc w:val="both"/>
        <w:ind w:firstLine="509"/>
        <w:spacing w:after="0" w:line="237" w:lineRule="auto"/>
        <w:rPr>
          <w:sz w:val="20"/>
          <w:szCs w:val="20"/>
          <w:color w:val="auto"/>
        </w:rPr>
      </w:pPr>
      <w:r>
        <w:rPr>
          <w:rFonts w:ascii="Times New Roman" w:cs="Times New Roman" w:eastAsia="Times New Roman" w:hAnsi="Times New Roman"/>
          <w:sz w:val="18"/>
          <w:szCs w:val="18"/>
          <w:color w:val="auto"/>
        </w:rPr>
        <w:t>We may require additional capital to achieve our business objectives. In December 2023, we entered into a Controlled Equity Offering</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Sales Agreement (the “Sales Agreement”) with Cantor Fitzgerald &amp; Co., as sales agent (“Cantor”), pursuant to which we may, at our option, offer and sell up to an aggregate amount of $75.0 million of our common stock, through Cantor, acting as sales agent. To date, we have sold 9,000,000 shares of our common stock under the Sales Agreement, resulting in net</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38" w:name="page39"/>
    <w:bookmarkEnd w:id="38"/>
    <w:p>
      <w:pPr>
        <w:jc w:val="both"/>
        <w:spacing w:after="0" w:line="256" w:lineRule="auto"/>
        <w:rPr>
          <w:sz w:val="20"/>
          <w:szCs w:val="20"/>
          <w:color w:val="auto"/>
        </w:rPr>
      </w:pPr>
      <w:r>
        <w:rPr>
          <w:rFonts w:ascii="Times New Roman" w:cs="Times New Roman" w:eastAsia="Times New Roman" w:hAnsi="Times New Roman"/>
          <w:sz w:val="18"/>
          <w:szCs w:val="18"/>
          <w:color w:val="auto"/>
        </w:rPr>
        <w:t>proceeds of $39.3 million. Funds additional to the proceeds we may raise under the Sales Agreement may not be available on a timely basis, on favorable terms or at all, and such funds, if raised, may not be sufficient to enable us to continue to implement our long-term business strategy. Any additional fundraising efforts may divert our management from their day-to-day activities, which may adversely affect our ability to develop and commercialize our product candidates. Further, our ability to raise additional capital may be adversely impacted by potential worsening global economic conditions, including higher inflation rates, changes in interest rates and the recent disruptions to and volatility in the credit and financial markets in the U.S. and worldwide. If we are unable to secure additional funding when needed, we could be forced to curtail our planned operations and the pursuit of our growth strategy.</w:t>
      </w:r>
    </w:p>
    <w:p>
      <w:pPr>
        <w:spacing w:after="0" w:line="74" w:lineRule="exact"/>
        <w:rPr>
          <w:sz w:val="20"/>
          <w:szCs w:val="20"/>
          <w:color w:val="auto"/>
        </w:rPr>
      </w:pPr>
    </w:p>
    <w:p>
      <w:pPr>
        <w:jc w:val="both"/>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5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 from sales of authorized or approved products, such as PEMGARDA, which received an EUA from the FDA in March 2024, we expect to finance our operations through a combination of equity offerings, government or private-party funding or grants, debt financings or other capital sources, such as collaborations with other companies, strategic alliances or licensing arrangements. We do not currently have any other committed external source of funds. To the extent that we raise additional capital through the sale of equity, including pursuant to our existing Sales Agreement with Cantor, or convertible debt securities, your ownership interest will be diluted, and the terms of such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licensing arrangements with third parties, we may be required to relinquish valuable rights to our technologies, future revenue streams or product candidates, grant licenses on terms that may not be favorable to us or commit to future payment streams. If we are unable to raise additional funds when needed, we may be required to delay, limit, reduce or terminate our product development or commercialization efforts or grant rights to develop and market product candidates that we would otherwise prefer to develop and market ourselves.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of our Product Candidates</w:t>
      </w:r>
    </w:p>
    <w:p>
      <w:pPr>
        <w:spacing w:after="0" w:line="117" w:lineRule="exact"/>
        <w:rPr>
          <w:sz w:val="20"/>
          <w:szCs w:val="20"/>
          <w:color w:val="auto"/>
        </w:rPr>
      </w:pPr>
    </w:p>
    <w:p>
      <w:pPr>
        <w:jc w:val="both"/>
        <w:ind w:right="2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Newly emerging and future SARS-CoV-2 variants could reduce the activity and effectiveness of antibodies as a potential prevention of or treatment for symptomatic COVID-19, which may significantly and adversely affect our ability to complete our clinical trials and to obtain and maintain authorization or approval of, and commercialize our product candidates.</w:t>
      </w:r>
    </w:p>
    <w:p>
      <w:pPr>
        <w:spacing w:after="0" w:line="6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Our primary focus since inception has been the development of antibodies against COVID-19. Multiple variants of the virus that cause COVID-19 have been documented in the U.S. and globally, and newly emerging and future SARS-CoV-2 variants could reduce the activity and effectiveness of antibodies as a potential prevention of or treatment for symptomatic COVID-19, which may significantly and adversely affect our ability to complete our clinical trials and to obtain and maintain authorization or approval of, and commercialize our product candidates. For example, although preclinical studies showed that adintrevimab had the potential to broadly neutralize SARS-CoV-2 and the previously predominantly circulating variants, including Alpha, Beta, Delta, and Gamma,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analyses to evaluate neutralizing activity of adintrevimab against the Omicron variant and its sublineages generated data showing reduced neutralizing activity of adintrevimab against the Omicron BA.1 and BA.1.1 sublineages compared to a reference strain and a lack of neutralizing activity against Omicron BA.2. As a result, we paused enrollment in adintrevimab’s Phase 2/3 trials in January 2022, which were subsequently closed, and we paused submission of an EUA request. While we intend to continue to monitor the evolution of SARS-CoV-2 and the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activity of adintrevimab against predominant variants in the U.S. to identify a potential opportunity for an EUA request, we cannot be certain that adintrevimab will neutralize future variants and that we will submit an EUA for adintrevimab or whether an EUA will be granted if we do submit such request.</w:t>
      </w:r>
    </w:p>
    <w:p>
      <w:pPr>
        <w:spacing w:after="0" w:line="8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PEMGARDA, which received an EUA from the FDA in March 2024, is an engineered version of adintrevimab, which we modified to improve binding to the Omicron variant and its sublineages. The EUA of PEMGARDA was based on the totality of scientific evidence available, including data showing that the calculated serum neutralizing antibody titers against JN.1 were consistent with the titer levels associated with efficacy in prior clinical trials of adintrevimab, the parent mAb for pemivibart, and other mAbs that were previously authorized for EUA. However, newly emerging and future SARS-CoV-2 variants could reduce the neutralizing activity and effectiveness of PEMGARDA. If this were to occur, the FDA may revise or revoke the EUA for PEMGARDA based on any such reduction in neutralizing activity or effectiveness of PEMGARDA, which would adversely affect our commercial prospects, and our ability to generate revenues from PEMGARDA may be limited or lost.</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39" w:name="page40"/>
    <w:bookmarkEnd w:id="39"/>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 xml:space="preserve">PEMGARDA is our first mAb in a planned series of innovative mAb candidates designed to keep pace with SARS-CoV-2 viral evolution. As the SARS-CoV-2 virus evolves over time, we anticipate leveraging our INVYMAB platform approach to periodically introduce new or engineered mAb candidates. We expect that VYD2311, a mAb optimized for neutralization potency against recent SARS-CoV-2 lineages such as BA.2.86 and JN.1, will be the next pipeline program to advance into clinical development. Based on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analyses, we believe such modifications may be able to enhance neutralization potency against current and future novel variants, but such efforts may not be successful against newly emerging or future variants, in order to support an EUA or regulatory approval of VYD2311. Additionally, it is possible that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analyses undertaken in the future may not be consistent with </w:t>
      </w:r>
      <w:r>
        <w:rPr>
          <w:rFonts w:ascii="Times New Roman" w:cs="Times New Roman" w:eastAsia="Times New Roman" w:hAnsi="Times New Roman"/>
          <w:sz w:val="18"/>
          <w:szCs w:val="18"/>
          <w:i w:val="1"/>
          <w:iCs w:val="1"/>
          <w:color w:val="auto"/>
        </w:rPr>
        <w:t xml:space="preserve">in vitro </w:t>
      </w:r>
      <w:r>
        <w:rPr>
          <w:rFonts w:ascii="Times New Roman" w:cs="Times New Roman" w:eastAsia="Times New Roman" w:hAnsi="Times New Roman"/>
          <w:sz w:val="18"/>
          <w:szCs w:val="18"/>
          <w:color w:val="auto"/>
        </w:rPr>
        <w:t>analyses. New SARS-CoV-2 variants could be less susceptible to such modifications and their mechanisms of action, or the results shown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preclinical studies may not be replicated in clinical trials. Additionally, it is possible that even if a product candidate showed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neutralizing activity against the predominant SARS-CoV-2 variant at the initiation of a clinical trial, the predominant circulating variant may evolve and neutralizing activity of the candidate become reduced or negligible during the course of a clinical trial or at the time of our planned EUA or other regulatory submission. Further, we may not be able to address reductions in neutralization potency with adjustments to the dose or dosing frequency. This would significantly and adversely affect our ability to complete our clinical trials, obtain and maintain authorization or approval of and commercialize VYD2311 or any future product candidates. In addition, if our planned dosing of a product candidate were to be increased in response to reduction in neutralizing activity against dominant circulating SARS-CoV-2 variants or for other reasons, it could impact drug supply and pricing, which could adversely affect our commercial prospects. Even if we obtain authorization or approval, such authorization or approval may be revised or revoked based on changes in circulating variants that reduce the neutralizing activity or effectiveness of our product candidates.</w:t>
      </w:r>
    </w:p>
    <w:p>
      <w:pPr>
        <w:spacing w:after="0" w:line="78"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To date, we have received regulatory authorization for only one product candidate, PEMGARDA. All of our other product candidates, other than adintrevimab, are currently in preclinical development. If we are unable to successfully develop, receive and maintain an EUA or regulatory approval for and commercialize our product candidates for the indications we seek, or successfully develop any other product candidates, or experience significant delays in doing so, our business will be harmed.</w:t>
      </w:r>
    </w:p>
    <w:p>
      <w:pPr>
        <w:spacing w:after="0" w:line="7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 xml:space="preserve">To date, we have received regulatory authorization for only one product candidate, PEMGARDA, which has not been approved, but has been authorized for emergency use by the FDA under an EUA, for pre-exposure prophylaxis of COVID-19 in certain adults and adolescent individuals (12 years of age and older weighing at least 40 kg). We currently have no other products approved or authorized for sale, and all of our other product candidates, other than adintrevimab, are currently in preclinical development. Adintrevimab is an investigational mAb that we previously advanced into global Phase 2/3 trials for the prevention and treatment of COVID-19. We reported preliminary safety and efficacy data (pre-Omicron) for both trials in March 2022. However, based on feedback from the FDA regarding adintrevimab’s lack of neutralizing activity against the Omicron BA.2 variant, we paused the submission of an EUA request and we have closed such trials. Although we intend to monitor the evolution of SARS-CoV-2 and the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activity of adintrevimab against predominant variants in the U.S. to identify a potential opportunity for an EUA request for adintrevimab in the event of a susceptible variant, we cannot be certain that adintrevimab will neutralize future variants and that we will submit an EUA for adintrevimab or whether an EUA will be granted if we do submit such request. We anticipate that VYD2311, a mAb optimized for neutralization potency against recent SARS-CoV-2 lineages such as BA.2.86 and JN.1, will be the next pipeline program to advance into clinical development; however, we cannot be certain of the potential development, regulatory or commercialization timelines of such product candidate. Our ability to generate revenue from our future product candidates will depend heavily on the successful development, regulatory approval or granting of EUA for the prevention and/or treatment of COVID-19, obtaining of manufacturing supply, capacity and expertise and eventual commercialization of our product candidates. In the absence of an EUA declaration and determination issued under the FDCA, we will not be able to receive an EUA.</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success of PEMGARDA or any other product candidates that we develop or otherwise may acquire will depend on many factors, including:</w:t>
      </w:r>
    </w:p>
    <w:p>
      <w:pPr>
        <w:spacing w:after="0" w:line="117" w:lineRule="exact"/>
        <w:rPr>
          <w:sz w:val="20"/>
          <w:szCs w:val="20"/>
          <w:color w:val="auto"/>
        </w:rPr>
      </w:pPr>
    </w:p>
    <w:p>
      <w:pPr>
        <w:jc w:val="both"/>
        <w:ind w:left="1140" w:hanging="504"/>
        <w:spacing w:after="0" w:line="265"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status of new or emerging SARS-CoV-2 variants and whether such SARS-CoV-2 variants reduce the neutralizing activity and effectiveness of PEMGARDA or any other mAb candidates we may develop, and whether we are successful in timely identifying new mAb candidates that mitigate the risk of reduced neutralizing activity and effectiveness against future SARS-CoV-2 variants;</w:t>
      </w:r>
    </w:p>
    <w:p>
      <w:pPr>
        <w:spacing w:after="0" w:line="69" w:lineRule="exact"/>
        <w:rPr>
          <w:rFonts w:ascii="Times New Roman" w:cs="Times New Roman" w:eastAsia="Times New Roman" w:hAnsi="Times New Roman"/>
          <w:sz w:val="18"/>
          <w:szCs w:val="18"/>
          <w:color w:val="auto"/>
        </w:rPr>
      </w:pPr>
    </w:p>
    <w:p>
      <w:pPr>
        <w:ind w:left="1140" w:right="20" w:hanging="504"/>
        <w:spacing w:after="0" w:line="281"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need for therapies for the prevention and treatment of COVID-19, including as a result of the development of COVID-19 into an endemic disease or the inability of other available therapies to effectively address COVID-19;</w:t>
      </w:r>
    </w:p>
    <w:p>
      <w:pPr>
        <w:spacing w:after="0" w:line="54"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our discovery, nonclinical, and clinical development activities;</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nonclinical and clinical programs we decide to pursue;</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40" w:name="page41"/>
    <w:bookmarkEnd w:id="40"/>
    <w:p>
      <w:pPr>
        <w:jc w:val="both"/>
        <w:ind w:left="504" w:hanging="504"/>
        <w:spacing w:after="0" w:line="265" w:lineRule="auto"/>
        <w:tabs>
          <w:tab w:leader="none" w:pos="50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work with the FDA or other regulatory authorities to establish streamlined development pathways that would allow us to fully leverage our INVYMAB platform approach to efficiently introduce new or engineered mAb candidates targeting SARS-CoV-2;</w:t>
      </w:r>
    </w:p>
    <w:p>
      <w:pPr>
        <w:spacing w:after="0" w:line="69" w:lineRule="exact"/>
        <w:rPr>
          <w:rFonts w:ascii="Times New Roman" w:cs="Times New Roman" w:eastAsia="Times New Roman" w:hAnsi="Times New Roman"/>
          <w:sz w:val="18"/>
          <w:szCs w:val="18"/>
          <w:color w:val="auto"/>
        </w:rPr>
      </w:pPr>
    </w:p>
    <w:p>
      <w:pPr>
        <w:ind w:left="504" w:right="20" w:hanging="504"/>
        <w:spacing w:after="0" w:line="281" w:lineRule="auto"/>
        <w:tabs>
          <w:tab w:leader="none" w:pos="50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acceptable IND applications with the FDA or comparable foreign applications that allow commencement of our planned clinical trials or future clinical trials for our product candidates;</w:t>
      </w:r>
    </w:p>
    <w:p>
      <w:pPr>
        <w:spacing w:after="0" w:line="54" w:lineRule="exact"/>
        <w:rPr>
          <w:rFonts w:ascii="Times New Roman" w:cs="Times New Roman" w:eastAsia="Times New Roman" w:hAnsi="Times New Roman"/>
          <w:sz w:val="18"/>
          <w:szCs w:val="18"/>
          <w:color w:val="auto"/>
        </w:rPr>
      </w:pPr>
    </w:p>
    <w:p>
      <w:pPr>
        <w:ind w:left="504" w:hanging="504"/>
        <w:spacing w:after="0" w:line="281" w:lineRule="auto"/>
        <w:tabs>
          <w:tab w:leader="none" w:pos="50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reach agreement with the FDA or other regulatory authorities as to the design or implementation of our clinical trials, including the use of a correlate of protection (surrogate of clinical efficacy) in an immunobridging approach to a pivotal clinical trial;</w:t>
      </w:r>
    </w:p>
    <w:p>
      <w:pPr>
        <w:spacing w:after="0" w:line="54" w:lineRule="exact"/>
        <w:rPr>
          <w:rFonts w:ascii="Times New Roman" w:cs="Times New Roman" w:eastAsia="Times New Roman" w:hAnsi="Times New Roman"/>
          <w:sz w:val="18"/>
          <w:szCs w:val="18"/>
          <w:color w:val="auto"/>
        </w:rPr>
      </w:pPr>
    </w:p>
    <w:p>
      <w:pPr>
        <w:ind w:left="504" w:hanging="504"/>
        <w:spacing w:after="0" w:line="281" w:lineRule="auto"/>
        <w:tabs>
          <w:tab w:leader="none" w:pos="50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financial and other resources to complete the necessary nonclinical studies and clinical trials, manufacture the product candidates and complete associated regulatory activities;</w:t>
      </w:r>
    </w:p>
    <w:p>
      <w:pPr>
        <w:spacing w:after="0" w:line="54" w:lineRule="exact"/>
        <w:rPr>
          <w:rFonts w:ascii="Times New Roman" w:cs="Times New Roman" w:eastAsia="Times New Roman" w:hAnsi="Times New Roman"/>
          <w:sz w:val="18"/>
          <w:szCs w:val="18"/>
          <w:color w:val="auto"/>
        </w:rPr>
      </w:pPr>
    </w:p>
    <w:p>
      <w:pPr>
        <w:jc w:val="both"/>
        <w:ind w:left="504" w:hanging="504"/>
        <w:spacing w:after="0" w:line="265" w:lineRule="auto"/>
        <w:tabs>
          <w:tab w:leader="none" w:pos="50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agreements with third-party manufacturers and suppliers for clinical supply for our clinical trials and commercial manufacturing and successfully develop, obtain regulatory authorization or approval for, and then successfully commercialize our product candidates;</w:t>
      </w:r>
    </w:p>
    <w:p>
      <w:pPr>
        <w:spacing w:after="0" w:line="69" w:lineRule="exact"/>
        <w:rPr>
          <w:rFonts w:ascii="Times New Roman" w:cs="Times New Roman" w:eastAsia="Times New Roman" w:hAnsi="Times New Roman"/>
          <w:sz w:val="18"/>
          <w:szCs w:val="18"/>
          <w:color w:val="auto"/>
        </w:rPr>
      </w:pPr>
    </w:p>
    <w:p>
      <w:pPr>
        <w:ind w:left="504" w:hanging="504"/>
        <w:spacing w:after="0"/>
        <w:tabs>
          <w:tab w:leader="none" w:pos="50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and timely completion of clinical trials, including our ability to generate positive data from any such clinical trials;</w:t>
      </w:r>
    </w:p>
    <w:p>
      <w:pPr>
        <w:spacing w:after="0" w:line="116" w:lineRule="exact"/>
        <w:rPr>
          <w:rFonts w:ascii="Times New Roman" w:cs="Times New Roman" w:eastAsia="Times New Roman" w:hAnsi="Times New Roman"/>
          <w:sz w:val="18"/>
          <w:szCs w:val="18"/>
          <w:color w:val="auto"/>
        </w:rPr>
      </w:pPr>
    </w:p>
    <w:p>
      <w:pPr>
        <w:ind w:left="504" w:hanging="504"/>
        <w:spacing w:after="0" w:line="281" w:lineRule="auto"/>
        <w:tabs>
          <w:tab w:leader="none" w:pos="50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the discovery and development of any additional development programs and product candidates we identify in-house or acquire through collaborations;</w:t>
      </w:r>
    </w:p>
    <w:p>
      <w:pPr>
        <w:spacing w:after="0" w:line="54" w:lineRule="exact"/>
        <w:rPr>
          <w:rFonts w:ascii="Times New Roman" w:cs="Times New Roman" w:eastAsia="Times New Roman" w:hAnsi="Times New Roman"/>
          <w:sz w:val="18"/>
          <w:szCs w:val="18"/>
          <w:color w:val="auto"/>
        </w:rPr>
      </w:pPr>
    </w:p>
    <w:p>
      <w:pPr>
        <w:ind w:left="504" w:right="20" w:hanging="504"/>
        <w:spacing w:after="0" w:line="281" w:lineRule="auto"/>
        <w:tabs>
          <w:tab w:leader="none" w:pos="50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receipt of authorizations or approvals from applicable regulatory authorities, and the scope and duration of any emergency use authorization received, such as the EUA for PEMGARDA;</w:t>
      </w:r>
    </w:p>
    <w:p>
      <w:pPr>
        <w:spacing w:after="0" w:line="54" w:lineRule="exact"/>
        <w:rPr>
          <w:rFonts w:ascii="Times New Roman" w:cs="Times New Roman" w:eastAsia="Times New Roman" w:hAnsi="Times New Roman"/>
          <w:sz w:val="18"/>
          <w:szCs w:val="18"/>
          <w:color w:val="auto"/>
        </w:rPr>
      </w:pPr>
    </w:p>
    <w:p>
      <w:pPr>
        <w:ind w:left="504" w:hanging="504"/>
        <w:spacing w:after="0" w:line="281" w:lineRule="auto"/>
        <w:tabs>
          <w:tab w:leader="none" w:pos="50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expanding sales, marketing and distribution capabilities and commercializing products, if authorized or approved, whether alone or in collaboration with others;</w:t>
      </w:r>
    </w:p>
    <w:p>
      <w:pPr>
        <w:spacing w:after="0" w:line="54" w:lineRule="exact"/>
        <w:rPr>
          <w:rFonts w:ascii="Times New Roman" w:cs="Times New Roman" w:eastAsia="Times New Roman" w:hAnsi="Times New Roman"/>
          <w:sz w:val="18"/>
          <w:szCs w:val="18"/>
          <w:color w:val="auto"/>
        </w:rPr>
      </w:pPr>
    </w:p>
    <w:p>
      <w:pPr>
        <w:ind w:left="504" w:hanging="504"/>
        <w:spacing w:after="0" w:line="281" w:lineRule="auto"/>
        <w:tabs>
          <w:tab w:leader="none" w:pos="50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and maintain required state licenses for distribution of our products, if authorized or approved, or other distribution disruptions;</w:t>
      </w:r>
    </w:p>
    <w:p>
      <w:pPr>
        <w:spacing w:after="0" w:line="54" w:lineRule="exact"/>
        <w:rPr>
          <w:rFonts w:ascii="Times New Roman" w:cs="Times New Roman" w:eastAsia="Times New Roman" w:hAnsi="Times New Roman"/>
          <w:sz w:val="18"/>
          <w:szCs w:val="18"/>
          <w:color w:val="auto"/>
        </w:rPr>
      </w:pPr>
    </w:p>
    <w:p>
      <w:pPr>
        <w:ind w:left="504" w:hanging="504"/>
        <w:spacing w:after="0" w:line="281" w:lineRule="auto"/>
        <w:tabs>
          <w:tab w:leader="none" w:pos="50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benefits and use of our products, including method of administration, if authorized or approved, by patients, the medical community and third-party payors, for their authorized or approved indications;</w:t>
      </w:r>
    </w:p>
    <w:p>
      <w:pPr>
        <w:spacing w:after="0" w:line="54" w:lineRule="exact"/>
        <w:rPr>
          <w:rFonts w:ascii="Times New Roman" w:cs="Times New Roman" w:eastAsia="Times New Roman" w:hAnsi="Times New Roman"/>
          <w:sz w:val="18"/>
          <w:szCs w:val="18"/>
          <w:color w:val="auto"/>
        </w:rPr>
      </w:pPr>
    </w:p>
    <w:p>
      <w:pPr>
        <w:ind w:left="504" w:hanging="504"/>
        <w:spacing w:after="0"/>
        <w:tabs>
          <w:tab w:leader="none" w:pos="50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adverse events experienced with our product candidates;</w:t>
      </w:r>
    </w:p>
    <w:p>
      <w:pPr>
        <w:spacing w:after="0" w:line="116" w:lineRule="exact"/>
        <w:rPr>
          <w:rFonts w:ascii="Times New Roman" w:cs="Times New Roman" w:eastAsia="Times New Roman" w:hAnsi="Times New Roman"/>
          <w:sz w:val="18"/>
          <w:szCs w:val="18"/>
          <w:color w:val="auto"/>
        </w:rPr>
      </w:pPr>
    </w:p>
    <w:p>
      <w:pPr>
        <w:ind w:left="504" w:hanging="504"/>
        <w:spacing w:after="0"/>
        <w:tabs>
          <w:tab w:leader="none" w:pos="50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perceived advantages, cost, safety and efficacy of alternative therapies for any product candidate that we develop;</w:t>
      </w:r>
    </w:p>
    <w:p>
      <w:pPr>
        <w:spacing w:after="0" w:line="116" w:lineRule="exact"/>
        <w:rPr>
          <w:rFonts w:ascii="Times New Roman" w:cs="Times New Roman" w:eastAsia="Times New Roman" w:hAnsi="Times New Roman"/>
          <w:sz w:val="18"/>
          <w:szCs w:val="18"/>
          <w:color w:val="auto"/>
        </w:rPr>
      </w:pPr>
    </w:p>
    <w:p>
      <w:pPr>
        <w:ind w:left="504" w:hanging="504"/>
        <w:spacing w:after="0" w:line="281" w:lineRule="auto"/>
        <w:tabs>
          <w:tab w:leader="none" w:pos="50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sufficiency of government funding for the purchase and/or reimbursement of products for the diagnosis, prevention and treatment of COVID-19;</w:t>
      </w:r>
    </w:p>
    <w:p>
      <w:pPr>
        <w:spacing w:after="0" w:line="54" w:lineRule="exact"/>
        <w:rPr>
          <w:rFonts w:ascii="Times New Roman" w:cs="Times New Roman" w:eastAsia="Times New Roman" w:hAnsi="Times New Roman"/>
          <w:sz w:val="18"/>
          <w:szCs w:val="18"/>
          <w:color w:val="auto"/>
        </w:rPr>
      </w:pPr>
    </w:p>
    <w:p>
      <w:pPr>
        <w:jc w:val="both"/>
        <w:ind w:left="504" w:hanging="504"/>
        <w:spacing w:after="0" w:line="265" w:lineRule="auto"/>
        <w:tabs>
          <w:tab w:leader="none" w:pos="50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third-party coverage and adequate reimbursement for our product candidates, if authorized or approved, and the extent to which patients will be willing to pay out-of-pocket for such products, in the absence of such coverage or reimbursement for all or part of the cost;</w:t>
      </w:r>
    </w:p>
    <w:p>
      <w:pPr>
        <w:spacing w:after="0" w:line="69" w:lineRule="exact"/>
        <w:rPr>
          <w:rFonts w:ascii="Times New Roman" w:cs="Times New Roman" w:eastAsia="Times New Roman" w:hAnsi="Times New Roman"/>
          <w:sz w:val="18"/>
          <w:szCs w:val="18"/>
          <w:color w:val="auto"/>
        </w:rPr>
      </w:pPr>
    </w:p>
    <w:p>
      <w:pPr>
        <w:ind w:left="504" w:hanging="504"/>
        <w:spacing w:after="0" w:line="281" w:lineRule="auto"/>
        <w:tabs>
          <w:tab w:leader="none" w:pos="50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collaboration, license or other arrangement, including the terms and timing of any milestone payments thereunder;</w:t>
      </w:r>
    </w:p>
    <w:p>
      <w:pPr>
        <w:spacing w:after="0" w:line="54" w:lineRule="exact"/>
        <w:rPr>
          <w:rFonts w:ascii="Times New Roman" w:cs="Times New Roman" w:eastAsia="Times New Roman" w:hAnsi="Times New Roman"/>
          <w:sz w:val="18"/>
          <w:szCs w:val="18"/>
          <w:color w:val="auto"/>
        </w:rPr>
      </w:pPr>
    </w:p>
    <w:p>
      <w:pPr>
        <w:ind w:left="504" w:hanging="504"/>
        <w:spacing w:after="0" w:line="281" w:lineRule="auto"/>
        <w:tabs>
          <w:tab w:leader="none" w:pos="50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 trademark and trade secret protection and regulatory exclusivity for our product candidates if approved, and otherwise protecting our rights in our intellectual property portfolio;</w:t>
      </w:r>
    </w:p>
    <w:p>
      <w:pPr>
        <w:spacing w:after="0" w:line="54" w:lineRule="exact"/>
        <w:rPr>
          <w:rFonts w:ascii="Times New Roman" w:cs="Times New Roman" w:eastAsia="Times New Roman" w:hAnsi="Times New Roman"/>
          <w:sz w:val="18"/>
          <w:szCs w:val="18"/>
          <w:color w:val="auto"/>
        </w:rPr>
      </w:pPr>
    </w:p>
    <w:p>
      <w:pPr>
        <w:ind w:left="504" w:right="20" w:hanging="504"/>
        <w:spacing w:after="0" w:line="281" w:lineRule="auto"/>
        <w:tabs>
          <w:tab w:leader="none" w:pos="50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compliance with regulatory requirements, cGCP, cGLP, and cGMP, and to comply effectively with other rules, regulations and procedures applicable to the development and sale of pharmaceutical products;</w:t>
      </w:r>
    </w:p>
    <w:p>
      <w:pPr>
        <w:spacing w:after="0" w:line="54" w:lineRule="exact"/>
        <w:rPr>
          <w:rFonts w:ascii="Times New Roman" w:cs="Times New Roman" w:eastAsia="Times New Roman" w:hAnsi="Times New Roman"/>
          <w:sz w:val="18"/>
          <w:szCs w:val="18"/>
          <w:color w:val="auto"/>
        </w:rPr>
      </w:pPr>
    </w:p>
    <w:p>
      <w:pPr>
        <w:ind w:left="504" w:hanging="504"/>
        <w:spacing w:after="0"/>
        <w:tabs>
          <w:tab w:leader="none" w:pos="50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significant and changing government regulation, regulatory guidance and requirements and evolving treatment guidelines;</w:t>
      </w:r>
    </w:p>
    <w:p>
      <w:pPr>
        <w:spacing w:after="0" w:line="116" w:lineRule="exact"/>
        <w:rPr>
          <w:rFonts w:ascii="Times New Roman" w:cs="Times New Roman" w:eastAsia="Times New Roman" w:hAnsi="Times New Roman"/>
          <w:sz w:val="18"/>
          <w:szCs w:val="18"/>
          <w:color w:val="auto"/>
        </w:rPr>
      </w:pPr>
    </w:p>
    <w:p>
      <w:pPr>
        <w:ind w:left="504" w:hanging="504"/>
        <w:spacing w:after="0" w:line="281" w:lineRule="auto"/>
        <w:tabs>
          <w:tab w:leader="none" w:pos="50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continued acceptable safety, tolerability and efficacy profile of products following any authorization or approval; and</w:t>
      </w:r>
    </w:p>
    <w:p>
      <w:pPr>
        <w:spacing w:after="0" w:line="54" w:lineRule="exact"/>
        <w:rPr>
          <w:rFonts w:ascii="Times New Roman" w:cs="Times New Roman" w:eastAsia="Times New Roman" w:hAnsi="Times New Roman"/>
          <w:sz w:val="18"/>
          <w:szCs w:val="18"/>
          <w:color w:val="auto"/>
        </w:rPr>
      </w:pPr>
    </w:p>
    <w:p>
      <w:pPr>
        <w:ind w:left="504" w:hanging="504"/>
        <w:spacing w:after="0" w:line="281" w:lineRule="auto"/>
        <w:tabs>
          <w:tab w:leader="none" w:pos="50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business interruptions to our operations or those of third parties with which we work, including as a result of any public health crisis.</w:t>
      </w:r>
    </w:p>
    <w:p>
      <w:pPr>
        <w:spacing w:after="0" w:line="270"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483870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4"/>
          </w:cols>
          <w:pgMar w:left="956" w:top="1200" w:right="339" w:bottom="1440" w:gutter="0" w:footer="0" w:header="0"/>
        </w:sectPr>
      </w:pPr>
    </w:p>
    <w:bookmarkStart w:id="41" w:name="page42"/>
    <w:bookmarkEnd w:id="41"/>
    <w:p>
      <w:pPr>
        <w:jc w:val="both"/>
        <w:ind w:right="20" w:firstLine="509"/>
        <w:spacing w:after="0" w:line="260" w:lineRule="auto"/>
        <w:rPr>
          <w:sz w:val="20"/>
          <w:szCs w:val="20"/>
          <w:color w:val="auto"/>
        </w:rPr>
      </w:pPr>
      <w:r>
        <w:rPr>
          <w:rFonts w:ascii="Times New Roman" w:cs="Times New Roman" w:eastAsia="Times New Roman" w:hAnsi="Times New Roman"/>
          <w:sz w:val="18"/>
          <w:szCs w:val="18"/>
          <w:color w:val="auto"/>
        </w:rPr>
        <w:t>If we are not successful with respect to one or more of these factors in a timely manner or at all, we could experience significant delays or an inability to successfully commercialize PEMGARDA or any other product candidates that we develop or otherwise may acquire, which would materially harm our business. If we do not receive authorization or approval for any future product candidates we develop or otherwise may acquire, we may not be able to continue our operations.</w:t>
      </w:r>
    </w:p>
    <w:p>
      <w:pPr>
        <w:spacing w:after="0" w:line="70"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our product candidates represent novel approaches to the prevention and/or treatment of a relatively new disease, there are many uncertainties regarding the development, market acceptance, third-party reimbursement coverage and commercial potential of our product candidates. We may not be successful in aligning with regulators on an expedited and replicable pathway to SARS-CoV-2 mAb authorization or approval.</w:t>
      </w:r>
    </w:p>
    <w:p>
      <w:pPr>
        <w:spacing w:after="0" w:line="6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COVID-19 is a relatively new disease, and the prevention and treatment of this disease is evolving. Another party may be successful in producing a more efficacious prophylaxis or treatment for COVID-19, which may make it more difficult for us to obtain funding or lead to decreased demand for our product candidates. Many small and large companies are developing therapies for the prevention and/or treatment of COVID-19, including antibodies, vaccines, antivirals, and other products. Some of these are being marketed and others are further along in the development and commercialization process than we are and several of these companies have access to larger pools of capital, including government funding, and broader infrastructure that may make them more successful at developing, manufacturing or commercializing their products for the prevention and/or treatment of COVID-19. The success or failure of other companies, or perceived success or failure, may impact our ability to obtain future funding or to successfully commercialize our product candidates for COVID-19 prevention and/or treatment.</w:t>
      </w:r>
    </w:p>
    <w:p>
      <w:pPr>
        <w:spacing w:after="0" w:line="8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As of the date of this report, no mAb has been approved in the U.S. for prevention (pre- or post-exposure) or treatment of COVID-19. Other than the EUA for PEMGARDA issued by the FDA in March 2024, the FDA previously issued an EUA for tixagevimab/cilgavimab for pre-exposure prophylaxis of COVID-19, in addition to EUAs for casirivimab/imdevimab and bamlanivimab/etesevimab for post-exposure prophylaxis of COVID-19 in certain individuals. In addition, four mAb products, casirivimab/imdevimab, bamlanivimab/etesevimab, sotrovimab, and bebtelovimab received an EUA from the FDA for the treatment of COVID-19 in patients at high risk of disease progression. However, the clinical utility of these products has varied over time due to the emergence of SARS-CoV-2 variants demonstrating partial or full resistance to neutralization and at this time none of these products, other than PEMGARDA, are authorized for use in prevention or treatment of COVID-19 in the U.S. due to loss of activity as new variants emerged.</w:t>
      </w:r>
    </w:p>
    <w:p>
      <w:pPr>
        <w:spacing w:after="0" w:line="7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Because the use of engineered mAbs is a relatively new and expanding area of novel therapeutic interventions, there are many uncertainties related to development, marketing, reimbursement and the commercial potential for our product candidates. In pursuing, and eventually obtaining, an EUA for PEMGARDA in the U.S., we aligned with the FDA on a primary efficacy analysis for our CANOPY Phase 3 pivotal clinical trial that used a correlate of protection (surrogate of clinical efficacy) in an immunobridging approach comparing data obtained in the CANOPY clinical trial to certain historical data from our previous Phase 2/3 clinical trial of adintrevimab for the prevention of COVID-19 (EVADE). Based on FDA feedback, the use of a correlate of protection in an immunobridging approach to a pivotal EUA-directed clinical trial may be a reasonable approach for a new mAb candidate when clinical trial data from a “prototype” mAb is available and the new mAb candidate satisfies certain criteria. We continue to engage with the FDA with the aim of establishing expedited and replicable pathways for the authorization or approval of new or engineered SARS-CoV-2 mAbs that emerge from our INVYMAB platform approach. We expect that these discussions with the FDA will continue as we advance VYD2311, a mAb developed using our INVYMAB platform approach. However, there can be no assurance of the outcome of these discussions, that VYD2311 or any future product candidates will meet the necessary criteria to leverage the same pathway to a potential EUA as PEMGARDA or as to the length of the clinical trials, the number of patients the FDA or other comparable foreign regulatory authorities will require to be enrolled in the clinical trials, or that the design of or data generated in the clinical trials will be acceptable to the FDA or other comparable foreign regulatory authorities to support EUA, or similar authorization outside of the U.S., or marketing approval.</w:t>
      </w:r>
    </w:p>
    <w:p>
      <w:pPr>
        <w:spacing w:after="0" w:line="8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the FDA or other comparable foreign regulatory authorities may take longer than usual to come to a decision on any request for authorization or approval that we submit and may ultimately determine that there is insufficient data, information or experience with our product candidates to support an authorization or approval decision. The FDA or other comparable foreign regulatory authorities may also require that we conduct additional post-marketing studies or implement risk management programs, such as REMS, until more experience with our product candidates is obtained. Finally, after increased usage, we may find that our product candidates do not have the intended effect or have unanticipated side effects, potentially jeopardizing initial or continuing regulatory authorization or approval and commercial prospects.</w:t>
      </w:r>
    </w:p>
    <w:p>
      <w:pPr>
        <w:spacing w:after="0" w:line="78"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The success of our business depends largely upon our ability to rapidly and perpetually develop engineered mAbs that can broadly neutralize SARS-CoV-2, SARS-CoV and additional pre-emergent coronaviruses. We may fail to deliver mAbs that effectively prevent or treat symptomatic COVID-19. Even if we are able to identify and develop such mAbs, we cannot ensure that such product candidates will achieve authorization or approval to safely and effectively prevent or treat symptomatic COVID-19 or other future coronavirus diseases, or achieve commercial success, even if authorized or approved.</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42" w:name="page43"/>
    <w:bookmarkEnd w:id="42"/>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If we uncover any previously unknown risks related to our mAbs, or if we experience unanticipated expenses, problems or delays in developing our product candidates, we may be unable to achieve our strategy of leveraging our INVYMAB platform approach to rapidly and perpetually deliver antibody-based therapies that protect vulnerable people from the devastating consequences of circulating viral threats. Further, competitors who are developing products with similar technology may experience problems with their products that could identify problems that would potentially harm our business.</w:t>
      </w:r>
    </w:p>
    <w:p>
      <w:pPr>
        <w:spacing w:after="0" w:line="7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There is no assurance that the approaches offered by our product candidates will gain broad acceptance among healthcare practitioners or patients or that governmental agencies or third-party medical insurers will be willing to provide reimbursement coverage for our product candidates. Since our product candidates represent novel approaches to treating various conditions, it may be difficult, in any event, to accurately estimate the potential revenues from these product candidates. Accordingly, we may spend significant capital trying to obtain authorization or approval for product candidates that have an uncertain commercial market. The market for any products that we successfully develop will also depend on the cost of the product. If we do not successfully develop and commercialize products based upon our approach or find suitable and economical sources for materials used in the production of our products, we will not become profitable, which would materially and adversely affect the value of our common stock.</w:t>
      </w:r>
    </w:p>
    <w:p>
      <w:pPr>
        <w:spacing w:after="0" w:line="79"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In addition, our mAbs may be provided to patients in combination with other agents provided by third parties or by us. The cost of such combination therapy may increase the overall cost of therapy, which may affect our ability to obtain reimbursement coverage for the combination therapy from governmental or private third-party medical insurers.</w:t>
      </w:r>
    </w:p>
    <w:p>
      <w:pPr>
        <w:spacing w:after="0" w:line="65"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INVYMAB platform approach may not produce durable, broadly neutralizing, effective or safe mAbs in an adequate time period to address a changing virus. If we are unable to timely identify, develop, obtain and maintain authorization or approval for, and commercialize mAbs on a perpetual basis that keeps pace with viral evolution, our business prospects will be significantly harmed.</w:t>
      </w:r>
    </w:p>
    <w:p>
      <w:pPr>
        <w:spacing w:after="0" w:line="6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PEMGARDA is our first mAb in a planned series of innovative mAb candidates designed to keep pace with SARS-CoV-2 viral evolution. We anticipate leveraging our INVYMAB platform approach to periodically introduce new or engineered mAb candidates. Our INVYMAB platform approach is designed to produce new or engineered mAb candidates that provide broad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neutralization against past and current VoCs and their sublineages. However, we may not be successful in developing product candidates, or developing product candidates in an adequate time period, to target a changing virus. If we do develop product candidates, they may not be durable enough to increase the probability of providing a longer period of protection than other antibody solutions or be high-functioning and long-lasting with a high barrier to viral escape. If we are unable to timely identify, develop, obtain and maintain authorization or approval for, and commercialize mAbs on a perpetual basis that keeps pace with viral evolution, our business prospects will be significantly harmed.</w:t>
      </w:r>
    </w:p>
    <w:p>
      <w:pPr>
        <w:spacing w:after="0" w:line="77"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Preclinical studies and clinical trials are expensive, time-consuming, difficult to design and implement, and involve an uncertain outcome. Further, we may encounter substantial delays in completing the development of our product candidates. If we are not able to obtain and maintain required regulatory authorizations or approvals, we will not be able to successfully commercialize our product candidates, and our ability to generate product revenue will be adversely affected.</w:t>
      </w:r>
    </w:p>
    <w:p>
      <w:pPr>
        <w:spacing w:after="0" w:line="7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To date, we have received regulatory authorization for only one product candidate, PEMGARDA, which has not been approved, but has been authorized for emergency use by the FDA under an EUA, for pre-exposure prophylaxis of COVID-19 in certain adults and adolescent individuals (12 years of age and older weighing at least 40 kg). All of our other product candidates, other than adintrevimab, are in preclinical development and their risk of failure is high. The clinical trials and manufacturing of our product candidates are, and the manufacturing and marketing of our products, if authorized or approved, will be, subject to extensive and rigorous review and regulation by numerous government authorities in the U.S. and in other countries where we may test and market our product candidates. Before obtaining regulatory authorization to commercialize any of our product candidates, we must demonstrate through complex and expensive preclinical testing and clinical trials certain efficacy and safety requirements of the applicable regulatory agencies. For regulatory approval, we must demonstrate that our product candidates are both safe and effective for use in each target indication, typically requiring lengthy, large, well-controlled clinical studies. In particular, because our product candidates are subject to regulation as biological products, we will need to demonstrate that they are safe, pure and potent for use in their target indications. Each product candidate must demonstrate an adequate risk versus benefit profile in its intended patient population and for its intended use.</w:t>
      </w:r>
    </w:p>
    <w:p>
      <w:pPr>
        <w:spacing w:after="0" w:line="8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Clinical testing is expensive and can take many years to complete, and its outcome is inherently uncertain and depends upon numerous factors, including the substantial discretion of the regulatory authorities. In addition, authorization or approval policies, regulations or the type and amount of clinical data necessary to gain authorization or approval may change during the course of a product candidate’s clinical development and may vary among jurisdictions. We cannot guarantee that any clinical trials will be conducted as planned or completed on schedule, if at all. Failure can occur at any time during the clinical trial process, and we could encounter problems that cause us to abandon or repeat clinical trials. Even if our future clinical trials are completed as planned, we cannot be certain that their results will support the safety and effectiveness of our product candidates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43" w:name="page44"/>
    <w:bookmarkEnd w:id="43"/>
    <w:p>
      <w:pPr>
        <w:jc w:val="both"/>
        <w:spacing w:after="0" w:line="281" w:lineRule="auto"/>
        <w:rPr>
          <w:sz w:val="20"/>
          <w:szCs w:val="20"/>
          <w:color w:val="auto"/>
        </w:rPr>
      </w:pPr>
      <w:r>
        <w:rPr>
          <w:rFonts w:ascii="Times New Roman" w:cs="Times New Roman" w:eastAsia="Times New Roman" w:hAnsi="Times New Roman"/>
          <w:sz w:val="18"/>
          <w:szCs w:val="18"/>
          <w:color w:val="auto"/>
        </w:rPr>
        <w:t>for their targeted indications or support continued clinical development of such product candidates. Our current or future clinical trial results may not be successful.</w:t>
      </w:r>
    </w:p>
    <w:p>
      <w:pPr>
        <w:spacing w:after="0" w:line="5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even if such trials are successfully completed, we cannot guarantee that the FDA or foreign regulatory authorities will interpret the results as we do, and more trials could be required before we submit our product candidates for authorization or approval. Moreover, results acceptable to support authorization or approval in one jurisdiction may be deemed inadequate by another regulatory authority to support regulatory authorization or approval in that other jurisdiction. To the extent that the results of the trials are not satisfactory to the FDA or foreign regulatory authorities for support of an authorization or approval, we may be required to expend significant resources, which may not be available to us, to conduct additional preclinical studies or trials for our product candidates either prior to or post-authorization or approval, or they may object to elements of our clinical development program, requiring their alteration.</w:t>
      </w:r>
    </w:p>
    <w:p>
      <w:pPr>
        <w:spacing w:after="0" w:line="7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Of the large number of products in development, only a small percentage successfully complete the FDA’s or comparable foreign regulatory authorities’ approval processes and are commercialized. Even if we eventually complete clinical testing and receive authorization for emergency use or approval of a BLA or foreign marketing application for our product candidates, the FDA or the comparable foreign regulatory authorities may grant approval or other marketing authorization contingent on the performance of costly additional clinical trials, including post-market clinical trials. The FDA or the comparable foreign regulatory authorities also may authorize or approve for marketing a product candidate for a more limited indication or patient population than we originally request, and the FDA or comparable foreign regulatory authorities may not approve or authorize the labeling that we believe is necessary or desirable for the successful commercialization of a product candidate. Any delay in obtaining, or inability to obtain, applicable regulatory approval or other marketing authorization would delay or prevent commercialization of that product candidate and would adversely impact our business and prospects.</w:t>
      </w:r>
    </w:p>
    <w:p>
      <w:pPr>
        <w:spacing w:after="0" w:line="78"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Furthermore, even if we obtain regulatory authorization or approval for our product candidates, we still need to build and maintain a commercial organization, establish a commercially viable pricing structure and obtain approval for coverage and adequate reimbursement from commercial and government payors, including government health administration authorities. If we are unable to successfully commercialize PEMGARDA or any of our future product candidates, we may not be able to generate sufficient revenue to continue our business.</w:t>
      </w:r>
    </w:p>
    <w:p>
      <w:pPr>
        <w:spacing w:after="0" w:line="70"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and may experience delays in beginning or conducting clinical trials or numerous unforeseen events before, during or as a result of clinical trials that could delay or prevent our ability to complete clinical trials, receive regulatory authorization or approval or commercialize our product candidates.</w:t>
      </w:r>
    </w:p>
    <w:p>
      <w:pPr>
        <w:spacing w:after="0" w:line="66"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We have and may again in the future experience delays in conducting clinical trials, and we do not know whether our clinical trials will begin on time, need to be redesigned, recruit and enroll patients on time or be completed on schedule, or at all. We may experience numerous unforeseen events before, during or after the conduct of our clinical trials that could delay or prevent our ability to complete such trials or receive regulatory authorization or approval for or commercialize our product candidates, or that could significantly increase the cost of such trials, including:</w:t>
      </w:r>
    </w:p>
    <w:p>
      <w:pPr>
        <w:spacing w:after="0" w:line="72" w:lineRule="exact"/>
        <w:rPr>
          <w:sz w:val="20"/>
          <w:szCs w:val="20"/>
          <w:color w:val="auto"/>
        </w:rPr>
      </w:pPr>
    </w:p>
    <w:p>
      <w:pPr>
        <w:ind w:left="1140" w:hanging="504"/>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inability to generate sufficient preclinical, toxicology, or other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data to support the initiation of clinical trials;</w:t>
      </w:r>
    </w:p>
    <w:p>
      <w:pPr>
        <w:spacing w:after="0" w:line="118"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sufficiently developing, characterizing or controlling a manufacturing process suitable for advanced clinical trials;</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developing suitable assays for screening patients for eligibility for trials with respect to certain product candidates;</w:t>
      </w:r>
    </w:p>
    <w:p>
      <w:pPr>
        <w:spacing w:after="0" w:line="116" w:lineRule="exact"/>
        <w:rPr>
          <w:rFonts w:ascii="Times New Roman" w:cs="Times New Roman" w:eastAsia="Times New Roman" w:hAnsi="Times New Roman"/>
          <w:sz w:val="18"/>
          <w:szCs w:val="18"/>
          <w:color w:val="auto"/>
        </w:rPr>
      </w:pPr>
    </w:p>
    <w:p>
      <w:pPr>
        <w:ind w:left="1140" w:hanging="504"/>
        <w:spacing w:after="0" w:line="281"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with the FDA or other regulatory authorities as to the design or implementation of our clinical trials, including the use of a correlate of protection (surrogate of clinical efficacy) in an immunobridging approach to a pivotal clinical trial;</w:t>
      </w:r>
    </w:p>
    <w:p>
      <w:pPr>
        <w:spacing w:after="0" w:line="54"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regulatory authorization to commence a clinical trial;</w:t>
      </w:r>
    </w:p>
    <w:p>
      <w:pPr>
        <w:spacing w:after="0" w:line="116" w:lineRule="exact"/>
        <w:rPr>
          <w:rFonts w:ascii="Times New Roman" w:cs="Times New Roman" w:eastAsia="Times New Roman" w:hAnsi="Times New Roman"/>
          <w:sz w:val="18"/>
          <w:szCs w:val="18"/>
          <w:color w:val="auto"/>
        </w:rPr>
      </w:pPr>
    </w:p>
    <w:p>
      <w:pPr>
        <w:ind w:left="1140" w:hanging="504"/>
        <w:spacing w:after="0" w:line="281"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reaching an agreement on acceptable terms with clinical trial sites or prospective CROs, the terms of which can be subject to extensive negotiation and may vary significantly among different clinical trial sites;</w:t>
      </w:r>
    </w:p>
    <w:p>
      <w:pPr>
        <w:spacing w:after="0" w:line="54"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IRB approval or Ethics Committees opinions at each trial site;</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recruiting suitable patients to participate in a clinical trial;</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having patients complete a clinical trial or return for post-treatment follow-up;</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findings from inspections of clinical trial sites or operations by applicable regulatory authorities, or the imposition of a clinical hold;</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44" w:name="page45"/>
    <w:bookmarkEnd w:id="44"/>
    <w:p>
      <w:pPr>
        <w:ind w:left="504" w:hanging="504"/>
        <w:spacing w:after="0" w:line="281" w:lineRule="auto"/>
        <w:tabs>
          <w:tab w:leader="none" w:pos="50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CROs or other third parties deviating from trial protocol or dropping out of a trial, including as a result of changing standards of care or the ineligibility of a site to participate;</w:t>
      </w:r>
    </w:p>
    <w:p>
      <w:pPr>
        <w:spacing w:after="0" w:line="54" w:lineRule="exact"/>
        <w:rPr>
          <w:rFonts w:ascii="Times New Roman" w:cs="Times New Roman" w:eastAsia="Times New Roman" w:hAnsi="Times New Roman"/>
          <w:sz w:val="18"/>
          <w:szCs w:val="18"/>
          <w:color w:val="auto"/>
        </w:rPr>
      </w:pPr>
    </w:p>
    <w:p>
      <w:pPr>
        <w:ind w:left="504" w:hanging="504"/>
        <w:spacing w:after="0" w:line="281" w:lineRule="auto"/>
        <w:tabs>
          <w:tab w:leader="none" w:pos="50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in accordance with the applicable regulatory requirements, including the FDA’s regulations and cGCP requirements, or applicable regulatory requirements in other countries;</w:t>
      </w:r>
    </w:p>
    <w:p>
      <w:pPr>
        <w:spacing w:after="0" w:line="54" w:lineRule="exact"/>
        <w:rPr>
          <w:rFonts w:ascii="Times New Roman" w:cs="Times New Roman" w:eastAsia="Times New Roman" w:hAnsi="Times New Roman"/>
          <w:sz w:val="18"/>
          <w:szCs w:val="18"/>
          <w:color w:val="auto"/>
        </w:rPr>
      </w:pPr>
    </w:p>
    <w:p>
      <w:pPr>
        <w:ind w:left="504" w:hanging="504"/>
        <w:spacing w:after="0" w:line="281" w:lineRule="auto"/>
        <w:tabs>
          <w:tab w:leader="none" w:pos="50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patient safety concerns that arise during the course of a trial, including the occurrence of adverse events associated with the product candidate that are viewed to outweigh its potential benefits;</w:t>
      </w:r>
    </w:p>
    <w:p>
      <w:pPr>
        <w:spacing w:after="0" w:line="54" w:lineRule="exact"/>
        <w:rPr>
          <w:rFonts w:ascii="Times New Roman" w:cs="Times New Roman" w:eastAsia="Times New Roman" w:hAnsi="Times New Roman"/>
          <w:sz w:val="18"/>
          <w:szCs w:val="18"/>
          <w:color w:val="auto"/>
        </w:rPr>
      </w:pPr>
    </w:p>
    <w:p>
      <w:pPr>
        <w:jc w:val="both"/>
        <w:ind w:left="504" w:hanging="504"/>
        <w:spacing w:after="0" w:line="265" w:lineRule="auto"/>
        <w:tabs>
          <w:tab w:leader="none" w:pos="50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evolution of SARS-CoV-2 variants during the course of a clinical trial may adversely impact the neutralizing activity of our product candidates and our ability to complete the trial if the potential benefits are no longer determined to outweigh the potential risks of any such product candidate as a result of reduced neutralizing activity against circulating SARS-CoV-2 variants;</w:t>
      </w:r>
    </w:p>
    <w:p>
      <w:pPr>
        <w:spacing w:after="0" w:line="69" w:lineRule="exact"/>
        <w:rPr>
          <w:rFonts w:ascii="Times New Roman" w:cs="Times New Roman" w:eastAsia="Times New Roman" w:hAnsi="Times New Roman"/>
          <w:sz w:val="18"/>
          <w:szCs w:val="18"/>
          <w:color w:val="auto"/>
        </w:rPr>
      </w:pPr>
    </w:p>
    <w:p>
      <w:pPr>
        <w:ind w:left="504" w:hanging="504"/>
        <w:spacing w:after="0"/>
        <w:tabs>
          <w:tab w:leader="none" w:pos="50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recruit and/or successfully contract with a sufficient number of clinical trial sites;</w:t>
      </w:r>
    </w:p>
    <w:p>
      <w:pPr>
        <w:spacing w:after="0" w:line="116" w:lineRule="exact"/>
        <w:rPr>
          <w:rFonts w:ascii="Times New Roman" w:cs="Times New Roman" w:eastAsia="Times New Roman" w:hAnsi="Times New Roman"/>
          <w:sz w:val="18"/>
          <w:szCs w:val="18"/>
          <w:color w:val="auto"/>
        </w:rPr>
      </w:pPr>
    </w:p>
    <w:p>
      <w:pPr>
        <w:ind w:left="504" w:hanging="504"/>
        <w:spacing w:after="0" w:line="281" w:lineRule="auto"/>
        <w:tabs>
          <w:tab w:leader="none" w:pos="50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manufacturing sufficient quantities of product candidate for use in clinical trials, including as a result of supply chain challenges or otherwise;</w:t>
      </w:r>
    </w:p>
    <w:p>
      <w:pPr>
        <w:spacing w:after="0" w:line="54" w:lineRule="exact"/>
        <w:rPr>
          <w:rFonts w:ascii="Times New Roman" w:cs="Times New Roman" w:eastAsia="Times New Roman" w:hAnsi="Times New Roman"/>
          <w:sz w:val="18"/>
          <w:szCs w:val="18"/>
          <w:color w:val="auto"/>
        </w:rPr>
      </w:pPr>
    </w:p>
    <w:p>
      <w:pPr>
        <w:jc w:val="both"/>
        <w:ind w:left="504" w:right="20" w:hanging="504"/>
        <w:spacing w:after="0" w:line="265" w:lineRule="auto"/>
        <w:tabs>
          <w:tab w:leader="none" w:pos="50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suspensions or terminations by IRBs or Ethics Committees at the institutions where such trials are being conducted, by the independent Data Monitoring Committee for such trial or by the FDA or other regulatory authorities due to a number of factors, including those described above;</w:t>
      </w:r>
    </w:p>
    <w:p>
      <w:pPr>
        <w:spacing w:after="0" w:line="69" w:lineRule="exact"/>
        <w:rPr>
          <w:rFonts w:ascii="Times New Roman" w:cs="Times New Roman" w:eastAsia="Times New Roman" w:hAnsi="Times New Roman"/>
          <w:sz w:val="18"/>
          <w:szCs w:val="18"/>
          <w:color w:val="auto"/>
        </w:rPr>
      </w:pPr>
    </w:p>
    <w:p>
      <w:pPr>
        <w:ind w:left="504" w:hanging="504"/>
        <w:spacing w:after="0" w:line="281" w:lineRule="auto"/>
        <w:tabs>
          <w:tab w:leader="none" w:pos="50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or guidance, or feedback from regulatory authorities that requires us to modify the design or conduct of our clinical trials;</w:t>
      </w:r>
    </w:p>
    <w:p>
      <w:pPr>
        <w:spacing w:after="0" w:line="54" w:lineRule="exact"/>
        <w:rPr>
          <w:rFonts w:ascii="Times New Roman" w:cs="Times New Roman" w:eastAsia="Times New Roman" w:hAnsi="Times New Roman"/>
          <w:sz w:val="18"/>
          <w:szCs w:val="18"/>
          <w:color w:val="auto"/>
        </w:rPr>
      </w:pPr>
    </w:p>
    <w:p>
      <w:pPr>
        <w:ind w:left="504" w:right="20" w:hanging="504"/>
        <w:spacing w:after="0" w:line="281" w:lineRule="auto"/>
        <w:tabs>
          <w:tab w:leader="none" w:pos="50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produce negative or inconclusive results, and we may decide, or regulators may require us, to conduct additional clinical trials or abandon development programs;</w:t>
      </w:r>
    </w:p>
    <w:p>
      <w:pPr>
        <w:spacing w:after="0" w:line="54" w:lineRule="exact"/>
        <w:rPr>
          <w:rFonts w:ascii="Times New Roman" w:cs="Times New Roman" w:eastAsia="Times New Roman" w:hAnsi="Times New Roman"/>
          <w:sz w:val="18"/>
          <w:szCs w:val="18"/>
          <w:color w:val="auto"/>
        </w:rPr>
      </w:pPr>
    </w:p>
    <w:p>
      <w:pPr>
        <w:jc w:val="both"/>
        <w:ind w:left="504" w:hanging="504"/>
        <w:spacing w:after="0" w:line="260" w:lineRule="auto"/>
        <w:tabs>
          <w:tab w:leader="none" w:pos="50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 especially if regulatory bodies require the completion of non-inferiority or superiority trials or the sample size needs to be increased based on the outcome rates observed during early trial conduct, enrollment in these clinical trials may be slower than we anticipate, or participants may drop out of these clinical trials at a higher rate than we anticipate;</w:t>
      </w:r>
    </w:p>
    <w:p>
      <w:pPr>
        <w:spacing w:after="0" w:line="73" w:lineRule="exact"/>
        <w:rPr>
          <w:rFonts w:ascii="Times New Roman" w:cs="Times New Roman" w:eastAsia="Times New Roman" w:hAnsi="Times New Roman"/>
          <w:sz w:val="18"/>
          <w:szCs w:val="18"/>
          <w:color w:val="auto"/>
        </w:rPr>
      </w:pPr>
    </w:p>
    <w:p>
      <w:pPr>
        <w:ind w:left="504" w:hanging="504"/>
        <w:spacing w:after="0" w:line="281" w:lineRule="auto"/>
        <w:tabs>
          <w:tab w:leader="none" w:pos="50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enrollment in clinical trials may be impacted by the emergence of variants and rate of infection prevalence in the relevant communities, which can change once a trial is initiated;</w:t>
      </w:r>
    </w:p>
    <w:p>
      <w:pPr>
        <w:spacing w:after="0" w:line="54" w:lineRule="exact"/>
        <w:rPr>
          <w:rFonts w:ascii="Times New Roman" w:cs="Times New Roman" w:eastAsia="Times New Roman" w:hAnsi="Times New Roman"/>
          <w:sz w:val="18"/>
          <w:szCs w:val="18"/>
          <w:color w:val="auto"/>
        </w:rPr>
      </w:pPr>
    </w:p>
    <w:p>
      <w:pPr>
        <w:ind w:left="504" w:hanging="504"/>
        <w:spacing w:after="0" w:line="281" w:lineRule="auto"/>
        <w:tabs>
          <w:tab w:leader="none" w:pos="50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evolution of SARS-CoV-2 variants during the course of a clinical trial may impact the prevalent variant of infection for patients at one or more sites and adversely impact enrollment potential;</w:t>
      </w:r>
    </w:p>
    <w:p>
      <w:pPr>
        <w:spacing w:after="0" w:line="54" w:lineRule="exact"/>
        <w:rPr>
          <w:rFonts w:ascii="Times New Roman" w:cs="Times New Roman" w:eastAsia="Times New Roman" w:hAnsi="Times New Roman"/>
          <w:sz w:val="18"/>
          <w:szCs w:val="18"/>
          <w:color w:val="auto"/>
        </w:rPr>
      </w:pPr>
    </w:p>
    <w:p>
      <w:pPr>
        <w:ind w:left="504" w:hanging="504"/>
        <w:spacing w:after="0" w:line="281" w:lineRule="auto"/>
        <w:tabs>
          <w:tab w:leader="none" w:pos="50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screen failure rate for clinical trials of our product candidates may be higher than we anticipate, requiring us to screen larger numbers of patients than originally planned;</w:t>
      </w:r>
    </w:p>
    <w:p>
      <w:pPr>
        <w:spacing w:after="0" w:line="54" w:lineRule="exact"/>
        <w:rPr>
          <w:rFonts w:ascii="Times New Roman" w:cs="Times New Roman" w:eastAsia="Times New Roman" w:hAnsi="Times New Roman"/>
          <w:sz w:val="18"/>
          <w:szCs w:val="18"/>
          <w:color w:val="auto"/>
        </w:rPr>
      </w:pPr>
    </w:p>
    <w:p>
      <w:pPr>
        <w:ind w:left="504" w:hanging="504"/>
        <w:spacing w:after="0"/>
        <w:tabs>
          <w:tab w:leader="none" w:pos="50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modify a trial protocol;</w:t>
      </w:r>
    </w:p>
    <w:p>
      <w:pPr>
        <w:spacing w:after="0" w:line="116" w:lineRule="exact"/>
        <w:rPr>
          <w:rFonts w:ascii="Times New Roman" w:cs="Times New Roman" w:eastAsia="Times New Roman" w:hAnsi="Times New Roman"/>
          <w:sz w:val="18"/>
          <w:szCs w:val="18"/>
          <w:color w:val="auto"/>
        </w:rPr>
      </w:pPr>
    </w:p>
    <w:p>
      <w:pPr>
        <w:ind w:left="504" w:hanging="504"/>
        <w:spacing w:after="0"/>
        <w:tabs>
          <w:tab w:leader="none" w:pos="50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w:t>
      </w:r>
    </w:p>
    <w:p>
      <w:pPr>
        <w:spacing w:after="0" w:line="116" w:lineRule="exact"/>
        <w:rPr>
          <w:rFonts w:ascii="Times New Roman" w:cs="Times New Roman" w:eastAsia="Times New Roman" w:hAnsi="Times New Roman"/>
          <w:sz w:val="18"/>
          <w:szCs w:val="18"/>
          <w:color w:val="auto"/>
        </w:rPr>
      </w:pPr>
    </w:p>
    <w:p>
      <w:pPr>
        <w:ind w:left="504" w:hanging="504"/>
        <w:spacing w:after="0"/>
        <w:tabs>
          <w:tab w:leader="none" w:pos="50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emergence of dosing issues;</w:t>
      </w:r>
    </w:p>
    <w:p>
      <w:pPr>
        <w:spacing w:after="0" w:line="116" w:lineRule="exact"/>
        <w:rPr>
          <w:rFonts w:ascii="Times New Roman" w:cs="Times New Roman" w:eastAsia="Times New Roman" w:hAnsi="Times New Roman"/>
          <w:sz w:val="18"/>
          <w:szCs w:val="18"/>
          <w:color w:val="auto"/>
        </w:rPr>
      </w:pPr>
    </w:p>
    <w:p>
      <w:pPr>
        <w:ind w:left="504" w:hanging="504"/>
        <w:spacing w:after="0"/>
        <w:tabs>
          <w:tab w:leader="none" w:pos="50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effectiveness data during clinical trials;</w:t>
      </w:r>
    </w:p>
    <w:p>
      <w:pPr>
        <w:spacing w:after="0" w:line="116" w:lineRule="exact"/>
        <w:rPr>
          <w:rFonts w:ascii="Times New Roman" w:cs="Times New Roman" w:eastAsia="Times New Roman" w:hAnsi="Times New Roman"/>
          <w:sz w:val="18"/>
          <w:szCs w:val="18"/>
          <w:color w:val="auto"/>
        </w:rPr>
      </w:pPr>
    </w:p>
    <w:p>
      <w:pPr>
        <w:ind w:left="504" w:hanging="504"/>
        <w:spacing w:after="0"/>
        <w:tabs>
          <w:tab w:leader="none" w:pos="50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of the indication being studied;</w:t>
      </w:r>
    </w:p>
    <w:p>
      <w:pPr>
        <w:spacing w:after="0" w:line="116" w:lineRule="exact"/>
        <w:rPr>
          <w:rFonts w:ascii="Times New Roman" w:cs="Times New Roman" w:eastAsia="Times New Roman" w:hAnsi="Times New Roman"/>
          <w:sz w:val="18"/>
          <w:szCs w:val="18"/>
          <w:color w:val="auto"/>
        </w:rPr>
      </w:pPr>
    </w:p>
    <w:p>
      <w:pPr>
        <w:ind w:left="504" w:hanging="504"/>
        <w:spacing w:after="0" w:line="281" w:lineRule="auto"/>
        <w:tabs>
          <w:tab w:leader="none" w:pos="50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meet their contractual obligations to us in a timely manner, or at all;</w:t>
      </w:r>
    </w:p>
    <w:p>
      <w:pPr>
        <w:spacing w:after="0" w:line="54" w:lineRule="exact"/>
        <w:rPr>
          <w:rFonts w:ascii="Times New Roman" w:cs="Times New Roman" w:eastAsia="Times New Roman" w:hAnsi="Times New Roman"/>
          <w:sz w:val="18"/>
          <w:szCs w:val="18"/>
          <w:color w:val="auto"/>
        </w:rPr>
      </w:pPr>
    </w:p>
    <w:p>
      <w:pPr>
        <w:jc w:val="both"/>
        <w:ind w:left="504" w:right="20" w:hanging="504"/>
        <w:spacing w:after="0" w:line="265" w:lineRule="auto"/>
        <w:tabs>
          <w:tab w:leader="none" w:pos="50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investigators might have to suspend or terminate clinical trials of our product candidates for various reasons, including non-compliance with regulatory requirements, a finding that our product candidates have undesirable side effects or other unexpected characteristics, or a finding that the participants are being exposed to unacceptable health risks;</w:t>
      </w:r>
    </w:p>
    <w:p>
      <w:pPr>
        <w:spacing w:after="0" w:line="69" w:lineRule="exact"/>
        <w:rPr>
          <w:rFonts w:ascii="Times New Roman" w:cs="Times New Roman" w:eastAsia="Times New Roman" w:hAnsi="Times New Roman"/>
          <w:sz w:val="18"/>
          <w:szCs w:val="18"/>
          <w:color w:val="auto"/>
        </w:rPr>
      </w:pPr>
    </w:p>
    <w:p>
      <w:pPr>
        <w:jc w:val="both"/>
        <w:ind w:left="504" w:hanging="504"/>
        <w:spacing w:after="0" w:line="260" w:lineRule="auto"/>
        <w:tabs>
          <w:tab w:leader="none" w:pos="50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conducted our STAMP trial (evaluating adintrevimab for the treatment of COVID-19) at sites outside of the U.S.; in the future, the applicable foreign regulatory authorities may determine that a placebo-controlled trial would expose patients to unacceptable health risks (because alternative effective therapies are or may become available in these regions during the conduct of the trial), which could delay enrollment of a trial and the authorization or approval of our products;</w:t>
      </w:r>
    </w:p>
    <w:p>
      <w:pPr>
        <w:spacing w:after="0" w:line="290"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483870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4"/>
          </w:cols>
          <w:pgMar w:left="956" w:top="1200" w:right="339" w:bottom="1440" w:gutter="0" w:footer="0" w:header="0"/>
        </w:sectPr>
      </w:pPr>
    </w:p>
    <w:bookmarkStart w:id="45" w:name="page46"/>
    <w:bookmarkEnd w:id="45"/>
    <w:p>
      <w:pPr>
        <w:ind w:left="1140" w:hanging="504"/>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 and we may not have funds to cover the costs;</w:t>
      </w:r>
    </w:p>
    <w:p>
      <w:pPr>
        <w:spacing w:after="0" w:line="116" w:lineRule="exact"/>
        <w:rPr>
          <w:rFonts w:ascii="Times New Roman" w:cs="Times New Roman" w:eastAsia="Times New Roman" w:hAnsi="Times New Roman"/>
          <w:sz w:val="18"/>
          <w:szCs w:val="18"/>
          <w:color w:val="auto"/>
        </w:rPr>
      </w:pPr>
    </w:p>
    <w:p>
      <w:pPr>
        <w:ind w:left="1140" w:right="20" w:hanging="504"/>
        <w:spacing w:after="0" w:line="281"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 or may not be able to be procured or distributed as needed;</w:t>
      </w:r>
    </w:p>
    <w:p>
      <w:pPr>
        <w:spacing w:after="0" w:line="54" w:lineRule="exact"/>
        <w:rPr>
          <w:rFonts w:ascii="Times New Roman" w:cs="Times New Roman" w:eastAsia="Times New Roman" w:hAnsi="Times New Roman"/>
          <w:sz w:val="18"/>
          <w:szCs w:val="18"/>
          <w:color w:val="auto"/>
        </w:rPr>
      </w:pPr>
    </w:p>
    <w:p>
      <w:pPr>
        <w:ind w:left="1140" w:hanging="504"/>
        <w:spacing w:after="0" w:line="281"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revise the requirements for authorizing or approving our product candidates, or such requirements may not be as we anticipate; and</w:t>
      </w:r>
    </w:p>
    <w:p>
      <w:pPr>
        <w:spacing w:after="0" w:line="54" w:lineRule="exact"/>
        <w:rPr>
          <w:rFonts w:ascii="Times New Roman" w:cs="Times New Roman" w:eastAsia="Times New Roman" w:hAnsi="Times New Roman"/>
          <w:sz w:val="18"/>
          <w:szCs w:val="18"/>
          <w:color w:val="auto"/>
        </w:rPr>
      </w:pPr>
    </w:p>
    <w:p>
      <w:pPr>
        <w:ind w:left="1140" w:right="20" w:hanging="504"/>
        <w:spacing w:after="0" w:line="281"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collaborators that conduct clinical trials may face any of the above issues and may conduct clinical trials in ways they view as advantageous to them but that are suboptimal for us.</w:t>
      </w:r>
    </w:p>
    <w:p>
      <w:pPr>
        <w:spacing w:after="0" w:line="55"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product candidates beyond those that we currently contemplate, if we are unable to successfully and timely complete clinical trials of our product candidates or other testing, if the results of these trials or tests are not positive or are only modestly positive or if there are safety concerns, we may:</w:t>
      </w:r>
    </w:p>
    <w:p>
      <w:pPr>
        <w:spacing w:after="0" w:line="69" w:lineRule="exact"/>
        <w:rPr>
          <w:sz w:val="20"/>
          <w:szCs w:val="20"/>
          <w:color w:val="auto"/>
        </w:rPr>
      </w:pPr>
    </w:p>
    <w:p>
      <w:pPr>
        <w:ind w:left="1140" w:hanging="504"/>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unplanned costs;</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or unsuccessful in obtaining authorization or approval for our product candidates;</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authorization or approval for indications or patient populations that are not as broad as intended or desired;</w:t>
      </w:r>
    </w:p>
    <w:p>
      <w:pPr>
        <w:spacing w:after="0" w:line="116" w:lineRule="exact"/>
        <w:rPr>
          <w:rFonts w:ascii="Times New Roman" w:cs="Times New Roman" w:eastAsia="Times New Roman" w:hAnsi="Times New Roman"/>
          <w:sz w:val="18"/>
          <w:szCs w:val="18"/>
          <w:color w:val="auto"/>
        </w:rPr>
      </w:pPr>
    </w:p>
    <w:p>
      <w:pPr>
        <w:ind w:left="1140" w:hanging="504"/>
        <w:spacing w:after="0" w:line="281" w:lineRule="auto"/>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authorization or approval with labeling that includes significant use or distribution restrictions or safety warnings, including boxed warnings (such as for PEMGARDA) or REMS;</w:t>
      </w:r>
    </w:p>
    <w:p>
      <w:pPr>
        <w:spacing w:after="0" w:line="54"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changes in the way the product is administered; or</w:t>
      </w:r>
    </w:p>
    <w:p>
      <w:pPr>
        <w:spacing w:after="0" w:line="116" w:lineRule="exact"/>
        <w:rPr>
          <w:rFonts w:ascii="Times New Roman" w:cs="Times New Roman" w:eastAsia="Times New Roman" w:hAnsi="Times New Roman"/>
          <w:sz w:val="18"/>
          <w:szCs w:val="18"/>
          <w:color w:val="auto"/>
        </w:rPr>
      </w:pPr>
    </w:p>
    <w:p>
      <w:pPr>
        <w:ind w:left="1140" w:hanging="504"/>
        <w:spacing w:after="0" w:line="281" w:lineRule="auto"/>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regulatory authorities withdraw or suspend their authorization or approval of the product or impose restrictions on its distribution after obtaining authorization or approval.</w:t>
      </w:r>
    </w:p>
    <w:p>
      <w:pPr>
        <w:spacing w:after="0" w:line="5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the FDA, other regulatory authorities outside the U.S. or an IRB or Ethics Committees may suspend a clinical trial at any time for various reasons, including if it appears that the clinical trial is exposing participants to unacceptable health risks, including, for example, because the predominant SARS-CoV-2 variant in the country or clinical trial site is not susceptible to our product candidate, or if the FDA or other regulatory authorities outside the U.S. find deficiencies in our IND or similar application outside the U.S. or the conduct of the trial. If we experience delays in the completion of, or the termination of, any clinical trial of any of our product candidates, the commercial prospects of such product candidate will be harmed, and our ability to generate product revenues from such product candidate will be delayed or rendered impossible. In addition, any delays in completing our clinical trials will increase our costs, slow down our product candidate development and authorization or approval process, and jeopardize our ability to commence product sales and generate revenues.</w:t>
      </w:r>
    </w:p>
    <w:p>
      <w:pPr>
        <w:spacing w:after="0" w:line="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All of our product candidates will require extensive clinical testing before we would be in a position to submit a BLA to the FDA or MAA to the EMA for regulatory approval. We cannot predict with any certainty if or when we might complete the clinical development for our product candidates and submit a BLA or MAA for regulatory approval of any of our product candidates, if at all, or whether any such BLA or MAA will be approved. We may also seek feedback from the FDA, EMA or other regulatory authorities on our clinical development program, and the FDA, EMA or other regulatory authorities may not provide such feedback on a timely basis, or such feedback may not be favorable, which could further delay our development programs.</w:t>
      </w:r>
    </w:p>
    <w:p>
      <w:pPr>
        <w:spacing w:after="0" w:line="7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cannot predict with any certainty whether or when we might complete a given clinical trial. If we experience delays in the commencement or completion of our clinical trials, or if we terminate a clinical trial prior to completion, the commercial prospects of our product candidates could be harmed, and our ability to generate revenues from our product candidates may be delayed or lost. In addition, any delays in our clinical trials could increase our costs, slow down the development and authorization or approval process and jeopardize our ability to commence product sales and generate revenues. Any of these occurrences may harm our business, financial condition and results of operations. In addition, many of the factors that cause, or lead to, a delay in the commencement or completion of clinical trials may also ultimately lead to the denial of regulatory authorization or approval of our product candidates.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46" w:name="page47"/>
    <w:bookmarkEnd w:id="46"/>
    <w:p>
      <w:pPr>
        <w:jc w:val="both"/>
        <w:ind w:firstLine="50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the public health emergency in the U.S. declared under the FDCA permitting the FDA to authorize drugs and biologics for emergency use during the COVID-19 pandemic will continue to be in place for an extended period of time and that the product candidates we are developing for COVID-19 could be granted an EUA by the FDA or similar authorization by regulatory authorities outside of the U.S. if we decide to apply for such an authorization. If we do not apply for such an authorization or, if we do apply and no authorization is granted or, if once granted, such as the EUA for PEMGARDA, it is terminated or revoked, we will be unable to sell our product candidates in the near future and instead, would need to pursue the traditional regulatory approval processes of the FDA or comparable foreign authorities, which are lengthy, time consuming and inherently unpredictable, and which we may determine not to pursue. If we are not able to obtain required regulatory authorization or approval for our product candidates, our business will be substantially harmed. We also cannot guarantee how long it will take regulatory agencies to review our EUA requests, if submitted, for our product candidates.</w:t>
      </w:r>
    </w:p>
    <w:p>
      <w:pPr>
        <w:spacing w:after="0" w:line="8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March 22, 2024, we received an EUA from the FDA for PEMGARDA. We may seek an EUA for future product candidates and may seek similar authorization from regulatory authorities outside of the U.S., such as conditional marketing authorization from the European Commission. If we apply for an EUA from the FDA and it is granted, such as the EUA for PEMGARDA, such EUA will authorize us to market and sell our COVID-19 mAb in the U.S. under certain conditions of authorization as long as a public health emergency declared under the FDCA exists. The FDA may issue an EUA during a public health emergency declared under the FDCA if the agency determines that the known and potential benefits of a product outweigh the known and potential risks and if other regulatory criteria are met.</w:t>
      </w:r>
    </w:p>
    <w:p>
      <w:pPr>
        <w:spacing w:after="0" w:line="7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Although we received an EUA from the FDA for PEMGARDA, there is no guarantee that we will apply for an EUA for adintrevimab, VYD2311 or any other product candidates, or other similar authorization or, if we do apply, that we will be able to obtain an EUA or such similar authorization. If an EUA or other authorization is granted, such as the EUA from the FDA for PEMGARDA, we will rely on the FDA or other applicable regulatory authority policies and guidance governing products authorized in this manner in connection with the marketing and sale of our product. If these policies and guidance change unexpectedly and/or materially or if we misinterpret them, potential sales of our product could be adversely impacted. Additionally, the FDA may terminate an EUA if safety issues or other concerns about our product, such as loss of neutralizing activity against dominant circulating SARS-CoV-2 variants, arise or if we fail to comply with the conditions of authorization. Additionally, the FDA has expected that companies that receive an EUA for COVID-19 antibodies will pursue licensure of their products under a BLA. Unless streamlined development pathways are established, we may not pursue a BLA for our product candidates for COVID-19 given the evolving SARS-CoV-2 variants, and if we determine not to pursue a BLA, this may adversely affect our ability to obtain or maintain an EUA in the U.S.</w:t>
      </w:r>
    </w:p>
    <w:p>
      <w:pPr>
        <w:spacing w:after="0" w:line="8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February 4, 2020, the Secretary of HHS determined pursuant to his authority under Section 564 of the FDCA that COVID-19 represented a public health emergency with significant potential to affect national security or the health and security of U.S. citizens living abroad. Following this determination, on March 27, 2020, the Secretary of HHS declared that circumstances exist justifying the authorization of emergency use of drugs and biological products during the COVID-19 pandemic, subject to the terms of any authorization issued by the FDA. The EUA request for PEMGARDA was issued under this declaration. The Secretary of HHS may terminate this EUA declaration at any time. If the Secretary of HHS terminates an EUA declaration under the FDCA, then any EUAs issued based on that declaration will cease to be in effect, and FDA may no longer issue EUAs for products covered by that declaration. Accordingly, even if we apply and obtain an EUA from the FDA, such as the EUA for PEMGARDA, there is no guarantee of the duration for which we would be able to maintain it. The emergency use of PEMGARDA is only authorized for the duration of the declaration that circumstances exist justifying the authorization of the emergency use of drugs and biological products during the COVID-19 pandemic under Section 564 of the FDCA, unless the declaration is terminated or authorization revoked sooner.</w:t>
      </w:r>
    </w:p>
    <w:p>
      <w:pPr>
        <w:spacing w:after="0" w:line="8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If we apply for an EUA or similar authorization from regulatory authorities outside of the U.S., the failure to obtain such authorization or the termination of such an authorization, if obtained, would adversely impact our ability to market and sell our COVID-19 antibody, which could adversely impact our business, financial condition and results of operations. The time required to obtain approval or other marketing authorizations by the FDA and comparable foreign authorities is unpredictable, and it typically takes many years following the commencement of clinical trials and depends upon numerous factors, including the substantial discretion of the regulatory authorities. In addition, authorization or approval policies, regulations, and the type and amount of clinical data necessary to gain authorization or approval may change during the course of a product candidate’s clinical development and may vary among jurisdictions. Other than the EUA for PEMGARDA in the U.S., we have not obtained regulatory authorization or approval for any other product candidate, and it is possible that we may never obtain regulatory authorization or approval for any other product candidates in the future. Neither we nor any current or future collaborator is permitted to market any drug product candidates in the U.S. until we receive regulatory authorization with an EUA or approval of a BLA from the FDA, and we cannot market it in the European Union until we receive marketing authorization from the European Commission, or other required regulatory authorization or approval in other countries.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47" w:name="page48"/>
    <w:bookmarkEnd w:id="47"/>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If an existing EUA, such as the EUA for PEMGARDA, or similar authorization from regulatory authorities outside of the U.S. is revised or revoked, we would be unable to sell our product candidate in the near future and instead, we would need to pursue the traditional regulatory approval processes of the FDA or comparable foreign regulatory authorities. Prior to obtaining approval pursuant to a traditional regulatory approval process to commercialize any drug product candidate in the U.S. or abroad, we must demonstrate with substantial evidence from well-controlled clinical trials, and to the satisfaction of the FDA or foreign regulatory agencies, that such product candidate is safe, pure and effective for its intended uses. Results from preclinical studies and clinical trials can be interpreted in different ways. Even if we believe the preclinical or clinical data for our product candidates are promising, such data may not be sufficient to support approval by the FDA and other regulatory authorities. The FDA may also require us to conduct additional preclinical studies or clinical trials for our product candidates either prior to or after approval, or it may object to elements of our clinical development programs.</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product candidates could fail to receive regulatory approval for many reasons, including the following:</w:t>
      </w:r>
    </w:p>
    <w:p>
      <w:pPr>
        <w:spacing w:after="0" w:line="117" w:lineRule="exact"/>
        <w:rPr>
          <w:sz w:val="20"/>
          <w:szCs w:val="20"/>
          <w:color w:val="auto"/>
        </w:rPr>
      </w:pPr>
    </w:p>
    <w:p>
      <w:pPr>
        <w:ind w:left="1140" w:hanging="504"/>
        <w:spacing w:after="0" w:line="281"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 or with our interpretation of data from preclinical studies or clinical trials;</w:t>
      </w:r>
    </w:p>
    <w:p>
      <w:pPr>
        <w:spacing w:after="0" w:line="54" w:lineRule="exact"/>
        <w:rPr>
          <w:rFonts w:ascii="Times New Roman" w:cs="Times New Roman" w:eastAsia="Times New Roman" w:hAnsi="Times New Roman"/>
          <w:sz w:val="18"/>
          <w:szCs w:val="18"/>
          <w:color w:val="auto"/>
        </w:rPr>
      </w:pPr>
    </w:p>
    <w:p>
      <w:pPr>
        <w:ind w:left="1140" w:hanging="504"/>
        <w:spacing w:after="0" w:line="281"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and effective for its proposed indication;</w:t>
      </w:r>
    </w:p>
    <w:p>
      <w:pPr>
        <w:spacing w:after="0" w:line="54" w:lineRule="exact"/>
        <w:rPr>
          <w:rFonts w:ascii="Times New Roman" w:cs="Times New Roman" w:eastAsia="Times New Roman" w:hAnsi="Times New Roman"/>
          <w:sz w:val="18"/>
          <w:szCs w:val="18"/>
          <w:color w:val="auto"/>
        </w:rPr>
      </w:pPr>
    </w:p>
    <w:p>
      <w:pPr>
        <w:ind w:left="1140" w:right="20" w:hanging="504"/>
        <w:spacing w:after="0" w:line="281"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54"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16" w:lineRule="exact"/>
        <w:rPr>
          <w:rFonts w:ascii="Times New Roman" w:cs="Times New Roman" w:eastAsia="Times New Roman" w:hAnsi="Times New Roman"/>
          <w:sz w:val="18"/>
          <w:szCs w:val="18"/>
          <w:color w:val="auto"/>
        </w:rPr>
      </w:pPr>
    </w:p>
    <w:p>
      <w:pPr>
        <w:ind w:left="1140" w:hanging="504"/>
        <w:spacing w:after="0" w:line="281"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collect sufficient data from clinical trials of our product candidates to support the submission and filing of a BLA with the FDA, MAA with the EMA or other submission;</w:t>
      </w:r>
    </w:p>
    <w:p>
      <w:pPr>
        <w:spacing w:after="0" w:line="54"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bioresearch monitoring, FDA inspection or comparable foreign regulatory authorities’ inspection;</w:t>
      </w:r>
    </w:p>
    <w:p>
      <w:pPr>
        <w:spacing w:after="0" w:line="116" w:lineRule="exact"/>
        <w:rPr>
          <w:rFonts w:ascii="Times New Roman" w:cs="Times New Roman" w:eastAsia="Times New Roman" w:hAnsi="Times New Roman"/>
          <w:sz w:val="18"/>
          <w:szCs w:val="18"/>
          <w:color w:val="auto"/>
        </w:rPr>
      </w:pPr>
    </w:p>
    <w:p>
      <w:pPr>
        <w:ind w:left="1140" w:hanging="504"/>
        <w:spacing w:after="0" w:line="281"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an FDA or comparable foreign regulatory authorities’ inspection of our third-party contract manufacturing or testing facilities for which we contract and test clinical and commercial supplies;</w:t>
      </w:r>
    </w:p>
    <w:p>
      <w:pPr>
        <w:spacing w:after="0" w:line="54" w:lineRule="exact"/>
        <w:rPr>
          <w:rFonts w:ascii="Times New Roman" w:cs="Times New Roman" w:eastAsia="Times New Roman" w:hAnsi="Times New Roman"/>
          <w:sz w:val="18"/>
          <w:szCs w:val="18"/>
          <w:color w:val="auto"/>
        </w:rPr>
      </w:pPr>
    </w:p>
    <w:p>
      <w:pPr>
        <w:ind w:left="1140" w:right="20" w:hanging="504"/>
        <w:spacing w:after="0" w:line="281"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find our contract manufacturing related activities (e.g., process validation, product characterization, product stability and expiry, and comparability establishment) insufficient for approval; and</w:t>
      </w:r>
    </w:p>
    <w:p>
      <w:pPr>
        <w:spacing w:after="0" w:line="54" w:lineRule="exact"/>
        <w:rPr>
          <w:rFonts w:ascii="Times New Roman" w:cs="Times New Roman" w:eastAsia="Times New Roman" w:hAnsi="Times New Roman"/>
          <w:sz w:val="18"/>
          <w:szCs w:val="18"/>
          <w:color w:val="auto"/>
        </w:rPr>
      </w:pPr>
    </w:p>
    <w:p>
      <w:pPr>
        <w:ind w:left="1140" w:hanging="504"/>
        <w:spacing w:after="0" w:line="281"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authorities may significantly change in a manner rendering our clinical data insufficient for approval.</w:t>
      </w:r>
    </w:p>
    <w:p>
      <w:pPr>
        <w:spacing w:after="0" w:line="55"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In addition, the FDA and other regulatory authorities may change their policies, issue additional regulations or revise existing regulations, or take other actions, which may prevent or delay authorization or approval of our future products under development on a timely basis. Such policy or regulatory changes could impose additional requirements upon us that could delay our ability to obtain, increase the costs of compliance or restrict our ability to maintain any regulatory authorizations or approvals we may have obtained.</w:t>
      </w:r>
    </w:p>
    <w:p>
      <w:pPr>
        <w:spacing w:after="0" w:line="70"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Success in preclinical studies or earlier clinical trials may not be indicative of results in future clinical trials. Our product candidates may not have favorable results in later clinical trials, if any, or receive regulatory authorization or approval.</w:t>
      </w:r>
    </w:p>
    <w:p>
      <w:pPr>
        <w:spacing w:after="0" w:line="5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Success in preclinical testing and early clinical trials does not ensure that later clinical trials will generate the same results or otherwise provide adequate data to demonstrate the efficacy and safety of a product candidate. Preclinical tests and Phase 1 and Phase 2 clinical trials are primarily designed to test safety, to study pharmacokinetics and pharmacodynamics and to understand the side effects of product candidates at various doses and schedules. Success in preclinical or animal studies and early clinical trials does not ensure that later large-scale clinical trials will be successful, nor does it predict final results. For example, we may be unable to identify suitable animal disease models for our product candidates, which could delay or frustrate our ability to proceed into clinical trials or obtain regulatory authorization or approval. Our product candidates may fail to show the desired safety and efficacy in clinical development despite having progressed through preclinical studies and initial clinical trials.</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Many companies in the pharmaceutical and biotechnology industries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authorization or approval. In addition, we may experience regulatory delays or rejections as a result of many factors, including changes in regulatory policy during the period of our product candidate development. Any such delays could negatively impact our business, financial condition, results of operations and prospects.</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48" w:name="page49"/>
    <w:bookmarkEnd w:id="48"/>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initial and preliminary results from our clinical trials that we announce or publish from time to time may change as more data become available and are subject to audit and verification procedures that could result in material changes in the final data.</w:t>
      </w:r>
    </w:p>
    <w:p>
      <w:pPr>
        <w:spacing w:after="0" w:line="5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From time to time, we may publicly disclose interim, top-line, initial or preliminary results from our clinical trials. Interim results from clinical trials that we may complete are subject to the risk that one or more of the clinical outcomes may materially change as patient enrollment continues and more patient data become available. Preliminary or top-line results also remain subject to audit and verification procedures that may result in the final data being materially different from the preliminary data we previously published. As a result, interim and preliminary data should be viewed with caution until the final data are available. Differences between interim, top-line, initial or preliminary data and final data could significantly harm our business prospects and may cause the trading price of our common stock to fluctuate significantly. We also make assumptions, estimations, calculations and conclusions as part of our analyses of data, and we may not have received or had the opportunity to fully and carefully evaluate all data. As a result, any top-line results that we report may differ from future results of the same studies, or different conclusions or considerations may qualify such results once additional data have been received and fully evaluated.</w:t>
      </w:r>
    </w:p>
    <w:p>
      <w:pPr>
        <w:spacing w:after="0" w:line="7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and other nonclinical findings made while clinical trials were underway or safety or efficacy observations made in preclinical studies and clinical trials, including previously unreported adverse events. Further, others, including regulatory agencies may not accept or agree with our assumptions, estimates, calculations, conclusions or analyses or may interpret or weigh the importance of data differently, which could impact the value of the particular development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Any information we determine not to disclose may ultimately be deemed meaningful by you or others with respect to future decisions, conclusions, views, activities or otherwise regarding a particular product candidate or our business.</w:t>
      </w:r>
    </w:p>
    <w:p>
      <w:pPr>
        <w:spacing w:after="0" w:line="83"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If the interim, top-line, initial or preliminary data that we report differ from actual results, or if others, including regulatory authorities, disagree with the conclusions reached, our ability to obtain authorization or approval for, and commercialize, our product candidates may be harmed, which could significantly harm our business prospects.</w:t>
      </w:r>
    </w:p>
    <w:p>
      <w:pPr>
        <w:spacing w:after="0" w:line="65"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preclinical studies and clinical trials may fail to demonstrate substantial evidence of the safety and efficacy of our product candidates, or serious adverse or unacceptable side effects may be identified during the development of our product candidates, which could prevent, delay or limit the scope of regulatory authorization or approval of our product candidates, limit their commercialization, increase our costs or necessitate the abandonment or limitation of the development of some of our product candidates.</w:t>
      </w:r>
    </w:p>
    <w:p>
      <w:pPr>
        <w:spacing w:after="0" w:line="7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To obtain the requisite regulatory authorizations or approvals to commercialize our product candidates, we must demonstrate through lengthy, complex and expensive preclinical testing and clinical trials that our product candidates are safe, pure and potent for use in each target indication for obtaining product approval, or meet the clinical or surrogate efficacy and the safety primary endpoints of the pivotal clinical trial(s) for an EUA (in addition to other regulatory requirements) towards obtaining an EUA. These trials are expensive and time consuming, and their outcomes are inherently uncertain. Failures can occur at any time during the development process. Preclinical studies and clinical trials often fail to demonstrate safety or efficacy of the product candidate studied for the target indication, and most product candidates that begin clinical trials are never approved.</w:t>
      </w:r>
    </w:p>
    <w:p>
      <w:pPr>
        <w:spacing w:after="0" w:line="7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may fail to demonstrate with substantial evidence from adequate and well-controlled trials, and to the satisfaction of the FDA or comparable foreign regulatory authorities, that our product candidates are safe and effective for their intended uses or otherwise meet requirements for an EUA. For example, the clinical data available from the STAMP (evaluating adintrevimab for the treatment of COVID-19) and EVADE (evaluating adintrevimab for the prevention of COVID-19) trials may be insufficient to support a BLA or marketing authorization for adintrevimab, and we may not be able to generate additional data if the FDA or comparable foreign regulatory authorities require additional trials in support of a BLA or marketing authorization.</w:t>
      </w:r>
    </w:p>
    <w:p>
      <w:pPr>
        <w:spacing w:after="0" w:line="7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If our product candidates are associated with undesirable effects in preclinical studies or clinical trials or have characteristics that are unexpected, we may decide or be required to perform additional preclinical studies or to halt or delay further clinical development of our product candidates or to limit their development to more narrow uses or subpopulations in which the undesirable side effects or other characteristics are less prevalent, less severe or more acceptable from a risk-benefit perspective, which may limit the commercial use for the product candidate, if authorized or approved. Some side effects may not be appropriately recognized or managed by the treating medical staff, such as anaphylaxis that has been seen in the class</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49" w:name="page50"/>
    <w:bookmarkEnd w:id="49"/>
    <w:p>
      <w:pPr>
        <w:jc w:val="both"/>
        <w:spacing w:after="0" w:line="281" w:lineRule="auto"/>
        <w:rPr>
          <w:sz w:val="20"/>
          <w:szCs w:val="20"/>
          <w:color w:val="auto"/>
        </w:rPr>
      </w:pPr>
      <w:r>
        <w:rPr>
          <w:rFonts w:ascii="Times New Roman" w:cs="Times New Roman" w:eastAsia="Times New Roman" w:hAnsi="Times New Roman"/>
          <w:sz w:val="18"/>
          <w:szCs w:val="18"/>
          <w:color w:val="auto"/>
        </w:rPr>
        <w:t>of mAbs of which ADG20 and PEMGARDA are a part, and toxicities resulting from mAb therapy targeting an exogenous target, as with our product candidates, which can be nonspecific. Anaphylaxis has been observed with PEMGARDA.</w:t>
      </w:r>
    </w:p>
    <w:p>
      <w:pPr>
        <w:spacing w:after="0" w:line="5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any such adverse events occur, our clinical trials could be suspended or terminated. If we cannot demonstrate that any adverse events were not caused by the drug, the FDA or foreign regulatory authorities could order us to cease further development of, or deny approval of, our product candidates for any or all targeted indications, or require that we conduct additional animal or human studies regarding the safety and efficacy of our product candidates that we have not planned or anticipated. Side effects may also lead regulatory authorities to require stronger product warnings on the product label including boxed warnings or warnings and precautions, costly post-marketing studies, and/or a REMS, among other possible requirements. For example, PEMGARDA has been authorized with a boxed warning for anaphylaxis, which could impede our ability to successfully market and commercialize PEMGARDA and our ability to compete successfully against our competitors.</w:t>
      </w:r>
    </w:p>
    <w:p>
      <w:pPr>
        <w:spacing w:after="0" w:line="7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Such findings could further result in regulatory authorities failing to provide authorization or approval for our product candidates or limiting the scope of the authorized or approved indication, if authorized or approved. Many product candidates that initially showed promise in early-stage testing have later been found to cause side effects that prevented further development of the product candidate. Even if we are able to demonstrate that any serious adverse events are not product-related, such occurrences could affect patient recruitment or the ability of enrolled patients to complete the trial. Moreover, if we elect, or are required, to not initiate, delay, suspend or terminate any future clinical trial of any of 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harm our business, financial condition and prospects significantly.</w:t>
      </w:r>
    </w:p>
    <w:p>
      <w:pPr>
        <w:spacing w:after="0" w:line="81"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Additionally, if one or more of our product candidates receives authorization or approval, and we or others identify undesirable side effects caused by such products, a number of potentially significant negative consequences could result, including:</w:t>
      </w:r>
    </w:p>
    <w:p>
      <w:pPr>
        <w:spacing w:after="0" w:line="55" w:lineRule="exact"/>
        <w:rPr>
          <w:sz w:val="20"/>
          <w:szCs w:val="20"/>
          <w:color w:val="auto"/>
        </w:rPr>
      </w:pPr>
    </w:p>
    <w:p>
      <w:pPr>
        <w:ind w:left="1140" w:hanging="504"/>
        <w:spacing w:after="0" w:line="281" w:lineRule="auto"/>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suspend, withdraw or limit authorizations or approvals of such product, or seek an injunction against its manufacture or distribution;</w:t>
      </w:r>
    </w:p>
    <w:p>
      <w:pPr>
        <w:spacing w:after="0" w:line="54"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such as the boxed warning for PEMGARDA for anaphylaxis;</w:t>
      </w:r>
    </w:p>
    <w:p>
      <w:pPr>
        <w:spacing w:after="0" w:line="116" w:lineRule="exact"/>
        <w:rPr>
          <w:rFonts w:ascii="Times New Roman" w:cs="Times New Roman" w:eastAsia="Times New Roman" w:hAnsi="Times New Roman"/>
          <w:sz w:val="18"/>
          <w:szCs w:val="18"/>
          <w:color w:val="auto"/>
        </w:rPr>
      </w:pPr>
    </w:p>
    <w:p>
      <w:pPr>
        <w:ind w:left="1140" w:hanging="504"/>
        <w:spacing w:after="0" w:line="281" w:lineRule="auto"/>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 or other requirements subject to a REMS;</w:t>
      </w:r>
    </w:p>
    <w:p>
      <w:pPr>
        <w:spacing w:after="0" w:line="54"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a product is administered or conduct additional trials;</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to remove the product from the market;</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achieve or maintain third-party payor coverage and adequate reimbursement;</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fines, injunctions or civil or criminal penalties; and</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and physician or patient acceptance of our products may suffer.</w:t>
      </w:r>
    </w:p>
    <w:p>
      <w:pPr>
        <w:spacing w:after="0" w:line="117"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There can be no assurance that we will resolve any issues related to any product-related adverse events to the satisfaction of the FDA or foreign regulatory agency in a timely manner or at all. Moreover, any of these events could prevent us from achieving or maintaining market acceptance of the particular product candidate, if authorized or approved, and could significantly harm our business, results of operations and prospects.</w:t>
      </w:r>
    </w:p>
    <w:p>
      <w:pPr>
        <w:spacing w:after="0" w:line="65"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Lack of awareness or negative public opinion of mAb therapies and increased regulatory scrutiny of mAb therapies to prevent or treat COVID-19 may adversely impact the development or commercial success of our product candidates.</w:t>
      </w:r>
    </w:p>
    <w:p>
      <w:pPr>
        <w:spacing w:after="0" w:line="5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clinical and commercial success of our mAb therapies for COVID-19 will depend in part on public acceptance of the use of mAb therapies to prevent or treat COVID-19. Any adverse public attitudes about the use of mAb therapies may adversely impact our ability to enroll clinical trials or successfully commercialize any of our mAb therapies that are authorized or approved. Moreover, our success will depend upon physicians prescribing, and their patients’ willingness to receive, treatments that involve the use of product candidates we may develop in lieu of, or in addition to, existing treatments with which they are already familiar and for which greater clinical data may be available.</w:t>
      </w:r>
    </w:p>
    <w:p>
      <w:pPr>
        <w:spacing w:after="0" w:line="74"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More restrictive government regulations or negative public opinion may have a negative effect on our business or financial condition and may delay or impair the development and commercialization of our product candidates or demand for any products that are authorized or approved. Adverse events in our or others’ clinical trials, even if not ultimately attributable to our product candidates, and the resulting publicity could result in increased governmental regulation, unfavorable public</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50" w:name="page51"/>
    <w:bookmarkEnd w:id="50"/>
    <w:p>
      <w:pPr>
        <w:jc w:val="both"/>
        <w:spacing w:after="0" w:line="265" w:lineRule="auto"/>
        <w:rPr>
          <w:sz w:val="20"/>
          <w:szCs w:val="20"/>
          <w:color w:val="auto"/>
        </w:rPr>
      </w:pPr>
      <w:r>
        <w:rPr>
          <w:rFonts w:ascii="Times New Roman" w:cs="Times New Roman" w:eastAsia="Times New Roman" w:hAnsi="Times New Roman"/>
          <w:sz w:val="18"/>
          <w:szCs w:val="18"/>
          <w:color w:val="auto"/>
        </w:rPr>
        <w:t>perception, potential regulatory delays in the testing or authorization or approval of our product candidates, stricter labeling requirements for those product candidates that are authorized or approved and a decrease in demand for any such product candidates, all of which would have a negative impact on our business and operations.</w:t>
      </w:r>
    </w:p>
    <w:p>
      <w:pPr>
        <w:spacing w:after="0" w:line="65"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delays or difficulties in the enrollment and/or retention of patients in clinical trials, or we may pause, delay or terminate enrollment of our clinical trials, which could in turn delay or prevent our receipt of necessary regulatory approvals.</w:t>
      </w:r>
    </w:p>
    <w:p>
      <w:pPr>
        <w:spacing w:after="0" w:line="5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Successful and timely completion of clinical trials will require that we enroll, and maintain the enrollment of, a sufficient number of patients. Patient enrollment, a significant factor in the timing of clinical trials, is affected by many factors, including the size and nature of the patient population and competition for patients eligible for our clinical trials with competitors that may have ongoing clinical trials for product candidates that are under development to treat the same indications as one or more of our product candidates, or approved products for the conditions for which we are developing our product candidates.</w:t>
      </w:r>
    </w:p>
    <w:p>
      <w:pPr>
        <w:spacing w:after="0" w:line="7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Further, we may determine that enrollment in a clinical trial should be paused, delayed or terminated in order to revise trial protocols in light of preliminary data generated by the trial or new data generated in other studies. For example, following our review of data generated in external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analyses examining the neutralizing activity of adintrevimab against the Omicron SARS-CoV-2 BA.1 variant in both authentic and pseudovirus assays, in January 2022 we paused enrollment of new patients in both our EVADE (evaluating adintrevimab for the prevention of COVID-19) and STAMP (evaluating adintrevimab for the treatment of COVID-19) clinical trials to assess dosing strategy and revise our trial protocols in light of the global spread of the Omicron variant and its sublineages; we reported preliminary safety and efficacy data from both trials in March 2022, but as a result of the lack of neutralizing activity against the Omicron BA.2 variant, we paused the submission of an EUA request, and we have closed such trials. Trials may also be subject to delays as a result of patient enrollment taking longer than anticipated or patient withdrawal. We may not be able to initiate or continue clinical trials for our product candidates if we are unable to locate and enroll a sufficient number of eligible patients to participate in these trials as required by the FDA or foreign regulatory authorities. We cannot predict how successful we will be at enrolling patients in future clinical trials. Patient enrollment is affected by other factors, including:</w:t>
      </w:r>
    </w:p>
    <w:p>
      <w:pPr>
        <w:spacing w:after="0" w:line="81" w:lineRule="exact"/>
        <w:rPr>
          <w:sz w:val="20"/>
          <w:szCs w:val="20"/>
          <w:color w:val="auto"/>
        </w:rPr>
      </w:pPr>
    </w:p>
    <w:p>
      <w:pPr>
        <w:ind w:left="1140" w:hanging="504"/>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contraction of the public health crisis caused by COVID-19;</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and exclusion criteria for the trial in question;</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patient population and process for identifying patients;</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and difficulty of diagnosing the disease under investigation;</w:t>
      </w:r>
    </w:p>
    <w:p>
      <w:pPr>
        <w:spacing w:after="0" w:line="116" w:lineRule="exact"/>
        <w:rPr>
          <w:rFonts w:ascii="Times New Roman" w:cs="Times New Roman" w:eastAsia="Times New Roman" w:hAnsi="Times New Roman"/>
          <w:sz w:val="18"/>
          <w:szCs w:val="18"/>
          <w:color w:val="auto"/>
        </w:rPr>
      </w:pPr>
    </w:p>
    <w:p>
      <w:pPr>
        <w:ind w:left="1140" w:hanging="504"/>
        <w:spacing w:after="0" w:line="281" w:lineRule="auto"/>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infection prevalence may have on enrollment, as well as the emergence and evolution of SARS-CoV-2 variants, which may impact the prevalent variant of infection for patients at one or more clinical trial sites and adversely impact enrollment potential;</w:t>
      </w:r>
    </w:p>
    <w:p>
      <w:pPr>
        <w:spacing w:after="0" w:line="54"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trial protocol, including but not limited to the use of a placebo control or active comparator;</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in the trial, including relating to mAb and/or vaccine approaches;</w:t>
      </w:r>
    </w:p>
    <w:p>
      <w:pPr>
        <w:spacing w:after="0" w:line="116" w:lineRule="exact"/>
        <w:rPr>
          <w:rFonts w:ascii="Times New Roman" w:cs="Times New Roman" w:eastAsia="Times New Roman" w:hAnsi="Times New Roman"/>
          <w:sz w:val="18"/>
          <w:szCs w:val="18"/>
          <w:color w:val="auto"/>
        </w:rPr>
      </w:pPr>
    </w:p>
    <w:p>
      <w:pPr>
        <w:ind w:left="1140" w:right="20" w:hanging="504"/>
        <w:spacing w:after="0" w:line="281" w:lineRule="auto"/>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competing commercially available therapies and other competing therapeutic candidates’ clinical trials for the disease or condition under investigation;</w:t>
      </w:r>
    </w:p>
    <w:p>
      <w:pPr>
        <w:spacing w:after="0" w:line="54"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be enrolled in our clinical trials;</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and maintain subject consents;</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national and/or employer COVID-19 vaccine mandates;</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clinical trials;</w:t>
      </w:r>
    </w:p>
    <w:p>
      <w:pPr>
        <w:spacing w:after="0" w:line="116" w:lineRule="exact"/>
        <w:rPr>
          <w:rFonts w:ascii="Times New Roman" w:cs="Times New Roman" w:eastAsia="Times New Roman" w:hAnsi="Times New Roman"/>
          <w:sz w:val="18"/>
          <w:szCs w:val="18"/>
          <w:color w:val="auto"/>
        </w:rPr>
      </w:pPr>
    </w:p>
    <w:p>
      <w:pPr>
        <w:ind w:left="1140" w:hanging="504"/>
        <w:spacing w:after="0" w:line="281" w:lineRule="auto"/>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disruptions caused by a public health crisis, such as the COVID-19 pandemic, including difficulties in initiating clinical sites, enrolling and retaining participants, diversion of healthcare resources away from clinical</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51" w:name="page52"/>
    <w:bookmarkEnd w:id="51"/>
    <w:p>
      <w:pPr>
        <w:ind w:left="1140"/>
        <w:spacing w:after="0" w:line="281" w:lineRule="auto"/>
        <w:rPr>
          <w:sz w:val="20"/>
          <w:szCs w:val="20"/>
          <w:color w:val="auto"/>
        </w:rPr>
      </w:pPr>
      <w:r>
        <w:rPr>
          <w:rFonts w:ascii="Times New Roman" w:cs="Times New Roman" w:eastAsia="Times New Roman" w:hAnsi="Times New Roman"/>
          <w:sz w:val="18"/>
          <w:szCs w:val="18"/>
          <w:color w:val="auto"/>
        </w:rPr>
        <w:t>trials, vaccine mandate policies, travel or quarantine policies that may be implemented, our ability to import and export clinical trial supplies, raw materials and commercial supply and other factors;</w:t>
      </w:r>
    </w:p>
    <w:p>
      <w:pPr>
        <w:spacing w:after="0" w:line="55" w:lineRule="exact"/>
        <w:rPr>
          <w:sz w:val="20"/>
          <w:szCs w:val="20"/>
          <w:color w:val="auto"/>
        </w:rPr>
      </w:pPr>
    </w:p>
    <w:p>
      <w:pPr>
        <w:ind w:left="1140" w:hanging="504"/>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subjects enrolled in our clinical trials will drop out of the trials before completion; and</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11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inability to enroll, or maintain the enrollment of, a sufficient number of patients for clinical trials would result in significant delays and could require us to abandon one or more clinical trials altogether. Enrollment pauses or delays in clinical trials may result in increased development costs for our product candidates, which would cause the value of our company to decline and limit our ability to obtain additional financing. Furthermore, we expect to rely on CROs and clinical trial sites to ensure the proper and timely conduct of our clinical trials, and we will have limited influence over their performance.</w:t>
      </w:r>
    </w:p>
    <w:p>
      <w:pPr>
        <w:spacing w:after="0" w:line="70"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Breakthrough therapy designation in the U.S. or the equivalent thereof in foreign jurisdictions (where available) for any product candidate may not lead to a faster development or regulatory review or approval process, and it does not increase the likelihood that the product candidate will receive marketing approval.</w:t>
      </w:r>
    </w:p>
    <w:p>
      <w:pPr>
        <w:spacing w:after="0" w:line="6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may, in the future, apply for breakthrough therapy designation in the U.S., if we pursue a BLA, or the equivalent thereof in foreign jurisdictions (where available), for our product candidates. A breakthrough therapy is defined as a product candidate that is intended, alone or in combination with one or more other drugs, to treat a serious or life-threatening disease or condition, and preliminary clinical evidence indicates that the product candidate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 candidates designated as breakthrough therapies by the FDA are also eligible for priority review if supported by clinical data at the time of the submission of the BLA.</w:t>
      </w:r>
    </w:p>
    <w:p>
      <w:pPr>
        <w:spacing w:after="0" w:line="8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determine to pursue a BLA and we believe that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product candidates considered for approval under conventional FDA procedures, and it would not assure ultimate approval by the FDA. In addition, even if one or more of our product candidates qualify as breakthrough therapies, the FDA may later decide that the product candidate no longer meets the conditions for qualification, or it may decide that the time period for FDA review or approval will not be shortened.</w:t>
      </w:r>
    </w:p>
    <w:p>
      <w:pPr>
        <w:spacing w:after="0" w:line="74"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5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Because we have limited financial and management resources, we must focus on development programs and product candidates that we identify for specific indications. As such, our current mission is focused on antibody-based therapies that protect vulnerable people from the consequences of viral threats, beginning with SARS-CoV-2, and we have committed a significant portion of our financial and personnel resources to the manufacturing and commercialization of PEMGARDA, which received an EUA from the FDA in March 2024. Our business could be negatively impacted by our allocation of significant resources to a global health threat that is unpredictable and could change, dissipate or stabilize, which could limit or eliminate demand for PEMGARDA or any new or engineered mAb candidates that we anticipate periodically introducing in the future as the SARS-CoV-2 virus evolves over time.</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52" w:name="page53"/>
    <w:bookmarkEnd w:id="52"/>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conducted and may in the future conduct clinical trials for our product candidates outside the U.S., and the FDA and similar foreign regulatory authorities may not accept data from such trials conducted in locations outside of their jurisdiction.</w:t>
      </w:r>
    </w:p>
    <w:p>
      <w:pPr>
        <w:spacing w:after="0" w:line="50"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We have conducted and may in the future conduct clinical trials for our product candidates outside the U.S. The FDA may not accept or may impose additional conditions on trial data from clinical trials conducted outside the U.S. submitted in support of an IND, EUA or BLA. For example, in order for the FDA to accept a foreign clinical trial as support for an IND or application for marketing approval, the FDA requires the following conditions are met:</w:t>
      </w:r>
    </w:p>
    <w:p>
      <w:pPr>
        <w:spacing w:after="0" w:line="1" w:lineRule="exact"/>
        <w:rPr>
          <w:sz w:val="20"/>
          <w:szCs w:val="20"/>
          <w:color w:val="auto"/>
        </w:rPr>
      </w:pPr>
    </w:p>
    <w:p>
      <w:pPr>
        <w:jc w:val="both"/>
        <w:ind w:firstLine="8"/>
        <w:spacing w:after="0" w:line="251" w:lineRule="auto"/>
        <w:tabs>
          <w:tab w:leader="none" w:pos="21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data are applicable to the U.S. population and U.S. medical practice; (ii) the trial was conducted in accordance with cGCP standards; and (iii) the FDA is able to validate the data from the trial through an onsite inspection if the FDA deems it necessary.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or any similar foreign regulatory authority will accept data from trials conducted outside of the U.S. or the applicable jurisdiction. If the FDA or any similar foreign regulatory authority does not accept such data, it would result in the need for additional trials, which would be costly and time-consuming and delay aspects of our business plan, and which may result in our product candidates not receiving approval or authorization for commercialization in the applicable jurisdiction.</w:t>
      </w:r>
    </w:p>
    <w:p>
      <w:pPr>
        <w:spacing w:after="0" w:line="80" w:lineRule="exact"/>
        <w:rPr>
          <w:sz w:val="20"/>
          <w:szCs w:val="20"/>
          <w:color w:val="auto"/>
        </w:rPr>
      </w:pPr>
    </w:p>
    <w:p>
      <w:pPr>
        <w:jc w:val="both"/>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build a pipeline of additional product candidates through internal efforts or through partnerships for discovery of novel antibody product candidates.</w:t>
      </w:r>
    </w:p>
    <w:p>
      <w:pPr>
        <w:spacing w:after="0" w:line="5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may not be able to continue to identify and develop new product candidates in addition to our current pipeline. Even if we are successful in continuing to build our pipeline, the potential product candidates that we identify may not be suitable for clinical development. For example, product candidates may be shown to have harmful side effects or other characteristics that indicate that they are unlikely to be successfully developed, much less receive authorization or approval and achieve market acceptance. Further, even if we obtain authorization or approval for a product candidate for one indication that may have potential for new or additional indications, we may determine that those additional indications are not worth pursuing for strategic reasons, including new legislation that may impact our ability to commercialize such compounds for such indications, if approved. If we do not successfully develop and commercialize product candidates based upon our approach, we will not be able to obtain product revenue in future periods, which likely would result in significant harm to our financial position and adversely affect our stock price.</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may be adversely affected by public health outbreaks, pandemics or epidemics, such as the COVID-19 pandemic.</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COVID-19, the disease caused by SARS-CoV-2 and its variants, gave rise to a global pandemic in 2020, and continues to present public health and economic challenges around the world. The full impact of the COVID-19 pandemic remains uncertain, and such impact may directly or indirectly affect the commercial prospects of our product candidates for the prevention and treatment of COVID-19. The evolution and of the disease and the continued emergence of VoCs, and the availability, administration and acceptance of vaccines, mAbs, antiviral agents and other therapies may affect the design and enrollment of our clinical trials, the potential regulatory authorization or approval of our product candidates and the commercialization of our product candidates, if authorized or approved.</w:t>
      </w:r>
    </w:p>
    <w:p>
      <w:pPr>
        <w:spacing w:after="0" w:line="7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our business and operations may be more broadly adversely affected by public health outbreaks, pandemics or epidemics, such as the COVID-19 pandemic, which pose the risk that we or our third-party contractors may be prevented from conducting normal business activities or operations due to spread of the disease, or due to restrictions that may be requested or mandated by federal, state or local governmental authorities. Business disruptions could include travel restrictions, temporary closures of our facilities or the facilities of our third-party contractors or other restrictions by authorities to reduce the spread of the disease. Any such business disruptions may negatively impact productivity, raise the cost of materials or otherwise disrupt our supply chain or manufacturing activities, and may disrupt our ongoing research and development activities as well as our clinical programs and timelines or commercialization efforts, the magnitude of which will depend, in part, on the length and severity of any such business disruptions, restrictions or other limitations on our ability to conduct our business in the ordinary course.</w:t>
      </w:r>
    </w:p>
    <w:p>
      <w:pPr>
        <w:spacing w:after="0" w:line="81"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We experienced some delays in our development activities as a result of the COVID-19 pandemic. For example, in December 2020, shipment of adintrevimab clinical supply by WuXi Biologics was delayed due to the introduction by the Chinese government of a new procedure for the approval of the export of products for the treatment of COVID-19. There could be other disruptions, delays or uncertainties in our development activities as a result of any public health outbreak, pandemic or epidemic, such as the COVID-19 pandemic.</w:t>
      </w:r>
    </w:p>
    <w:p>
      <w:pPr>
        <w:spacing w:after="0" w:line="74" w:lineRule="exact"/>
        <w:rPr>
          <w:sz w:val="20"/>
          <w:szCs w:val="20"/>
          <w:color w:val="auto"/>
        </w:rPr>
      </w:pPr>
    </w:p>
    <w:p>
      <w:pPr>
        <w:jc w:val="both"/>
        <w:ind w:right="20" w:firstLine="509"/>
        <w:spacing w:after="0" w:line="281" w:lineRule="auto"/>
        <w:rPr>
          <w:sz w:val="20"/>
          <w:szCs w:val="20"/>
          <w:color w:val="auto"/>
        </w:rPr>
      </w:pPr>
      <w:r>
        <w:rPr>
          <w:rFonts w:ascii="Times New Roman" w:cs="Times New Roman" w:eastAsia="Times New Roman" w:hAnsi="Times New Roman"/>
          <w:sz w:val="18"/>
          <w:szCs w:val="18"/>
          <w:color w:val="auto"/>
        </w:rPr>
        <w:t>Public health outbreaks, pandemics or epidemics, such as the COVID-19 pandemic, which caused a broad impact globally, may also materially affect us economically. For example, a widespread outbreak, pandemic or epidemic could result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53" w:name="page54"/>
    <w:bookmarkEnd w:id="53"/>
    <w:p>
      <w:pPr>
        <w:jc w:val="both"/>
        <w:spacing w:after="0" w:line="258" w:lineRule="auto"/>
        <w:rPr>
          <w:sz w:val="20"/>
          <w:szCs w:val="20"/>
          <w:color w:val="auto"/>
        </w:rPr>
      </w:pPr>
      <w:r>
        <w:rPr>
          <w:rFonts w:ascii="Times New Roman" w:cs="Times New Roman" w:eastAsia="Times New Roman" w:hAnsi="Times New Roman"/>
          <w:sz w:val="18"/>
          <w:szCs w:val="18"/>
          <w:color w:val="auto"/>
        </w:rPr>
        <w:t>in significant disruption of global financial markets, reducing our ability to access capital, which could in the future negatively affect our liquidity. In addition, a recession or market correction resulting from the spread of disease such as COVID-19 could materially affect our business and the value of our common stock. The ultimate extent to which COVID-19 directly or indirectly impacts our business, financial condition, operations, and product development timelines and plans remains uncertain and will depend on future developments, including the duration and spread of outbreaks and the continued emergence of VoCs, actions taken to prevent or treat COVID-19, and its economic impact on local, regional, national and international markets.</w:t>
      </w:r>
    </w:p>
    <w:p>
      <w:pPr>
        <w:spacing w:after="0" w:line="74"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In addition, to the extent that any public health outbreaks, pandemics or epidemics, such as the COVID-19 pandemic, adversely affects our business, financial condition and results of operations, it may also have the effect of heightening many of the other risks and uncertainties described in this “Risk Factors” section.</w:t>
      </w:r>
    </w:p>
    <w:p>
      <w:pPr>
        <w:spacing w:after="0" w:line="65"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develop product candidates for use in combination with other therapies or third-party product candidates, which exposes us to additional regulatory risks.</w:t>
      </w:r>
    </w:p>
    <w:p>
      <w:pPr>
        <w:spacing w:after="0" w:line="5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may develop product candidates for use in combination with one or more currently authorized or approved therapies to prevent or treat COVID-19, or with therapies that may be authorized or approved in the future. Even if any product candidate we develop were to receive authorization or approval to be commercialized for use in combination with other existing therapies, we would continue to be subject to the risk that the FDA or comparable foreign regulatory authorities could revoke authorization or approval of the therapy used in combination with our product candidate or that safety, efficacy, manufacturing or supply issues could arise with these existing therapies. This could result in our own products being removed from the market or being less successful commercially.</w:t>
      </w:r>
    </w:p>
    <w:p>
      <w:pPr>
        <w:spacing w:after="0" w:line="7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may also evaluate our product candidates in combination with one or more other third-party product candidates that have not yet been authorized or approved by the FDA or comparable foreign regulatory authorities. If so, we will not be able to market and sell any product candidate we develop in combination with any such unauthorized or unapproved therapies that do not ultimately obtain authorization or approval. If the FDA or comparable foreign regulatory authorities do not authorize or approve these other product candidates, or revoke their authorization or approval of, or if safety, efficacy, manufacturing or supply issues arise with, the biologics or antivirals we choose to evaluate in combination with any product candidate we develop, we may be unable to obtain authorization or approval of or market any such product candidate.</w:t>
      </w:r>
    </w:p>
    <w:p>
      <w:pPr>
        <w:spacing w:after="0" w:line="74" w:lineRule="exact"/>
        <w:rPr>
          <w:sz w:val="20"/>
          <w:szCs w:val="20"/>
          <w:color w:val="auto"/>
        </w:rPr>
      </w:pPr>
    </w:p>
    <w:p>
      <w:pPr>
        <w:jc w:val="both"/>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our product candidates obtain regulatory authorization or approval, they may be negatively impacted by future development or regulatory difficulties.</w:t>
      </w:r>
    </w:p>
    <w:p>
      <w:pPr>
        <w:spacing w:after="0" w:line="5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Authorized and approved drug products are subject to ongoing regulatory requirements and oversight, including requirements related to manufacturing, quality control, further development, labeling, packaging, storage, distribution, safety surveillance, import, export, advertising, promotion, recordkeeping and reporting. In addition, we will be subject to continued compliance with cGMP and cGCP requirements for any clinical trials that we conduct post-authorization or approval. If we or any of the third parties on which we rely fail to meet those requirements, the FDA or comparable regulatory authorities outside the U.S. could initiate enforcement action. Other potential consequences include the issuance of fines, warning letters, untitled letters or holds on clinical trials, product seizure or detention or refusal to permit the import or export of our product candidates, permanent injunctions and consent decrees, or the imposition of civil or criminal penalties, any of which could significantly impair our ability to successfully commercialize a given product. If the FDA or a comparable regulatory authority outside the U.S. becomes aware of new safety information, it can impose additional restrictions on how the product is marketed or may seek to withdraw marketing authorization or approval altogether.</w:t>
      </w:r>
    </w:p>
    <w:p>
      <w:pPr>
        <w:spacing w:after="0" w:line="74"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United Kingdom’s withdrawal from the European Union may adversely impact our ability to obtain regulatory authorizations or approvals of our product candidates in the European Union and United Kingdom, result in restrictions or imposition of taxes and duties for importing our product candidates into the European Union and United Kingdom and require us to incur additional expenses in order to develop, manufacture and commercialize our product candidates in the European Union and United Kingdom.</w:t>
      </w:r>
    </w:p>
    <w:p>
      <w:pPr>
        <w:spacing w:after="0" w:line="7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Following the result of a referendum in 2016, the United Kingdom left the European Union on January 31, 2020, commonly referred to as Brexit. Pursuant to the formal withdrawal arrangements agreed to by the United Kingdom and the European Union, as of January 1, 2021, the United Kingdom is no longer subject to the transition period (the “Transition Period”) during which European Union rules continued to apply. A trade and cooperation agreement (the “Trade Cooperation Agreement”) that outlines the post-Transition Period trading relationship between the United Kingdom and the European Union was agreed to in December 2020 and was formally entered into on May 1, 2021.</w:t>
      </w:r>
    </w:p>
    <w:p>
      <w:pPr>
        <w:spacing w:after="0" w:line="7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Since a significant proportion of the regulatory framework in the United Kingdom applicable to our business and our product candidates is derived from European Union directives and regulations, Brexit has had, and will continue to have, a material impact on the regulatory regime with respect to the potential development, manufacture, importation, approval and commercialization of our product candidates in the United Kingdom. For example, Great Britain (England, Scotland and Wales) is no longer covered by the centralized procedures for obtaining European Union-wide marketing authorizations from the</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54" w:name="page55"/>
    <w:bookmarkEnd w:id="54"/>
    <w:p>
      <w:pPr>
        <w:jc w:val="both"/>
        <w:spacing w:after="0" w:line="260" w:lineRule="auto"/>
        <w:rPr>
          <w:sz w:val="20"/>
          <w:szCs w:val="20"/>
          <w:color w:val="auto"/>
        </w:rPr>
      </w:pPr>
      <w:r>
        <w:rPr>
          <w:rFonts w:ascii="Times New Roman" w:cs="Times New Roman" w:eastAsia="Times New Roman" w:hAnsi="Times New Roman"/>
          <w:sz w:val="18"/>
          <w:szCs w:val="18"/>
          <w:color w:val="auto"/>
        </w:rPr>
        <w:t>European Commission, and a separate marketing authorization is required to market our product candidates in Great Britain. Northern Ireland continues to be covered by the marketing authorizations granted by the European Commission, but this will change beginning on January 1, 2025, when the new measures under the Windsor Framework come into effect. Beginning on this date, Northern Ireland will be subject to the same MHRA authorization procedures as Great Britain.</w:t>
      </w:r>
    </w:p>
    <w:p>
      <w:pPr>
        <w:spacing w:after="0" w:line="74"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All of these changes could increase our costs and otherwise adversely affect our business to the extent that we pursue development, manufacture, and/or commercialization of our product candidates in the European Union or United Kingdom. Any delay in obtaining, or an inability to obtain, any marketing approvals, as a result of Brexit or otherwise, would delay or prevent us from commercializing our product candidates in the United Kingdom. The Annex to the Trade and Cooperation Agreement further provides a framework for the recognition of cGMP inspections and for the exchange and acceptance of official cGMP documents. The regime does not, however, extend to procedures such as batch release certification. Among the changes that have occurred are that Great Britain (England, Scotland and Wales) is treated as a “third country,” a country that is not a member of the European Union and whose citizens do not enjoy the European Union right to free movement. Northern Ireland continues to follow many aspects of the European Union regulatory rules, particularly in relation to trade in goods. As part of the Trade and Cooperation Agreement, the European Union and the United Kingdom recognize cGMP inspections carried out by the other party and the acceptance of official cGMP documents issued by the other party. The Trade and Cooperation Agreement also encourages, although it does not oblige, the parties to consult one another on proposals to introduce significant changes to technical regulations or inspection procedures. Among the areas of absence of mutual recognition are batch testing and batch release. The United Kingdom has unilaterally agreed to accept European Union batch testing and batch release, and any change to this position is subject to a minimum two year notice period. However, the European Union continues to apply European Union laws that require batch testing and batch release to take place in the European Union territory. This means that medicinal products that are tested and released in the United Kingdom must be retested and re-released when entering the European Union market for commercial use. While the Trade and Cooperation Agreement provides for the tariff-free trade of medicinal products between the United Kingdom and the European Union, there are additional non-tariff costs to such trade that did not exist prior to the end of the post-Brexit Transition Period. Further, should the United Kingdom diverge from the European Union from a regulatory perspective in relation to medicinal products, tariffs could be put into place in the future. We could therefore face significant additional expenses (when compared to prior to the end of the Transition Period) to operate our business, to the extent that we pursue development, manufacture, and/or commercialization of our product candidates in the European Union and United Kingdom, which could significantly and materially harm or delay our ability to generate revenues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impacted nations and the United Kingdom.</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Manufacturing of our Product Candidates</w:t>
      </w:r>
    </w:p>
    <w:p>
      <w:pPr>
        <w:spacing w:after="0" w:line="117"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Monoclonal antibody therapies are complex and difficult to manufacture, and we currently rely on a contract manufacturer for access to capacity. We could experience manufacturing problems, may be unable to access desired manufacturing capacity within desired timeframes, or may be unable to access raw materials due to global supply chain shortages or otherwise, that result in delays in the development or commercialization of our product candidates or otherwise harm our business.</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manufacture of mAb and other protein-based therapies are technically complex and necessitate substantial expertise and capital investment.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Production difficulties caused by unforeseen events may delay the availability of material for our clinical trials or commercialization efforts.</w:t>
      </w:r>
    </w:p>
    <w:p>
      <w:pPr>
        <w:spacing w:after="0" w:line="9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have engaged WuXi Biologics, a CDMO, for the development and manufacture of our product candidates for clinical and commercial use. Manufacturers of pharmaceutical products must comply with strictly enforced cGMP requirements, state and federal regulations, as well as foreign requirements when applicable. Any failure of us or our CDMO to adhere to or document compliance to such regulatory requirements could lead to a delay or interruption in the availability of product for clinical trials or commercial use, or enforcement action from the FDA or foreign or state regulatory authorities. If we or our CDMO were to fail to comply with the FDA or foreign or state regulatory authorities, it could result in sanctions being imposed on us, including clinical holds, fines, injunctions, civil penalties, delays, suspension or withdrawal of authorizations or approvals, license revocation, seizures or recalls of product candidates or products, operating restrictions and criminal prosecutions, any of which could significantly and adversely affect supplies of our product candidates. Our dependence upon others for the manufacture of our product candidates may also adversely affect our future profit margins, if any, and our ability to commercialize any product candidates that receive regulatory authorization or approval on a timely and competitive basis.</w:t>
      </w:r>
    </w:p>
    <w:p>
      <w:pPr>
        <w:spacing w:after="0" w:line="78"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Biological products are inherently difficult and time-consuming to manufacture. Our program materials are manufactured and tested using technically complex processes and/or methods requiring specialized equipment and facilities and other production constraints, including a number of highly specific raw materials, cell lines and reagents with limited suppliers. Even</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55" w:name="page56"/>
    <w:bookmarkEnd w:id="55"/>
    <w:p>
      <w:pPr>
        <w:jc w:val="both"/>
        <w:spacing w:after="0" w:line="258" w:lineRule="auto"/>
        <w:rPr>
          <w:sz w:val="20"/>
          <w:szCs w:val="20"/>
          <w:color w:val="auto"/>
        </w:rPr>
      </w:pPr>
      <w:r>
        <w:rPr>
          <w:rFonts w:ascii="Times New Roman" w:cs="Times New Roman" w:eastAsia="Times New Roman" w:hAnsi="Times New Roman"/>
          <w:sz w:val="18"/>
          <w:szCs w:val="18"/>
          <w:color w:val="auto"/>
        </w:rPr>
        <w:t>though we aim to have backup supplies of raw materials, cell lines and reagents whenever possible, we cannot be certain they will be sufficient if our primary sources are unavailable. A shortage of a critical raw material, cell line or reagent, or a technical issue during development, manufacturing or testing, may lead to an inability to manufacture our product candidate, resulting in delays in clinical development or commercialization plans. Any changes in the manufacturing of components of the raw materials we use for manufacturing or testing of our product candidates could result in unanticipated or unfavorable effects in our manufacturing processes or product quality or timelines, resulting in delays.</w:t>
      </w:r>
    </w:p>
    <w:p>
      <w:pPr>
        <w:spacing w:after="0" w:line="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delay, failure or inability to manufacture or test on a timely basis can impact the timelines for our clinical trials or our commercialization plans.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delay, failure or inability to manufacture or test can result from:</w:t>
      </w:r>
    </w:p>
    <w:p>
      <w:pPr>
        <w:spacing w:after="0" w:line="98" w:lineRule="exact"/>
        <w:rPr>
          <w:sz w:val="20"/>
          <w:szCs w:val="20"/>
          <w:color w:val="auto"/>
        </w:rPr>
      </w:pPr>
    </w:p>
    <w:p>
      <w:pPr>
        <w:jc w:val="both"/>
        <w:ind w:left="1140" w:hanging="504"/>
        <w:spacing w:after="0" w:line="260" w:lineRule="auto"/>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in the manufacturing process itself, for example by an error in manufacturing process, operator or human error, equipment failure, raw material or reagent failure, failure in any step of the manufacturing process, failure to maintain a cGMP environment or failure in quality systems applicable to manufacture (whether by us or our third-party contract development and manufacturing organization), sterility failures, testing failure or contamination during processing;</w:t>
      </w:r>
    </w:p>
    <w:p>
      <w:pPr>
        <w:spacing w:after="0" w:line="73" w:lineRule="exact"/>
        <w:rPr>
          <w:rFonts w:ascii="Times New Roman" w:cs="Times New Roman" w:eastAsia="Times New Roman" w:hAnsi="Times New Roman"/>
          <w:sz w:val="18"/>
          <w:szCs w:val="18"/>
          <w:color w:val="auto"/>
        </w:rPr>
      </w:pPr>
    </w:p>
    <w:p>
      <w:pPr>
        <w:jc w:val="both"/>
        <w:ind w:left="1140" w:hanging="504"/>
        <w:spacing w:after="0" w:line="265" w:lineRule="auto"/>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lack of reliability or reproducibility in the manufacturing process itself leading to variability in process execution or in product quality, which may lead to regulatory authorities placing a hold on a clinical trial or commercial supply and distribution or requesting further information on the process, which could in turn result in delays to the clinical trials or commercial supply and distributions;</w:t>
      </w:r>
    </w:p>
    <w:p>
      <w:pPr>
        <w:spacing w:after="0" w:line="69" w:lineRule="exact"/>
        <w:rPr>
          <w:rFonts w:ascii="Times New Roman" w:cs="Times New Roman" w:eastAsia="Times New Roman" w:hAnsi="Times New Roman"/>
          <w:sz w:val="18"/>
          <w:szCs w:val="18"/>
          <w:color w:val="auto"/>
        </w:rPr>
      </w:pPr>
    </w:p>
    <w:p>
      <w:pPr>
        <w:ind w:left="1140" w:hanging="504"/>
        <w:spacing w:after="0" w:line="281" w:lineRule="auto"/>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manufacturing or testing slots within desired timeframes or to have enough manufacturing slots to manufacture our product candidates to meet clinical or commercial requirements and demands;</w:t>
      </w:r>
    </w:p>
    <w:p>
      <w:pPr>
        <w:spacing w:after="0" w:line="54"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FDA or foreign or state regulatory inspection of the manufacturing or testing site;</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procure raw materials and reagents due to global supply chain shortages or otherwise;</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depletion or performance degradation of the cell line starting material; and</w:t>
      </w:r>
    </w:p>
    <w:p>
      <w:pPr>
        <w:spacing w:after="0" w:line="116" w:lineRule="exact"/>
        <w:rPr>
          <w:rFonts w:ascii="Times New Roman" w:cs="Times New Roman" w:eastAsia="Times New Roman" w:hAnsi="Times New Roman"/>
          <w:sz w:val="18"/>
          <w:szCs w:val="18"/>
          <w:color w:val="auto"/>
        </w:rPr>
      </w:pPr>
    </w:p>
    <w:p>
      <w:pPr>
        <w:ind w:left="1140" w:hanging="504"/>
        <w:spacing w:after="0" w:line="281" w:lineRule="auto"/>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close-down of any manufacturing facility used in the manufacture of our product candidates, or the inability to find alternative manufacturing capability in a timely fashion.</w:t>
      </w:r>
    </w:p>
    <w:p>
      <w:pPr>
        <w:spacing w:after="0" w:line="51"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are biologics, and the manufacture of our product candidates is complex and subject to extensive regulations. If we or our third-party contractors fail to comply with such regulations, regulatory authorities may impose sanctions or require remedial measures that could be costly or time-consuming, and our ability to provide supply of our product candidates for clinical trials or commercialization could be delayed or stopped.</w:t>
      </w:r>
    </w:p>
    <w:p>
      <w:pPr>
        <w:spacing w:after="0" w:line="7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All entities involved in the preparation of therapeutics for clinical trials or commercialization, including our existing contract manufacturer and testing facilities, labeling, packaging and storage facilities, and distributors, are subject to extensive regulation. Components of a finished therapeutic product authorized or approved for commercialization or used in clinical trials must be manufactured, tested, and stored in accordance with cGMP. These regulations govern manufacturing processes and procedures (including record keeping) and the implementation and operation of quality systems to control and ensure the quality of investigational products and products authorized or approved for sale. Poor control of production processes can lead to the introduction of adventitious agents or other contaminants, or to inadvertent changes in the properties or stability of our product candidates that may not be detectable in final product testing. We or our contract manufacturer must supply all necessary documentation in support of regulatory authorization or approval on a timely basis. Our facilities and quality systems and the facilities and quality systems of some or all of our third-party contractors will likely need to pass a pre-approval inspection (and may need to pass a pre-authorization inspection) for compliance with the applicable regulations as a condition of regulatory approval (or authorization) of our product candidates. In addition, regulatory authorities may, at any time, audit or inspect us or any of our contract manufacturing, testing, and storage facilities involved with the preparation of our product candidates or our other potential products or the associated quality systems for compliance with the regulations applicable to the activities being conducted, and they could put a hold on one or more of our clinical trials (or could delay regulatory authorization or approval) if the facilities or quality systems of our or third-party contractors do not pass such audit or inspections. Certain of our third-party contractors’ facilities have not yet been inspected by regulatory authorities. If any of our third-party contractors’ facilities do not pass a pre-approval, pre-authorization, or other facility inspection, regulatory approval or authorization of the products may not be granted.</w:t>
      </w:r>
    </w:p>
    <w:p>
      <w:pPr>
        <w:spacing w:after="0" w:line="8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regulatory authorities also may, at any time following authorization or approval of a product for sale, inspect or audit us or our third-party contractors. If any such inspection or audit identifies a failure to comply with applicable regulations or if compliance discrepancies with our product specifications or violations of applicable regulations occur independent of such an inspection or audit, we or the relevant regulatory authority may require remedial measures that may be costly and/or time-consuming for us or a third party to implement and that may include the temporary or permanent suspension of a clinical trial or commercial sales or the temporary or permanent closure of a facility. Any such remedial measures imposed upon us or third</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56" w:name="page57"/>
    <w:bookmarkEnd w:id="56"/>
    <w:p>
      <w:pPr>
        <w:jc w:val="both"/>
        <w:spacing w:after="0" w:line="255" w:lineRule="auto"/>
        <w:rPr>
          <w:sz w:val="20"/>
          <w:szCs w:val="20"/>
          <w:color w:val="auto"/>
        </w:rPr>
      </w:pPr>
      <w:r>
        <w:rPr>
          <w:rFonts w:ascii="Times New Roman" w:cs="Times New Roman" w:eastAsia="Times New Roman" w:hAnsi="Times New Roman"/>
          <w:sz w:val="18"/>
          <w:szCs w:val="18"/>
          <w:color w:val="auto"/>
        </w:rPr>
        <w:t>parties with whom we contract could harm our business. If we or any of our third-party contractors fail to maintain regulatory compliance, the FDA or other regulatory authorities can impose regulatory sanctions, including, among other things, refusal to authorize or approve a pending application or to issue a positive opinion for a new drug product, or revocation of a pre-existing authorization or approval. As a result, our business, financial condition and results of operations may be harmed. Additionally, if supply from an approved manufacturer is interrupted, there could be a significant disruption in commercial supply of any authorized or approved products. An alternative manufacturer would need to be qualified and approved, which could result in further delay. The regulatory agencies may also require additional studies if a new manufacturer is relied upon for commercial production. Switching manufacturers may involve substantial costs and is likely to result in a delay in our desired commercial timelines.</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These factors could cause the delay of clinical trials, regulatory submissions, required approvals or commercialization of our product candidates, cause us to incur higher costs and prevent us from commercializing our products successfully, if authorized or approved, or could delay commercial supply once authorized or approved. Furthermore, if our third-party contractors fail to meet contractual requirements, and we are unable to secure one or more replacement contractors capable of production at a substantially equivalent cost, our clinical trials or commercialization efforts may be delayed or we could lose potential revenue.</w:t>
      </w:r>
    </w:p>
    <w:p>
      <w:pPr>
        <w:spacing w:after="0" w:line="70"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currently depend on sole-source third-party suppliers and a single contract manufacturer for materials and services that are necessary for the conduct of preclinical studies, manufacture and testing of our product candidates for clinical trials and the commercialization of PEMGARDA, and the loss of these third-party suppliers or contract manufacturer or their inability to supply us with sufficient quantities of adequate materials or services, or to do so at acceptable quality levels and on a timely basis, could harm our business.</w:t>
      </w:r>
    </w:p>
    <w:p>
      <w:pPr>
        <w:spacing w:after="0" w:line="7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Manufacturing and testing our product candidates and commercialization of PEMGARDA or any other authorized or approved products require many specialty materials and equipment, some of which are manufactured or supplied by small companies with limited resources and experience to support commercial biologics production. We currently depend on a limited number of vendors for certain materials and equipment used in the manufacture and testing of our product candidates. For example, we are reliant on WuXi Biologics, our current CDMO, as the procurer of the raw materials used in the manufacture of our product candidates, such as PEMGARDA, including certain single-source purification resins and cell culture media, which increases the risk of delays in production.</w:t>
      </w:r>
    </w:p>
    <w:p>
      <w:pPr>
        <w:spacing w:after="0" w:line="7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current CDMO’s or potential future CDMOs’ raw material suppliers may not have the capacity to support clinical and commercial products manufactured under cGMP by biopharmaceutical firms or may otherwise be ill-equipped to support our needs. We also do not have supply contracts with many of these suppliers directly, and we, our current CDMO or potential future CDMOs may not be able to obtain supply contracts with them on acceptable terms or at all. Accordingly, we, our current CDMO or potential future CDMOs may experience delays in receiving key raw materials and equipment to support clinical or commercial manufacturing.</w:t>
      </w:r>
    </w:p>
    <w:p>
      <w:pPr>
        <w:spacing w:after="0" w:line="7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For some of these specialty materials, we, our current CDMO or potential future CDMOs rely on and may in the future rely on sole-source suppliers or a limited number of suppliers. The supply of specialty materials and equipment that are necessary to produce our product candidates could be reduced or interrupted at any time. In such case, identifying and engaging an alternative supplier could result in delay, and we may not be able to find other acceptable suppliers on acceptable terms, or at all. Switching our suppliers may involve substantial costs and is likely to result in a delay in our desired clinical and commercial timelines. If our key suppliers are lost, or if the supply of the materials is diminished or discontinued, we may not be able to develop, test, manufacture and market our product candidates in a timely and competitive manner, or at all. An inability to continue to source product from any of these suppliers, which could be due to a number of issues, including regulatory actions or requirements affecting the supplier, adverse financial or other strategic developments experienced by a supplier, labor disputes or shortages, unexpected demands or quality issues, could adversely affect our ability to satisfy demand for our product candidates, which could adversely and materially affect our product sales and operating results or our ability to conduct clinical trials, either of which could significantly harm our business.</w:t>
      </w:r>
    </w:p>
    <w:p>
      <w:pPr>
        <w:spacing w:after="0" w:line="8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to date, we have relied on WuXi Biologics as our only CDMO. We have partnered with WuXi Biologics for CMC development and for clinical and commercial drug substance and drug product supply. The loss of this CDMO, a disruption in production at this CDMO or the inability of this CDMO to timely manufacture sufficient quantities to meet our needs, and our failure to find alternative manufacturing capability in a timely fashion, would impair our ability to develop and commercialize our product candidates, including the manufacture and commercialization of PEMGARDA in quantities and on timelines sufficient to meet demand. Although we believe there are other potential alternative CDMOs, the number of CDMOs with the necessary manufacturing and regulatory expertise and facilities to manufacture biologics like our mAb candidates is limited, and switching manufacturers or manufacturing sites would be expensive, difficult and time consuming. A new manufacturer or manufacturing site would have to be educated on, or develop substantially equivalent processes for, production of our product candidates, and it may be difficult or impossible to transfer certain elements of our manufacturing process to a</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57" w:name="page58"/>
    <w:bookmarkEnd w:id="57"/>
    <w:p>
      <w:pPr>
        <w:jc w:val="both"/>
        <w:spacing w:after="0" w:line="256" w:lineRule="auto"/>
        <w:rPr>
          <w:sz w:val="20"/>
          <w:szCs w:val="20"/>
          <w:color w:val="auto"/>
        </w:rPr>
      </w:pPr>
      <w:r>
        <w:rPr>
          <w:rFonts w:ascii="Times New Roman" w:cs="Times New Roman" w:eastAsia="Times New Roman" w:hAnsi="Times New Roman"/>
          <w:sz w:val="18"/>
          <w:szCs w:val="18"/>
          <w:color w:val="auto"/>
        </w:rPr>
        <w:t>new manufacturer or for us to find a replacement manufacturer on acceptable terms quickly, or at all. Furthermore, switching manufacturers or manufacturing sites may hinder our ability to leverage our INVYMAB platform approach to facilitate the rapid, serial generation of mAbs to keep pace with evolving viral threats, which we expect will require a consistent CMC platform. Transferring manufacturing to a new manufacturer or manufacturing site could therefore interrupt supply, delay our clinical trials and commercialization efforts, increase our costs for our product candidates and disrupt our plans to use any potential streamlined development pathway that requires a consistent CMC platform, any of which could have an adverse effect on our business, financial condition, results of operations, and/or growth prospects.</w:t>
      </w:r>
    </w:p>
    <w:p>
      <w:pPr>
        <w:spacing w:after="0" w:line="74"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contamination or interruption in our manufacturing process, shortages of raw materials or failure of our suppliers of reagents to deliver necessary components could result in delays in our clinical development or commercialization schedules.</w:t>
      </w:r>
    </w:p>
    <w:p>
      <w:pPr>
        <w:spacing w:after="0" w:line="5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Given the nature of mAb manufacturing, there is a risk of contamination, including in the manufacture of raw materials and in the manufacturing of our product candidates, or in the manufacturing or testing facility itself. Any contamination could adversely affect our ability to supply product candidates on schedule and could, therefore, harm our results of operations and cause reputational damage. Some of the raw materials required in our manufacturing process are derived from biologic sources. Such raw materials are difficult to procure and may be subject to contamination or recall. A material shortage, contamination, recall or restriction on the use of biologically derived substances in the manufacture or testing of our product candidates could adversely impact or disrupt the supply of commercial or clinical material, which could adversely affect our development timelines and our business, financial condition, results of operations and prospects.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product candidate manufacturing or formulation may result in additional costs or delay.</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product candidates proceed through preclinical studies to late-stage clinical trials towards potential approval and commercialization, it is common that various aspects of the development program, such as manufacturing methods and formulation, are altered along the way in an effort to optimize processes and product characteristics. Such changes carry the risk that they will not achieve our intended objectives. Any such changes could cause our product candidates to perform differently or impact product stability and expiry and affect the results of planned clinical trials or other future clinical trials conducted with the materials manufactured using altered processes or could impact our planned development or commercialization schedule. Such changes may also require additional testing, FDA notification or FDA approval. This could delay completion of clinical trials, require the conduct of bridging clinical trials or the repetition of one or more clinical trials, increase clinical trial costs, delay approval of our product candidates and jeopardize our ability to commence sales and generate revenue.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Our Product Candidates</w:t>
      </w:r>
    </w:p>
    <w:p>
      <w:pPr>
        <w:spacing w:after="0" w:line="117"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FDA revokes or terminates our EUA for PEMGARDA, we will be required to stop commercial distribution of PEMGARDA immediately unless we can obtain FDA approval for PEMGARDA under a traditional regulatory pathway, which is lengthy and expensive, which could harm our future business prospects.</w:t>
      </w:r>
    </w:p>
    <w:p>
      <w:pPr>
        <w:spacing w:after="0" w:line="66"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Under the FDCA, the FDA has authority to allow certain unapproved medical products or unapproved uses of approved medical products to be used in an emergency to diagnose, treat, or prevent serious or life-threatening diseases or conditions when there are no adequate, approved, and available alternatives. In issuing an EUA, the FDA will consider the totality of scientific evidence available to the FDA regarding safety, efficacy, and known and potential risks of such products and availability of alternatives to the emergency use products, among others. EUAs issued by the FDA specify the scope of authorization and conditions of authorization, including limitations on distribution and conditions related to product advertising and promotion. Once granted, an EUA is effective until the declaration permitting emergency use authorization is terminated or the EUA is revoked, after which the product must be approved by the FDA under a traditional pathway in order to remain on the market or to continue commercialization of the product.</w:t>
      </w:r>
    </w:p>
    <w:p>
      <w:pPr>
        <w:spacing w:after="0" w:line="79"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8"/>
          <w:szCs w:val="18"/>
          <w:color w:val="auto"/>
        </w:rPr>
        <w:t>On March 22, 2024, we received an EUA from the FDA for PEMGARDA for the pre-exposure prophylaxis (prevention) of COVID-19 in adults and adolescents (12 years of age and older weighing at least 40 kg) who have moderate-to-severe immune compromise due to certain medical conditions or receipt of certain immunosuppressive medications or treatments and are unlikely to mount an adequate immune response to COVID-19 vaccination. Recipients should not be currently infected with or have had a known recent exposure to an individual infected with SARS-CoV-2.</w:t>
      </w:r>
    </w:p>
    <w:p>
      <w:pPr>
        <w:spacing w:after="0" w:line="7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distribution and advertising conditions set forth in our EUA limit our market opportunities and restrict how we can commercialize PEMGARDA. For example, according to our EUA, among other requirements, all descriptive printed matter, advertising, and promotional materials relating to the emergency use of PEMGARDA under the EUA must be consistent with the authorized labeling and other terms set forth in the EUA and such materials must be tailored to the intended audience, not take the form of reminder advertisements or reminder labeling, and be accompanied by authorized labeling under certain circumstances. In addition, according to our EUA, printed matter, advertising, and promotional materials relating to the emergency use of PEMGARDA must provide accurate descriptions of safety results and efficacy results on a clinical</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58" w:name="page59"/>
    <w:bookmarkEnd w:id="58"/>
    <w:p>
      <w:pPr>
        <w:jc w:val="both"/>
        <w:spacing w:after="0" w:line="260" w:lineRule="auto"/>
        <w:rPr>
          <w:sz w:val="20"/>
          <w:szCs w:val="20"/>
          <w:color w:val="auto"/>
        </w:rPr>
      </w:pPr>
      <w:r>
        <w:rPr>
          <w:rFonts w:ascii="Times New Roman" w:cs="Times New Roman" w:eastAsia="Times New Roman" w:hAnsi="Times New Roman"/>
          <w:sz w:val="18"/>
          <w:szCs w:val="18"/>
          <w:color w:val="auto"/>
        </w:rPr>
        <w:t>endpoint(s) or surrogate endpoint(s) from the clinical trial(s) summarized in the authorized labeling, including any limitations of the clinical trial data as described in the authorized labeling, and contain certain clear and conspicuous statements regarding the emergency use authorization. In addition, the PEMGARDA Fact Sheet for Healthcare Providers includes a boxed warning for anaphylaxis. If the FDA’s policies and guidance change unexpectedly and/or materially or if we misinterpret them, potential sales of PEMGARDA could be adversely impacted.</w:t>
      </w:r>
    </w:p>
    <w:p>
      <w:pPr>
        <w:spacing w:after="0" w:line="7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the FDA would be required to revoke our existing or any future EUA if HHS determines that emergency use is no longer warranted. The FDA may also revoke our existing or any future EUA if new evidence becomes available that indicates that PEMGARDA is not as safe, effective, or reliable as the data provided in the EUA request. For example, the FDA may revise or revoke the EUA for PEMGARDA based on changes in circulating SARS-CoV-2 variants and a reduction in neutralizing activity or effectiveness of PEMGARDA against such variants. We cannot predict how long our EUA will remain effective, and we may not receive advance notice from the FDA regarding revocation of our EUA. The termination or revocation of our existing EUA for PEMGARDA would cause us to cease our commercialization efforts until and if we have obtained approval from the FDA through another regulatory pathway and would adversely impact our business, financial condition and results of operations.</w:t>
      </w:r>
    </w:p>
    <w:p>
      <w:pPr>
        <w:spacing w:after="0" w:line="79"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Additionally, changes in FDA policies, guidance, and requirements for the submission of an EUA request may delay authorization of any additional emergency uses for PEMGARDA. Further, given the high volume of EUA requests received by the FDA and other factors due to the COVID-19 pandemic, including any disruptions in the FDA’s normal operations, the FDA’s review of an amended or additional EUA request may be significantly delayed. The FDA may not grant an EUA for additional emergency uses of PEMGARDA on a timely basis or at all, which could harm our future business prospects.</w:t>
      </w:r>
    </w:p>
    <w:p>
      <w:pPr>
        <w:spacing w:after="0" w:line="70"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any of our product candidates receive authorization or approval, such as PEMGARDA, they may fail to achieve the degree of market acceptance by physicians, patients, third-party payors and others in the medical community necessary for commercial success, due to the product profile, reimbursement dynamics or other reasons.</w:t>
      </w:r>
    </w:p>
    <w:p>
      <w:pPr>
        <w:spacing w:after="0" w:line="6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If any of our product candidates receive authorization or approval, such as PEMGARDA, which received an EUA from the FDA in March 2024, they may nonetheless fail to gain sufficient market acceptance by physicians, patients, third-party payors and others in the medical community, due to the product profile, reimbursement dynamics or other reasons. If our product candidates do not achieve an adequate level of acceptance, we may not generate significant revenue and we may not become profitable. The degree of market acceptance of our product candidates, if authorized or approved for sale, including PEMGARDA, will depend on a number of factors, including:</w:t>
      </w:r>
    </w:p>
    <w:p>
      <w:pPr>
        <w:spacing w:after="0" w:line="74" w:lineRule="exact"/>
        <w:rPr>
          <w:sz w:val="20"/>
          <w:szCs w:val="20"/>
          <w:color w:val="auto"/>
        </w:rPr>
      </w:pPr>
    </w:p>
    <w:p>
      <w:pPr>
        <w:ind w:left="1140" w:right="20" w:hanging="504"/>
        <w:spacing w:after="0" w:line="281" w:lineRule="auto"/>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safety and potential advantages compared to alternative treatments, including oral, intramuscular (IM) and intravenous (IV) options;</w:t>
      </w:r>
    </w:p>
    <w:p>
      <w:pPr>
        <w:spacing w:after="0" w:line="54"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products for sale at competitive prices;</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 compared to alternative treatments;</w:t>
      </w:r>
    </w:p>
    <w:p>
      <w:pPr>
        <w:spacing w:after="0" w:line="116" w:lineRule="exact"/>
        <w:rPr>
          <w:rFonts w:ascii="Times New Roman" w:cs="Times New Roman" w:eastAsia="Times New Roman" w:hAnsi="Times New Roman"/>
          <w:sz w:val="18"/>
          <w:szCs w:val="18"/>
          <w:color w:val="auto"/>
        </w:rPr>
      </w:pPr>
    </w:p>
    <w:p>
      <w:pPr>
        <w:jc w:val="both"/>
        <w:ind w:left="1140" w:hanging="504"/>
        <w:spacing w:after="0" w:line="265" w:lineRule="auto"/>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the FDA or other foreign regulatory authorities, including any limitations or warnings contained in a product’s approved labeling, including any boxed warning (such as the boxed warning for anaphylaxis for PEMGARDA) or REMS;</w:t>
      </w:r>
    </w:p>
    <w:p>
      <w:pPr>
        <w:spacing w:after="0" w:line="69" w:lineRule="exact"/>
        <w:rPr>
          <w:rFonts w:ascii="Times New Roman" w:cs="Times New Roman" w:eastAsia="Times New Roman" w:hAnsi="Times New Roman"/>
          <w:sz w:val="18"/>
          <w:szCs w:val="18"/>
          <w:color w:val="auto"/>
        </w:rPr>
      </w:pPr>
    </w:p>
    <w:p>
      <w:pPr>
        <w:ind w:left="1140" w:hanging="504"/>
        <w:spacing w:after="0" w:line="281" w:lineRule="auto"/>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are required by the FDA or other regulatory authorities to conduct additional clinical trials or to modify the design of our current trials to support the initial or continued authorization or approval of a product candidate;</w:t>
      </w:r>
    </w:p>
    <w:p>
      <w:pPr>
        <w:spacing w:after="0" w:line="54"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treatments and of physicians to prescribe these treatments;</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a sales force in the U.S.;</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coverage and adequate reimbursement for any product candidates, once authorized or approved;</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such as anaphylaxis for which PEMGARDA received a boxed warning;</w:t>
      </w:r>
    </w:p>
    <w:p>
      <w:pPr>
        <w:spacing w:after="0" w:line="116" w:lineRule="exact"/>
        <w:rPr>
          <w:rFonts w:ascii="Times New Roman" w:cs="Times New Roman" w:eastAsia="Times New Roman" w:hAnsi="Times New Roman"/>
          <w:sz w:val="18"/>
          <w:szCs w:val="18"/>
          <w:color w:val="auto"/>
        </w:rPr>
      </w:pPr>
    </w:p>
    <w:p>
      <w:pPr>
        <w:ind w:left="1140" w:right="20" w:hanging="504"/>
        <w:spacing w:after="0" w:line="281" w:lineRule="auto"/>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together with other medications or requirements that our products be used in combination with other products; and</w:t>
      </w:r>
    </w:p>
    <w:p>
      <w:pPr>
        <w:spacing w:after="0" w:line="54"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be effective against emerging variants as a monotherapy or combination therapy.</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59" w:name="page60"/>
    <w:bookmarkEnd w:id="59"/>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Even though we have received an EUA for PEMGARDA, it may not gain broad market acceptance among physicians, healthcare payors and others in the medical community. The commercial success of PEMGARDA is dependent upon physicians, healthcare providers and patients adopting PEMGARDA, which will be informed, in part, by the cost, convenience, safety and efficacy of PEMGARDA. The efficacy of PEMGARDA could be negatively impacted by novel strains of SARS-CoV-2 with genetic variations from viral mutation over time.</w:t>
      </w:r>
    </w:p>
    <w:p>
      <w:pPr>
        <w:spacing w:after="0" w:line="70"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build and maintain sales, marketing and distribution capabilities for PEMGARDA or any other product candidate that may receive regulatory authorization or approval, we may not be successful in commercializing PEMGARDA or such other product candidates if and when they are authorized or approved.</w:t>
      </w:r>
    </w:p>
    <w:p>
      <w:pPr>
        <w:spacing w:after="0" w:line="6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will need to build and maintain a commercial infrastructure to support the anticipated marketing and distribution of our product candidates, which we will need to achieve commercial success for PEMGARDA and any other product candidate for which we may obtain authorization or marketing approval. To support the commercialization of PEMGARDA, we have directly hired key leaders for our sales, marketing, market access, and medical affairs teams, and we are leveraging contract organizations for certain field-based roles. There are risks involved with establishing our commercial infrastructure. For example, the establishment of our own commercial team and/or the hiring and training of a contract sales force is expensive and time consuming and could delay any product launch. If the commercial launch of a product candidate for which we develop a commercial team and/or hire a contract sales force to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Factors that may inhibit our efforts to develop and maintain our commercialization capabilities include:</w:t>
      </w:r>
    </w:p>
    <w:p>
      <w:pPr>
        <w:spacing w:after="0" w:line="117" w:lineRule="exact"/>
        <w:rPr>
          <w:sz w:val="20"/>
          <w:szCs w:val="20"/>
          <w:color w:val="auto"/>
        </w:rPr>
      </w:pPr>
    </w:p>
    <w:p>
      <w:pPr>
        <w:ind w:left="1140" w:hanging="504"/>
        <w:spacing w:after="0" w:line="281" w:lineRule="auto"/>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or the inability of a contract organization to recruit, train and retain adequate numbers of effective sales and marketing personnel;</w:t>
      </w:r>
    </w:p>
    <w:p>
      <w:pPr>
        <w:spacing w:after="0" w:line="54" w:lineRule="exact"/>
        <w:rPr>
          <w:rFonts w:ascii="Times New Roman" w:cs="Times New Roman" w:eastAsia="Times New Roman" w:hAnsi="Times New Roman"/>
          <w:sz w:val="18"/>
          <w:szCs w:val="18"/>
          <w:color w:val="auto"/>
        </w:rPr>
      </w:pPr>
    </w:p>
    <w:p>
      <w:pPr>
        <w:ind w:left="1140" w:hanging="504"/>
        <w:spacing w:after="0" w:line="281" w:lineRule="auto"/>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in order to educate physicians about our product candidates, once authorized or approved;</w:t>
      </w:r>
    </w:p>
    <w:p>
      <w:pPr>
        <w:spacing w:after="0" w:line="54" w:lineRule="exact"/>
        <w:rPr>
          <w:rFonts w:ascii="Times New Roman" w:cs="Times New Roman" w:eastAsia="Times New Roman" w:hAnsi="Times New Roman"/>
          <w:sz w:val="18"/>
          <w:szCs w:val="18"/>
          <w:color w:val="auto"/>
        </w:rPr>
      </w:pPr>
    </w:p>
    <w:p>
      <w:pPr>
        <w:ind w:left="1140" w:right="20" w:hanging="504"/>
        <w:spacing w:after="0" w:line="281" w:lineRule="auto"/>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54"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independent sales, marketing and market access organizations.</w:t>
      </w:r>
    </w:p>
    <w:p>
      <w:pPr>
        <w:spacing w:after="0" w:line="11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To the extent that we rely on third parties to perform sales, marketing or distribution services, such as our leveraging of contract organizations for certain field-based roles for the commercialization of PEMGARDA, our revenue and our profitability, if any, are likely to be lower than if we had developed such capabilities ourselves. In addition,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74"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18"/>
          <w:szCs w:val="18"/>
          <w:color w:val="auto"/>
        </w:rPr>
        <w:t>We began commercializing PEMGARDA after we received an EUA from the FDA in March 2024. As a result, we have only limited experience marketing our product candidates. Our financial condition and results of operations are and will continue to be highly dependent on the ability of our marketing function to adequately promote PEMGARDA for appropriate patients in a manner that complies with applicable laws and regulations.</w:t>
      </w:r>
    </w:p>
    <w:p>
      <w:pPr>
        <w:spacing w:after="0" w:line="6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A key element of our business strategy is the continued expansion of our marketing infrastructure and building brand awareness. As we increase our marketing efforts in connection with the expansion of PEMGARDA sales, we will need to further expand the reach of our marketing networks. Our future success will depend largely on our ability to continue to hire, train, retain and motivate a skilled marketing workforce, directly or through contract organizations, with significant industry-specific knowledge in various areas, including healthcare, prophylactic treatments, complex biologics, and applicable laws and regulations.</w:t>
      </w:r>
    </w:p>
    <w:p>
      <w:pPr>
        <w:spacing w:after="0" w:line="74"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If we are unable to expand our marketing capabilities, we may not be able to effectively commercialize PEMGARDA. Relatedly, if any of our marketing platforms significantly increase their advertising fees, our ability to expand our marketing reach will be greatly impeded. Any such failure could adversely affect our reputation, revenue, and results of operations.</w:t>
      </w:r>
    </w:p>
    <w:p>
      <w:pPr>
        <w:spacing w:after="0" w:line="65"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affected populations for our product candidates, including PEMGARDA, may be smaller than we or third parties currently project, which may affect the addressable markets for our product candidates.</w:t>
      </w:r>
    </w:p>
    <w:p>
      <w:pPr>
        <w:spacing w:after="0" w:line="50"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Our mission is to deliver antibody-based therapies that protect vulnerable people from the consequences of viral threats, beginning with COVID-19. In considering the market potential for our product candidates, our projections of the number of immunocompromised people in the U.S. who may not adequately respond to COVID-19 vaccination and the estimated U.S. total addressable market for our mAb candidates for the pre-exposure prophylaxis of COVID-19 are estimates based on</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60" w:name="page61"/>
    <w:bookmarkEnd w:id="60"/>
    <w:p>
      <w:pPr>
        <w:jc w:val="both"/>
        <w:spacing w:after="0" w:line="256" w:lineRule="auto"/>
        <w:rPr>
          <w:sz w:val="20"/>
          <w:szCs w:val="20"/>
          <w:color w:val="auto"/>
        </w:rPr>
      </w:pPr>
      <w:r>
        <w:rPr>
          <w:rFonts w:ascii="Times New Roman" w:cs="Times New Roman" w:eastAsia="Times New Roman" w:hAnsi="Times New Roman"/>
          <w:sz w:val="18"/>
          <w:szCs w:val="18"/>
          <w:color w:val="auto"/>
        </w:rPr>
        <w:t>Invivyd-sponsored market research and our internal analysis. The number of immunocompromised people in the U.S. who may not adequately respond to COVID-19 vaccination and the estimated U.S. total addressable market for our mAb candidates for the pre-exposure prophylaxis of COVID-19 may turn out to be lower than expected, and patients may not be amenable to our product candidates or may become increasingly difficult to identify and access, all of which would adversely affect our financial condition, results of operations and prospects. Further, even if we obtain authorization or approval for our product candidates, the FDA or other regulators may limit their authorized or approved indications to more narrow uses or subpopulations within the populations for which we are targeting development of our product candidates.</w:t>
      </w:r>
    </w:p>
    <w:p>
      <w:pPr>
        <w:spacing w:after="0" w:line="7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 decline, or a widespread perception of a decline, in the spread or severity of COVID-19, including disease due to variants with relative or absolute resistance to other products, or an increase in available alternative therapies for or widespread immunity to COVID-19, could reduce the total addressable market for our product candidates targeting COVID-19. Similarly, if new SARS-CoV-2 variants are less impacted by our product candidates and their mechanism of action than expected and such variants become more prevalent, the number of patients that we will be able to successfully treat with our product candidates, if authorized or approved, such as PEMGARDA, will be decreased.</w:t>
      </w:r>
    </w:p>
    <w:p>
      <w:pPr>
        <w:spacing w:after="0" w:line="7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total addressable market opportunity for our product candidates, including PEMGARDA, will ultimately depend upon a number of factors, including the diagnosis and treatment criteria included on the final label, if authorized or approved for sale in specified indications, acceptance by the medical community, patient access, and product pricing and reimbursement. Incidence and prevalence estimates are frequently based on information and assumptions that are not exact and may not be appropriate, and the methodology is forward-looking and speculative. The process we have used in developing an estimated total addressable market has involved using a third party to model the number of people at high risk for severe COVID-19 based on a combination of different data sets, such as the incidence and prevalence of different medical conditions based on primary literature, the portion of patients who are receiving immunosuppressants based on claims data, and interviews/surveys with health care professionals. Accordingly, these estimates included in this filing may turn out to be inaccurate. Further, the data and statistical information used in this Annual Report on Form 10-K, and in our other filings with the SEC, including estimates derived from them, may differ from information and estimates made by our competitors or from current or future studies conducted by independent sources.</w:t>
      </w:r>
    </w:p>
    <w:p>
      <w:pPr>
        <w:spacing w:after="0" w:line="83"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Any revenue we are able to generate from product sales will be dependent, in part, upon the size of the market in the U.S. (and any other jurisdiction for which we may in the future obtain an EUA or similar authorization or obtain regulatory approval and have commercial rights) and our ability to meet the market demand. If the markets or patient subsets that we are targeting are not as significant as we estimate, or if we do not have sufficient supply to meet the market demand, we may not generate significant revenues from sales of such products, even if authorized or approved.</w:t>
      </w:r>
    </w:p>
    <w:p>
      <w:pPr>
        <w:spacing w:after="0" w:line="70"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Off-label use or misuse of our products may harm our reputation in the marketplace, result in injuries that lead to costly product liability suits, and/or subject us to penalties if we fail to comply with regulatory requirements or experience unanticipated problems with any product.</w:t>
      </w:r>
    </w:p>
    <w:p>
      <w:pPr>
        <w:spacing w:after="0" w:line="5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our product candidates are authorized or approved by the FDA or comparable foreign regulatory authorities, we may only promote or market our products for their specifically approved indications. We will train our marketing and sales force against promoting our products for uses outside of the approved indications for use, known as “off-label uses.” We cannot, however, prevent a physician from using our products off-label. Furthermore, the use of our products for indications other than those authorized or approved by the FDA or comparable foreign regulatory authorities, may not effectively treat such conditions. Any such off-label use of our products could harm our reputation in the marketplace among physicians and patients. There may also be increased risk of injury to patients if physicians attempt to use our products for uses for which they are not authorized or approved, which could lead to product liability suits that might require significant financial and management resources and that could harm our reputation.</w:t>
      </w:r>
    </w:p>
    <w:p>
      <w:pPr>
        <w:spacing w:after="0" w:line="7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Advertising and promotion of any product candidate that obtains authorization or approval in the U.S. will be heavily scrutinized by the FDA, the FTC, the Department of Justice (the “DOJ”), the Office of Inspector General of HHS, state attorneys general, members of the U.S. Congress, and the public. Additionally, advertising and promotion of any product candidate that obtains approval outside of the U.S. will be heavily scrutinized by comparable foreign entities and stakeholders. Violations, including actual or alleged promotion of our products for unapproved or off-label uses, are subject to enforcement letters, inquiries, investigations, and civil and criminal sanctions by the FDA, DOJ or comparable foreign bodies. Any actual or alleged failure to comply with labeling and promotion requirements may result in fines, warning letters, mandates to correct information to healthcare practitioners, injunctions, or civil or criminal penalties.</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advertising and promotion of products in the European Union is subject to European Union Member States’ national laws implementing Titles VIII and VIIIa of Directive 2001/83/EC on the Community code relating to medicinal products for human use, Directive 2006/114/EC concerning misleading and comparative advertising, and Directive 2005/29/EC on unfair commercial practices, as well as other national legislation of individual European Union Member State governing the advertising and promotion of medicinal products. European Union Member States’ legislation may also restrict or impose</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61" w:name="page62"/>
    <w:bookmarkEnd w:id="61"/>
    <w:p>
      <w:pPr>
        <w:jc w:val="both"/>
        <w:spacing w:after="0" w:line="260" w:lineRule="auto"/>
        <w:rPr>
          <w:sz w:val="20"/>
          <w:szCs w:val="20"/>
          <w:color w:val="auto"/>
        </w:rPr>
      </w:pPr>
      <w:r>
        <w:rPr>
          <w:rFonts w:ascii="Times New Roman" w:cs="Times New Roman" w:eastAsia="Times New Roman" w:hAnsi="Times New Roman"/>
          <w:sz w:val="18"/>
          <w:szCs w:val="18"/>
          <w:color w:val="auto"/>
        </w:rPr>
        <w:t>limitations on the ability to advertise products directly to the general public. In addition, voluntary European Union and national Codes of Conduct provide guidelines on the advertising and promotion of products to the general public and may impose limitations on promotional activities with healthcare professionals. Any actual or alleged failure to comply with promotion requirements may result in fines, warning letters, injunctions, or civil or criminal penalties.</w:t>
      </w:r>
    </w:p>
    <w:p>
      <w:pPr>
        <w:spacing w:after="0" w:line="70"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mAb product candidates may face significant competition from vaccines, antiviral agents and other therapeutics, including mAbs, for COVID-19 that are currently available or in development.</w:t>
      </w:r>
    </w:p>
    <w:p>
      <w:pPr>
        <w:spacing w:after="0" w:line="50"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Many biotechnology and pharmaceutical companies are developing therapeutics for COVID-19 or vaccines against SARS-CoV-2, the virus that causes COVID-19. Many of these companies, which include large pharmaceutical companies, have greater resources for development and established commercialization capabilities. For example, the FDA has approved or granted EUA for several vaccines and therapeutics for the prevention or treatment of COVID-19 developed or marketed by other companies, many of which are large, established biotechnology and pharmaceutical companies. Many of these companies have also been successful in securing government funding to support research and development and/or manufacturing of their product candidates as well as government contracts to purchase their supply orders. Additional vaccines and therapeutics are in development by other pharmaceutical and biopharmaceutical companies. Given the products currently approved or authorized for use as well as those in development by others, any therapies we may develop could face significant competition. If any other company develops therapeutics more rapidly or effectively than we do, develops a therapeutic that becomes the standard of care, develops a therapeutic with a perceived superior risk-benefit profile or other perceived superior attributes such as mode of administration or dosing regimen, develops a therapeutic at a lower cost or is more successful at commercializing an approved therapeutic, we may not be able to successfully commercialize PEMGARDA or any other product candidate targeting COVID-19, even if authorized or approved, or compete with other therapeutics or vaccines, which could adversely impact our business and operations. For example, PEMGARDA has been authorized with a boxed warning for anaphylaxis, which could impede our ability to successfully market and commercialize PEMGARDA and our ability to compete successfully against our competitors.</w:t>
      </w:r>
    </w:p>
    <w:p>
      <w:pPr>
        <w:spacing w:after="0" w:line="8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Many of our existing or potential competitors have substantially greater financial, technical and human resources than we do and significantly greater experience in the discovery, development and manufacture of product candidates, as well as in obtaining regulatory authorizations or approvals of those product candidates in the U.S. and in foreign countries. Our current and potential future competitors may also have significantly more experience commercializing drugs, particularly mAbs and other biological products, that have been authorized or approved for marketing. Furthermore, a number of our competitors have received government contracts to support research and development of their product candidates and supply orders. Mergers and acquisitions in the pharmaceutical and biotechnology industries could result in even more resources being concentrated among a small number of our competitors.</w:t>
      </w:r>
    </w:p>
    <w:p>
      <w:pPr>
        <w:spacing w:after="0" w:line="79" w:lineRule="exact"/>
        <w:rPr>
          <w:sz w:val="20"/>
          <w:szCs w:val="20"/>
          <w:color w:val="auto"/>
        </w:rPr>
      </w:pPr>
    </w:p>
    <w:p>
      <w:pPr>
        <w:jc w:val="both"/>
        <w:ind w:firstLine="509"/>
        <w:spacing w:after="0" w:line="312" w:lineRule="auto"/>
        <w:rPr>
          <w:sz w:val="20"/>
          <w:szCs w:val="20"/>
          <w:color w:val="auto"/>
        </w:rPr>
      </w:pPr>
      <w:r>
        <w:rPr>
          <w:rFonts w:ascii="Times New Roman" w:cs="Times New Roman" w:eastAsia="Times New Roman" w:hAnsi="Times New Roman"/>
          <w:sz w:val="17"/>
          <w:szCs w:val="17"/>
          <w:color w:val="auto"/>
        </w:rPr>
        <w:t>We will face competition from other drugs or from other non-drug products currently authorized, approved or that will be authorized or approved in the future for the prevention or treatment of diseases we intend to target. Therefore, our ability to compete successfully will depend largely on our ability to:</w:t>
      </w:r>
    </w:p>
    <w:p>
      <w:pPr>
        <w:spacing w:after="0" w:line="31" w:lineRule="exact"/>
        <w:rPr>
          <w:sz w:val="20"/>
          <w:szCs w:val="20"/>
          <w:color w:val="auto"/>
        </w:rPr>
      </w:pPr>
    </w:p>
    <w:p>
      <w:pPr>
        <w:ind w:left="1140" w:hanging="504"/>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commercialize drugs that are differentiated from products in the market;</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through our clinical trials that our product candidates are differentiated from existing and future therapies;</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qualified scientific, product development and commercial personnel;</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patent or other proprietary protection for our medicines;</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required regulatory authorizations or approvals;</w:t>
      </w:r>
    </w:p>
    <w:p>
      <w:pPr>
        <w:spacing w:after="0" w:line="116" w:lineRule="exact"/>
        <w:rPr>
          <w:rFonts w:ascii="Times New Roman" w:cs="Times New Roman" w:eastAsia="Times New Roman" w:hAnsi="Times New Roman"/>
          <w:sz w:val="18"/>
          <w:szCs w:val="18"/>
          <w:color w:val="auto"/>
        </w:rPr>
      </w:pPr>
    </w:p>
    <w:p>
      <w:pPr>
        <w:ind w:left="1140" w:right="20" w:hanging="504"/>
        <w:spacing w:after="0" w:line="281" w:lineRule="auto"/>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placement in COVID-19 prevention and treatment guidelines from organizations such as the CDC, the WHO and the Infectious Diseases Society of America (the “IDSA”);</w:t>
      </w:r>
    </w:p>
    <w:p>
      <w:pPr>
        <w:spacing w:after="0" w:line="54"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coverage and adequate reimbursement from, and negotiate competitive pricing with, third-party payors;</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sufficient supply to meet market demand; and</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collaborate with pharmaceutical companies in the discovery, development and commercialization of new medicines.</w:t>
      </w:r>
    </w:p>
    <w:p>
      <w:pPr>
        <w:spacing w:after="0" w:line="117"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The availability of our competitors’ products could limit the demand and the price we are able to charge for any product candidate we develop, including PEMGARDA. The inability to compete with existing or subsequently introduced drugs would have an adverse impact on our business, financial condition and prospects. In addition, the reimbursement structure of authorized or approved mAbs by other companies could impact the anticipated reimbursement structure of our mAbs, if authorized or approved, and our business, financial condition, results of operations and prospects.</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62" w:name="page63"/>
    <w:bookmarkEnd w:id="62"/>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Additionally, government entities, such as the CDC, the WHO and non-government professional societies, such as the IDSA, may produce treatment and/or prevention guidelines for COVID-19, including the use of mAbs for these indications. However, our mAbs, even if authorized or approved, may fail to be added to such guidelines or receive poor positioning within such guidelines, which may instead recommend products of our competitors.</w:t>
      </w:r>
    </w:p>
    <w:p>
      <w:pPr>
        <w:spacing w:after="0" w:line="6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Established pharmaceutical companies may invest heavily to accelerate discovery and development of novel compounds or to in-license novel compounds that could make our product candidates less competitive. In addition, any new product that competes with an authorized or approved product must demonstrate compelling advantages in efficacy, convenience, tolerability and safety in order to overcome price competition and to be commercially successful. Accordingly, our competitors may succeed in obtaining patent protection, discovering, developing, receiving authorization or approval for, or commercializing, drugs before we do, which would have an adverse impact on our business and results of operations.</w:t>
      </w:r>
    </w:p>
    <w:p>
      <w:pPr>
        <w:spacing w:after="0" w:line="70" w:lineRule="exact"/>
        <w:rPr>
          <w:sz w:val="20"/>
          <w:szCs w:val="20"/>
          <w:color w:val="auto"/>
        </w:rPr>
      </w:pPr>
    </w:p>
    <w:p>
      <w:pPr>
        <w:jc w:val="both"/>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product candidates will depend significantly on coverage and adequate reimbursement or the willingness of patients to pay for these therapies.</w:t>
      </w:r>
    </w:p>
    <w:p>
      <w:pPr>
        <w:spacing w:after="0" w:line="50"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believe our success depends on obtaining and maintaining coverage and adequate reimbursement for our product candidates, including PEMGARDA, and the extent to which patients will be willing to pay out-of-pocket for such products, in the absence of reimbursement for all or part of the cost. In the U.S. and in other countries, patients who are provided medical treatment for their conditions generally rely on third-party payors to reimburse all or part of the costs associated with their treatment. The availability of coverage and adequacy of reimbursement for our products by third-party payors, including government healthcare programs (e.g., Medicare, Medicaid, TRICARE), managed care providers, private health insurers, health maintenance organizations, and other organizations is essential for most patients to be able to afford medical services and pharmaceutical products such as our product candidates. Third-party payors often rely upon Medicare coverage policy and payment limitations in setting their own coverage and reimbursement policies. However, decisions regarding the extent of coverage and amount of reimbursement to be provided are made on a payor-by-payor basis. One payor’s determination to provide coverage for a drug product does not assure that other payors will also provide coverage, and adequate reimbursement. In the U.S., the principal decisions about Medicare reimbursement for new medicines are typically made by CMS, an agency within HHS. CMS decides whether and to what extent products will be covered and reimbursed under Medicare and private payors tend to follow CMS to a substantial degree. CMS has published in the Calendar Year Physician Fee Schedule a final rule that all COVID-19 mAbs for pre-exposure prophylaxis of COVID-19 and their administration will be covered and reimbursed under the Part B preventative vaccine benefit. CMS has not communicated a timeline for publishing this information following the granting of any EUAs by the FDA for such products. A significant delay in publication of product specific billing codes and their payment rates could impact initial prescription rates by providers and patients.</w:t>
      </w:r>
    </w:p>
    <w:p>
      <w:pPr>
        <w:spacing w:after="0" w:line="84"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Third-party payors determine which products and procedures they will cover and establish reimbursement levels. Even if a third-party payor covers a particular product or procedure, the resulting reimbursement payment rates may not be adequate. In addition, for products administered under the supervision of a physician, obtaining coverage and adequate reimbursement may be particularly difficult because of the higher prices often associated with such drugs.</w:t>
      </w:r>
    </w:p>
    <w:p>
      <w:pPr>
        <w:spacing w:after="0" w:line="7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Reimbursement by a third-party payor may depend upon a number of factors, including the third-party payor’s determination that a product is safe, effective and medically necessary; appropriate for the specific patient; cost-effective; supported by peer-reviewed medical journals; included in clinical practice guidelines; and neither cosmetic, experimental nor investigational. Government entities, such as the CDC, the WHO and non-government professional societies, such as the IDSA, may produce treatment and/or prevention guidelines for the prevention and treatment of COVID-19, including guidance regarding the use of mAbs in these indications. If our product candidates, to the extent authorized or approved, fail to be added to these guidelines, or if they receive poor positioning within these guidelines, payors and other customers may be less inclined to add any such product candidate to their formularies, significantly reducing demand for such product candidate, if approved.</w:t>
      </w:r>
    </w:p>
    <w:p>
      <w:pPr>
        <w:spacing w:after="0" w:line="7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Further, increasing efforts by third-party payors in the U.S. and abroad to cap or reduce healthcare costs may cause such organizations to limit both coverage and the level of reimbursement for newly approved products and, as a result, they may not cover or provide adequate payment for our product candidates, if approved. In order to secure coverage and reimbursement for any product that might be authorized or approved for sale, we may need to conduct expensive pharmacoeconomic studies in order to demonstrate the medical necessity and cost-effectiveness of our products, in addition to the costs required to obtain FDA or comparable regulatory authorizations or approvals. Additionally, we may also need to provide discounts to purchasers, private health plans or government healthcare programs. Our product candidates may nonetheless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 at a profit. We expect to experience pricing pressures from third-party payors in connection with the potential sale of any of our product candidates. Decreases in third-party reimbursement for any product or a decision by a third-party payor not to cover a product could reduce physician usage and patient demand for the product and also have a material adverse effect on sales.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63" w:name="page64"/>
    <w:bookmarkEnd w:id="63"/>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Foreign governments also have their own healthcare reimbursement systems, which vary significantly by country and region, and we cannot be sure that coverage and adequate reimbursement will be made available with respect to the treatments in which our products are used under any foreign reimbursement system, to the extent any of our product candidates are authorized or approved outside of the U.S. For example, in many countries in the European Union, procedures to obtain price approvals, coverage and reimbursement can take considerable time after the receipt of marketing authorization. Many European countries periodically review their reimbursement of medicinal products, which could have an adverse impact on reimbursement status. In addition, we expect that legislators, policymakers and healthcare insurance funds in the European Union member states will continue to propose and implement cost-containing measures, such as lower maximum prices, lower or lack of reimbursement coverage and incentives to use cheaper, usually generic, products as an alternative to branded products, and/or branded products available through parallel import to keep healthcare costs down. Moreover, in order to obtain reimbursement for products in some European countries, including some European Union member states, data comparing the cost-effectiveness of products to other available therapies may be required. Health Technology Assessment (“HTA”) of medicinal products is becoming an increasingly common part of the pricing and reimbursement procedures in some European Union member states, including those representing the larger markets. The HTA process, which is currently governed by national laws in each European Union member state, is the procedure to assess therapeutic, economic and societal impact of a given medicinal product in the national healthcare systems of the individual country. The outcome of an HTA will often influence the pricing and reimbursement status granted to these medicinal products by the competent authorities of individual European Union member states. The extent to which pricing and reimbursement decisions are influenced by the HTA of the specific medicinal product currently varies between European Union member states, although the HTA Regulation which aims to harmonize the clinical benefit assessment of HTA across the European Union will apply beginning on January 12, 2025. If in the future we seek but are unable to obtain and then maintain favorable pricing and reimbursement status in European Union member states that represent significant markets, our anticipated revenue from and growth prospects for products in the European Union could be negatively affected. If we experience setbacks or unforeseen difficulties in obtaining favorable pricing and reimbursement decisions, any planned launches in the affected European Union member states would be delayed, which could negatively impact any anticipated revenue from and growth prospects for relevant product candidates.</w:t>
      </w:r>
    </w:p>
    <w:p>
      <w:pPr>
        <w:spacing w:after="0" w:line="93"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There can be no assurance that PEMGARDA or any other product candidate, if authorized or approved for sale in the U.S. or in other countries, will be considered medically reasonable and necessary, that it will be considered cost-effective by third-party payors, that coverage or an adequate level of reimbursement will be available or that reimbursement policies and practices in the U.S. and in foreign countries where our products are sold will not adversely affect our ability to sell our product candidates profitably, if they are authorized or approved for sale.</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Any product candidates for which we determine to seek approval as biological products may face biosimilar competition sooner than anticipated.</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the future, if we determine to pursue and we are successful in achieving regulatory approval to commercialize any biological product candidate that we develop, such approved product may face competition from biosimilar products. In the U.S., product candidates are regulated by the FDA as biological products subject to approval under the BLA pathway. The ACA includes a subtitle called the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by the FDA.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an adverse effect on the future commercial prospects for biological products.</w:t>
      </w:r>
    </w:p>
    <w:p>
      <w:pPr>
        <w:spacing w:after="0" w:line="8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There is a risk that any of our product candidates approved as a biological product under a BLA, should we determine in the future to pursue such regulatory pathway, would not qualify for the 12-year period of exclusivity or that this exclusivity could be shortened due to congressional action or otherwise, or that the FDA will not consider our product candidates to be reference products for competing products, potentially creating the opportunity for generic competition sooner than anticipated. For example, in May 2021, the Biden administration expressed support for waiving intellectual property protections for COVID-19 vaccines amid concerns about vaccine access in foreign nations. Such waiver, if implemented, could extend to our product candidates.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 In the European Union, biosimilars can only be authorized once the period of data exclusivity on our candidate, as ‘reference’ biological medicinal product, has</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64" w:name="page65"/>
    <w:bookmarkEnd w:id="64"/>
    <w:p>
      <w:pPr>
        <w:jc w:val="both"/>
        <w:spacing w:after="0" w:line="265" w:lineRule="auto"/>
        <w:rPr>
          <w:sz w:val="20"/>
          <w:szCs w:val="20"/>
          <w:color w:val="auto"/>
        </w:rPr>
      </w:pPr>
      <w:r>
        <w:rPr>
          <w:rFonts w:ascii="Times New Roman" w:cs="Times New Roman" w:eastAsia="Times New Roman" w:hAnsi="Times New Roman"/>
          <w:sz w:val="18"/>
          <w:szCs w:val="18"/>
          <w:color w:val="auto"/>
        </w:rPr>
        <w:t>expired. In general, this means that the biological reference medicine must have been authorized for at least eight years before another company can apply for approval of a similar biological product. If competitors are able to obtain marketing approval for biosimilars referencing our candidates, if approved, our products may become subject to competition from such biosimilars, with the attendant competitive pressure and potential adverse consequences.</w:t>
      </w:r>
    </w:p>
    <w:p>
      <w:pPr>
        <w:spacing w:after="0" w:line="65"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to limit commercialization of any products that we may develop.</w:t>
      </w:r>
    </w:p>
    <w:p>
      <w:pPr>
        <w:spacing w:after="0" w:line="5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product candidates in human clinical trials and will face an even greater risk as we sell any products that have been authorized or approved, such as PEMGARDA, which received an EUA from the FDA in March 2024. Side effects or adverse events known or reported to be associated with, or manufacturing defects in, the products sold by us could exacerbate a patient’s condition, or could result in serious injury or impairment or even death. For example, in the CANOPY clinical trial, the most common adverse events (all grades, incidence ≥2%) observed in participants who have moderate-to-severe immune compromise treated with PEMGARDA included systemic and local infusion-related or hypersensitivity reactions, upper respiratory tract infection, viral infection, influenza-like illness, fatigue, headache, and nausea. Anaphylaxis has been observed with PEMGARDA, and the PEMGARDA Fact Sheet for Healthcare Providers includes a boxed warning for anaphylaxis. This could result in product liability claims against us and/or recalls of one or more of our products. In many countries, including in European Union member states, national laws provide for strict (no-fault) liability which applies even where damages are caused both by a defect in a product and by the act or omission of a third party. If we cannot successfully defend ourselves against claims that our product candidates or drugs caused injuries, we will incur substantial liabilities. Regardless of merit or eventual outcome, liability claims may result in:</w:t>
      </w:r>
    </w:p>
    <w:p>
      <w:pPr>
        <w:spacing w:after="0" w:line="81" w:lineRule="exact"/>
        <w:rPr>
          <w:sz w:val="20"/>
          <w:szCs w:val="20"/>
          <w:color w:val="auto"/>
        </w:rPr>
      </w:pPr>
    </w:p>
    <w:p>
      <w:pPr>
        <w:ind w:left="1140" w:hanging="504"/>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or drugs that we may develop;</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paid to trial participants or patients;</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exhaustion of any available insurance and our capital resources;</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 and</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w:t>
      </w:r>
    </w:p>
    <w:p>
      <w:pPr>
        <w:spacing w:after="0" w:line="117"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Although we maintain product liability insurance coverage, such insurance may not be adequate to cover all liabilities that we may incur. We may need to increase our insurance coverage as we expand our clinical trials or commence commercialization of our product candidates. Insurance coverage is increasingly expensive. We may not be able to maintain insurance coverage at a reasonable cost or in an amount adequate to satisfy any liability that may arise.</w:t>
      </w:r>
    </w:p>
    <w:p>
      <w:pPr>
        <w:spacing w:after="0" w:line="70"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suffer in the event of computer system failures, cyberattacks or a deficiency in our or our CDMO’s, CROs’, contractors’, consultants’ or collaborators’ cybersecurity.</w:t>
      </w:r>
    </w:p>
    <w:p>
      <w:pPr>
        <w:spacing w:after="0" w:line="5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Maintaining the security of our information systems and communication systems is a critical issue for us, and we devote considerable internal and external resources to network security and other security measures to protect our systems and users, but these security measures cannot provide absolute security. Moreover, even security measures that are deemed appropriate, reasonable, and/or in accordance with applicable legal requirements may not be able to protect the information we maintain. The multitude and complexity of our information systems may furthermore make them susceptible to service interruption, breaches of security, disruption of data integrity, inadvertent errors that expose our data or systems, malicious intrusion, or cyberattacks. Despite our efforts, the possibility of these events occurring, and the ever-changing threat landscape, cannot be eliminated entirely and there can be no assurance that any measures we take will prevent cyber-attacks or security breaches that could adversely affect our business.</w:t>
      </w:r>
    </w:p>
    <w:p>
      <w:pPr>
        <w:spacing w:after="0" w:line="7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internal information systems, and those of third parties on which we rely, are also vulnerable to, among other things, computer viruses, malware, natural disasters, terrorism, war, telecommunication and electrical failures, system malfunctions, cyberattacks or cyber-intrusions over the Internet, and phishing attacks. The source of these vulnerabilities may be persons inside or outside our organization. We have in the past and plan to in the future identify defects, errors, or vulnerabilities, which could inadvertently permit access to or exposure of data, including personal information, that we maintain or which third parties maintain on our behalf. The risk of a cybersecurity incident, particularly through cyberattacks or cyber intrusion, including by computer hackers, foreign governments and cyber terrorists, has generally increased as the number, intensity and sophistication</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65" w:name="page66"/>
    <w:bookmarkEnd w:id="65"/>
    <w:p>
      <w:pPr>
        <w:jc w:val="both"/>
        <w:spacing w:after="0" w:line="252" w:lineRule="auto"/>
        <w:rPr>
          <w:sz w:val="20"/>
          <w:szCs w:val="20"/>
          <w:color w:val="auto"/>
        </w:rPr>
      </w:pPr>
      <w:r>
        <w:rPr>
          <w:rFonts w:ascii="Times New Roman" w:cs="Times New Roman" w:eastAsia="Times New Roman" w:hAnsi="Times New Roman"/>
          <w:sz w:val="18"/>
          <w:szCs w:val="18"/>
          <w:color w:val="auto"/>
        </w:rPr>
        <w:t>of attempted attacks and intrusions from around the world have increased. For example, the ongoing conflict between Russia and Ukraine has led to an increase in cyberattacks on the Ukraine, including its government, companies, institutions and people, as well on the financial and communications infrastructure of other countries, companies and individuals therein. If any such event were to occur in countries in which we operate, it could lead to the loss, destruction, alteration, prevention of access to, disclosure, dissemination of, or damage or unauthorized access to, our data (including trade secrets or other confidential information, intellectual property, proprietary business information and personal data) or data that is processed or maintained on our behalf, and cause interruptions in our operations, resulting in a material disruption of our product development programs. For example, the loss or alteration of clinical trial data from completed or ongoing or planned clinical trials could result in delays in our regulatory approval efforts and significantly increase our costs to recover or reproduce the data. Additionally, such events could lead to an interruption in our supply chain for the manufacturing of clinical and commercial drug substance and drug product, as well as related materials, and could significantly impact development and commercialization timelines and capabilities. If our information systems or a third-party’s information systems on which we rely suffer severe damage, disruption or shutdown and issues are not resolved in a timely manner, we could experience delays in reporting our financial results, and we may lose revenue and profits as a result of our inability to timely manufacture or distribute our products. We continue to implement security measures to bolster our network security and protect our systems, however, such efforts are not guaranteed to prevent such events from occurring.</w:t>
      </w:r>
    </w:p>
    <w:p>
      <w:pPr>
        <w:spacing w:after="0" w:line="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cannot ensure that our data protection efforts and our investment in information technology, or the efforts or investments of our CDMO, CROs, consultants or other third parties with which we work, will prevent cybersecurity incidents that cause loss, destruction, unavailability, alteration, dissemination of, or damage or unauthorized access to, our data, including personal data, assets and other data processed or maintained on our behalf, that could have a material adverse effect upon our reputation, business, operations or financial condition. We rely on third parties to manufacture, package and label our product candidates, and any data breaches or other security events relating to their information systems, or the information systems of other business partners, could also have a material adverse effect on our business. Controls employed by our information technology department and our CDMO, CROs, consultants and other third parties could prove inadequate, and our ability to monitor such third parties’ data security practices is limited. Due to applicable laws, rules, regulations and standards or contractual obligations, we may be held responsible for information security failures or cybersecurity incidents attributed to our third-party service providers as they relate to the information we share with them.</w:t>
      </w:r>
    </w:p>
    <w:p>
      <w:pPr>
        <w:spacing w:after="0" w:line="7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Notifications and follow-up actions related to a data breach or other cybersecurity incident could impact our reputation and cause us to incur significant costs, including significant legal expenses and remediation costs as well as potential regulatory scrutiny. We expect to incur significant costs in an effort to detect and prevent cybersecurity incidents, and we may face increased costs and requirements to expend substantial resources in the event of an actual or perceived cybersecurity incident. However, we cannot guarantee that we will be able to detect or prevent any such cybersecurity incidents, or that we can remediate any such incidents in an effective or timely manner. Our efforts to improve security and protect data from compromise may also identify previously undiscovered cybersecurity incidents. To the extent that any disruption or cybersecurity incident was to result in a loss of or damage to our data or applications, or inappropriate disclosure of confidential or proprietary information or personal data, we could incur material reputational harm, penalties, regulatory scrutiny, liabilities, legal claims, and/or mandated changes in our business practices, and the further development of our product candidates could be delayed. Any such event could also compel us to comply with federal and state breach notification laws, and foreign law equivalents, subject us to mandatory corrective action and otherwise subject us to substantial liability under laws, rules, regulations and standards that protect the privacy and security of personal data, which could result in significant legal and financial exposure and reputational damages that could potentially have an adverse effect on our business.</w:t>
      </w:r>
    </w:p>
    <w:p>
      <w:pPr>
        <w:spacing w:after="0" w:line="7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the cost and operational consequences of implementing further data protection measures could be significant, and theft of our intellectual property or proprietary business information could require substantial expenditures to remedy. Further, we cannot be certain that our liability insurance will be sufficient in type or amount to cover us against claims related to a cybersecurity incident, such coverage will cover any indemnification claims against us relating to any cybersecurity incident, such coverage will continue to be available to us on economically reasonable terms, or at all, or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w:t>
      </w:r>
    </w:p>
    <w:p>
      <w:pPr>
        <w:spacing w:after="0" w:line="75"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 variety of privacy and data security laws, rules, regulations, policies, industry standards and contractual obligations, and our failure to comply with them could harm our business.</w:t>
      </w:r>
    </w:p>
    <w:p>
      <w:pPr>
        <w:spacing w:after="0" w:line="50"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We maintain a large quantity of sensitive information, including confidential business and personal information in connection with the conduct of our clinical trials and related to our employees, and we are subject to laws and regulations governing the privacy and security of such information. In the U.S., there are numerous federal and state privacy and data security laws and regulations governing the collection, use, disclosure and protection of personal information, including federal</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66" w:name="page67"/>
    <w:bookmarkEnd w:id="66"/>
    <w:p>
      <w:pPr>
        <w:jc w:val="both"/>
        <w:spacing w:after="0" w:line="252" w:lineRule="auto"/>
        <w:rPr>
          <w:sz w:val="20"/>
          <w:szCs w:val="20"/>
          <w:color w:val="auto"/>
        </w:rPr>
      </w:pPr>
      <w:r>
        <w:rPr>
          <w:rFonts w:ascii="Times New Roman" w:cs="Times New Roman" w:eastAsia="Times New Roman" w:hAnsi="Times New Roman"/>
          <w:sz w:val="18"/>
          <w:szCs w:val="18"/>
          <w:color w:val="auto"/>
        </w:rPr>
        <w:t>and state health information privacy laws, federal and state security breach notification laws and federal and state consumer protection laws. The legislative and regulatory landscape for privacy and data protection continues to evolve, and there has been an increasing focus on privacy and data protection issues, which may affect our business and is expected to increase our compliance costs and exposure to liability. In the U.S., numerous federal and state laws and regulations could apply to our operations or the operations of our partners, including state data breach notification laws, state health information privacy laws and federal and state consumer protection laws and regulations, including Section 5 of the Federal Trade Commission Act (“FTC Act”), that govern the collection, use, disclosure and protection of health-related and other personal information. In addition, we may obtain health information from third parties, including research institutions from which we obtain clinical trial data, that are subject to privacy and security requirements under the federal Health Insurance Portability and Accountability Act (“HIPAA”), as amended by the Health Information Technology for Economic and Clinical Health Act, and the regulations promulgated thereunder. HIPAA imposes privacy and security obligations on covered entity health care providers, health plans, and health care clearinghouses, as well as their “business associates” (i.e., certain persons or entities that create, receive, maintain, or transmit protected health information in connection with providing a specified service or performing a function for or on behalf of a covered entity). Depending on the facts and circumstances, we could be subject to significant penalties if we, our affiliates, or our agents knowingly receive individually identifiable health information maintained by a HIPAA-covered entity in a manner that is not authorized or permitted by HIPAA.</w:t>
      </w:r>
    </w:p>
    <w:p>
      <w:pPr>
        <w:spacing w:after="0" w:line="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At the federal level, the FTC also sets expectations for failing to take appropriate steps to keep consumers’ personal information secure, or failing to provide a level of security commensurate to promises made to individuals about the security of their personal information (such as in a privacy notice) may constitute unfair or deceptive acts or practices in violation of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With respect to privacy, the FTC also sets expectations for failing to honor the privacy promises made to individuals about how the company handles consumers’ personal information; such failure may also constitute unfair or deceptive acts or practices in violation of the FTC Act. Enforcement by the FTC under the FTC Act can result in civil penalties or enforcement actions.</w:t>
      </w:r>
    </w:p>
    <w:p>
      <w:pPr>
        <w:spacing w:after="0" w:line="81"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In Europe, the GDPR governs the collection, use, disclosure, transfer or other processing of personal data of individuals within the European Economic Area (“EEA”), including clinical trial data. Among other things, the GDPR imposes requirements regarding the security of personal data and notification of data breaches to the competent national data processing authorities, requires having lawful bases on which personal data can be processed and includes notice and consent requirements which may apply to clinical trial subjects and investigators. The GDPR imposes substantial fines for breaches and violations (for the most serious breaches of up to the greater of €20 million or 4% of annual global turnover) and confers the right for data subjects to lodge complaints with supervisory authorities, seek judicial remedies and obtain compensation for damages resulting from violations of the GDPR. In addition, the GDPR increases the scrutiny of transfers of personal data from the EEA, including the European Union, United Kingdom and Switzerland, to other jurisdictions that the European Commission/United Kingdom Secretary of State, as applicable, does not recognize as having “adequate” data protection laws. While, previously, United States companies could rely on self-certification to the EU-U.S. and Swiss-U.S. Privacy Shield frameworks administered by the United States Department of Commerce as one of these safeguards to legitimize transfers from the European Union and Switzerland to the United States, this has been invalidated by the Court of Justice of the European Union (the “CJEU”). The CJEU found that the Standard Contractual Clauses (“SCCs”), one of the primary safeguards for legitimizing data transfers, were valid in principle, but placed obligations on the parties entering into them including to verify whether an adequate level of protection is provided in the recipient jurisdiction, and whether additional measures are required to bring the level of protection in line with European Union standards. Following this decision, the European Data Protection Board issued guidance on how organizations should approach international data transfers of GDPR-covered personal data, including the supplemental measures companies can adopt to help protect against overarching surveillance outside of the European Union. In June 2021, the European Commission adopted a new set of SCCs aimed at enabling lawful transfers of personal data to non-adequate countries outside the EEA, the deadline for the adoption of which was December 27, 2022. There are also recent developments regarding data transfers in the United Kingdom, which formally approved two mechanisms for transferring United Kingdom-data overseas and that came into effect on March 21, 2022. The United Kingdom Information Commissioner’s Office also issued guidance on how to approach undertaking risk assessments for transfers of United Kingdom- data to non-adequate countries outside the United Kingdom. With respect to the United States, on July 10, 2023, the European Commission adopted its adequacy decision for the EU-US Data Privacy Framework, providing for personal data to flow freely from the European Union to United States-based companies that participate in the Data Privacy Framework. The adequacy decision followed the adoption by United States President Biden of an executive order as well as regulation issued by the United States Attorney General.</w:t>
      </w:r>
    </w:p>
    <w:p>
      <w:pPr>
        <w:spacing w:after="0" w:line="91" w:lineRule="exact"/>
        <w:rPr>
          <w:sz w:val="20"/>
          <w:szCs w:val="20"/>
          <w:color w:val="auto"/>
        </w:rPr>
      </w:pPr>
    </w:p>
    <w:p>
      <w:pPr>
        <w:jc w:val="both"/>
        <w:ind w:right="20" w:firstLine="360"/>
        <w:spacing w:after="0" w:line="281" w:lineRule="auto"/>
        <w:rPr>
          <w:sz w:val="20"/>
          <w:szCs w:val="20"/>
          <w:color w:val="auto"/>
        </w:rPr>
      </w:pPr>
      <w:r>
        <w:rPr>
          <w:rFonts w:ascii="Times New Roman" w:cs="Times New Roman" w:eastAsia="Times New Roman" w:hAnsi="Times New Roman"/>
          <w:sz w:val="18"/>
          <w:szCs w:val="18"/>
          <w:color w:val="auto"/>
        </w:rPr>
        <w:t>A lack of valid transfer mechanisms for GDPR-covered data could increase exposure to enforcement actions as described above and may affect our business operations and require commercial cost (including potentially limiting our ability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67" w:name="page68"/>
    <w:bookmarkEnd w:id="67"/>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to collaborate/work with certain third parties and/or requiring an increase in our data processing capabilities in the European Union and United Kingdom). Further, the European Union and United Kingdom data protection laws (including laws on data transfers as set out above) may also be updated/revised, accompanied by new guidance and/or judicial/regulatory interpretations, which could entail further impacts on our compliance efforts and increased cost.</w:t>
      </w:r>
    </w:p>
    <w:p>
      <w:pPr>
        <w:spacing w:after="0" w:line="6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Compliance with these and any other applicable privacy and data security laws and regulations is a rigorous and time-intensive process, and we may be required to put in place additional mechanisms ensuring compliance with the new data protection rules. Any failure or perceived failure by us, a company that we acquire, or one of our service providers to comply with laws, regulations, policies, legal or contractual obligations, industry standards or regulatory guidance relating to privacy or data security could result in governmental investigations and enforcement actions, litigation, fines and penalties, exposure to indemnification obligations or other liabilities, and adverse publicity, all of which could have an adverse effect on our reputation, as well as our business, financial condition, and results of operations.</w:t>
      </w:r>
    </w:p>
    <w:p>
      <w:pPr>
        <w:spacing w:after="0" w:line="78"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addition, states are constantly adopting new laws or amending existing laws, requiring attention to frequently changing regulatory requirements. For example, the California Consumer Privacy Act (“CCPA”) took effect on January 1, 2020 and was later amended by the California Privacy Rights Act (“CPRA”). The CPRA went into effect on January 1, 2023. The CCPA, as amended, gives California residents expanded rights, including to access, correct and delete their personal information and to opt-out of certain personal information disclosures, including sales of their personal information and use for cross-context behavioral advertising purposes. It also requires covered companies to provide disclosures to California consumers and includes new audit requirements for higher risk data and opt-out rights for certain uses of sensitive data. The CPRA also created a new California data protection agency authorized to issue substantive regulations which could result in increased privacy and information security enforcement. The agency continues to draft and propose implementing regulations for the CPRA. The lack of certainty regarding the final state of these regulations could result in significant compliance costs. The amended CCPA provides for civil penalties for violations, as well as a private right of action for data breaches of certain types of data that is expected to increase data breach litigation. Although the CCPA currently exempts certain health-related information, including clinical trial data, the amended CCPA may increase our compliance costs and potential liability. Similar state consumer protection laws have passed in other states. Such laws, including those in Colorado, Connecticut, Utah and Virginia, went into effect during 2023 and have potentially conflicting requirements that would make compliance challenging and present legal risk. Other states, such as Indiana, Iowa, Montana, and Texas have implemented similar laws which could result in significant compliance costs.</w:t>
      </w:r>
    </w:p>
    <w:p>
      <w:pPr>
        <w:spacing w:after="0" w:line="8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With the GDPR, CCPA and other state laws, regulations and other obligations relating to privacy and data protection imposing new and relatively burdensome obligations, and with the substantial uncertainty over the interpretation and application of these and other obligations, we may face challenges in addressing their requirements and making necessary changes to our policies and practices and may incur significant costs and expenses in an effort to do so. However, these policies and practices may not be aligned with every applicable legal or regulatory standard immediately, due in part to the rapidly shifting landscape of privacy and data security requirements. A regulatory review or other independent assessment of the privacy program may result in identifying one or more areas of non-compliance. Additionally, if third parties with which we work, such as vendors or service providers, violate applicable laws, rules or regulations or our policies, such violations may also put our or our clinical trial and employee data, including personal data, at risk, which could in turn have an adverse effect on our business. The landscape of laws regulating personal data is constantly evolving, and compliance with these laws requires a flexible privacy framework and substantial resources, and compliance efforts will likely be an increasing and substantial cost in the future.</w:t>
      </w:r>
    </w:p>
    <w:p>
      <w:pPr>
        <w:spacing w:after="0" w:line="74" w:lineRule="exact"/>
        <w:rPr>
          <w:sz w:val="20"/>
          <w:szCs w:val="20"/>
          <w:color w:val="auto"/>
        </w:rPr>
      </w:pPr>
    </w:p>
    <w:p>
      <w:pPr>
        <w:jc w:val="both"/>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contract manufacturers and suppliers we engage fail to comply with environmental, health and safety laws and regulations, we could become subject to fines or penalties or incur costs that could seriously harm our business.</w:t>
      </w:r>
    </w:p>
    <w:p>
      <w:pPr>
        <w:spacing w:after="0" w:line="5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p>
    <w:p>
      <w:pPr>
        <w:spacing w:after="0" w:line="78"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Compliance with applicable environmental laws and regulations may be expensive, and current or future environmental laws and regulations may impair our research, product development and manufacturing efforts. In addition, we cannot entirely eliminate the risk of accidental injury or contamination from these materials or wastes. Although we maintain workers’ compensation insurance to cover us for costs and expenses we may incur due to injuries to our employees resulting from the</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68" w:name="page69"/>
    <w:bookmarkEnd w:id="68"/>
    <w:p>
      <w:pPr>
        <w:jc w:val="both"/>
        <w:spacing w:after="0" w:line="258" w:lineRule="auto"/>
        <w:rPr>
          <w:sz w:val="20"/>
          <w:szCs w:val="20"/>
          <w:color w:val="auto"/>
        </w:rPr>
      </w:pPr>
      <w:r>
        <w:rPr>
          <w:rFonts w:ascii="Times New Roman" w:cs="Times New Roman" w:eastAsia="Times New Roman" w:hAnsi="Times New Roman"/>
          <w:sz w:val="18"/>
          <w:szCs w:val="18"/>
          <w:color w:val="auto"/>
        </w:rPr>
        <w:t>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seriously harm our business.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17"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third parties to conduct, supervise, analyze and monitor a significant portion of our research and preclinical testing and clinical trials for our product candidates, and if those third parties do not successfully carry out their contractual duties, comply with regulatory requirements or otherwise perform satisfactorily, we may not be able to obtain regulatory approval or commercialize product candidates, or such approval or commercialization may be delayed, and our business may be substantially harmed.</w:t>
      </w:r>
    </w:p>
    <w:p>
      <w:pPr>
        <w:spacing w:after="0" w:line="7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have engaged CROs and other third parties to conduct our planned preclinical studies or clinical trials and to monitor and manage data. We expect to continue to rely on third parties, including clinical data management organizations, medical institutions and clinical investigators, to conduct those clinical trials. We also rely on third parties for their research and discovery capabilities. Any of these third parties may terminate their engagements with us, some in the event of an uncured material breach and some at any time for convenience. If any of our relationships with these third parties terminate, we may not be able to timely enter into arrangements with alternative third parties or to do so on commercially reasonable terms, if at all. Switching or adding CROs involves substantial cost and requires management time and focus. In addition, there is a natural transition period when a new CRO commences work. As a result, delays occur, which can materially impact our ability to meet our desired clinical development timelines. Though we intend to carefully manage our relationships with our CROs, there can be no assurance that we will not encounter challenges or delays in the future or that these delays or challenges will not have a material adverse impact on our business, financial condition and prospects.</w:t>
      </w:r>
    </w:p>
    <w:p>
      <w:pPr>
        <w:spacing w:after="0" w:line="7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any third parties conducting our clinical trials or monitoring and managing our data will not be our employees, and except for remedies available to us under our agreements with such third parties, we cannot control whether or not they devote sufficient time and resources to our clinical programs. If these third parties do not successfully carry out their contractual duties or obligations or meet expected deadlines, if they need to be replaced, or if the quality or accuracy of the clinical data they obtain is compromised or not made available to us or regulatory authorities, due to the failure to adhere to our clinical protocols, regulatory requirements, contractual obligations or for other reasons, our clinical trials may be extended, delayed or terminated, the strength of our clinical data package may be limited, and we may not be able to obtain regulatory approval for or successfully commercialize our product candidates. Consequently, our results of operations and the commercial prospects for our product candidates would be harmed, our costs could increase substantially and our ability to generate revenue could be delayed significantly.</w:t>
      </w:r>
    </w:p>
    <w:p>
      <w:pPr>
        <w:spacing w:after="0" w:line="8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rely on these parties for execution of our preclinical studies and clinical trials, and generally do not control their activities. 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standards, commonly referred to as good clinical practices, for conducting, recording and reporting the results of clinical trials to assure that data and reported results are credible and accurate and that the rights, integrity and confidentiality of trial participants are protected. If we or any of our CROs or other third parties, including trial sites, fail to comply with applicable cGCPs, the clinical data generated in our clinical trials may be deemed unreliable and the FDA,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complies with cGCP regulations. In addition, our clinical trials must be conducted with product produced under cGMP conditions. Our failure to comply with these regulations may require us to repeat clinical trials, which would delay the regulatory approval process.</w:t>
      </w:r>
    </w:p>
    <w:p>
      <w:pPr>
        <w:spacing w:after="0" w:line="83"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We also are required to register certain clinical trials and post the results of certain completed clinical trials on a government-sponsored database, such as ClinicalTrials.gov, within specified timeframes. This remains our obligation regardless of whether we have contracted any third party to assist and failure to do so can result in fines, adverse publicity and civil and criminal sanctions.</w:t>
      </w:r>
    </w:p>
    <w:p>
      <w:pPr>
        <w:spacing w:after="0" w:line="6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trial. The FDA may therefore question the integrity of the data generated at the applicable clinical trial site and the utility of the clinical trial itself may be jeopardized.</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69" w:name="page70"/>
    <w:bookmarkEnd w:id="69"/>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This could result in a delay in approval, or rejection, of our marketing applications by the FDA and may ultimately lead to the denial of marketing approval for our product candidates.</w:t>
      </w:r>
    </w:p>
    <w:p>
      <w:pPr>
        <w:spacing w:after="0" w:line="55"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We also expect to rely on other third parties to label, package, store and distribute product supplies for our clinical trials. Any performance failure on the part of our distributors could delay clinical development or marketing approval or authorization of our product candidates or commercialization of our products, producing additional losses and depriving us of potential revenue.</w:t>
      </w:r>
    </w:p>
    <w:p>
      <w:pPr>
        <w:spacing w:after="0" w:line="65"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intend to rely on third parties to manufacture, test, label, package, store and distribute clinical and commercial supplies of our product candidates.</w:t>
      </w:r>
    </w:p>
    <w:p>
      <w:pPr>
        <w:spacing w:after="0" w:line="50"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We are currently manufacturing, testing, labeling, packaging, storing and distributing our product candidates in partnership with third-party contractors. We do not own or operate any facilities for product manufacturing, testing, labeling, packaging, or storage. We are dependent on third parties to manufacture, test, label, package, store, and distribute the clinical and commercial supplies of our current and any future product candidates. We have established a relationship with WuXi Biologics as our CDMO to manufacture our product candidates for clinical and commercial supply.</w:t>
      </w:r>
    </w:p>
    <w:p>
      <w:pPr>
        <w:spacing w:after="0" w:line="7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facilities used by our third-party contractors to manufacture and test our product candidates may be inspected by the FDA after we submit an EUA or a BLA to the FDA. We do not control the manufacturing process of, and are completely dependent on, our CDMO for compliance with the cGMP requirements. If our CDMO cannot successfully manufacture material that conforms to our specifications and the strict regulatory requirements of the FDA or other regulatory authorities, we will not be able to secure and/or maintain regulatory authorization or approval for our product candidates. In addition, we have limited control over the ability of our CDMO to maintain adequate quality control, quality assurance and qualified personnel, including their ability to adequately separate products within their multi-product manufacturing facilities to prevent cross-contamination. If the FDA or a comparable foreign regulatory authority does not approve these facilities for the manufacture of our product candidates or if it withdraws any such approval in the future, we may need to find alternative manufacturing facilities, which could significantly impact our ability to timely develop, obtain regulatory authorization or approval for or market our product candidates, if authorized or approved. If we are not able to meet market demand for any authorized or approved product or if we are not able to produce supply at low enough costs, it would negatively impact our ability to generate revenue, harm our reputation, and could have an adverse effect on our business, financial condition, results of operations and prospects.</w:t>
      </w:r>
    </w:p>
    <w:p>
      <w:pPr>
        <w:spacing w:after="0" w:line="81"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We have engaged WuXi Biologics for development and generation of the production cell line starting material manufacturing for our product candidates. The cell line expression technology used to generate the cell line is a licensed technology. Only high-level information identifying the general nature of the control elements in the expression vector has been provided to us. Details of the expression technology have not been provided, nor has there been sufficient information provided to enable a freedom-to-operate assessment of the expression technology.</w:t>
      </w:r>
    </w:p>
    <w:p>
      <w:pPr>
        <w:spacing w:after="0" w:line="74"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addition, we currently rely on WuXi Biologics’ China-based facilities for clinical supply and commercial supply. We will likely continue to rely on foreign CDMOs in the future. Foreign CDMOs may be subject to trade restrictions and other foreign regulatory requirements, which could increase the cost or reduce the supply of material available to us, delay the procurement or supply of such material, or delay or prevent the shipment of material out of the foreign country to the U.S. Additionally, the biopharmaceutical industry in particular in China is strictly regulated by the Chinese government. Changes to Chinese regulations affecting biopharmaceutical companies are unpredictable and may have a material adverse effect on our partnerships in China, which could have an adverse effect on our business, financial condition, results of operations and prospects. Foreign CDMOs may also be the subject of U.S. legislation. For example, in late-2023 and early-2024, there was congressional activity, including the introduction of the BIOSECURE Act (H.R. 7085) in the House of Representatives and a substantially similar Senate bill (S.3558), which discourage contracting with Chinese biotechnology companies, and specifically WuXi Apptec and its subsidiaries on the development or manufacturing of pharmaceutical products. If this legislation became law, or if a similar law were passed, it would have the potential to severely restrict the ability of U.S. biopharmaceutical companies like us to purchase services or products from, or otherwise collaborate with, certain Chinese biotechnology companies “of concern” without losing the ability to contract with, or otherwise receive funding from, the U.S. government. It is possible some of our contractual counterparties, including WuXi Biologics, could be impacted by the legislation described above. If WuXi Biologics or any of the other third parties that we engage to supply any materials or manufacture products for our preclinical tests and clinical trials should cease to continue to do so for any reason, we could experience delays in advancing these tests and trials while we identify and qualify replacement suppliers or manufacturers and we may be unable to obtain replacement supplies on terms that are favorable to us, or at all. In addition, if we are not able to</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70" w:name="page71"/>
    <w:bookmarkEnd w:id="70"/>
    <w:p>
      <w:pPr>
        <w:spacing w:after="0" w:line="281" w:lineRule="auto"/>
        <w:rPr>
          <w:sz w:val="20"/>
          <w:szCs w:val="20"/>
          <w:color w:val="auto"/>
        </w:rPr>
      </w:pPr>
      <w:r>
        <w:rPr>
          <w:rFonts w:ascii="Times New Roman" w:cs="Times New Roman" w:eastAsia="Times New Roman" w:hAnsi="Times New Roman"/>
          <w:sz w:val="18"/>
          <w:szCs w:val="18"/>
          <w:color w:val="auto"/>
        </w:rPr>
        <w:t>obtain adequate supplies of our products or product candidates or the substances used to manufacture them, it will be more difficult for us to develop our product candidates, commercialize our products and compete effectively.</w:t>
      </w:r>
    </w:p>
    <w:p>
      <w:pPr>
        <w:spacing w:after="0" w:line="55"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Further, our reliance on third parties for manufacturing, testing, labeling, packaging and storing our product candidates entails risks to which we would not be subject if we manufactured, tested, labeled, packaged and stored our product candidates ourselves, including:</w:t>
      </w:r>
    </w:p>
    <w:p>
      <w:pPr>
        <w:spacing w:after="0" w:line="55" w:lineRule="exact"/>
        <w:rPr>
          <w:sz w:val="20"/>
          <w:szCs w:val="20"/>
          <w:color w:val="auto"/>
        </w:rPr>
      </w:pPr>
    </w:p>
    <w:p>
      <w:pPr>
        <w:ind w:left="1140" w:hanging="504"/>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access sufficient manufacturing capacity on desired timelines;</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of a third-party manufacturer to execute our manufacturing procedures and other logistical support requirements appropriately;</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negotiate additional manufacturing agreements with third parties under commercially reasonable terms, if at all;</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termination or nonrenewal of manufacturing agreements in a manner or at a time that is costly or damaging to us;</w:t>
      </w:r>
    </w:p>
    <w:p>
      <w:pPr>
        <w:spacing w:after="0" w:line="116" w:lineRule="exact"/>
        <w:rPr>
          <w:rFonts w:ascii="Times New Roman" w:cs="Times New Roman" w:eastAsia="Times New Roman" w:hAnsi="Times New Roman"/>
          <w:sz w:val="18"/>
          <w:szCs w:val="18"/>
          <w:color w:val="auto"/>
        </w:rPr>
      </w:pPr>
    </w:p>
    <w:p>
      <w:pPr>
        <w:ind w:left="1140" w:hanging="504"/>
        <w:spacing w:after="0" w:line="281" w:lineRule="auto"/>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ownership of the intellectual property rights in any improvements made by a third-party manufacturer in the manufacturing process for our product candidates;</w:t>
      </w:r>
    </w:p>
    <w:p>
      <w:pPr>
        <w:spacing w:after="0" w:line="54" w:lineRule="exact"/>
        <w:rPr>
          <w:rFonts w:ascii="Times New Roman" w:cs="Times New Roman" w:eastAsia="Times New Roman" w:hAnsi="Times New Roman"/>
          <w:sz w:val="18"/>
          <w:szCs w:val="18"/>
          <w:color w:val="auto"/>
        </w:rPr>
      </w:pPr>
    </w:p>
    <w:p>
      <w:pPr>
        <w:ind w:left="1140" w:hanging="504"/>
        <w:spacing w:after="0" w:line="281" w:lineRule="auto"/>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third-party manufacturer may gain knowledge from working with us that could be used to supply one of our competitors with a product that competes with ours; and</w:t>
      </w:r>
    </w:p>
    <w:p>
      <w:pPr>
        <w:spacing w:after="0" w:line="54" w:lineRule="exact"/>
        <w:rPr>
          <w:rFonts w:ascii="Times New Roman" w:cs="Times New Roman" w:eastAsia="Times New Roman" w:hAnsi="Times New Roman"/>
          <w:sz w:val="18"/>
          <w:szCs w:val="18"/>
          <w:color w:val="auto"/>
        </w:rPr>
      </w:pPr>
    </w:p>
    <w:p>
      <w:pPr>
        <w:ind w:left="1140" w:right="20" w:hanging="504"/>
        <w:spacing w:after="0" w:line="281" w:lineRule="auto"/>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operations of a third-party manufacturer or suppliers by conditions unrelated to our business or operations, including the bankruptcy of the manufacturer or supplier.</w:t>
      </w:r>
    </w:p>
    <w:p>
      <w:pPr>
        <w:spacing w:after="0" w:line="5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cannot be sure that single-source suppliers for our manufacturing raw materials will remain in business, will not be subject to regulatory actions that impede our procurement of raw materials, or will not be purchased by one of our competitors or another company that is not interested in continuing to produce these raw materials for our intended purpose. In addition, the lead time needed to establish a relationship with a new supplier could be lengthy and we could experience delays in meeting demand in the event we must switch to a new supplier. The time and effort to qualify a new supplier could result in additional costs, delays resulting in supply disruptions, diversion of resources or reduced manufacturing yields, any of which would adversely impact our business, financial condition and results of operations.</w:t>
      </w:r>
    </w:p>
    <w:p>
      <w:pPr>
        <w:spacing w:after="0" w:line="78"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Any of these events could lead to clinical trial delays or failure to obtain or maintain regulatory authorization or approval or impact our ability to successfully commercialize our product candidates, if authorized or approved. Some of these events could be the basis for FDA action, including injunction, request for recall, seizure or total or partial suspension of production.</w:t>
      </w:r>
    </w:p>
    <w:p>
      <w:pPr>
        <w:spacing w:after="0" w:line="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In July 2021, we entered into a license agreement with Biocon to combat COVID-19 in Southern Asia. Under the license agreement, we will provide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Biocon materials and know-how to manufacture and commercialize an antibody treatment based on adintrevimab in India and select emerging markets.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Biocon’s ability to successfully manufacture in those territories may be restricted by foreign regulatory requirements.</w:t>
      </w:r>
    </w:p>
    <w:p>
      <w:pPr>
        <w:spacing w:after="0" w:line="94"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collaborations with third parties for the discovery, development or commercialization of our product candidates. If those collaborations are not successful, we may not be able to capitalize on the market potential of these product candidates.</w:t>
      </w:r>
    </w:p>
    <w:p>
      <w:pPr>
        <w:spacing w:after="0" w:line="5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may seek third-party collaborators for the discovery, development and commercialization of our product candidates, including for the commercialization of any of our product candidates that are approved for marketing outside the U.S. Our likely collaborators for any such arrangements include regional and national pharmaceutical companies and biotechnology companies. If we enter into any additional such arrangements with any third parties, we will likely have limited control over the amount and timing of resources that our collaborators dedicate to the development or commercialization of our product candidates. Our ability to generate revenue from these arrangements will depend on our collaborators’ abilities to successfully perform the functions assigned to them in these arrangements. For example, our agreement with Biocon may not result in the successful development and commercialization of an antibody treatment for COVID-19 in India or other markets.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Collaborations involving our product candidates would pose the following risks to us:</w:t>
      </w:r>
    </w:p>
    <w:p>
      <w:pPr>
        <w:spacing w:after="0" w:line="117" w:lineRule="exact"/>
        <w:rPr>
          <w:sz w:val="20"/>
          <w:szCs w:val="20"/>
          <w:color w:val="auto"/>
        </w:rPr>
      </w:pPr>
    </w:p>
    <w:p>
      <w:pPr>
        <w:ind w:left="1140" w:hanging="504"/>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116" w:lineRule="exact"/>
        <w:rPr>
          <w:rFonts w:ascii="Times New Roman" w:cs="Times New Roman" w:eastAsia="Times New Roman" w:hAnsi="Times New Roman"/>
          <w:sz w:val="18"/>
          <w:szCs w:val="18"/>
          <w:color w:val="auto"/>
        </w:rPr>
      </w:pPr>
    </w:p>
    <w:p>
      <w:pPr>
        <w:ind w:left="1140" w:hanging="504"/>
        <w:spacing w:after="0" w:line="281" w:lineRule="auto"/>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any product candidates that achieve regulatory approval or may elect not to continue or renew development or commercialization programs based on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71" w:name="page72"/>
    <w:bookmarkEnd w:id="71"/>
    <w:p>
      <w:pPr>
        <w:ind w:left="1140" w:right="20"/>
        <w:spacing w:after="0" w:line="281" w:lineRule="auto"/>
        <w:rPr>
          <w:sz w:val="20"/>
          <w:szCs w:val="20"/>
          <w:color w:val="auto"/>
        </w:rPr>
      </w:pPr>
      <w:r>
        <w:rPr>
          <w:rFonts w:ascii="Times New Roman" w:cs="Times New Roman" w:eastAsia="Times New Roman" w:hAnsi="Times New Roman"/>
          <w:sz w:val="18"/>
          <w:szCs w:val="18"/>
          <w:color w:val="auto"/>
        </w:rPr>
        <w:t>clinical trial results, changes in the collaborators’ strategic focus or available funding, or external factors, such as an acquisition, that divert resources or create competing priorities;</w:t>
      </w:r>
    </w:p>
    <w:p>
      <w:pPr>
        <w:spacing w:after="0" w:line="55" w:lineRule="exact"/>
        <w:rPr>
          <w:sz w:val="20"/>
          <w:szCs w:val="20"/>
          <w:color w:val="auto"/>
        </w:rPr>
      </w:pPr>
    </w:p>
    <w:p>
      <w:pPr>
        <w:ind w:left="1140" w:hanging="504"/>
        <w:spacing w:after="0" w:line="281" w:lineRule="auto"/>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4" w:lineRule="exact"/>
        <w:rPr>
          <w:rFonts w:ascii="Times New Roman" w:cs="Times New Roman" w:eastAsia="Times New Roman" w:hAnsi="Times New Roman"/>
          <w:sz w:val="18"/>
          <w:szCs w:val="18"/>
          <w:color w:val="auto"/>
        </w:rPr>
      </w:pPr>
    </w:p>
    <w:p>
      <w:pPr>
        <w:jc w:val="both"/>
        <w:ind w:left="1140" w:hanging="504"/>
        <w:spacing w:after="0" w:line="265" w:lineRule="auto"/>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69"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grant exclusive rights to our collaborators that would prevent us from collaborating with others;</w:t>
      </w:r>
    </w:p>
    <w:p>
      <w:pPr>
        <w:spacing w:after="0" w:line="116" w:lineRule="exact"/>
        <w:rPr>
          <w:rFonts w:ascii="Times New Roman" w:cs="Times New Roman" w:eastAsia="Times New Roman" w:hAnsi="Times New Roman"/>
          <w:sz w:val="18"/>
          <w:szCs w:val="18"/>
          <w:color w:val="auto"/>
        </w:rPr>
      </w:pPr>
    </w:p>
    <w:p>
      <w:pPr>
        <w:ind w:left="1140" w:hanging="504"/>
        <w:spacing w:after="0" w:line="281" w:lineRule="auto"/>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discovered in collaboration with us may be viewed by our collaborators as competitive with their own product candidates or drugs, which may cause collaborators to cease to devote resources to the commercialization of our product candidates;</w:t>
      </w:r>
    </w:p>
    <w:p>
      <w:pPr>
        <w:spacing w:after="0" w:line="54" w:lineRule="exact"/>
        <w:rPr>
          <w:rFonts w:ascii="Times New Roman" w:cs="Times New Roman" w:eastAsia="Times New Roman" w:hAnsi="Times New Roman"/>
          <w:sz w:val="18"/>
          <w:szCs w:val="18"/>
          <w:color w:val="auto"/>
        </w:rPr>
      </w:pPr>
    </w:p>
    <w:p>
      <w:pPr>
        <w:ind w:left="1140" w:right="20" w:hanging="504"/>
        <w:spacing w:after="0" w:line="281" w:lineRule="auto"/>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of our product candidates that achieve regulatory approval may not commit sufficient resources to the marketing and distribution of such products;</w:t>
      </w:r>
    </w:p>
    <w:p>
      <w:pPr>
        <w:spacing w:after="0" w:line="54" w:lineRule="exact"/>
        <w:rPr>
          <w:rFonts w:ascii="Times New Roman" w:cs="Times New Roman" w:eastAsia="Times New Roman" w:hAnsi="Times New Roman"/>
          <w:sz w:val="18"/>
          <w:szCs w:val="18"/>
          <w:color w:val="auto"/>
        </w:rPr>
      </w:pPr>
    </w:p>
    <w:p>
      <w:pPr>
        <w:jc w:val="both"/>
        <w:ind w:left="1140" w:hanging="504"/>
        <w:spacing w:after="0" w:line="260" w:lineRule="auto"/>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73" w:lineRule="exact"/>
        <w:rPr>
          <w:rFonts w:ascii="Times New Roman" w:cs="Times New Roman" w:eastAsia="Times New Roman" w:hAnsi="Times New Roman"/>
          <w:sz w:val="18"/>
          <w:szCs w:val="18"/>
          <w:color w:val="auto"/>
        </w:rPr>
      </w:pPr>
    </w:p>
    <w:p>
      <w:pPr>
        <w:jc w:val="both"/>
        <w:ind w:left="1140" w:hanging="504"/>
        <w:spacing w:after="0" w:line="265" w:lineRule="auto"/>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or their intellectual property rights or may use our or their proprietary information in such a way as to invite litigation that could jeopardize or invalidate such intellectual property or proprietary information or expose us to potential litigation;</w:t>
      </w:r>
    </w:p>
    <w:p>
      <w:pPr>
        <w:spacing w:after="0" w:line="69"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 and</w:t>
      </w:r>
    </w:p>
    <w:p>
      <w:pPr>
        <w:spacing w:after="0" w:line="116" w:lineRule="exact"/>
        <w:rPr>
          <w:rFonts w:ascii="Times New Roman" w:cs="Times New Roman" w:eastAsia="Times New Roman" w:hAnsi="Times New Roman"/>
          <w:sz w:val="18"/>
          <w:szCs w:val="18"/>
          <w:color w:val="auto"/>
        </w:rPr>
      </w:pPr>
    </w:p>
    <w:p>
      <w:pPr>
        <w:ind w:left="1140" w:hanging="504"/>
        <w:spacing w:after="0" w:line="281" w:lineRule="auto"/>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55"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 If any future collaborator of ours were to be involved in a business combination, the continued pursuit and emphasis on our product development or commercialization program could be delayed, diminished or terminated.</w:t>
      </w:r>
    </w:p>
    <w:p>
      <w:pPr>
        <w:spacing w:after="0" w:line="6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for any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the European Commission or similar regulatory authorities outside the U.S.,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may not be able to negotiate additional collaborations on a timely basis, on acceptable terms, or at all. If we are unable to do so, we may have to curtail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revenue.</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72" w:name="page73"/>
    <w:bookmarkEnd w:id="72"/>
    <w:p>
      <w:pPr>
        <w:jc w:val="both"/>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third parties upon whom we depend may be adversely affected by earthquakes, wildfires or other natural and manmade disasters, and our business continuity and disaster recovery plans may not adequately protect us from a serious disaster.</w:t>
      </w:r>
    </w:p>
    <w:p>
      <w:pPr>
        <w:spacing w:after="0" w:line="50"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Any unplanned event, such as flood, fire, explosion, earthquake, extreme weather condition, medical epidemics or pandemics, power shortage, telecommunication failure, armed conflict, or other natural or manmade accidents or incidents that result in the third parties upon whom we depend from being unable to fully utilize their facilities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wildfires or other natural disasters could further disrupt our operations and have a material and adverse effect on our business, financial condition, results of operations and prospects. If a natural disaster, power outage or other event prevented the third parties upon whom we depend from using all or a significant portion of their manufacturing facilities, or otherwise disrupted operations, it may be difficult or, in certain cases, impossible, for us to continue our business for a substantial period of time. Unforeseen natural or manmade accidents or incidents, such as freezer failure, natural disasters or theft, could also result in loss of cell line starting material.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the third parties on which we rely are unable to operate their facilities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maintain and enforce patent protection for our product candidates, or if the scope of the patent protection obtained is not sufficiently broad, our competitors or other third parties could develop and commercialize products similar or identical to ours and our ability to successfully develop and commercialize our product candidates may be adversely affected.</w:t>
      </w:r>
    </w:p>
    <w:p>
      <w:pPr>
        <w:spacing w:after="0" w:line="66"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rely upon a combination of patents, trade secret protection and confidentiality agreements to protect the intellectual property related to our product candidates and technologies. Our success depends in large part on our ability to obtain and maintain patent and other intellectual property protection in the U.S. and in other countries with respect to our proprietary technology and product candidates. The risks associated with patent rights generally apply to patent rights that we in-license now or in the future, as well as patent rights that we may own now or in the future. We currently own three issued U.S. patents with claims directed to adintrevimab, ADG10, and methods of use of adintrevimab, alone or in combination with ADG10 (an antibody-based product candidate previously considered for potential use in combination with adintrevimab for the treatment and prevention of COVID-19), respectively. In addition, although we own a number of pending patent applications, we may not be successful in prosecuting our filed patent applications to obtain issuance of additional patents. Accordingly, there can be no assurance that we will be able to obtain patent protection for our product candidates. Our pending Patent Cooperation Treaty (“PCT”) patent applications, are not eligible to become issued patents until, among other things, we file a national stage patent application within 30 months in the countries in which we seek patent protection. Furthermore, our pending U.S. provisional patent applications are not eligible to become issued patents until, among other things, we file a non-provisional U.S. patent application within one year of filing of the U.S. provisional patent application with the USPTO. If we do not timely file any national stage patent applications or non-provisional U.S. patent applications, we may lose our priority date with respect to our PCT and provisional U.S. patent applications, and any patent protection on the inventions disclosed in such patent applications. We can provide no assurance that any of our current or future patent applications will result in issued patents or that any issued patents will provide us with any competitive advantage. In addition, the coverage claimed in any such patent application can be significantly reduced before the patent is issued, and its scope can be reinterpreted after issuance. Failure to obtain and maintain such issued patents could have a material adverse effect on our ability to develop and commercialize our product candidates.</w:t>
      </w:r>
    </w:p>
    <w:p>
      <w:pPr>
        <w:spacing w:after="0" w:line="8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strength of patents in the biotechnology and pharmaceutical field involves complex legal and scientific questions and can be uncertain. We cannot offer any assurances about which of our patent applications will issue, the breadth of any resulting patent or whether any of the issued patents will be found invalid and unenforceable or will be threatened by third parties. We cannot offer any assurances that the breadth of our resulting or granted patents will be sufficient to stop a competitor from developing and commercializing a product, including a biosimilar product, that would be competitive with one or more of our product candidates. There is no assurance that all the potentially relevant prior art relating to our patent and patent applications has been found, which can invalidate a patent or prevent a patent from issuing from a pending patent application. Since patent applications in the U.S. and most other countries are confidential for a period of time after filing, we cannot be</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73" w:name="page74"/>
    <w:bookmarkEnd w:id="73"/>
    <w:p>
      <w:pPr>
        <w:jc w:val="both"/>
        <w:spacing w:after="0" w:line="255" w:lineRule="auto"/>
        <w:rPr>
          <w:sz w:val="20"/>
          <w:szCs w:val="20"/>
          <w:color w:val="auto"/>
        </w:rPr>
      </w:pPr>
      <w:r>
        <w:rPr>
          <w:rFonts w:ascii="Times New Roman" w:cs="Times New Roman" w:eastAsia="Times New Roman" w:hAnsi="Times New Roman"/>
          <w:sz w:val="18"/>
          <w:szCs w:val="18"/>
          <w:color w:val="auto"/>
        </w:rPr>
        <w:t>certain that we or our future licensors were the first to file any patent application related to our product candidates and technologies. We additionally cannot guarantee that our employees, former employees or consultants will not file patent applications claiming our inventions. Because of the “first-to-file” laws in the U.S., such unauthorized patent application filings may defeat our attempts to obtain patents on our own inventions. If a third party can establish that we or our licensors were not the first to make or the first to file for patent protection of such inventions, our owned or licensed patent applications may not issue as patents and, even if issued, may be challenged and invalidated or rendered unenforceable. Additionally, an interference proceeding can be provoked by a third party or instituted by the USPTO to determine who was the first to invent any of the subject matter covered by the patent claims of our applications.</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owned and licensed patents may be challenged in courts or patent offices in the U.S. and abroad. For example, we may be subject to a third-party submission of prior art to the USPTO, challenging the validity of one or more claims of our owned or licensed patents. Such submissions may also be made prior to a patent’s issuance, precluding the granting of a patent based on one of our owned or licensed pending patent applications. A third party may also claim that our owned or licensed patent rights are invalid or unenforceable in litigation. The outcome following legal assertions of invalidity and unenforceability is unpredictable.</w:t>
      </w:r>
    </w:p>
    <w:p>
      <w:pPr>
        <w:spacing w:after="0" w:line="7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Any successful challenge to any patents owned by or licensed to us after patent issuance could put one or more of our owned or in-licensed patents at risk of being invalidated or interpreted narrowly and could deprive us of rights necessary for the successful commercialization of any of our product candidates and technologies that we may develop. Even if they are unchallenged or such third-party challenges are unsuccessful, our patents and patent applications may not adequately protect our intellectual property, provide exclusivity for our product candidates and technologies or prevent others from designing around our claims. If the breadth or strength of protection provided by the patent and patent applications we hold, obtain or pursue with respect to our product candidates and technologies is challenged, or if they fail to provide meaningful exclusivity for our product candidates and technologies, it could threaten our ability to commercialize our product candidates and technologies. Further, if we encounter delays in regulatory approvals, the period of time during which we could market a product candidate under patent protection, if approved, would be reduced.</w:t>
      </w:r>
    </w:p>
    <w:p>
      <w:pPr>
        <w:spacing w:after="0" w:line="8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patent prosecution process is expensive and time-consuming. We may not be able to prepare, file and prosecute all necessary or desirable patent applications at a commercially reasonable cost, in a timely manner or in all jurisdictions. It is also possible that we may fail to identify patentable aspects of inventions made in the course of development and commercialization activities before it is too late to obtain patent protection. Moreover, depending on the terms of any future in-licenses to which we may become a party, we may not have the right to control the preparation, filing and prosecution of patent applications, or to maintain the patents, covering technology in-licensed from third parties. Therefore, these patents and patent applications may not be prosecuted and enforced in a manner consistent with the best interests of our business. Any of the foregoing could have an adverse impact on our business and results of operations.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trade secrets, our business and competitive position would be harmed.</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addition to the protection provided by our patent estate, we rely on trade secret protection and confidentiality agreements to protect proprietary scientific, business and technical information and know-how that is not or may not be patentable or that we or our partner(s) elect not to patent. Whether proprietary information, data and processes were developed internally, through collaboration partnering, or licensed from one or more third parties, we seek to protect them, in part, by confidentiality agreements and invention assignment agreements with our employees, consultants, scientific advisors, contractors and partners. Although these agreements are designed to protect proprietary information, we cannot be certain that our trade secrets and other confidential proprietary information will not be disclosed or that competitors will not otherwise gain access to trade secrets or independently develop substantially equivalent information and techniques. Although we generally require all of our employees to assign their inventions to us, and all of our employees, consultants, advisors and any third parties who have access to proprietary know-how, information or technology to enter into confidentiality agreements, we cannot provide any assurances that all such agreements have been duly executed with all third parties who may have helped to develop our intellectual property or who had access to proprietary information, or that our agreements will not be breached. If any of the parties to these confidentiality agreements breaches or violates the terms of such agreements, we may not have adequate remedies for any such breach or violation, and we could lose trade secrets as a result.</w:t>
      </w:r>
    </w:p>
    <w:p>
      <w:pPr>
        <w:spacing w:after="0" w:line="7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Enforcing a claim that a third party illegally obtained and is using our trade secrets, like patent litigation, is expensive and time-consuming, and the outcome is unpredictable. Further, the laws of some foreign countries do not protect proprietary rights to the same extent or in the same manner as the laws of the U.S. The enforceability of confidentiality agreements may vary from jurisdiction to jurisdiction. As a result, we may encounter significant problems in protecting and defending our intellectual property both in the U.S. and abroad. Additionally, if the steps taken to maintain our trade secrets are deemed inadequate, we may have insufficient recourse against third parties for misappropriating the trade secret.</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74" w:name="page75"/>
    <w:bookmarkEnd w:id="74"/>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Trade secrets and know-how can be difficult to protect as trade secrets and know-how will over time be disseminated within the industry through independent development, the publication of journal articles and the movement of personnel skilled in the art from company to company or academic to industry scientific positions. Moreover, our competitors and other third parties may independently develop knowledge, methods and know-how equivalent to our trade secrets. Competitors and other third parties could purchase our products and attempt to replicate some or all of the competitive advantages we derive from our development efforts, willfully infringe, misappropriate or violate our intellectual property rights, design around our protected technology or develop their own technologies that fall outside of our intellectual property rights. If any of our trade secrets were to be lawfully obtained or independently developed by a competitor or other third party, we would have no right to prevent them, or those to whom they communicate it, from using that technology or information to compete with us. If any of our trade secrets and proprietary know-how were to be disclosed to or independently developed by a competitor or other third party, our competitive position would be harmed.</w:t>
      </w:r>
    </w:p>
    <w:p>
      <w:pPr>
        <w:spacing w:after="0" w:line="78"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data and trade secrets by maintaining physical security of our premises and physical and electronic security of our information technology systems.</w:t>
      </w:r>
    </w:p>
    <w:p>
      <w:pPr>
        <w:spacing w:after="0" w:line="55"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Monitoring unauthorized uses and disclosures is difficult, and we do not know whether the steps we have taken to protect our proprietary technologies will be effective.</w:t>
      </w:r>
    </w:p>
    <w:p>
      <w:pPr>
        <w:spacing w:after="0" w:line="5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While we have confidence in these individuals, organizations and systems, our agreements or security measures may be breached, and we may not have adequate remedies for any breach. Also, if the steps taken to maintain trade secrets are deemed inadequate, we may have insufficient recourse against third parties for misappropriating the trade secret. In addition, others may independently discover our trade secrets and proprietary information. For example, the FDA is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we are unable to prevent material disclosure of the non-patented intellectual property related to our technologies to third parties, and there is no guarantee that we will have any such enforceable trade secret protection, we may not be able to establish or maintain a competitive advantage in our market, which could materially adversely affect our business, results of operations and financial condition.</w:t>
      </w:r>
    </w:p>
    <w:p>
      <w:pPr>
        <w:spacing w:after="0" w:line="77"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products for an adequate amount of time, and if we do not obtain protection under the Hatch-Waxman Amendments and similar non-U.S. legislation for extending the term of patents covering each of our product candidates, our business may be materially harmed.</w:t>
      </w:r>
    </w:p>
    <w:p>
      <w:pPr>
        <w:spacing w:after="0" w:line="66"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Patents have a limited lifespan. In the U.S., the natural expiration of a patent is generally 20 years after its first effective filing date. Although various extensions may be available, the life of a patent, and the protection it affords, is limited. Even if patents covering our product candidates are obtained, once the patent life has expired for a product, we may be open to competition from generic and other competing medications. Given the amount of time required for the development, testing and regulatory review of new product candidates, patents protecting such candidates may expire before or shortly after such candidates are commercialized. Depending upon the timing, duration and conditions of FDA marketing approval of our product candidates, one or more of our U.S. patents may be eligible for limited patent term extension under the Drug Price Competition and Patent Term Restoration Act of 1984, referred to as the Hatch-Waxman Amendments, and similar legislation in the European Union. The Hatch-Waxman Amendments permit a patent term extension of up to five years for a patent covering an approved product as compensation for effective patent term lost during product development and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receive an extension if we fail to apply within applicable deadlines, fail to apply prior to expiration of relevant patents, fail to exercise due diligence during the testing phase or regulatory review process, or otherwise fail to satisfy applicable requirements. Moreover, the length of the extension could be less than we request. If we are unable to obtain patent term extension, or if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which could have a material adverse effect on our business.</w:t>
      </w:r>
    </w:p>
    <w:p>
      <w:pPr>
        <w:spacing w:after="0" w:line="78"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party to an assignment and license agreement, a collaboration agreement and a platform transfer agreement with Adimab, pursuant to which we are obligated to make payments upon achievement of milestone events and royalties. If these agreements are terminated, our business and prospects will be materially and adversely affected.</w:t>
      </w:r>
    </w:p>
    <w:p>
      <w:pPr>
        <w:spacing w:after="0" w:line="6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party to the Adimab Assignment Agreement with Adimab, under which Adimab has assigned to us its rights, title and interest in and to certain of its coronavirus-specific antibodies, including modified or derivative forms thereof, and related intellectual property. Pursuant to the Adimab Assignment Agreement, Adimab additionally granted us a non-exclusive, worldwide, royalty-bearing sublicensable license to certain of its platform patents and technology for the development, manufacture and commercialization of the CoV Antibodies and pharmaceutical products containing or comprising one or more</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75" w:name="page76"/>
    <w:bookmarkEnd w:id="75"/>
    <w:p>
      <w:pPr>
        <w:jc w:val="both"/>
        <w:spacing w:after="0" w:line="255" w:lineRule="auto"/>
        <w:rPr>
          <w:sz w:val="20"/>
          <w:szCs w:val="20"/>
          <w:color w:val="auto"/>
        </w:rPr>
      </w:pPr>
      <w:r>
        <w:rPr>
          <w:rFonts w:ascii="Times New Roman" w:cs="Times New Roman" w:eastAsia="Times New Roman" w:hAnsi="Times New Roman"/>
          <w:sz w:val="18"/>
          <w:szCs w:val="18"/>
          <w:color w:val="auto"/>
        </w:rPr>
        <w:t>CoV Antibodies for all indications and uses, with the exception of certain diagnostic uses and use as a research reagent. Under the Adimab Assignment Agreement, we are obligated to use commercially reasonable efforts to achieve specified development and regulatory milestones for subject products in certain major markets and to commercialize a subject product in any country in which we obtain marketing approval. This agreement additionally contains obligations that require us to make payments in the event certain milestone events are achieved and royalty payments on net sales of any subject products, in accordance with the Adimab Assignment Agreement, beginning upon the first commercial sale of a subject product in accordance with the Adimab Assignment Agreement, on a product-by-product and country-by-country basis, for a period ending on the later of (i) 12 years after the first commercial sale of such product in such country and (ii) the expiration of the last valid claim of a patent covering such product in such country.</w:t>
      </w:r>
    </w:p>
    <w:p>
      <w:pPr>
        <w:spacing w:after="0" w:line="7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are also party to the Adimab Collaboration Agreement with Adimab for the discovery and optimization of proprietary antibodies as potential therapeutic product candidates. Under the Adimab Collaboration Agreement, we could collaborate with Adimab on research programs for a specified number of targets selected by us within a specified time period. Under the Adimab Collaboration Agreement, Adimab granted us a worldwide, non-exclusive license to certain of its platform patents and technology and antibody patents to perform our responsibilities during the Evaluation Term. In addition, we granted Adimab a license to certain of our patents and intellectual property solely to perform Adimab’s responsibilities under the research plans. Under the Adimab Collaboration Agreement, we have an exclusive option, on a program-by-program basis, to obtain licenses and assignments to commercialize selected products containing or comprising antibodies directed against the applicable target, which option may be exercised upon the payment of a specified option fee for each program. Upon our exercise of an option, Adimab will assign us all right, title and interest in the antibodies of the optioned research program and will grant us a worldwide, royalty-free, fully paid-up, non-exclusive, sublicensable license under the Adimab platform technology for the development, manufacture and commercialization of the antibodies for which we have exercised our options and products containing or comprising those antibodies. We are obligated to use commercially reasonable efforts to develop, seek marketing approval for, and commercialize one product that contains an antibody discovered in each optioned research program. The Adimab Collaboration Agreement additionally contains obligations that require us to make payments in the event certain milestone events are achieved and royalty payments on net sales of subject products, in accordance with the Adimab Collaboration Agreement, on a product-by-product and country-by-country basis, for a period ending on the later of (i) 12 years after the first commercial sale of such product in such country and (ii) the expiration of the last valid claim of any patent claiming composition of matter or method of making or using any antibody identified or optimized under the Adimab Collaboration Agreement in such country.</w:t>
      </w:r>
    </w:p>
    <w:p>
      <w:pPr>
        <w:spacing w:after="0" w:line="82"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are also party to the Adimab Platform Transfer Agreement with Adimab under which we were granted the right under certain intellectual property of Adimab to practice certain elements of Adimab’s platform technology, including B-cell cloning using Adimab’s proprietary yeast cell lines and other antibody optimization libraries, trade secrets, protocols and software of Adimab, to discover, engineer and optimize antibodies. We do not have access to Adimab’s proprietary discovery libraries. We were also granted the right under certain intellectual property of Adimab to research, develop, make, sell and exploit such antibodies and products containing such antibodies. The Adimab platform has been transferred to us in accordance with the terms of the Adimab Platform Transfer Agreement. During the first four years of the Adimab Platform Transfer Agreement, we owe a fixed annual fee to Adimab, which allows us to receive material improvements to the platform technology, including materially improved antibody optimization libraries, updates that provide new functionality to the platform, and software upgrades, from Adimab through June 2027. After such time, until June 2042, unless terminated earlier, we have the option to receive additional material improvements to the platform technology from Adimab, subject to a commercially reasonable fee to be negotiated by the parties. The Adimab Platform Transfer Agreement also contains obligations that require us to make payments to Adimab in the event certain specified development and regulatory milestone events are achieved and royalty payments on net sales of subject products, in accordance with the Adimab Platform Transfer Agreement, on a product-by-product and country-by-country basis, for a period ending on the later of (i) 12 years after the first commercial sale of such product in such country and (ii) the expiration of the last valid claim of a program antibody patent for covering the program antibody contained in such product in such country.</w:t>
      </w:r>
    </w:p>
    <w:p>
      <w:pPr>
        <w:spacing w:after="0" w:line="8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While we are building our internal capabilities in order to discover and develop mAb candidates, our business continues to be reliant upon the intellectual property rights assigned and licensed to us under the Adimab Assignment Agreement, the Adimab Collaboration Agreement and the Adimab Platform Transfer Agreement. If we materially breach the Adimab Assignment Agreement, the Adimab Collaboration Agreement or the Adimab Platform Transfer Agreement, our licenses under the Adimab Assignment Agreement, the Adimab Collaboration Agreement and the Adimab Platform Transfer Agreement can be terminated, we can be required to return to Adimab the assigned patent rights and any patents or patent applications that claim priority to such patents, our rights to develop and commercialize our product candidates will be adversely affected, and we could be found liable for substantial monetary damages. If the Adimab Assignment Agreement, the Adimab Collaboration Agreement or the Adimab Platform Transfer Agreement is terminated as a result of our breach or otherwise, our business and prospects will be materially and adversely affected.</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76" w:name="page77"/>
    <w:bookmarkEnd w:id="76"/>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rights to develop and commercialize our product candidates are subject, in part, to the terms and conditions of licenses granted to us by others. 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6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rely on licensed intellectual property rights and intend to periodically explore a variety of additional possible strategic collaborations or licenses in an effort to gain access to additional product candidates, technologies or resources. At this time, we cannot predict what form such strategic collaborations or licenses might take in the future. We are likely to face significant competition in seeking appropriate strategic collaborators, and strategic collaborations and licenses can be complicated and time-consuming to negotiate and document. We may not be able to negotiate strategic collaborations on acceptable terms, or at all. We are unable to predict when, if ever, we will enter into any additional strategic collaborations or licenses because of the numerous risks and uncertainties associated with establishing them. Any delays in entering into new strategic collaborations or licenses related to our product candidates could delay the development and commercialization of our product candidates in certain geographies for certain indications, which would harm our business prospects, financial condition and results of operations.</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current and future collaborations and licenses could subject us to a number of risks, including:</w:t>
      </w:r>
    </w:p>
    <w:p>
      <w:pPr>
        <w:spacing w:after="0" w:line="117" w:lineRule="exact"/>
        <w:rPr>
          <w:sz w:val="20"/>
          <w:szCs w:val="20"/>
          <w:color w:val="auto"/>
        </w:rPr>
      </w:pPr>
    </w:p>
    <w:p>
      <w:pPr>
        <w:ind w:left="1140" w:hanging="504"/>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undertake the expenditure of substantial operational, financial and management resources;</w:t>
      </w:r>
    </w:p>
    <w:p>
      <w:pPr>
        <w:spacing w:after="0" w:line="116" w:lineRule="exact"/>
        <w:rPr>
          <w:rFonts w:ascii="Times New Roman" w:cs="Times New Roman" w:eastAsia="Times New Roman" w:hAnsi="Times New Roman"/>
          <w:sz w:val="18"/>
          <w:szCs w:val="18"/>
          <w:color w:val="auto"/>
        </w:rPr>
      </w:pPr>
    </w:p>
    <w:p>
      <w:pPr>
        <w:jc w:val="both"/>
        <w:ind w:left="1140" w:hanging="504"/>
        <w:spacing w:after="0" w:line="258" w:lineRule="auto"/>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comply with various development, diligence, commercialization and other obligations and meet development timelines, or exercise commercially reasonable efforts to develop and commercialize licensed products, in order to maintain the licenses (for example, under the Adimab Assignment Agreement, we are required to use commercially reasonable efforts to achieve specified development and regulatory milestones for products in certain major markets and to commercialize a product in any country in which we obtain marketing approval);</w:t>
      </w:r>
    </w:p>
    <w:p>
      <w:pPr>
        <w:spacing w:after="0" w:line="74"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issue equity securities that would dilute our stockholders’ percentage ownership of our company;</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assume substantial actual or contingent liabilities;</w:t>
      </w:r>
    </w:p>
    <w:p>
      <w:pPr>
        <w:spacing w:after="0" w:line="116" w:lineRule="exact"/>
        <w:rPr>
          <w:rFonts w:ascii="Times New Roman" w:cs="Times New Roman" w:eastAsia="Times New Roman" w:hAnsi="Times New Roman"/>
          <w:sz w:val="18"/>
          <w:szCs w:val="18"/>
          <w:color w:val="auto"/>
        </w:rPr>
      </w:pPr>
    </w:p>
    <w:p>
      <w:pPr>
        <w:ind w:left="1140" w:right="20" w:hanging="504"/>
        <w:spacing w:after="0" w:line="281" w:lineRule="auto"/>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control the amount and timing of resources that our strategic collaborators devote to the development or commercialization of our product candidates;</w:t>
      </w:r>
    </w:p>
    <w:p>
      <w:pPr>
        <w:spacing w:after="0" w:line="54" w:lineRule="exact"/>
        <w:rPr>
          <w:rFonts w:ascii="Times New Roman" w:cs="Times New Roman" w:eastAsia="Times New Roman" w:hAnsi="Times New Roman"/>
          <w:sz w:val="18"/>
          <w:szCs w:val="18"/>
          <w:color w:val="auto"/>
        </w:rPr>
      </w:pPr>
    </w:p>
    <w:p>
      <w:pPr>
        <w:jc w:val="both"/>
        <w:ind w:left="1140" w:hanging="504"/>
        <w:spacing w:after="0" w:line="258" w:lineRule="auto"/>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the right to control the preparation, filing, prosecution and maintenance of patents and patent applications covering the technology that we license, and we cannot always be certain that these patents and patent applications will be prepared, filed, prosecuted and maintained in a manner consistent with the best interests of our business (for example, we have no rights to control the preparation, filing, prosecution or maintenance of the patents licensed to us under Adimab’s antibody discovery and optimization platform technology under the Adimab Assignment Agreement);</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77" w:name="page78"/>
    <w:bookmarkEnd w:id="77"/>
    <w:p>
      <w:pPr>
        <w:ind w:left="1140" w:hanging="504"/>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may select indications or design clinical trials in a way that may be less successful than if we were doing so;</w:t>
      </w:r>
    </w:p>
    <w:p>
      <w:pPr>
        <w:spacing w:after="0" w:line="116" w:lineRule="exact"/>
        <w:rPr>
          <w:rFonts w:ascii="Times New Roman" w:cs="Times New Roman" w:eastAsia="Times New Roman" w:hAnsi="Times New Roman"/>
          <w:sz w:val="18"/>
          <w:szCs w:val="18"/>
          <w:color w:val="auto"/>
        </w:rPr>
      </w:pPr>
    </w:p>
    <w:p>
      <w:pPr>
        <w:ind w:left="1140" w:hanging="504"/>
        <w:spacing w:after="0" w:line="281" w:lineRule="auto"/>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may delay clinical trials, provide insufficient funding, terminate a clinical trial or abandon a product candidate, repeat or conduct new clinical trials or require a new version of a product candidate for clinical testing;</w:t>
      </w:r>
    </w:p>
    <w:p>
      <w:pPr>
        <w:spacing w:after="0" w:line="54" w:lineRule="exact"/>
        <w:rPr>
          <w:rFonts w:ascii="Times New Roman" w:cs="Times New Roman" w:eastAsia="Times New Roman" w:hAnsi="Times New Roman"/>
          <w:sz w:val="18"/>
          <w:szCs w:val="18"/>
          <w:color w:val="auto"/>
        </w:rPr>
      </w:pPr>
    </w:p>
    <w:p>
      <w:pPr>
        <w:ind w:left="1140" w:hanging="504"/>
        <w:spacing w:after="0" w:line="281" w:lineRule="auto"/>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may not pursue further development and commercialization of products resulting from the strategic collaboration arrangement or may elect to discontinue research and development programs;</w:t>
      </w:r>
    </w:p>
    <w:p>
      <w:pPr>
        <w:spacing w:after="0" w:line="54" w:lineRule="exact"/>
        <w:rPr>
          <w:rFonts w:ascii="Times New Roman" w:cs="Times New Roman" w:eastAsia="Times New Roman" w:hAnsi="Times New Roman"/>
          <w:sz w:val="18"/>
          <w:szCs w:val="18"/>
          <w:color w:val="auto"/>
        </w:rPr>
      </w:pPr>
    </w:p>
    <w:p>
      <w:pPr>
        <w:ind w:left="1140" w:hanging="504"/>
        <w:spacing w:after="0" w:line="281" w:lineRule="auto"/>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may not commit adequate resources to the marketing and distribution of our product candidates, limiting our potential revenue from these products;</w:t>
      </w:r>
    </w:p>
    <w:p>
      <w:pPr>
        <w:spacing w:after="0" w:line="54" w:lineRule="exact"/>
        <w:rPr>
          <w:rFonts w:ascii="Times New Roman" w:cs="Times New Roman" w:eastAsia="Times New Roman" w:hAnsi="Times New Roman"/>
          <w:sz w:val="18"/>
          <w:szCs w:val="18"/>
          <w:color w:val="auto"/>
        </w:rPr>
      </w:pPr>
    </w:p>
    <w:p>
      <w:pPr>
        <w:jc w:val="both"/>
        <w:ind w:left="1140" w:hanging="504"/>
        <w:spacing w:after="0" w:line="265" w:lineRule="auto"/>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us and our strategic collaborators that result in the delay or termination of the research, development or commercialization of our product candidates or that result in costly litigation or arbitration that diverts management’s attention and consumes resources;</w:t>
      </w:r>
    </w:p>
    <w:p>
      <w:pPr>
        <w:spacing w:after="0" w:line="69"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may experience financial difficulties;</w:t>
      </w:r>
    </w:p>
    <w:p>
      <w:pPr>
        <w:spacing w:after="0" w:line="116" w:lineRule="exact"/>
        <w:rPr>
          <w:rFonts w:ascii="Times New Roman" w:cs="Times New Roman" w:eastAsia="Times New Roman" w:hAnsi="Times New Roman"/>
          <w:sz w:val="18"/>
          <w:szCs w:val="18"/>
          <w:color w:val="auto"/>
        </w:rPr>
      </w:pPr>
    </w:p>
    <w:p>
      <w:pPr>
        <w:ind w:left="1140" w:hanging="504"/>
        <w:spacing w:after="0" w:line="281" w:lineRule="auto"/>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may not properly maintain, enforce or defend our intellectual property rights or may use our proprietary information in a manner that could jeopardize or invalidate our proprietary information or expose us to potential litigation;</w:t>
      </w:r>
    </w:p>
    <w:p>
      <w:pPr>
        <w:spacing w:after="0" w:line="54" w:lineRule="exact"/>
        <w:rPr>
          <w:rFonts w:ascii="Times New Roman" w:cs="Times New Roman" w:eastAsia="Times New Roman" w:hAnsi="Times New Roman"/>
          <w:sz w:val="18"/>
          <w:szCs w:val="18"/>
          <w:color w:val="auto"/>
        </w:rPr>
      </w:pPr>
    </w:p>
    <w:p>
      <w:pPr>
        <w:ind w:left="1140" w:hanging="504"/>
        <w:spacing w:after="0" w:line="281" w:lineRule="auto"/>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 or significant changes in a strategic collaborator’s business strategy may adversely affect a strategic collaborator’s willingness or ability to complete its obligations under any arrangement;</w:t>
      </w:r>
    </w:p>
    <w:p>
      <w:pPr>
        <w:spacing w:after="0" w:line="54" w:lineRule="exact"/>
        <w:rPr>
          <w:rFonts w:ascii="Times New Roman" w:cs="Times New Roman" w:eastAsia="Times New Roman" w:hAnsi="Times New Roman"/>
          <w:sz w:val="18"/>
          <w:szCs w:val="18"/>
          <w:color w:val="auto"/>
        </w:rPr>
      </w:pPr>
    </w:p>
    <w:p>
      <w:pPr>
        <w:ind w:left="1140" w:hanging="504"/>
        <w:spacing w:after="0" w:line="281" w:lineRule="auto"/>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could decide to move forward with a competing product candidate developed either independently or in collaboration with others, including our competitors; and</w:t>
      </w:r>
    </w:p>
    <w:p>
      <w:pPr>
        <w:spacing w:after="0" w:line="54" w:lineRule="exact"/>
        <w:rPr>
          <w:rFonts w:ascii="Times New Roman" w:cs="Times New Roman" w:eastAsia="Times New Roman" w:hAnsi="Times New Roman"/>
          <w:sz w:val="18"/>
          <w:szCs w:val="18"/>
          <w:color w:val="auto"/>
        </w:rPr>
      </w:pPr>
    </w:p>
    <w:p>
      <w:pPr>
        <w:ind w:left="1140" w:right="20" w:hanging="504"/>
        <w:spacing w:after="0" w:line="281" w:lineRule="auto"/>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could terminate the arrangement or allow it to expire, which would delay the development and may increase the cost of developing our product candidates.</w:t>
      </w:r>
    </w:p>
    <w:p>
      <w:pPr>
        <w:spacing w:after="0" w:line="55"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Disputes may arise with respect to our current or future licensing agreements, including in connection with any of the forgoing, and, in spite of our efforts, our current and future licensors might conclude that we have materially breached our obligations under our license agreements and might therefore terminate such license agreements, thereby removing or limiting our ability to develop and commercialize products and technology covered by these license agreements.</w:t>
      </w:r>
    </w:p>
    <w:p>
      <w:pPr>
        <w:spacing w:after="0" w:line="74"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Our license agreements are, and future license agreements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w:t>
      </w:r>
    </w:p>
    <w:p>
      <w:pPr>
        <w:spacing w:after="0" w:line="7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Furthermore, license agreements we enter into in the future may not provide exclusive rights to use intellectual property and technology in all relevant fields of use and in all territories in which we may wish to develop or commercialize our technology and products.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As a result, we may not be able to prevent competitors from developing and commercializing competitive products in territories included in all of our licenses.</w:t>
      </w:r>
    </w:p>
    <w:p>
      <w:pPr>
        <w:spacing w:after="0" w:line="70"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reform legislation could increase the uncertainties and costs surrounding the prosecution of our patent applications and licensed patents, and the enforcement or defense of our licensed patents or future owned patents.</w:t>
      </w:r>
    </w:p>
    <w:p>
      <w:pPr>
        <w:spacing w:after="0" w:line="5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ability to obtain patents is highly uncertain because, to date, some legal principles remain unresolved, and there has not been a consistent policy regarding the breadth or interpretation of claims allowed in patents in the U.S. Furthermore, the specific content of patents and patent applications that are necessary to support and interpret patent claims is highly uncertain due to the complex nature of the relevant legal, scientific and factual issues. Changes in either patent laws or interpretations of patent laws in the U.S. and other countries may diminish the value of our intellectual property or narrow the scope of our patent protection.</w:t>
      </w:r>
    </w:p>
    <w:p>
      <w:pPr>
        <w:spacing w:after="0" w:line="7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For example, on September 16, 2011, the Leahy-Smith America Invents Act (the “Leahy-Smith Act”) was signed into law. The Leahy-Smith Act included a number of significant changes to U.S. patent law. These included provisions that affect the way patent applications are prosecuted and also affect patent litigation. The USPTO has developed new and untested regulations and procedures to govern the full implementation of the Leahy-Smith Act, and many of the substantive changes to patent law associated with the Leahy-Smith Act, and in particular, the first to file provisions, became effective in March 2013. The Leahy-Smith Act has also introduced procedures making it easier for third parties to challenge issued patents, as well as</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78" w:name="page79"/>
    <w:bookmarkEnd w:id="78"/>
    <w:p>
      <w:pPr>
        <w:jc w:val="both"/>
        <w:spacing w:after="0" w:line="253" w:lineRule="auto"/>
        <w:rPr>
          <w:sz w:val="20"/>
          <w:szCs w:val="20"/>
          <w:color w:val="auto"/>
        </w:rPr>
      </w:pPr>
      <w:r>
        <w:rPr>
          <w:rFonts w:ascii="Times New Roman" w:cs="Times New Roman" w:eastAsia="Times New Roman" w:hAnsi="Times New Roman"/>
          <w:sz w:val="18"/>
          <w:szCs w:val="18"/>
          <w:color w:val="auto"/>
        </w:rPr>
        <w:t>to intervene in the prosecution of patent applications. These include allowing third-party submission of prior art to the USPTO during patent prosecution and additional procedures to challenge the validity of a patent by USPTO administered post-grant proceedings, including post-grant review, inter partes review and derivation proceedings. Finally, the Leahy-Smith Act contained new statutory provisions that require the USPTO to issue new regulations for their implementation, and it may take the courts years to interpret the provisions of the new statute. The Leahy-Smith Act and its implementation could increase the uncertainties and costs surrounding the prosecution of our patent applications and the enforcement or defense of our future patents. Further,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would weaken our ability to obtain new patents or to enforce patents that we have owned or licensed or that we might obtain in the future. An inability to obtain, enforce, and defend patents covering our proprietary technologies would materially and adversely affect our business prospects and financial condition.</w:t>
      </w:r>
    </w:p>
    <w:p>
      <w:pPr>
        <w:spacing w:after="0" w:line="8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Similarly, changes in patent laws and regulations in other countries or jurisdictions, changes in the governmental bodies that enforce them or changes in how the relevant governmental authority enforces patent laws or regulations may weaken our ability to obtain new patents or to enforce patents that we may obtain in the future. Further, the laws of some foreign countries do not protect proprietary rights to the same extent or in the same manner as the laws of the U.S. As a result, we may encounter significant problems in protecting and defending our intellectual property both in the U.S. and abroad. For example, if the issuance in a given country of a patent covering an invention is not followed by the issuance in other countries of patents covering the same invention, or if any judicial interpretation of the validity, enforceability or scope of the claims or the written description or enablement, in a patent issued in one country is not similar to the interpretation given to the corresponding patent issued in another country, our ability to protect our intellectual property in those countries may be limited. Changes in either patent laws or in interpretations of patent laws in the U.S. and other countries may materially diminish the value of our intellectual property or narrow the scope of our patent protection.</w:t>
      </w:r>
    </w:p>
    <w:p>
      <w:pPr>
        <w:spacing w:after="0" w:line="7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As one example, in Europe, a new unitary patent system became effective in June 2023, which may significantly impact European patents, including those granted before the introduction of such a system. Under the unitary patent system, European applications will soon have the option, upon grant of a patent, of becoming a Unitary Patent which will be subject to the jurisdiction of the Unitary Patent Court (“UPC”). As the UPC is a new court system, there is no precedent for the court, increasing the uncertainty of any litigation. Patents granted before the implementation of the UPC will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spacing w:after="0" w:line="75"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future patents, the patents of our licensors or our other intellectual property or proprietary rights, which could be expensive, time consuming and unsuccessful and our future issued patents and the patents of our licensors covering our product candidates could be found invalid or unenforceable.</w:t>
      </w:r>
    </w:p>
    <w:p>
      <w:pPr>
        <w:spacing w:after="0" w:line="6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Competitors or other third parties may infringe, misappropriate or otherwise violate the patents of our licensors or any patents issued as a result of our pending or future patent applications. To counter infringement, misappropriation or unauthorized use, we may be required to file infringement claims, which can be expensive and time-consuming. In addition, in an infringement proceeding, a court may decide that a patent of ours or our licensors is not valid, is unenforceable or is not infringed, or may refuse to stop the other party in such infringement proceeding from using the technology at issue on the grounds that our patents do not cover the technology in question. An adverse result in any litigation or defense proceedings could put one or more of our licensed or future owned patents at risk of being invalidated, held unenforceable or interpreted narrowly, and could put any of our owned or licensed patent applications at risk of not yielding an issued patent.</w:t>
      </w:r>
    </w:p>
    <w:p>
      <w:pPr>
        <w:spacing w:after="0" w:line="7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If we initiate legal proceedings against a third party to enforce a patent covering one of our product candidates, the defendant could counterclaim that the patent covering our product or product candidate is invalid and/or unenforceable. In patent litigation in the U.S., counterclaims alleging invalidity and/or unenforceability are common, and there are numerous grounds upon which a third party can assert invalidity or unenforceability of a patent.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also raise similar claims before administrative bodies in the U.S. or abroad, even outside the context of litigation. Such mechanisms include re-examination, post grant review, inter partes review and equivalent proceedings in foreign jurisdictions (for example, opposition proceedings, nullity proceedings or litigation or invalidation trials or invalidation proceedings). Such proceedings could result in revocation of or amendment to our future patents in such a way that they no longer cover our product candidates</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79" w:name="page80"/>
    <w:bookmarkEnd w:id="79"/>
    <w:p>
      <w:pPr>
        <w:jc w:val="both"/>
        <w:spacing w:after="0" w:line="260" w:lineRule="auto"/>
        <w:rPr>
          <w:sz w:val="20"/>
          <w:szCs w:val="20"/>
          <w:color w:val="auto"/>
        </w:rPr>
      </w:pPr>
      <w:r>
        <w:rPr>
          <w:rFonts w:ascii="Times New Roman" w:cs="Times New Roman" w:eastAsia="Times New Roman" w:hAnsi="Times New Roman"/>
          <w:sz w:val="18"/>
          <w:szCs w:val="18"/>
          <w:color w:val="auto"/>
        </w:rPr>
        <w:t>or prevent third parties from competing with our product candidates. The outcome following legal assertions of invalidity and unenforceability is unpredictable. With respect to the validity of our patent applications, should they issue as patents, for example, we cannot be certain that there is no invalidating prior art of which we, our patent counsel, and the patent examiner were unaware during prosecution. If a defendant were to prevail on a legal assertion of invalidity and/or unenforceability, we would lose at least part, and perhaps all, of the patent protection on our product candidates.</w:t>
      </w:r>
    </w:p>
    <w:p>
      <w:pPr>
        <w:spacing w:after="0" w:line="74"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Interference or derivation proceedings provoked by third parties or brought by us may be necessary to determine the priority of inventions or inventorship (and possibly also ownership) of inventions with respect to our patent applications or resulting patents, or patent applications or resulting patents of third parties. For example, we were notified in October 2020 that a third party claimed that one of its employees should be listed as an inventor on certain of our patent applications claiming SARS-COV-2 binding antibodies or their preparation; however, we believe such claim, if valid, would be limited to only a predecessor antibody to adintrevimab and, in any event, is without merit. The entity that assigned to us the relevant patent applications is required to indemnify us with respect to any potential financial ramifications relating to this claim. However, an unfavorable outcome in this claim or any other inventorship or ownership dispute could result in the loss of our exclusive rights in our technology and the associated intellectual property rights, require us to cease using the related technology or force us to take a license under the patent rights of the prevailing party, if available. Furthermore, our business could be harmed if the prevailing party does not offer us a license on commercially reasonable terms. Furthermore, any successful claim of inventorship by a third party could result in the loss of priority for our patent applications, potentially resulting in subsequently filed third-party patent applications having priority over our patent applications and thereby precluding our ability to obtain patent protection for the inventions claimed in our patent applications. Our defense of litigation or interference proceedings may fail and, even if successful, may result in substantial costs and distract our management and other employees. We may not be able to prevent, alone or with our licensors, infringement, misappropriation or other violations of our intellectual property rights, particularly in countries where the laws may not protect those rights as fully as in the U.S. For the patents and patent applications that we have licensed, we may have limited or no right to participate in the defense of any licensed patents against challenge by a third party. An adverse result in any litigation or defense proceedings could put one or more of our or our licensors’ patents at risk of being invalidated or interpreted narrowly, could put our patent applications at risk of not issuing and could have a material adverse impact on our business.</w:t>
      </w:r>
    </w:p>
    <w:p>
      <w:pPr>
        <w:spacing w:after="0" w:line="8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There could also be public announcements of the results of hearings, motions, or other interim proceedings or developments. If securities analysts or investors perceive these results to be negative, it could have a material adverse effect on the price of our common stock. Any of the foregoing could materially adversely affect our business, results of operations and financial condition.</w:t>
      </w:r>
    </w:p>
    <w:p>
      <w:pPr>
        <w:spacing w:after="0" w:line="75"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5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U.S. and abroad that is relevant to or necessary for the commercialization of our product candidates in any jurisdiction. For example, WuXi Biologics has provided only high-level information to us identifying the general nature of the licensed control elements in the expression vector used in the production cell line starting material for product manufacturing. Details of the expression technology have not been provided, nor has there been sufficient information provided to enable a freedom-to-operate assessment of the expression technology. We therefore cannot be sure that we have licensed all intellectual property rights that are relevant to or necessary for the commercialization of our product candidates, and a third party may claim that our development or commercialization of our product candidates infringes its intellectual property rights. We could be required to acquire or obtain a license to such intellectual property from such third parties, and we may be unable to do so on commercially reasonable terms or at all. If we are unable to successfully obtain rights to required third-party intellectual property rights, we may be required to redesign our manufacturing process for our product candidates, which may not be feasible on a technical or commercial basis in a timely manner, and we may have to delay or abandon development of our product candidates, which could have a material adverse effect on our business.</w:t>
      </w:r>
    </w:p>
    <w:p>
      <w:pPr>
        <w:spacing w:after="0" w:line="7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U.S. or abroad that we consider relevant may be</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80" w:name="page81"/>
    <w:bookmarkEnd w:id="80"/>
    <w:p>
      <w:pPr>
        <w:jc w:val="both"/>
        <w:spacing w:after="0" w:line="281" w:lineRule="auto"/>
        <w:rPr>
          <w:sz w:val="20"/>
          <w:szCs w:val="20"/>
          <w:color w:val="auto"/>
        </w:rPr>
      </w:pPr>
      <w:r>
        <w:rPr>
          <w:rFonts w:ascii="Times New Roman" w:cs="Times New Roman" w:eastAsia="Times New Roman" w:hAnsi="Times New Roman"/>
          <w:sz w:val="18"/>
          <w:szCs w:val="18"/>
          <w:color w:val="auto"/>
        </w:rPr>
        <w:t>incorrect, which may negatively impact our ability to develop and market our product candidates. Our failure to identify and correctly interpret relevant third-party patents may negatively impact our ability to develop and market our products.</w:t>
      </w:r>
    </w:p>
    <w:p>
      <w:pPr>
        <w:spacing w:after="0" w:line="51"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unsuccessful in licensing or acquiring intellectual property from third parties that may be required to develop and commercialize our product candidates.</w:t>
      </w:r>
    </w:p>
    <w:p>
      <w:pPr>
        <w:spacing w:after="0" w:line="50"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A third party may hold intellectual property, including patent rights that are important or necessary to the development and commercialization of our product candidates. It may be necessary for us to use the patented or proprietary technology of third parties to commercialize our product candidates, in which case we would be required to acquire or obtain a license to such intellectual property from these third parties, and we may be unable to do so on commercially reasonable terms or at all.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Even if we are able to in-license any such necessary intellectual property, it could be on a non-exclusive basis, thereby giving our competitors and other third parties access to the same intellectual property licensed to us, and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be required to redesign our product candidates, which may not be feasible on a technical or commercial basis, and we may have to delay or abandon development of the relevant program or product candidate, which could have a material adverse effect on our business.</w:t>
      </w:r>
    </w:p>
    <w:p>
      <w:pPr>
        <w:spacing w:after="0" w:line="83"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misappropriating or otherwise violating their intellectual property rights, the outcome of which would be uncertain.</w:t>
      </w:r>
    </w:p>
    <w:p>
      <w:pPr>
        <w:spacing w:after="0" w:line="5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commercial success depends in part on our ability to develop, manufacture, market and sell our product candidates and use our proprietary technologies without infringing, misappropriating or otherwise violating the patents, trademarks, and proprietary rights of third parties. As our product candidates progress toward commercialization, the possibility of a patent infringement claim against us increases. There is a substantial amount of litigation involving patents, trademarks, and other intellectual property rights in the biotechnology and pharmaceutical industries, including infringement lawsuits, interferences, derivation proceedings, post grant reviews, inter partes reviews, and reexamination proceedings before the USPTO or oppositions and other comparable proceedings in foreign jurisdictions. Numerous U.S. and foreign issued patents and pending patent applications, which are owned by third parties, exist in the fields in which we are developing product candidates, and there may be third-party patents or patent applications with claims to materials, formulations, methods of manufacture or methods for treatment related to the use or manufacture of our product candidates and technologies. Third parties, including our competitors may initiate legal proceedings against us alleging that we are infringing, misappropriating or otherwise violating their patents, trademarks, or other intellectual property rights.</w:t>
      </w:r>
    </w:p>
    <w:p>
      <w:pPr>
        <w:spacing w:after="0" w:line="8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cannot provide any assurance that our product candidates do not infringe, misappropriate or otherwise violate other parties’ patents, trademarks, or other proprietary rights, and competitors or other parties may assert that we infringe, misappropriate or otherwise violate their proprietary rights in any event. We may become party to, or threatened with, adversarial proceedings or litigation regarding intellectual property rights with respect to our product candidates, including oppositions, interference proceedings, reexaminations, post-grant review, inter partes review, or derivation proceedings before the USPTO in the U.S. or any equivalent regulatory authority in other countries. Even if we believe such claims are without merit, a court of competent jurisdiction could hold that these third-party patents are valid, enforceable and infringed, which could have a negative impact on our ability to commercialize our product candidates. In order to successfully challenge the validity of any U.S. patents asserted against us in federal court, we would need to overcome a presumption of validity. As this burden is high and requires us to present clear and convincing evidence as to the invalidity of any such U.S. patent claim, there is no assurance that a court of competent jurisdiction would agree with us and invalidate the claims of any such U.S. patent. Moreover, given the vast number of patents in our field of technology, we cannot be certain that we do not infringe existing patents or that we will not infringe patents that may be granted in the future.</w:t>
      </w:r>
    </w:p>
    <w:p>
      <w:pPr>
        <w:spacing w:after="0" w:line="8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While we may decide to initiate proceedings to challenge the validity of these or other patents in the future, we may be unsuccessful, and courts or patent offices in the U.S. and abroad could uphold the validity of any such patent.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product candidates. Regardless of when filed, we may fail to identify relevant third-party patents or patent applications, or we may incorrectly conclude that a third-party patent is invalid or not infringed by our product candidates or activities. If a patent holder believes that one of our product candidates infringes its patent, the patent holder may sue us even if we have received patent protection for our technology. In addition, third parties may obtain patents in the future and claim that our product candidates or technologies infringe upon these patents.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81" w:name="page82"/>
    <w:bookmarkEnd w:id="81"/>
    <w:p>
      <w:pPr>
        <w:jc w:val="both"/>
        <w:spacing w:after="0" w:line="265" w:lineRule="auto"/>
        <w:rPr>
          <w:sz w:val="20"/>
          <w:szCs w:val="20"/>
          <w:color w:val="auto"/>
        </w:rPr>
      </w:pPr>
      <w:r>
        <w:rPr>
          <w:rFonts w:ascii="Times New Roman" w:cs="Times New Roman" w:eastAsia="Times New Roman" w:hAnsi="Times New Roman"/>
          <w:sz w:val="18"/>
          <w:szCs w:val="18"/>
          <w:color w:val="auto"/>
        </w:rPr>
        <w:t>Moreover, we may face patent infringement claims from non-practicing entities that have no relevant drug revenue and against whom our own patent portfolio may thus have no deterrent effect. If a patent infringement suit were threatened or brought against us, we could be forced to stop or delay research, development, manufacturing or sales of the drug or product candidate that is the subject of the actual or threatened suit.</w:t>
      </w:r>
    </w:p>
    <w:p>
      <w:pPr>
        <w:spacing w:after="0" w:line="6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If we are found to infringe, misappropriate or otherwise violate a third party’s valid intellectual property rights, we could be required to obtain a license from such third party to continue commercializing our product candidates. However, we may not be able to obtain any required license on commercially reasonable terms or at all. For example, companies that perceive us to be a competitor may be unwilling to assign or license rights to us. Even if a license can be obtained on acceptable terms, the rights may be non-exclusive, which could give our competitors access to the same technology or intellectual property rights licensed to us. If we fail to obtain a required license, we may be unable to effectively market product candidates based on our technology, which could limit our ability to generate revenue or achieve profitability and possibly prevent us from generating revenue sufficient to sustain our operations. Alternatively, we may need to redesign our infringing products, which may be impossible or require substantial time and monetary expenditure. Under certain circumstances, we could be forced, including by court orders, to cease developing, manufacturing and commercializing our product candidates. In addition, in any such proceeding or litigation, we could be found liable for substantial monetary damages, potentially including treble damages and attorneys’ fees, if we are found to have willfully infringed the patent at issue. We may also be required to indemnify collaborators or contractors against such claims. A finding of infringement, misappropriation or other violation of third-party intellectual property rights could prevent us from commercializing our product candidates or force us to cease some of our business operations, which could harm our business. Any claims by third parties that we have misappropriated their confidential information or trade secrets could have a similar negative impact on our business.</w:t>
      </w:r>
    </w:p>
    <w:p>
      <w:pPr>
        <w:spacing w:after="0" w:line="8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 In addition, the uncertainties associated with litigation could compromise our ability to raise the funds necessary to continue our clinical trials, continue our internal research programs or in-license needed technology.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have an adverse effect on the price of our common shares. Such litigation or proceedings could substantially increase our operating losses and reduce the resources available for development activities or any future sales, marketing or distribution activities.</w:t>
      </w:r>
    </w:p>
    <w:p>
      <w:pPr>
        <w:spacing w:after="0" w:line="79"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5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employ individuals who were previously employed at other biotechnology or biopharmaceutical companies, including our competitors or potential competitors. Although we try to ensure that our employees, consultants and advisors do not use the proprietary information or know-how of others in their work for us, we may be subject to claims that we or our employees, consultants, or independent contractors have inadvertently or otherwise used or disclosed intellectual property, including confidential information of our employees’ former employers or other third parties. We may also be subject to claims that former employers or other third parties have an ownership interest in our future patents. Litigation may be necessary to defend against these claims. If we fail in defending any such claims, in addition to paying monetary damages, we may lose valuable intellectual property rights or personnel. There is no guarantee of success in defending these claims, and even if we are successful, litigation could result in substantial cost and be a distraction to our management and other employees.</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future patents and other intellectual property.</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may also be subject to claims that former employees, collaborators, or other third parties have an ownership interest in our patent applications, our future patents issued as a result of our pending or future applications, or other intellectual property. We may be subject to ownership disputes in the future arising, for example, from conflicting obligations of consultants or others who are involved in developing our product candidates. Although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and we cannot be certain that our agreements with such parties will be upheld in the face of a potential challenge, or that they will not be breached, for which we may not have an adequate remedy. The assignment of intellectual property rights may not be self-executing or the assignment agreements may be breached, and</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82" w:name="page83"/>
    <w:bookmarkEnd w:id="82"/>
    <w:p>
      <w:pPr>
        <w:jc w:val="both"/>
        <w:spacing w:after="0" w:line="260" w:lineRule="auto"/>
        <w:rPr>
          <w:sz w:val="20"/>
          <w:szCs w:val="20"/>
          <w:color w:val="auto"/>
        </w:rPr>
      </w:pPr>
      <w:r>
        <w:rPr>
          <w:rFonts w:ascii="Times New Roman" w:cs="Times New Roman" w:eastAsia="Times New Roman" w:hAnsi="Times New Roman"/>
          <w:sz w:val="18"/>
          <w:szCs w:val="18"/>
          <w:color w:val="auto"/>
        </w:rPr>
        <w:t>litigation may be necessary to enforce our rights or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70"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Reliance on third parties requires us to share our trade secrets, which increases the possibility that a competitor will discover them or that our trade secrets will be misappropriated or disclosed.</w:t>
      </w:r>
    </w:p>
    <w:p>
      <w:pPr>
        <w:spacing w:after="0" w:line="5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rely on third parties to manufacture our product candidates, and we collaborate with additional third parties for the development of such product candidates. We therefore must, at times, share trade secrets with them. We may also conduct joint research and development programs that may require us to share trade secrets under the terms of our research and development partnerships or similar agreements.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could have an adverse effect on our business and results of operations.</w:t>
      </w:r>
    </w:p>
    <w:p>
      <w:pPr>
        <w:spacing w:after="0" w:line="8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addition, these agreements typically restrict the ability of our advisors, employees, third-party contractors and consultants to publish data potentially relating to our trade secrets. Despite our efforts to protect our trade secrets, we may not be able to prevent the unauthorized disclosure or use of our technical know-how or other trade secrets by the parties to these agreements. Moreover, we cannot guarantee that we have entered into such agreements with each party that may have or have had access to our confidential information or proprietary technology and processes. Monitoring unauthorized uses and disclosures is difficult, and we do not know whether the steps we have taken to protect our proprietary technologies will be effective. If any of the collaborators, scientific advisors, employees, contractors and consultants who are parties to these agreements breaches or violates the terms of any of these agreements, we may not have adequate remedies for any such breach or violation, and we could lose our trade secrets as a result. Moreover, if confidential information that is licensed or disclosed to us by our partners, collaborators, or others is inadvertently disclosed or subject to a breach or violation, we may be exposed to liability to the owner of that confidential information. Enforcing a claim that a third party illegally obtained and is using our trade secrets, like patent litigation, is expensive and time-consuming, and the outcome is unpredictable. In addition, courts outside the U.S. are sometimes less willing to protect trade secrets.</w:t>
      </w:r>
    </w:p>
    <w:p>
      <w:pPr>
        <w:spacing w:after="0" w:line="77" w:lineRule="exact"/>
        <w:rPr>
          <w:sz w:val="20"/>
          <w:szCs w:val="20"/>
          <w:color w:val="auto"/>
        </w:rPr>
      </w:pPr>
    </w:p>
    <w:p>
      <w:pPr>
        <w:jc w:val="both"/>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enjoy only limited geographical protection with respect to certain patents and we may not be able to protect our intellectual property rights throughout the world.</w:t>
      </w:r>
    </w:p>
    <w:p>
      <w:pPr>
        <w:spacing w:after="0" w:line="5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Filing and prosecuting patent applications and defending patents covering our product candidates in all countries throughout the world would be prohibitively expensive. Competitors may use our technologies in jurisdictions where we or our licensors have not obtained patent protection to develop their own products and, further, may export otherwise infringing products to territories where we or our licensors have patent protection, but enforcement rights are not as strong as those in the U.S. or Europe. These products may compete with our product candidates, and our future patents or other intellectual property rights may not be effective or sufficient to prevent them from competing. Additionally, unforeseen global events such as the conflict between Russia and Ukraine, and sanctions relating to these events could affect our ability to file, prosecute, and defend patents and patent applications in those jurisdictions.</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Further, legal or regulatory action by various stakeholders or governments could potentially result in us not seeking intellectual property protection for or agreeing not to enforce or being restricted from enforcing intellectual property related to our products. Discussions are ongoing at the World Trade Organization (the “WTO”) regarding the role of intellectual property in the context of the COVID-19 pandemic response. This includes a proposal that would release WTO members from their obligation under the WTO Agreement on Trade Related Aspects of Intellectual Property Rights to grant and enforce various types of intellectual property protection on health products and technology in relation to the treatment of COVID-19.</w:t>
      </w:r>
    </w:p>
    <w:p>
      <w:pPr>
        <w:spacing w:after="0" w:line="74"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In addition, we or our licensors may decide to abandon national and regional patent applications before they are granted. The examination of each national or regional patent application is an independent proceeding. As a result, patent applications in the same family may issue as patents in some jurisdictions, such as in the U.S., but may issue as patents with claims of different scope or may even be refused in other jurisdictions. It is also quite common that depending on the country, the scope of patent protection may vary for the same product candidate or technology.</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83" w:name="page84"/>
    <w:bookmarkEnd w:id="83"/>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 If we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w:t>
      </w:r>
    </w:p>
    <w:p>
      <w:pPr>
        <w:spacing w:after="0" w:line="7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laws of some jurisdictions do not protect intellectual property rights to the same extent as the laws or rules and regulations in the U.S. and Europe and many companies have encountered significant difficulties in protecting and defending such rights in such jurisdictions. The legal systems of certain countries, particularly certain developing countries, do not favor the enforcement of patents, trade secrets, and other intellectual property rights, especially those relating to life sciences, which could make it difficult for us to stop the infringement, misappropriation or other violation of our future patents or marketing of competing products in violation of our proprietary rights generally. For example, many countries limit the enforceability of patents against third parties, including government agencies or government contractors. In these countries, patents may provide limited or no benefit. Moreover, our and our licensors’ ability to protect and enforce our intellectual property rights may be adversely affected by unforeseen changes in foreign intellectual property laws.</w:t>
      </w:r>
    </w:p>
    <w:p>
      <w:pPr>
        <w:spacing w:after="0" w:line="8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Proceedings to enforce our or our licensors’ patent rights in other jurisdictions, whether or not successful, could result in substantial costs and divert our efforts and attention from other aspects of our business, could put our future patents or the patents of our licensors at risk of being invalidated or interpreted narrowly and our patent applications or the patent applications of our licensors at risk of not issuing as patents, and could provoke third parties to assert claims against us. We and our licensors may not prevail in any lawsuits that we or our licensors initiate and the damages or other remedies awarded, if any, may not be commercially meaningful. Furthermore, while we intend to protect our intellectual property rights in our expected significant markets, we cannot ensure that we will be able to initiate or maintain similar efforts in all jurisdictions in which we may wish to market our product candidates. Accordingly, our efforts to enforce our intellectual property rights around the world may be inadequate to obtain a significant commercial advantage from the intellectual property that we develop or license from third parties.</w:t>
      </w:r>
    </w:p>
    <w:p>
      <w:pPr>
        <w:spacing w:after="0" w:line="8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Some countries also have compulsory licensing laws under which a patent owner may be compelled to grant licenses to third parties. As a result, in response to the COVID-19 pandemic, it is possible that certain countries may take steps to facilitate compulsory licenses that permit the distribution of a COVID-19 therapeutic in those countries. In addition, some countries limit the enforceability of patents against government agencies or government contractors. In those countries, the patent owner may have limited remedies, which could materially diminish the value of such patents. If we or our licensors are forced to grant a license to third parties with respect to any patents relevant to our business, our competitive position may be impaired and our business, financial condition, results of operations and prospects may be adversely affected.</w:t>
      </w:r>
    </w:p>
    <w:p>
      <w:pPr>
        <w:spacing w:after="0" w:line="78" w:lineRule="exact"/>
        <w:rPr>
          <w:sz w:val="20"/>
          <w:szCs w:val="20"/>
          <w:color w:val="auto"/>
        </w:rPr>
      </w:pPr>
    </w:p>
    <w:p>
      <w:pPr>
        <w:jc w:val="both"/>
        <w:ind w:right="20" w:firstLine="509"/>
        <w:spacing w:after="0" w:line="265" w:lineRule="auto"/>
        <w:rPr>
          <w:sz w:val="20"/>
          <w:szCs w:val="20"/>
          <w:color w:val="auto"/>
        </w:rPr>
      </w:pPr>
      <w:r>
        <w:rPr>
          <w:rFonts w:ascii="Times New Roman" w:cs="Times New Roman" w:eastAsia="Times New Roman" w:hAnsi="Times New Roman"/>
          <w:sz w:val="18"/>
          <w:szCs w:val="18"/>
          <w:color w:val="auto"/>
        </w:rPr>
        <w:t>For example, our license agreement with Biocon pursuant to which we will provide Biocon materials and know-how to manufacture and commercialize an antibody treatment based on adintrevimab in India and select emerging markets may also expose us to risks related to enforcement of our intellectual property rights.</w:t>
      </w:r>
    </w:p>
    <w:p>
      <w:pPr>
        <w:spacing w:after="0" w:line="65"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6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 fees on patents and/or applications will be due to be paid to the USPTO and various government patent agencies outside of the U.S. over the lifetime of our owned and licensed patents and/or applications and any patent rights we may obtain in the future. Furthermore, the USPTO and various non-U.S. government patent agencies require compliance with several procedural, documentary, fee payment and other similar provisions during the patent application process. We employ reputable law firms and other professionals and rely on such third parties to help us comply with these requirements and effect payment of these fees with respect to the patent and patent applications that we own, and we rely upon our licensors to comply with these requirements and effect payment of these fees with respect to any patents and patent applications that we license. In many cases, an inadvertent lapse of a patent or patent application can be cured by payment of a late fee or by other means in accordance with the applicable rules. There are situations, however, in which non-compliance can result in abandonment or lapse of the patents or patent applications, resulting in partial or complete loss of patent rights in the relevant jurisdiction.</w:t>
      </w:r>
    </w:p>
    <w:p>
      <w:pPr>
        <w:spacing w:after="0" w:line="74"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trademarks we have obtained or may obtain may be infringed or otherwise violated, or successfully challenged, resulting in harm to our business.</w:t>
      </w:r>
    </w:p>
    <w:p>
      <w:pPr>
        <w:spacing w:after="0" w:line="50" w:lineRule="exact"/>
        <w:rPr>
          <w:sz w:val="20"/>
          <w:szCs w:val="20"/>
          <w:color w:val="auto"/>
        </w:rPr>
      </w:pPr>
    </w:p>
    <w:p>
      <w:pPr>
        <w:jc w:val="both"/>
        <w:ind w:right="20" w:firstLine="509"/>
        <w:spacing w:after="0" w:line="281" w:lineRule="auto"/>
        <w:rPr>
          <w:sz w:val="20"/>
          <w:szCs w:val="20"/>
          <w:color w:val="auto"/>
        </w:rPr>
      </w:pPr>
      <w:r>
        <w:rPr>
          <w:rFonts w:ascii="Times New Roman" w:cs="Times New Roman" w:eastAsia="Times New Roman" w:hAnsi="Times New Roman"/>
          <w:sz w:val="18"/>
          <w:szCs w:val="18"/>
          <w:color w:val="auto"/>
        </w:rPr>
        <w:t>We expect to rely on trademarks as one means to distinguish our product candidates, if approved for marketing, from the drugs of our competitors. We also expect to rely on trademarks to protect our company name. Once we select new trademarks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84" w:name="page85"/>
    <w:bookmarkEnd w:id="84"/>
    <w:p>
      <w:pPr>
        <w:jc w:val="both"/>
        <w:spacing w:after="0" w:line="254" w:lineRule="auto"/>
        <w:rPr>
          <w:sz w:val="20"/>
          <w:szCs w:val="20"/>
          <w:color w:val="auto"/>
        </w:rPr>
      </w:pPr>
      <w:r>
        <w:rPr>
          <w:rFonts w:ascii="Times New Roman" w:cs="Times New Roman" w:eastAsia="Times New Roman" w:hAnsi="Times New Roman"/>
          <w:sz w:val="18"/>
          <w:szCs w:val="18"/>
          <w:color w:val="auto"/>
        </w:rPr>
        <w:t>and apply to register them, our trademark applications may not be approved. Although we would be given an opportunity to respond to those rejections, we may be unable to overcome such rejections. We currently have trademark applications pending in the U.S. and in certain foreign jurisdictions, but we have no issued trademark registrations in the U.S. Third parties may oppose or attempt to cancel our trademark applications or trademarks, or otherwise challenge our use of the trademarks. In October 2023, Ipsen Biopharm, LTD and its affiliates filed oppositions against our trademark applications for INVIVYD in the USPTO based on Ipsen’s registered trademark for the oncology drug ONIVYDE. Prior to that, in July 2023, Ipsen and its licensee Les Laboratoires Servier filed oppositions against our trademark applications for INVIVYD in Switzerland, United Kingdom, European Union, and Australia, likewise based on ONIVYDE. As of November 1, 2023, action has been suspended in all proceedings to allow for settlement negotiations. The outcome of these settlement negotiations or, in the alternative, the opposition proceedings, is uncertain.</w:t>
      </w:r>
    </w:p>
    <w:p>
      <w:pPr>
        <w:spacing w:after="0" w:line="8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If we are found to infringe the trademark rights of Ipsen, its licensee, or another third party, we could be forced to rebrand our company or our drugs, which could result in loss of brand recognition and could require us to devote resources to advertising and marketing new brands. In the event such infringement is found to have caused commercial harm, we could be found liable for substantial monetary damages, potentially including treble damages and attorneys’ fees, if we are found to have willfully infringed the trademark at issue. Our competitors may infringe or otherwise violate our trademarks and we may not have adequate resources to enforce our trademarks. Over the long term, if we are unable to establish name recognition based on our trademarks, then we may not be able to compete effectively, and our competitive position, business, financial condition, results of operations and prospects may be significantly harmed. Moreover, any name we propose to use with our product candidates in the U.S. must be approved by the FDA, regardless of whether we have registered it, or applied to register it, as a trademark. The FDA typically conducts a review of proposed product names, including an evaluation of potential for confusion with other product names. If the FDA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 Any of the foregoing events may have a material adverse effect on our business.</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competitive advantage.</w:t>
      </w:r>
    </w:p>
    <w:p>
      <w:pPr>
        <w:spacing w:after="0" w:line="121" w:lineRule="exact"/>
        <w:rPr>
          <w:sz w:val="20"/>
          <w:szCs w:val="20"/>
          <w:color w:val="auto"/>
        </w:rPr>
      </w:pPr>
    </w:p>
    <w:p>
      <w:pPr>
        <w:jc w:val="both"/>
        <w:ind w:right="20" w:firstLine="509"/>
        <w:spacing w:after="0" w:line="281"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55" w:lineRule="exact"/>
        <w:rPr>
          <w:sz w:val="20"/>
          <w:szCs w:val="20"/>
          <w:color w:val="auto"/>
        </w:rPr>
      </w:pPr>
    </w:p>
    <w:p>
      <w:pPr>
        <w:ind w:left="1140" w:hanging="504"/>
        <w:spacing w:after="0" w:line="281" w:lineRule="auto"/>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or otherwise competitive with our product candidates but that are not covered by the claims of any of our patents, should they issue;</w:t>
      </w:r>
    </w:p>
    <w:p>
      <w:pPr>
        <w:spacing w:after="0" w:line="54" w:lineRule="exact"/>
        <w:rPr>
          <w:rFonts w:ascii="Times New Roman" w:cs="Times New Roman" w:eastAsia="Times New Roman" w:hAnsi="Times New Roman"/>
          <w:sz w:val="18"/>
          <w:szCs w:val="18"/>
          <w:color w:val="auto"/>
        </w:rPr>
      </w:pPr>
    </w:p>
    <w:p>
      <w:pPr>
        <w:ind w:left="1140" w:right="20" w:hanging="504"/>
        <w:spacing w:after="0" w:line="281" w:lineRule="auto"/>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in-license necessary for the manufacture, use, sale, offer for sale or importation of one or more of our product candidates may be terminated by the licensor;</w:t>
      </w:r>
    </w:p>
    <w:p>
      <w:pPr>
        <w:spacing w:after="0" w:line="54" w:lineRule="exact"/>
        <w:rPr>
          <w:rFonts w:ascii="Times New Roman" w:cs="Times New Roman" w:eastAsia="Times New Roman" w:hAnsi="Times New Roman"/>
          <w:sz w:val="18"/>
          <w:szCs w:val="18"/>
          <w:color w:val="auto"/>
        </w:rPr>
      </w:pPr>
    </w:p>
    <w:p>
      <w:pPr>
        <w:ind w:left="1140" w:hanging="504"/>
        <w:spacing w:after="0" w:line="281" w:lineRule="auto"/>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collaborators might not have been the first to make the inventions covered by our future issued patents or our pending patent applications;</w:t>
      </w:r>
    </w:p>
    <w:p>
      <w:pPr>
        <w:spacing w:after="0" w:line="54"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collaborators might not have been the first to file patent applications covering certain of our inventions;</w:t>
      </w:r>
    </w:p>
    <w:p>
      <w:pPr>
        <w:spacing w:after="0" w:line="116" w:lineRule="exact"/>
        <w:rPr>
          <w:rFonts w:ascii="Times New Roman" w:cs="Times New Roman" w:eastAsia="Times New Roman" w:hAnsi="Times New Roman"/>
          <w:sz w:val="18"/>
          <w:szCs w:val="18"/>
          <w:color w:val="auto"/>
        </w:rPr>
      </w:pPr>
    </w:p>
    <w:p>
      <w:pPr>
        <w:ind w:left="1140" w:right="20" w:hanging="504"/>
        <w:spacing w:after="0" w:line="281" w:lineRule="auto"/>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misappropriating or otherwise violating our intellectual property rights;</w:t>
      </w:r>
    </w:p>
    <w:p>
      <w:pPr>
        <w:spacing w:after="0" w:line="54"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lead to issued patents;</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in-license may be held invalid or unenforceable as a result of legal challenges by our competitors;</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in-license may not provide coverage for all aspects of our product candidates in all countries;</w:t>
      </w:r>
    </w:p>
    <w:p>
      <w:pPr>
        <w:spacing w:after="0" w:line="116" w:lineRule="exact"/>
        <w:rPr>
          <w:rFonts w:ascii="Times New Roman" w:cs="Times New Roman" w:eastAsia="Times New Roman" w:hAnsi="Times New Roman"/>
          <w:sz w:val="18"/>
          <w:szCs w:val="18"/>
          <w:color w:val="auto"/>
        </w:rPr>
      </w:pPr>
    </w:p>
    <w:p>
      <w:pPr>
        <w:jc w:val="both"/>
        <w:ind w:left="1140" w:hanging="504"/>
        <w:spacing w:after="0" w:line="265" w:lineRule="auto"/>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the U.S. and other countries that provide a safe harbor from patent infringement claims for certain research and development activities, as well as in countries where we do not have patent rights and then use the information learned from such activities to develop competitive products for sale in our major commercial markets;</w:t>
      </w:r>
    </w:p>
    <w:p>
      <w:pPr>
        <w:spacing w:after="0" w:line="69"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 and</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results of operations and prospects.</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Risks Related to Legal and Regulatory Compliance Matters</w:t>
      </w:r>
    </w:p>
    <w:p>
      <w:pPr>
        <w:spacing w:after="0" w:line="117"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received an EUA for PEMGARDA, which the FDA would be required to revoke if HHS determines that emergency use is no longer warranted, which would adversely impact our ability to market PEMGARDA in the United States.</w:t>
      </w:r>
    </w:p>
    <w:p>
      <w:pPr>
        <w:spacing w:after="0" w:line="5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FDA has the authority to grant an EUA to allow unapproved medical products to be used in an emergency to diagnose, treat or prevent serious or life-threatening diseases or conditions when there are no adequate, approved and available alternatives. On March 22, 2024, we received an EUA from the FDA for PEMGARDA for the pre-exposure prophylaxis (prevention) of COVID-19 in adults and adolescents (12 years of age and older weighing at least 40 kg) who have moderate-to-severe immune compromise due to certain medical conditions or receipt of certain immunosuppressive medications or treatments and are unlikely to mount an adequate immune response to COVID-19 vaccination. Recipients should not be currently infected with or have had a known recent exposure to an individual infected with SARS-CoV-2.</w:t>
      </w:r>
    </w:p>
    <w:p>
      <w:pPr>
        <w:spacing w:after="0" w:line="7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emergency use of PEMGARDA is only authorized for the duration of the declaration that circumstances exist justifying the authorization of the emergency use of drugs and biological products during the COVID-19 pandemic under Section 564(b)(1) of the FDCA, unless the declaration is terminated or authorization revoked sooner. Because the FDA is required to revoke an EUA if HHS determines that emergency use is no longer warranted, we cannot predict how long our EUA for PEMGARDA will remain in place. If the FDA terminates or revokes our EUA for PEMGARDA prior to us having pursued and received regulatory approval to commercialize PEMGARDA through a traditional approval pathway, we would be required to cease our commercialization efforts, which would substantially and negatively impact our business.</w:t>
      </w:r>
    </w:p>
    <w:p>
      <w:pPr>
        <w:spacing w:after="0" w:line="74"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healthcare providers, including physicians, and third-party payors are subject, directly or indirectly, to federal and state healthcare fraud and abuse laws, false claims laws, and other healthcare laws and regulations. If we are unable to comply, or have not fully complied, with such laws, we could face substantial penalties.</w:t>
      </w:r>
    </w:p>
    <w:p>
      <w:pPr>
        <w:spacing w:after="0" w:line="6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Healthcare providers, including physicians, and third-party payors in the U.S. and elsewhere will play a primary role in the recommendation and prescription of any product candidates for which we obtain marketing approval. Our current and future arrangements with healthcare professionals, principal investigators, consultants, customers and third-party payors subject us to various federal and state fraud and abuse laws and other healthcare laws, including, without limitation, the federal Anti-Kickback Statute, the federal civil and criminal false claims laws, the Physician Payments Sunshine Act and regulations promulgated under such laws. These laws will impact, among other things, our clinical research, proposed sales, marketing and educational programs, and other interactions with healthcare professionals. In addition, we may be subject to patient privacy laws by both the federal government and the states in which we conduct or may conduct our business. The laws that will affect our operations include, but are not limited to:</w:t>
      </w:r>
    </w:p>
    <w:p>
      <w:pPr>
        <w:spacing w:after="0" w:line="79" w:lineRule="exact"/>
        <w:rPr>
          <w:sz w:val="20"/>
          <w:szCs w:val="20"/>
          <w:color w:val="auto"/>
        </w:rPr>
      </w:pPr>
    </w:p>
    <w:p>
      <w:pPr>
        <w:jc w:val="both"/>
        <w:ind w:left="1140" w:hanging="504"/>
        <w:spacing w:after="0" w:line="270" w:lineRule="auto"/>
        <w:tabs>
          <w:tab w:leader="none" w:pos="114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Anti-Kickback Statute, which prohibits, among other things, individuals or entities from knowingly and willfully soliciting, receiving, offering or paying any remuneration (including any kickback, bribe or rebate), directly or indirectly, overtly or covertly, in cash or in kind in return for, or to induce, either the referral of an individual, or the purchase, lease, order or arrangement for or recommendation of the purchase, lease, order or arrangement for any good, facility, item or service for which payment may be made, in whole or in part, under a federal healthcare program, such as the Medicare and Medicaid programs. The term “remuneration” has been broadly interpreted to include anything of value.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qualify for an exception or safe harbor. A person does not need to have actual knowledge of this statute or specific intent to violate it in order to have committed a violation;</w:t>
      </w:r>
    </w:p>
    <w:p>
      <w:pPr>
        <w:spacing w:after="0" w:line="70" w:lineRule="exact"/>
        <w:rPr>
          <w:rFonts w:ascii="Times New Roman" w:cs="Times New Roman" w:eastAsia="Times New Roman" w:hAnsi="Times New Roman"/>
          <w:sz w:val="17"/>
          <w:szCs w:val="17"/>
          <w:color w:val="auto"/>
        </w:rPr>
      </w:pPr>
    </w:p>
    <w:p>
      <w:pPr>
        <w:jc w:val="both"/>
        <w:ind w:left="1140" w:hanging="504"/>
        <w:spacing w:after="0" w:line="253" w:lineRule="auto"/>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False Claims Act, which can be enforced by private citizens through civil whistleblower or qui tam actions, and which prohibits, among other things, individuals or entities from knowingly presenting, or causing to be presented, claims for payment of government funds, including from Medicare, Medicaid and other government payors, that are false or fraudulent, or knowingly making, using or causing to be made or used a false record or statement material to a false or fraudulent claim or to avoid, decrease or conceal an obligation to pay money to the federal government. A claim includes “any request or demand” for money or property presented to the U.S. federal government. Several pharmaceutical and other healthcare companies have been investigated and have reached substantial financial settlements with the federal government under the civil False Claims Act for allegedly providing free product to customers with the expectation that the customers would bill federal programs for the product. The government may deem companies to have “caused” the submission of false or fraudulent claims by, for example, because of the companies’ marketing of products for unapproved, and thus non-reimbursable, uses. In addition, the government may assert that a claim, including items or services resulting from a violation of the federal Anti-Kickback Statute constitutes a false or fraudulent claim for purposes of the federal False Claims Act;</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86" w:name="page87"/>
    <w:bookmarkEnd w:id="86"/>
    <w:p>
      <w:pPr>
        <w:jc w:val="both"/>
        <w:ind w:left="1140" w:hanging="504"/>
        <w:spacing w:after="0" w:line="255" w:lineRule="auto"/>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and their implementing regulations, also imposes obligations, including mandatory contractual terms, on “covered entities,” including certain healthcare providers, health plans, healthcare clearinghouses, and their respective “business associates,” that create, receive, maintain or transmit individually identifiable health information for or on behalf of a covered entity as well as their covered subcontractors, with respect to safeguarding the privacy, security and transmission of individually identifiable health information, as well as analogous state and foreign laws that govern the privacy and security of health information in some circumstances, many of which differ from each other in significant ways and often are not preempted by HIPAA, thus complicating compliance efforts;</w:t>
      </w:r>
    </w:p>
    <w:p>
      <w:pPr>
        <w:spacing w:after="0" w:line="78" w:lineRule="exact"/>
        <w:rPr>
          <w:rFonts w:ascii="Times New Roman" w:cs="Times New Roman" w:eastAsia="Times New Roman" w:hAnsi="Times New Roman"/>
          <w:sz w:val="18"/>
          <w:szCs w:val="18"/>
          <w:color w:val="auto"/>
        </w:rPr>
      </w:pPr>
    </w:p>
    <w:p>
      <w:pPr>
        <w:jc w:val="both"/>
        <w:ind w:left="1140" w:hanging="504"/>
        <w:spacing w:after="0" w:line="256" w:lineRule="auto"/>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created additional federal criminal statutes which prohibit, among other things, a person from knowingly and willfully executing, or attempting to execute,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77" w:lineRule="exact"/>
        <w:rPr>
          <w:rFonts w:ascii="Times New Roman" w:cs="Times New Roman" w:eastAsia="Times New Roman" w:hAnsi="Times New Roman"/>
          <w:sz w:val="18"/>
          <w:szCs w:val="18"/>
          <w:color w:val="auto"/>
        </w:rPr>
      </w:pPr>
    </w:p>
    <w:p>
      <w:pPr>
        <w:jc w:val="both"/>
        <w:ind w:left="1140" w:hanging="504"/>
        <w:spacing w:after="0" w:line="256" w:lineRule="auto"/>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laws, including the federal Physician Payments Sunshine Act, which requires certain manufacturers of drugs, medical devices, biologicals and medical supplies for which payment is available under Medicare, Medicaid or the State Children’s Health Insurance Program, with specific exceptions, to report annually to CMS, information related to: (i) payments or other “transfers of value’’ made to physicians (defined to include doctors, dentists, optometrists, podiatrists and chiropractors), other healthcare professionals (such as physician assistants and nurse practitioners) and teaching hospitals, and (ii) ownership and investment interests held by physicians and their immediate family members; and</w:t>
      </w:r>
    </w:p>
    <w:p>
      <w:pPr>
        <w:spacing w:after="0" w:line="77" w:lineRule="exact"/>
        <w:rPr>
          <w:rFonts w:ascii="Times New Roman" w:cs="Times New Roman" w:eastAsia="Times New Roman" w:hAnsi="Times New Roman"/>
          <w:sz w:val="18"/>
          <w:szCs w:val="18"/>
          <w:color w:val="auto"/>
        </w:rPr>
      </w:pPr>
    </w:p>
    <w:p>
      <w:pPr>
        <w:jc w:val="both"/>
        <w:ind w:left="1140" w:hanging="504"/>
        <w:spacing w:after="0" w:line="258" w:lineRule="auto"/>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state laws that require manufacturers to report information related to payments and other transfers of value to physicians and other healthcare providers, marketing expenditures or drug pricing; state laws that require pharmaceutical companies to comply with the pharmaceutical industry’s voluntary compliance guidelines and the relevant compliance guidance promulgated by the federal government, or that otherwise restrict payments that may be made to healthcare providers; and state and local laws that require the registration of pharmaceutical sales representatives.</w:t>
      </w:r>
    </w:p>
    <w:p>
      <w:pPr>
        <w:spacing w:after="0" w:line="7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regulatory safe harbors available, it is possible that some of our business activities could be subject to challenge under one or more of such laws.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without limitation, civil, criminal and administrative penalties, damages, fines, disgorgement, imprisonment, exclusion from participating in federal and state funded healthcare programs, such as Medicare and Medicaid, additional reporting requirements and oversight if we become subject to a corporate integrity agreement or similar agreement to resolve allegations of non-compliance with these laws, contractual damages, diminished profits and future earnings, reputational harm and the curtailment or restructuring of our operations, any of which could harm our business.</w:t>
      </w:r>
    </w:p>
    <w:p>
      <w:pPr>
        <w:spacing w:after="0" w:line="7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risk of our being found in violation of these laws is increased by the fact that many of them have not been fully interpreted by the regulatory authorities or the courts, and their provisions are open to a variety of interpretations. Efforts to ensure that our business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and/or reporting requirements increases the possibility that a healthcare company may run afoul of one or more of the requirements.</w:t>
      </w:r>
    </w:p>
    <w:p>
      <w:pPr>
        <w:spacing w:after="0" w:line="74"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regulatory authorization or approval for a product candidate, such products will remain subject to ongoing regulatory oversight, which may result in significant additional expense.</w:t>
      </w:r>
    </w:p>
    <w:p>
      <w:pPr>
        <w:spacing w:after="0" w:line="5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Even if we obtain any regulatory authorization or approval for our product candidates, such as PEMGARDA, which received an EUA from the FDA in March 2024, they will be subject to ongoing regulatory requirements applicable to manufacturing, labeling, packaging, storage, advertising, promoting, sampling, record-keeping and submission of safety and other post-market information, among other things. For example, we will be required to immediately report any serious and unexpected adverse events and certain quality or production problems with our authorized or approved products to regulatory authorities along with other periodic reports. Any regulatory approvals that we receive for a product candidate may also be subject to a REMS, limitations on the approved indicated uses for which the drug may be marketed or to the conditions of</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87" w:name="page88"/>
    <w:bookmarkEnd w:id="87"/>
    <w:p>
      <w:pPr>
        <w:jc w:val="both"/>
        <w:spacing w:after="0" w:line="258" w:lineRule="auto"/>
        <w:rPr>
          <w:sz w:val="20"/>
          <w:szCs w:val="20"/>
          <w:color w:val="auto"/>
        </w:rPr>
      </w:pPr>
      <w:r>
        <w:rPr>
          <w:rFonts w:ascii="Times New Roman" w:cs="Times New Roman" w:eastAsia="Times New Roman" w:hAnsi="Times New Roman"/>
          <w:sz w:val="18"/>
          <w:szCs w:val="18"/>
          <w:color w:val="auto"/>
        </w:rPr>
        <w:t>approval, or requirements that we conduct potentially costly post-marketing testing and surveillance studies, including Phase 4 trials and surveillance to monitor the quality, safety and efficacy of the drug. An unsuccessful post-marketing study or failure to complete such a study could result in the withdrawal of marketing approval. Additionally, the FDA has expected that companies that receive an EUA for COVID-19 antibodies will proceed to licensure of their products under a BLA, which, if required of us by the FDA with respect to any product candidate for which we receive an EUA, would be time-consuming and expensive.</w:t>
      </w:r>
    </w:p>
    <w:p>
      <w:pPr>
        <w:spacing w:after="0" w:line="74"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Any new legislation addressing drug safety issues could result in delays in product development or commercialization, or increased costs to assure compliance. We will also have to comply with requirements concerning advertising and promotion for our products, including any limitations on advertising and promotion for a product authorized under an EUA, such as PEMGARDA. Promotional communications with respect to prescription drug products are subject to a variety of legal and regulatory restrictions and must be consistent with the information in the product’s approved label. As such, we will not be allowed to promote our products for indications or uses for which they do not have authorization or approval, commonly known as off-label promotion. If one or more of our products were granted an EUA, such as PEMGARDA, there are additional limitations the FDA places upon manufacturers as to promotional communications and conditions the FDA imposes on manufacturers as to permissible form and substance and process for regulatory submission of promotional communications, which conditions are subject to change. If an EUA is granted, we will rely on the FDA or other applicable regulatory authority policies and guidance governing products authorized in this manner in connection with the marketing and sale of our product. If these policies and guidance change unexpectedly and/or materially or if we misinterpret them, potential sales of our product could be adversely impacted. Furthermore, the FDA may terminate an EUA, including our EUA for PEMGARDA, if safety issues or other concerns about our product, such as loss of neutralizing activity against dominant circulating SARS-CoV-2 variants, arise or if we fail to comply with the conditions of authorization. The holder of an approved BLA must submit new or supplemental applications and obtain prior approval for certain changes to the approved product, product labeling, or manufacturing process. A company that is found to have improperly promoted off-label uses of their products may be subject to significant civil, criminal and administrative penalties.</w:t>
      </w:r>
    </w:p>
    <w:p>
      <w:pPr>
        <w:spacing w:after="0" w:line="8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addition, drug manufacturers are subject to payment of user fees and continual review and periodic inspections by the FDA and other regulatory authorities for compliance with cGMP requirements and adherence to commitments made in an EUA, BLA or foreign marketing application. We need to monitor adverse events resulting from the use of our products candidates, as do the regulatory authorities, and we file periodic reports with the authorities concerning adverse events. The FDA, the competent authorities of the European Union Member States on behalf of the EMA, and the competent authorities of other European countries also periodically inspect records related to safety reporting. The EMA’s Pharmacovigilance Risk Assessment Committee may propose to the Committee for Medicinal Products for Human Use that a marketing authorization holder be required to take specific steps or advise that the existing marketing authorization be varied, suspended or revoked. If we, or a regulatory authority, discover previously unknown problems with a drug, such as adverse events of unanticipated severity or frequency, or problems with the facility where the drug is manufactured or if a regulatory authority disagrees with the promotion, marketing or labeling of that drug, a regulatory authority may impose restrictions relative to that drug, the manufacturing facility or us, including requesting a recall or requiring variation, suspension or withdrawal of marketing authorization, or suspension of manufacturing, or imposition of financial penalties or other enforcement measures.</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we fail to comply with applicable regulatory requirements following authorization or approval of a product candidate, a regulatory authority may:</w:t>
      </w:r>
    </w:p>
    <w:p>
      <w:pPr>
        <w:spacing w:after="0" w:line="117" w:lineRule="exact"/>
        <w:rPr>
          <w:sz w:val="20"/>
          <w:szCs w:val="20"/>
          <w:color w:val="auto"/>
        </w:rPr>
      </w:pPr>
    </w:p>
    <w:p>
      <w:pPr>
        <w:ind w:left="1140" w:hanging="504"/>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an untitled letter or warning letter asserting that we are in violation of the law;</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 injunction or impose administrative, civil or criminal penalties or monetary fines;</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withdraw regulatory authorization or approval;</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ongoing clinical trials;</w:t>
      </w:r>
    </w:p>
    <w:p>
      <w:pPr>
        <w:spacing w:after="0" w:line="116" w:lineRule="exact"/>
        <w:rPr>
          <w:rFonts w:ascii="Times New Roman" w:cs="Times New Roman" w:eastAsia="Times New Roman" w:hAnsi="Times New Roman"/>
          <w:sz w:val="18"/>
          <w:szCs w:val="18"/>
          <w:color w:val="auto"/>
        </w:rPr>
      </w:pPr>
    </w:p>
    <w:p>
      <w:pPr>
        <w:ind w:left="1140" w:hanging="504"/>
        <w:spacing w:after="0" w:line="281" w:lineRule="auto"/>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a pending marketing application or supplement to an approved application or comparable foreign marketing application (or any supplements thereto) submitted by us or our strategic partners;</w:t>
      </w:r>
    </w:p>
    <w:p>
      <w:pPr>
        <w:spacing w:after="0" w:line="54"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the marketing or manufacturing of the drug;</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the drug or otherwise require the withdrawal of the drug from the market;</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permit the import or export of products or product candidates; or</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allow us to enter into supply contracts, including government contracts.</w:t>
      </w:r>
    </w:p>
    <w:p>
      <w:pPr>
        <w:spacing w:after="0" w:line="117"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88" w:name="page89"/>
    <w:bookmarkEnd w:id="88"/>
    <w:p>
      <w:pPr>
        <w:jc w:val="both"/>
        <w:spacing w:after="0" w:line="281" w:lineRule="auto"/>
        <w:rPr>
          <w:sz w:val="20"/>
          <w:szCs w:val="20"/>
          <w:color w:val="auto"/>
        </w:rPr>
      </w:pPr>
      <w:r>
        <w:rPr>
          <w:rFonts w:ascii="Times New Roman" w:cs="Times New Roman" w:eastAsia="Times New Roman" w:hAnsi="Times New Roman"/>
          <w:sz w:val="18"/>
          <w:szCs w:val="18"/>
          <w:color w:val="auto"/>
        </w:rPr>
        <w:t>to successfully commercialize PEMGARDA or any future product candidates and harm our business, financial condition, results of operations and prospects.</w:t>
      </w:r>
    </w:p>
    <w:p>
      <w:pPr>
        <w:spacing w:after="0" w:line="51"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Despite obtaining authorization under an EUA for PEMGARDA in the U.S., we may never obtain authorization or approval for or commercialize PEMGARDA or any other product candidate in any other jurisdiction, which would limit our ability to realize any of their full market potential.</w:t>
      </w:r>
    </w:p>
    <w:p>
      <w:pPr>
        <w:spacing w:after="0" w:line="66"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In order to market any products in any particular jurisdiction, we must establish and comply with numerous and varying regulatory requirements on a country-by-country basis regarding safety and efficacy. In addition, in order to distribute PEMGARDA or any other product candidates, if authorized or approved, we will need to secure and maintain required state licenses.</w:t>
      </w:r>
    </w:p>
    <w:p>
      <w:pPr>
        <w:spacing w:after="0" w:line="69"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Authorization or approval by the FDA in the U.S. does not ensure authorization or approval by regulatory authorities in other countries or jurisdictions. However, the failure to obtain authorization or approval in one jurisdiction may negatively impact our ability to obtain authorization or approval elsewhere. In addition, clinical trials conducted in one country may not be accepted by regulatory authorities in other countries.</w:t>
      </w:r>
    </w:p>
    <w:p>
      <w:pPr>
        <w:spacing w:after="0" w:line="6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Authorization and approval processes vary among countries and can involve additional product testing and validation and additional administrative review periods. Seeking foreign regulatory authorization or approval could result in difficulties and increased costs for us and require additional preclinical studies or clinical trials which could be costly and time consuming. Regulatory requirements can vary widely from country to country and could delay or prevent the introduction of our products in those countries. We do not have any product candidates authorized or approved for sale in any jurisdiction other than PEMGARDA in the U.S. under an EUA, including in international markets, and we do not have experience in obtaining regulatory authorization or approval in international markets. If we fail to comply with regulatory requirements in international markets or to obtain and maintain required authorizations or approvals, or if regulatory authorizations or approvals in international markets are delayed, our market opportunity will be reduced and our ability to realize the full market potential of any product we develop will be unrealized.</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or regulatory reform measures may have a negative impact on our business and results of operations.</w:t>
      </w:r>
    </w:p>
    <w:p>
      <w:pPr>
        <w:spacing w:after="0" w:line="121"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In the U.S. and some foreign jurisdictions, there have been, and continue to be, several legislative and regulatory changes and proposed changes regarding the healthcare system that could prevent or delay regulatory authorization or approval of product candidates, restrict or regulate post-authorization or post-approval activities, and affect our ability to profitably sell any product candidates for which we obtain regulatory authorization or approval.</w:t>
      </w:r>
    </w:p>
    <w:p>
      <w:pPr>
        <w:spacing w:after="0" w:line="7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Among policy makers and payors in the U.S. and elsewhere, there is significant interest in promoting changes in healthcare systems with the stated goals of containing healthcare costs, improving quality and/or expanding access. In the U.S., the pharmaceutical industry has been a particular focus of these efforts and has been significantly affected by major legislative initiatives. The ACA substantially changed the way healthcare is financed by both the government and private insurers and significantly impacts the U.S. pharmaceutical industry. The ACA, among other things contains a number of provisions of particular import to the pharmaceutical and biotechnology industries, including, but not limited to, those governing enrollment in federal healthcare programs, a new methodology by which rebates owed by manufacturers under the Medicaid Drug Rebate Program are calculated for drugs that are inhaled, infused, instilled, implanted or injected, and annual fees based on pharmaceutical companies’ share of sales to federal healthcare programs.</w:t>
      </w:r>
    </w:p>
    <w:p>
      <w:pPr>
        <w:spacing w:after="0" w:line="7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There have been judicial and congressional challenges to certain aspects of the ACA and its implementing regulations as well as efforts to modify them or alter their interpretation or implementation. While the U.S. Congress has not passed comprehensive repeal legislation, several bills affecting the implementation of certain taxes under the ACA have been signed into law. The Tax Act included a provision that repealed the tax-based shared responsibility payment imposed by the ACA on certain individuals who fail to maintain qualifying health coverage for all or part of a year that is commonly referred to as the “individual mandate.” In addition, the 2020 federal spending package permanently eliminated the ACA-mandated “Cadillac” tax on high-cost employer-sponsored health coverage and also eliminated the health insurer tax. Additional legislative changes, regulatory changes and judicial challenges related to the ACA remain possible, but the nature and extent of such potential changes or challenges are uncertain at this time. It is unclear how any efforts to modify, or invalidate the ACA, its implementing regulations, or portions thereof, and other reform measures that may be adopted in the future will affect our business.</w:t>
      </w:r>
    </w:p>
    <w:p>
      <w:pPr>
        <w:spacing w:after="0" w:line="7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Other legislative changes have been proposed and adopted since the ACA was enacted. These changes include aggregate reductions to Medicare payments to providers of 2% per fiscal year pursuant to the Budget Control Act of 2011, which began in 2013, and due to subsequent legislative amendments to the statute, including the BBA and the Infrastructure Investment and Jobs Act, will remain in effect through 2031. Under current legislation, after a brief pause and reduction to 1% due to COVID-19, sequestration is currently set at 2% through the first 7 months of 2032. The American Taxpayer Relief Act of 2012, among other things, further reduced Medicare payments to several providers, including hospitals, and increased the statute of</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89" w:name="page90"/>
    <w:bookmarkEnd w:id="89"/>
    <w:p>
      <w:pPr>
        <w:jc w:val="both"/>
        <w:spacing w:after="0" w:line="260" w:lineRule="auto"/>
        <w:rPr>
          <w:sz w:val="20"/>
          <w:szCs w:val="20"/>
          <w:color w:val="auto"/>
        </w:rPr>
      </w:pPr>
      <w:r>
        <w:rPr>
          <w:rFonts w:ascii="Times New Roman" w:cs="Times New Roman" w:eastAsia="Times New Roman" w:hAnsi="Times New Roman"/>
          <w:sz w:val="18"/>
          <w:szCs w:val="18"/>
          <w:color w:val="auto"/>
        </w:rPr>
        <w:t>limitations period for the government to recover overpayments to providers from three to five years. Additionally, the American Rescue Plan Act of 2021 eliminated the statutory Medicaid drug rebate cap, effective January 1, 2024. These laws may result in additional reductions in Medicare, Medicaid and other healthcare funding or otherwise have an adverse effect on customers for our product candidates, if approved, and, accordingly, our financial operations.</w:t>
      </w:r>
    </w:p>
    <w:p>
      <w:pPr>
        <w:spacing w:after="0" w:line="74"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Additionally, there has been heightened governmental scrutiny in the U.S. of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the FDA concurrently released a final rule and guidance in September 2020 providing pathways for states to build and submit importation plans for drugs from Canada. The Inflation Reduction Act of 2022 (the “IRA”), among other things, permits the U.S. Department of Health and Human Services to negotiate prescription drug prices with companies, subject to a specified cap, for Medicare units of a specified number of certain brand name drugs or biologics without generic or biosimilar competitors each year, with such prices first set to take effect starting in 2026 for such products reimbursed under Medicare Part D and in 2028 for products reimbursed under Medicare Part B. Failure to comply with requirements under the drug price negotiation program is subject to an excise tax and/or a civil monetary penalty. The IRA further makes several changes to the Medicare Part D benefit, including a limit on annual out-of-pocket costs, and a change in manufacturer liability under the program that could negatively affect the profitability of our product candidates. Failure to comply with requirements under the Part D benefit redesign is subject to a civil monetary penalty. The IRA also prohibits Medicare Part D plans from imposing cost-sharing for certain vaccines that are recommended by the Advisory Committee on Immunization Practices.</w:t>
      </w:r>
    </w:p>
    <w:p>
      <w:pPr>
        <w:spacing w:after="0" w:line="87"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Congress may continue to consider drug pricing as part of other reform initiatives.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7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expect that these and other healthcare reform measures that may be adopted in the future may result in more rigorous coverage criteria and in additional downward pressure on the price that we receive for any approved drug.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drugs. It is also possible that additional governmental action will be taken in response to the COVID-19 pandemic.</w:t>
      </w:r>
    </w:p>
    <w:p>
      <w:pPr>
        <w:spacing w:after="0" w:line="74" w:lineRule="exact"/>
        <w:rPr>
          <w:sz w:val="20"/>
          <w:szCs w:val="20"/>
          <w:color w:val="auto"/>
        </w:rPr>
      </w:pPr>
    </w:p>
    <w:p>
      <w:pPr>
        <w:jc w:val="both"/>
        <w:ind w:right="20" w:firstLine="509"/>
        <w:spacing w:after="0" w:line="265" w:lineRule="auto"/>
        <w:rPr>
          <w:sz w:val="20"/>
          <w:szCs w:val="20"/>
          <w:color w:val="auto"/>
        </w:rPr>
      </w:pPr>
      <w:r>
        <w:rPr>
          <w:rFonts w:ascii="Times New Roman" w:cs="Times New Roman" w:eastAsia="Times New Roman" w:hAnsi="Times New Roman"/>
          <w:sz w:val="18"/>
          <w:szCs w:val="18"/>
          <w:color w:val="auto"/>
        </w:rPr>
        <w:t>Any new regulations or guidance, or revisions or reinterpretations of existing regulations or guidance, may impose additional costs or lengthen FDA review times for our product candidates. We cannot determine how changes in regulations, statutes, policies or interpretations when and if issued, enacted or adopted, may affect our business in the future. Such changes could, among other things, require:</w:t>
      </w:r>
    </w:p>
    <w:p>
      <w:pPr>
        <w:spacing w:after="0" w:line="69" w:lineRule="exact"/>
        <w:rPr>
          <w:sz w:val="20"/>
          <w:szCs w:val="20"/>
          <w:color w:val="auto"/>
        </w:rPr>
      </w:pPr>
    </w:p>
    <w:p>
      <w:pPr>
        <w:ind w:left="1140" w:hanging="504"/>
        <w:spacing w:after="0"/>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clinical trials to be conducted prior to obtaining authorization or approval;</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manufacturing methods;</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 replacements or discontinuance of one or more of our products, if authorized or approved; and</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recordkeeping.</w:t>
      </w:r>
    </w:p>
    <w:p>
      <w:pPr>
        <w:spacing w:after="0" w:line="117"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Such changes would likely require substantial time and impose significant costs, or could reduce the potential commercial value of our product candidates, and could materially harm our business and our financial results. In addition, delays in receipt of or failure to receive regulatory authorizations or approvals for our products would harm our business, financial condition and results of operations.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Our Growth</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121"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We are highly dependent on the management, scientific, clinical, manufacturing, commercial, financial, legal and business development expertise of our executive officers. Each of our executive officers may currently terminate their employment with us at any time. We do not maintain “key person” insurance for any of our executives or employees.</w:t>
      </w:r>
    </w:p>
    <w:p>
      <w:pPr>
        <w:spacing w:after="0" w:line="69" w:lineRule="exact"/>
        <w:rPr>
          <w:sz w:val="20"/>
          <w:szCs w:val="20"/>
          <w:color w:val="auto"/>
        </w:rPr>
      </w:pPr>
    </w:p>
    <w:p>
      <w:pPr>
        <w:jc w:val="both"/>
        <w:ind w:right="20" w:firstLine="509"/>
        <w:spacing w:after="0" w:line="281" w:lineRule="auto"/>
        <w:rPr>
          <w:sz w:val="20"/>
          <w:szCs w:val="20"/>
          <w:color w:val="auto"/>
        </w:rPr>
      </w:pPr>
      <w:r>
        <w:rPr>
          <w:rFonts w:ascii="Times New Roman" w:cs="Times New Roman" w:eastAsia="Times New Roman" w:hAnsi="Times New Roman"/>
          <w:sz w:val="18"/>
          <w:szCs w:val="18"/>
          <w:color w:val="auto"/>
        </w:rPr>
        <w:t>Recruiting and retaining qualified scientific, clinical, manufacturing, and commercialization personnel, including market access, marketing and sales personnel, are also critical to our success. The loss of the services of our executive officers or other</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90" w:name="page91"/>
    <w:bookmarkEnd w:id="90"/>
    <w:p>
      <w:pPr>
        <w:jc w:val="both"/>
        <w:spacing w:after="0" w:line="253" w:lineRule="auto"/>
        <w:rPr>
          <w:sz w:val="20"/>
          <w:szCs w:val="20"/>
          <w:color w:val="auto"/>
        </w:rPr>
      </w:pPr>
      <w:r>
        <w:rPr>
          <w:rFonts w:ascii="Times New Roman" w:cs="Times New Roman" w:eastAsia="Times New Roman" w:hAnsi="Times New Roman"/>
          <w:sz w:val="18"/>
          <w:szCs w:val="18"/>
          <w:color w:val="auto"/>
        </w:rPr>
        <w:t>key employees could impede the achievement of our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authorization or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and executing our development and commercialization strategy. Our consultants and advisors may be employed by employers other than us and may have commitments under consulting or advisory contracts with other entities that may limit their availability to us. We also rely on contractors to support the sales, market access and medical affairs activities for commercialization and scientific exchange. If we are unable to continue to attract and retain high quality personnel and engage high quality contractors, our ability to pursue our growth strategy and achieve our business objectives will be limited.</w:t>
      </w:r>
    </w:p>
    <w:p>
      <w:pPr>
        <w:spacing w:after="0" w:line="77"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Adimab owns a significant percentage of our common stock, will be able to exert significant influence over matters subject to stockholder approval and may have interests that conflict with those of our other stockholders.</w:t>
      </w:r>
    </w:p>
    <w:p>
      <w:pPr>
        <w:spacing w:after="0" w:line="5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Adimab is currently our largest stockholder and beneficially owns approximately 19.7% of the voting power of our outstanding common stock according to a Schedule 13D Amendment filed by Adimab on January 22, 2024, which reported ownership as of January 19, 2024. As such, Adimab has the ability to substantially influence us through this ownership position. For example, Adimab, acting together with a small number of our other large stockholders, will be able to control elections of directors, amendments of our organizational documents or approval of any merger, amalgamation, sale of assets or other major corporate transaction. Any transferees or successors of all or a significant portion of Adimab’s ownership in us will be able to exert a similar amount of influence over us through their ownership position.</w:t>
      </w:r>
    </w:p>
    <w:p>
      <w:pPr>
        <w:spacing w:after="0" w:line="78" w:lineRule="exact"/>
        <w:rPr>
          <w:sz w:val="20"/>
          <w:szCs w:val="20"/>
          <w:color w:val="auto"/>
        </w:rPr>
      </w:pPr>
    </w:p>
    <w:p>
      <w:pPr>
        <w:jc w:val="both"/>
        <w:ind w:right="20" w:firstLine="555"/>
        <w:spacing w:after="0" w:line="260" w:lineRule="auto"/>
        <w:rPr>
          <w:sz w:val="20"/>
          <w:szCs w:val="20"/>
          <w:color w:val="auto"/>
        </w:rPr>
      </w:pPr>
      <w:r>
        <w:rPr>
          <w:rFonts w:ascii="Times New Roman" w:cs="Times New Roman" w:eastAsia="Times New Roman" w:hAnsi="Times New Roman"/>
          <w:sz w:val="18"/>
          <w:szCs w:val="18"/>
          <w:color w:val="auto"/>
        </w:rPr>
        <w:t>Adimab’s interests may not always coincide with our corporate interests or the interests of our other stockholders, and it may exercise its voting and other rights in a manner with which you may not agree or that may not be in the best interests of our other stockholders. So long as it continues to own a significant portion of our outstanding voting securities, Adimab will continue to have considerable influence in all matters that are subject to approval by our stockholders.</w:t>
      </w:r>
    </w:p>
    <w:p>
      <w:pPr>
        <w:spacing w:after="0" w:line="70"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expand our clinical development and regulatory capabilities and have implemented sales, marketing and distribution capabilities, and as a result, we may encounter difficulties in managing our growth, which could disrupt our operations.</w:t>
      </w:r>
    </w:p>
    <w:p>
      <w:pPr>
        <w:spacing w:after="0" w:line="5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Depending on our development progress, we may experience growth in the number of our employees and the scope of our operations, particularly in the areas of research and discovery, clinical product development, regulatory affairs, manufacturing and sales, marketing and distribution. To manage our future growth, we must continue to implement and improve our managerial, operational and financial systems, expand our facilities and continue to recruit, train and retain qualified personnel. Due to our limited financial resources and the limited experience of our management team in managing a company with such anticipated growth, we may not be able to effectively manage the expansion of our operations or recruit, train and retain such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75"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collaborators, principal investigators, CROs, CDMO, suppliers and vendors may engage in misconduct or other improper activities, including non-compliance with regulatory standards and requirements.</w:t>
      </w:r>
    </w:p>
    <w:p>
      <w:pPr>
        <w:spacing w:after="0" w:line="5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collaborators, principal investigators, CROs, CDMO, suppliers and vendors may engage in misconduct, including intentional, reckless and/or negligent conduct that violates civil, criminal or administrative laws or regulations, including fraudulent conduct or other illegal activity. Misconduct by these parties could include conduct that violates FDA regulations, including those laws requiring the reporting of true, complete and accurate information to the FDA, manufacturing standards, federal and state healthcare laws and regulations, and laws that require the true, complete and accurate reporting of financial information or data.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including, without limitation, information obtained in the course of clinical trials,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91" w:name="page92"/>
    <w:bookmarkEnd w:id="91"/>
    <w:p>
      <w:pPr>
        <w:jc w:val="both"/>
        <w:spacing w:after="0" w:line="258" w:lineRule="auto"/>
        <w:rPr>
          <w:sz w:val="20"/>
          <w:szCs w:val="20"/>
          <w:color w:val="auto"/>
        </w:rPr>
      </w:pPr>
      <w:r>
        <w:rPr>
          <w:rFonts w:ascii="Times New Roman" w:cs="Times New Roman" w:eastAsia="Times New Roman" w:hAnsi="Times New Roman"/>
          <w:sz w:val="18"/>
          <w:szCs w:val="18"/>
          <w:color w:val="auto"/>
        </w:rPr>
        <w:t>regulations.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disgorgement, imprisonment, exclusion from participation in government healthcare programs, such as Medicare and Medicaid, additional reporting requirements and oversight if we become subject to a corporate integrity agreement or similar agreement to resolve allegations of non-compliance with these laws, and the curtailment or restructuring of our operations.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 and Our Status as a Public Company</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continue to be developed or sustained.</w:t>
      </w:r>
    </w:p>
    <w:p>
      <w:pPr>
        <w:spacing w:after="0" w:line="121"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Prior to the IPO, there was no public market for our common stock. Although our common stock is listed on the Nasdaq Global Market, an active trading market for our common stock may not continue to develop or be sustained, it may be difficult for you to sell shares at an attractive price or at all.</w:t>
      </w:r>
    </w:p>
    <w:p>
      <w:pPr>
        <w:spacing w:after="0" w:line="51" w:lineRule="exact"/>
        <w:rPr>
          <w:sz w:val="20"/>
          <w:szCs w:val="20"/>
          <w:color w:val="auto"/>
        </w:rPr>
      </w:pPr>
    </w:p>
    <w:p>
      <w:pPr>
        <w:jc w:val="both"/>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trading price of the shares of our common stock has been and may continue to be volatile, and purchasers of our common stock could incur substantial losses.</w:t>
      </w:r>
    </w:p>
    <w:p>
      <w:pPr>
        <w:spacing w:after="0" w:line="50"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Our stock price may be volatile. Since the IPO and through March 12, 2024, our common stock has traded at prices ranging from $0.98 to $78.82 per share. The stock market in general and the market for biopharmaceutical companies in particular have experienced extreme volatility that has often been unrelated to the operating performance of particular companies. As a result of this volatility, investors may not be able to sell their common stock at or above the price paid for the shares. The market price for our common stock may be influenced by many factors, including:</w:t>
      </w:r>
    </w:p>
    <w:p>
      <w:pPr>
        <w:spacing w:after="0" w:line="74" w:lineRule="exact"/>
        <w:rPr>
          <w:sz w:val="20"/>
          <w:szCs w:val="20"/>
          <w:color w:val="auto"/>
        </w:rPr>
      </w:pPr>
    </w:p>
    <w:p>
      <w:pPr>
        <w:ind w:left="1140" w:hanging="504"/>
        <w:spacing w:after="0"/>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performance of PEMGARDA;</w:t>
      </w:r>
    </w:p>
    <w:p>
      <w:pPr>
        <w:spacing w:after="0" w:line="116" w:lineRule="exact"/>
        <w:rPr>
          <w:rFonts w:ascii="Times New Roman" w:cs="Times New Roman" w:eastAsia="Times New Roman" w:hAnsi="Times New Roman"/>
          <w:sz w:val="18"/>
          <w:szCs w:val="18"/>
          <w:color w:val="auto"/>
        </w:rPr>
      </w:pPr>
    </w:p>
    <w:p>
      <w:pPr>
        <w:ind w:left="1140" w:hanging="504"/>
        <w:spacing w:after="0" w:line="281" w:lineRule="auto"/>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leverage our INVYMAB platform approach to timely identify, develop, obtain authorization or approval for, and commercialize mAbs on a perpetual basis that keeps pace with viral evolution;</w:t>
      </w:r>
    </w:p>
    <w:p>
      <w:pPr>
        <w:spacing w:after="0" w:line="54" w:lineRule="exact"/>
        <w:rPr>
          <w:rFonts w:ascii="Times New Roman" w:cs="Times New Roman" w:eastAsia="Times New Roman" w:hAnsi="Times New Roman"/>
          <w:sz w:val="18"/>
          <w:szCs w:val="18"/>
          <w:color w:val="auto"/>
        </w:rPr>
      </w:pPr>
    </w:p>
    <w:p>
      <w:pPr>
        <w:ind w:left="1140" w:hanging="504"/>
        <w:spacing w:after="0" w:line="281" w:lineRule="auto"/>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results of our clinical trials or the commencement, enrollment or results of any future clinical trials we may conduct, or changes in the development status of our product candidates;</w:t>
      </w:r>
    </w:p>
    <w:p>
      <w:pPr>
        <w:spacing w:after="0" w:line="54" w:lineRule="exact"/>
        <w:rPr>
          <w:rFonts w:ascii="Times New Roman" w:cs="Times New Roman" w:eastAsia="Times New Roman" w:hAnsi="Times New Roman"/>
          <w:sz w:val="18"/>
          <w:szCs w:val="18"/>
          <w:color w:val="auto"/>
        </w:rPr>
      </w:pPr>
    </w:p>
    <w:p>
      <w:pPr>
        <w:jc w:val="both"/>
        <w:ind w:left="1140" w:hanging="504"/>
        <w:spacing w:after="0" w:line="265" w:lineRule="auto"/>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regulatory filings for our product candidates, and any adverse development or perceived adverse development with respect to the applicable regulatory authority’s receipt and review of such filings, including without limitation the FDA’s declination to accept or review an EUA application submission or an issuance of a “refusal to file” letter or a request for additional information;</w:t>
      </w:r>
    </w:p>
    <w:p>
      <w:pPr>
        <w:spacing w:after="0" w:line="69" w:lineRule="exact"/>
        <w:rPr>
          <w:rFonts w:ascii="Times New Roman" w:cs="Times New Roman" w:eastAsia="Times New Roman" w:hAnsi="Times New Roman"/>
          <w:sz w:val="18"/>
          <w:szCs w:val="18"/>
          <w:color w:val="auto"/>
        </w:rPr>
      </w:pPr>
    </w:p>
    <w:p>
      <w:pPr>
        <w:ind w:left="1140" w:hanging="504"/>
        <w:spacing w:after="0" w:line="281" w:lineRule="auto"/>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EUA for PEMGARDA, and the receipt of any additional or amended EUAs from the FDA for PEMGARDA and the timing thereof;</w:t>
      </w:r>
    </w:p>
    <w:p>
      <w:pPr>
        <w:spacing w:after="0" w:line="54"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termination of clinical trials;</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decisions, including failure to receive regulatory authorization or approval of our product candidates;</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safety concerns related to the use of PEMGARDA or any other product candidate;</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us or by any equity research analysts who might cover our stock;</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or trends in our industry;</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our competitors of new product candidates or technologies, or the results of clinical trials or regulatory decisions;</w:t>
      </w:r>
    </w:p>
    <w:p>
      <w:pPr>
        <w:spacing w:after="0" w:line="116" w:lineRule="exact"/>
        <w:rPr>
          <w:rFonts w:ascii="Times New Roman" w:cs="Times New Roman" w:eastAsia="Times New Roman" w:hAnsi="Times New Roman"/>
          <w:sz w:val="18"/>
          <w:szCs w:val="18"/>
          <w:color w:val="auto"/>
        </w:rPr>
      </w:pPr>
    </w:p>
    <w:p>
      <w:pPr>
        <w:ind w:left="1140" w:hanging="504"/>
        <w:spacing w:after="0" w:line="281" w:lineRule="auto"/>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market price and volume fluctuations of comparable companies and, in particular, those that operate in the biopharmaceutical industry;</w:t>
      </w:r>
    </w:p>
    <w:p>
      <w:pPr>
        <w:spacing w:after="0" w:line="54" w:lineRule="exact"/>
        <w:rPr>
          <w:rFonts w:ascii="Times New Roman" w:cs="Times New Roman" w:eastAsia="Times New Roman" w:hAnsi="Times New Roman"/>
          <w:sz w:val="18"/>
          <w:szCs w:val="18"/>
          <w:color w:val="auto"/>
        </w:rPr>
      </w:pPr>
    </w:p>
    <w:p>
      <w:pPr>
        <w:ind w:left="1140" w:hanging="504"/>
        <w:spacing w:after="0" w:line="281" w:lineRule="auto"/>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us or our industry or positive or negative recommendations or withdrawal of research coverage by securities analysts;</w:t>
      </w:r>
    </w:p>
    <w:p>
      <w:pPr>
        <w:spacing w:after="0" w:line="54"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or divestitures;</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our collaborators;</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investigations or regulatory scrutiny of our operations or lawsuits filed against us;</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92" w:name="page93"/>
    <w:bookmarkEnd w:id="92"/>
    <w:p>
      <w:pPr>
        <w:ind w:left="1140" w:hanging="504"/>
        <w:spacing w:after="0"/>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general perception of our company and our business;</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or departure of key personnel;</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performance of the equity markets;</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16" w:lineRule="exact"/>
        <w:rPr>
          <w:rFonts w:ascii="Times New Roman" w:cs="Times New Roman" w:eastAsia="Times New Roman" w:hAnsi="Times New Roman"/>
          <w:sz w:val="18"/>
          <w:szCs w:val="18"/>
          <w:color w:val="auto"/>
        </w:rPr>
      </w:pPr>
    </w:p>
    <w:p>
      <w:pPr>
        <w:ind w:left="1140" w:hanging="504"/>
        <w:spacing w:after="0" w:line="281" w:lineRule="auto"/>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54"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political and economic conditions; and</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many of which are beyond our control.</w:t>
      </w:r>
    </w:p>
    <w:p>
      <w:pPr>
        <w:spacing w:after="0" w:line="11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stock market in general, and the Nasdaq Global Market and biotechnology companies in particular, have experienced extreme price and volume fluctuations, including as a result of the COVID-19 pandemic, the ongoing conflict between Russia and Ukraine, increases in inflation rates and disruptions to global supply chain, that have often been unrelated or disproportionate to the prospects of the issuer and which have resulted in decreased stock prices for many companies notwithstanding the lack of a fundamental change in their underlying business models or prospects. Broad market and industry factors, including potentially worsening economic conditions and other adverse effects or developments relating to the COVID-19 pandemic, may negatively affect the market price of our common stock, regardless of our actual operating performance. The realization of any of the above risks or any of a broad range of other risks, including those described in this section, could have a significant and material adverse impact on the market price of our common stock.</w:t>
      </w:r>
    </w:p>
    <w:p>
      <w:pPr>
        <w:spacing w:after="0" w:line="7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addition, in the past, stockholders have initiated class action lawsuits against pharmaceutical and biotechnology companies following periods of volatility in the market prices of these companies’ stock. Such litigation, if instituted against us, could cause us to incur substantial costs and divert management’s attention and resources from our business. For example, on January 31, 2023, a securities class action lawsuit captioned Brill v. Invivyd, Inc., et. al., Case No. 1:23-CV-10254-LTS, was filed against us and certain of our former officers in the U.S. District Court for the District of Massachusetts. The complaint, as amended, alleges violations of Sections 10(b) and 20(a) of the Exchange Act and Rule 10b-5 promulgated thereunder on the basis of purportedly materially false and misleading statements and omissions concerning ADG20’s effectiveness against the Omicron variant of COVID-19. The complaint, as amended, seeks, among other things, unspecified damages, attorneys’ fees, expert fees, and other costs. We believe that we have strong defenses, and we intend to vigorously defend against this action. However, whether or not the claim is successful, litigation is often expensive and can divert management’s attention and resources from other business concerns, which could adversely affect our business. We may be the target of similar litigation in the future.</w:t>
      </w:r>
    </w:p>
    <w:p>
      <w:pPr>
        <w:spacing w:after="0" w:line="79"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previously identified a material weakness in our internal control over financial reporting, we may identify additional material weaknesses in the future that may cause us to fail to meet our reporting obligations or result in material misstatements of our financial statements. If we fail to remediate any such weaknesses, or if we otherwise fail to establish and maintain effective control over financial reporting, our ability to accurately and timely report our financial results could be adversely affected, which may adversely affect our business.</w:t>
      </w:r>
    </w:p>
    <w:p>
      <w:pPr>
        <w:spacing w:after="0" w:line="71"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In connection with the preparation of our financial statements for the quarter ended March 31, 2021, we identified a material weakness in our internal control over financial reporting. A material weakness is a deficiency, or combination of deficiencies, in internal control over financial reporting such that there is a reasonable possibility that a material misstatement of our financial statements will not be prevented or detected on a timely basis.</w:t>
      </w:r>
    </w:p>
    <w:p>
      <w:pPr>
        <w:spacing w:after="0" w:line="6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material weakness identified related to a lack of effective controls over the completeness and accuracy of research and development expenses, prepaid expenses, accounts payable and accrued expenses related to our contract manufacturing agreements during interim financial reporting periods. This material weakness resulted in adjustments to research and development expenses for the three months ended March 31, 2021 and prepaid expenses, accounts payable and accrued expenses as of March 31, 2021, all of which were recorded prior to the issuance of our interim financial consolidated financial statements for that quarter. We subsequently designed and implemented controls to remediate the material weakness, including strengthening and formalizing our documentation of policies and further evolving our accounting processes and post-closing review procedures related to the completeness and accuracy of research and development expenses, prepaid expenses, accounts payable and accrued expenses of our contract manufacturing agreements, and our management concluded that we remediated the material weakness as of December 31, 2021.</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93" w:name="page94"/>
    <w:bookmarkEnd w:id="93"/>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process of designing and implementing an effective financial reporting system is a continuous effort that requires us to anticipate and react to changes in our business and the economic and regulatory environments and to expend significant resources to maintain a financial reporting system that satisfies our reporting obligations. If we are unable to meet the demands that have been placed upon us as a public company, including the requirements of the Sarbanes-Oxley Act of 2002 (the “Sarbanes-Oxley Act”), and we may be unable to accurately report our financial results, or report them within the timeframes required by law or stock exchange regulations. Failure to comply with the Sarbanes-Oxley Act, when and as applicable, could also potentially subject us to sanctions or investigations by the SEC or other regulatory authorities. Any failure to maintain or implement required new or improved controls, or any difficulties we encounter in their implementation, could result in additional material weaknesses, cause us to fail to meet our reporting obligations or result in material misstatements in our financial statements. Furthermore, if we cannot provide reliable financial reports or prevent material misstatements due to fraud or error, our business and results of operations could be harmed, and investors could lose confidence in our reported financial information. We also could become subject to investigations by The Nasdaq Stock Market (“Nasdaq”), the SEC or other regulatory authorities. All these possibilities could increase our operating costs and harm our business.</w:t>
      </w:r>
    </w:p>
    <w:p>
      <w:pPr>
        <w:spacing w:after="0" w:line="77"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5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equity research analysts publish about us and our business. As a relatively new public company, we have only limited research coverage by equity research analysts. Equity research analysts may elect not to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75"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are available for immediate resale. This could cause the market price of our common stock to drop significantly, even if our business is doing well.</w:t>
      </w:r>
    </w:p>
    <w:p>
      <w:pPr>
        <w:spacing w:after="0" w:line="50"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w:t>
      </w:r>
    </w:p>
    <w:p>
      <w:pPr>
        <w:spacing w:after="0" w:line="69"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We have filed registration statements on Form S-8 under the Securities Act of 1933, as amended (the “Securities Act”), registering the issuance of shares of common stock subject to options or other equity awards issued or reserved for future issuance under our equity incentive plans. Shares registered under these registration statements on Form S-8 will be available for sale in the public market subject to vesting arrangements and exercise of options and the restrictions of Rule 144 in the case of our affiliates.</w:t>
      </w:r>
    </w:p>
    <w:p>
      <w:pPr>
        <w:spacing w:after="0" w:line="7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Additionally, several of our large stockholders, or their transferees, have rights, subject to some conditions, to require us to file one or more registration statements covering their shares or to include their shares in registration statements that we may file for ourselves or other stockholders. On February 9, 2024, we filed a registration statement on Form S-3 to register an aggregate of up to 37,745,998 shares of our common stock held by holders with registration rights, including 30,921,286 issued and outstanding shares of our common stock and 6,824,712 shares of common stock issuable upon exercise of an outstanding common stock purchase warrant issued by us. Once such Form S-3 is declared effective by the SEC, such shares of common stock may be freely sold in the public market for so long as such Form S-3 remains effective, subject to the vesting and the exercise of the common stock purchase warrant with respect to the shares of common stock underlying such warrant. If these additional shares are sold, or if it is perceived that they will be sold, in the public market, the trading price of our common stock could decline.</w:t>
      </w:r>
    </w:p>
    <w:p>
      <w:pPr>
        <w:spacing w:after="0" w:line="77"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5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There are provisions in our amended and restated certificate of incorporation and amended and restated bylaws that may make it difficult for a third party to acquire, or attempt to acquire, control of our company, even if a change of control was considered favorable by you and other stockholders. For example, our board of directors has the authority to issue up to 10,000,000 shares of preferred stock. The board of directors can fix the price, rights, preferences, privileges, and restrictions of the preferred stock without any further vote or action by our stockholders. The issuance of shares of preferred stock may delay or prevent a change of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94" w:name="page95"/>
    <w:bookmarkEnd w:id="94"/>
    <w:p>
      <w:pPr>
        <w:ind w:left="520"/>
        <w:spacing w:after="0"/>
        <w:rPr>
          <w:sz w:val="20"/>
          <w:szCs w:val="20"/>
          <w:color w:val="auto"/>
        </w:rPr>
      </w:pPr>
      <w:r>
        <w:rPr>
          <w:rFonts w:ascii="Times New Roman" w:cs="Times New Roman" w:eastAsia="Times New Roman" w:hAnsi="Times New Roman"/>
          <w:sz w:val="18"/>
          <w:szCs w:val="18"/>
          <w:color w:val="auto"/>
        </w:rPr>
        <w:t>Our charter documents also contain other provisions that could have an anti-takeover effect, including:</w:t>
      </w:r>
    </w:p>
    <w:p>
      <w:pPr>
        <w:spacing w:after="0" w:line="117" w:lineRule="exact"/>
        <w:rPr>
          <w:sz w:val="20"/>
          <w:szCs w:val="20"/>
          <w:color w:val="auto"/>
        </w:rPr>
      </w:pPr>
    </w:p>
    <w:p>
      <w:pPr>
        <w:ind w:left="2040" w:hanging="385"/>
        <w:spacing w:after="0"/>
        <w:tabs>
          <w:tab w:leader="none" w:pos="20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are not permitted to take actions by written consent;</w:t>
      </w:r>
    </w:p>
    <w:p>
      <w:pPr>
        <w:spacing w:after="0" w:line="116" w:lineRule="exact"/>
        <w:rPr>
          <w:rFonts w:ascii="Times New Roman" w:cs="Times New Roman" w:eastAsia="Times New Roman" w:hAnsi="Times New Roman"/>
          <w:sz w:val="18"/>
          <w:szCs w:val="18"/>
          <w:color w:val="auto"/>
        </w:rPr>
      </w:pPr>
    </w:p>
    <w:p>
      <w:pPr>
        <w:ind w:left="2040" w:hanging="385"/>
        <w:spacing w:after="0"/>
        <w:tabs>
          <w:tab w:leader="none" w:pos="20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cannot call a special meeting of stockholders; and</w:t>
      </w:r>
    </w:p>
    <w:p>
      <w:pPr>
        <w:spacing w:after="0" w:line="116" w:lineRule="exact"/>
        <w:rPr>
          <w:rFonts w:ascii="Times New Roman" w:cs="Times New Roman" w:eastAsia="Times New Roman" w:hAnsi="Times New Roman"/>
          <w:sz w:val="18"/>
          <w:szCs w:val="18"/>
          <w:color w:val="auto"/>
        </w:rPr>
      </w:pPr>
    </w:p>
    <w:p>
      <w:pPr>
        <w:ind w:left="2040" w:hanging="385"/>
        <w:spacing w:after="0"/>
        <w:tabs>
          <w:tab w:leader="none" w:pos="20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must give advance notice to nominate directors or submit proposals for consideration at stockholder meetings.</w:t>
      </w:r>
    </w:p>
    <w:p>
      <w:pPr>
        <w:spacing w:after="0" w:line="11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of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70"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Concentration of ownership of our common stock among our existing executive officers, directors and principal stockholders may prevent new investors from influencing significant corporate decisions.</w:t>
      </w:r>
    </w:p>
    <w:p>
      <w:pPr>
        <w:spacing w:after="0" w:line="50"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Our executive officers, directors and current beneficial owners of five percent or more of our common stock and their respective affiliates beneficially own a majority of our outstanding common stock. As a result, these persons, acting together, would be able to significantly influence all matters requiring stockholder approval, including the election and removal of directors, any merger, consolidation, sale of all or substantially all of our assets, or other significant corporate transactions.</w:t>
      </w:r>
    </w:p>
    <w:p>
      <w:pPr>
        <w:spacing w:after="0" w:line="74"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Some of these persons or entities may have interests different than yours. For example, because many of these have held their shares for a longer period, they may be more interested in selling our company to an acquirer than other investors, or they may want us to pursue strategies that deviate from the interests of other stockholders.</w:t>
      </w:r>
    </w:p>
    <w:p>
      <w:pPr>
        <w:spacing w:after="0" w:line="65"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5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within the meaning of the Securities Act, as modified by the Jumpstart Our Business Startups Act of 2012, as amended (the “JOBS Act”), and may remain an emerging growth company until the last day of the fiscal year following the fifth anniversary of the completion of the IPO. However, if certain events occur prior to the end of such five-year period, including if we become a “large accelerated filer,” our annual gross revenues are $1.235 billion or more or we issue more than $1.0 billion of non-convertible debt in the previous three-year period, we will cease to be an emerging growth company prior to the end of such five-year period. For so long as we remain an emerging growth company, we are permitted and intend to take advantage of exemptions from certain disclosure requirements that are applicable to other public companies that are not emerging growth companies. These exemptions include:</w:t>
      </w:r>
    </w:p>
    <w:p>
      <w:pPr>
        <w:spacing w:after="0" w:line="79" w:lineRule="exact"/>
        <w:rPr>
          <w:sz w:val="20"/>
          <w:szCs w:val="20"/>
          <w:color w:val="auto"/>
        </w:rPr>
      </w:pPr>
    </w:p>
    <w:p>
      <w:pPr>
        <w:ind w:left="1140" w:hanging="504"/>
        <w:spacing w:after="0"/>
        <w:tabs>
          <w:tab w:leader="none" w:pos="11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auditor attestation requirement in the assessment of our internal control over financial reporting;</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w:t>
      </w:r>
    </w:p>
    <w:p>
      <w:pPr>
        <w:spacing w:after="0" w:line="116" w:lineRule="exact"/>
        <w:rPr>
          <w:rFonts w:ascii="Times New Roman" w:cs="Times New Roman" w:eastAsia="Times New Roman" w:hAnsi="Times New Roman"/>
          <w:sz w:val="18"/>
          <w:szCs w:val="18"/>
          <w:color w:val="auto"/>
        </w:rPr>
      </w:pPr>
    </w:p>
    <w:p>
      <w:pPr>
        <w:ind w:left="1140" w:hanging="504"/>
        <w:spacing w:after="0" w:line="281" w:lineRule="auto"/>
        <w:tabs>
          <w:tab w:leader="none" w:pos="11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stockholder approval of any golden parachute payments not previously approved; and</w:t>
      </w:r>
    </w:p>
    <w:p>
      <w:pPr>
        <w:spacing w:after="0" w:line="54" w:lineRule="exact"/>
        <w:rPr>
          <w:rFonts w:ascii="Times New Roman" w:cs="Times New Roman" w:eastAsia="Times New Roman" w:hAnsi="Times New Roman"/>
          <w:sz w:val="18"/>
          <w:szCs w:val="18"/>
          <w:color w:val="auto"/>
        </w:rPr>
      </w:pPr>
    </w:p>
    <w:p>
      <w:pPr>
        <w:ind w:left="1140" w:hanging="504"/>
        <w:spacing w:after="0" w:line="281" w:lineRule="auto"/>
        <w:tabs>
          <w:tab w:leader="none" w:pos="11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requirements of the Public Company Accounting Oversight Board regarding the communication of critical audit matters in the auditor’s report on the financial statements.</w:t>
      </w:r>
    </w:p>
    <w:p>
      <w:pPr>
        <w:spacing w:after="0" w:line="5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a result, our shareholders may not have access to certain information they may deem important. We cannot predict whether investors will find our common stock less attractive because we will rely on these exemptions. If some investors find our common stock less attractive as a result of our reliance on these exemptions,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w:t>
      </w:r>
    </w:p>
    <w:p>
      <w:pPr>
        <w:spacing w:after="0" w:line="74"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the reduced disclosure requirements applicable to smaller reporting companies may make our common stock less attractive to investors.</w:t>
      </w:r>
    </w:p>
    <w:p>
      <w:pPr>
        <w:spacing w:after="0" w:line="50"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We are a “smaller reporting company” as defined in Item 10(f)(1) of Regulation S-K, and will remain a smaller reporting company so long as either of the following conditions are true – (i) the market value of our common stock held by non-affiliates is less than $250 million as of the end of that year’s second fiscal quarter, or (ii) our annual revenues are less than $100 million</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95" w:name="page96"/>
    <w:bookmarkEnd w:id="95"/>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during the most recently completed fiscal year and the market value of our common stock held by non-affiliates is less than $700 million as of the end of that year’s second fiscal quarter.</w:t>
      </w:r>
    </w:p>
    <w:p>
      <w:pPr>
        <w:spacing w:after="0" w:line="55"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We are therefore entitled to rely on certain reduced disclosure requirements for as long as we remain a smaller reporting company, such as an exemption from providing selected financial data and certain executive compensation information. In addition, for as long as we are a smaller reporting company with less than $100 million in annual revenue, we would be exempt from the requirement to obtain an external audit on the effectiveness of internal control over financial reporting provided in Section 404 of the Sarbanes-Oxley Act.</w:t>
      </w:r>
    </w:p>
    <w:p>
      <w:pPr>
        <w:spacing w:after="0" w:line="74"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These exemptions and reduced disclosures in our SEC filings due to our status as a smaller reporting company may make it harder for investors to analyze our results of operations and financial prospects. We cannot predict if investors will find our common stock less attractive because we rely on these exemptions. If some investors find our common stock less attractive as a result, there may be a less active trading market for our common stock and our stock prices may be more volatile.</w:t>
      </w:r>
    </w:p>
    <w:p>
      <w:pPr>
        <w:spacing w:after="0" w:line="70" w:lineRule="exact"/>
        <w:rPr>
          <w:sz w:val="20"/>
          <w:szCs w:val="20"/>
          <w:color w:val="auto"/>
        </w:rPr>
      </w:pPr>
    </w:p>
    <w:p>
      <w:pPr>
        <w:jc w:val="both"/>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our cash, cash equivalents and marketable securities, as applicable, including the net proceeds from our IPO and any sales of our common stock made under our Sales Agreement with Cantor.</w:t>
      </w:r>
    </w:p>
    <w:p>
      <w:pPr>
        <w:spacing w:after="0" w:line="5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broad discretion over the use of our cash, cash equivalents and marketable securities, as applicable, including the net proceeds from our IPO and any sales of our common stock made under Sales Agreement with Cantor. You may not agree with our decisions, and our use of the proceeds may not yield any return on your investment. Our failure to apply our cash, cash equivalents and marketable securities effectively could compromise our ability to pursue our growth strategy and we might not be able to yield a significant return, if any, on our investment of our cash, cash equivalents and marketable securities. You will not have the opportunity to influence our decisions on how to use our cash, cash equivalents and marketable securities.</w:t>
      </w:r>
    </w:p>
    <w:p>
      <w:pPr>
        <w:spacing w:after="0" w:line="70"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common stock in the foreseeable future, capital appreciation, if any, will be your sole source of gains and you may never receive a return on your investment.</w:t>
      </w:r>
    </w:p>
    <w:p>
      <w:pPr>
        <w:spacing w:after="0" w:line="50"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You should not rely on an investment in our common stock to provide dividend income. We have not declared or paid cash dividends on our common stock to date. We currently intend to retain our future earnings, if any, to fund the development and growth of our business. As a result, capital appreciation, if any, of our common stock will be your sole source of gain for the foreseeable future. Investors seeking cash dividends should not purchase our common stock.</w:t>
      </w:r>
    </w:p>
    <w:p>
      <w:pPr>
        <w:spacing w:after="0" w:line="70"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and the federal district courts of the U.S.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66"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55" w:lineRule="exact"/>
        <w:rPr>
          <w:sz w:val="20"/>
          <w:szCs w:val="20"/>
          <w:color w:val="auto"/>
        </w:rPr>
      </w:pPr>
    </w:p>
    <w:p>
      <w:pPr>
        <w:ind w:left="1140" w:hanging="504"/>
        <w:spacing w:after="0"/>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breach of fiduciary duty;</w:t>
      </w:r>
    </w:p>
    <w:p>
      <w:pPr>
        <w:spacing w:after="0" w:line="116" w:lineRule="exact"/>
        <w:rPr>
          <w:rFonts w:ascii="Times New Roman" w:cs="Times New Roman" w:eastAsia="Times New Roman" w:hAnsi="Times New Roman"/>
          <w:sz w:val="18"/>
          <w:szCs w:val="18"/>
          <w:color w:val="auto"/>
        </w:rPr>
      </w:pPr>
    </w:p>
    <w:p>
      <w:pPr>
        <w:ind w:left="1140" w:hanging="504"/>
        <w:spacing w:after="0" w:line="281" w:lineRule="auto"/>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arising under the Delaware General Corporation Law (the “DGCL”), our amended and restated certificate of incorporation, or our amended and restated bylaws;</w:t>
      </w:r>
    </w:p>
    <w:p>
      <w:pPr>
        <w:spacing w:after="0" w:line="54" w:lineRule="exact"/>
        <w:rPr>
          <w:rFonts w:ascii="Times New Roman" w:cs="Times New Roman" w:eastAsia="Times New Roman" w:hAnsi="Times New Roman"/>
          <w:sz w:val="18"/>
          <w:szCs w:val="18"/>
          <w:color w:val="auto"/>
        </w:rPr>
      </w:pPr>
    </w:p>
    <w:p>
      <w:pPr>
        <w:ind w:left="1140" w:hanging="504"/>
        <w:spacing w:after="0" w:line="281" w:lineRule="auto"/>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seeking to interpret, apply, enforce or determine the validity of our amended and restated certificate of incorporation or our amended and restated bylaws;</w:t>
      </w:r>
    </w:p>
    <w:p>
      <w:pPr>
        <w:spacing w:after="0" w:line="54"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to which the DGCL confers jurisdiction on the Court of Chancery of the State of Delaware; and</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that is governed by the internal-affairs doctrine.</w:t>
      </w:r>
    </w:p>
    <w:p>
      <w:pPr>
        <w:spacing w:after="0" w:line="11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and several state trial courts have enforced such provisions and required that suits asserting Securities Act claims be filed in federal court, there is no guarantee that courts of appeal will affirm the enforceability of such provisions and a stockholder may nevertheless seek to bring a claim in a venue other than those designated in the exclusive forum provisions. In such instance, we would expect to vigorously assert</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96" w:name="page97"/>
    <w:bookmarkEnd w:id="96"/>
    <w:p>
      <w:pPr>
        <w:jc w:val="both"/>
        <w:spacing w:after="0" w:line="258" w:lineRule="auto"/>
        <w:rPr>
          <w:sz w:val="20"/>
          <w:szCs w:val="20"/>
          <w:color w:val="auto"/>
        </w:rPr>
      </w:pPr>
      <w:r>
        <w:rPr>
          <w:rFonts w:ascii="Times New Roman" w:cs="Times New Roman" w:eastAsia="Times New Roman" w:hAnsi="Times New Roman"/>
          <w:sz w:val="18"/>
          <w:szCs w:val="18"/>
          <w:color w:val="auto"/>
        </w:rPr>
        <w:t>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 If a court were to find either exclusive forum provision in our amended and restated certificate of incorporation to be inapplicable or unenforceable in an action, we may incur further significant additional costs associated with litigating Securities Act claims in state court, or both state and federal court, which could seriously harm our business, financial condition, results of operations and prospects.</w:t>
      </w:r>
    </w:p>
    <w:p>
      <w:pPr>
        <w:spacing w:after="0" w:line="7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These exclusive forum provisions may result in increased costs for investors to bring a claim. Further, 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increased costs and demands upon management as a result of becoming a public company, which could lower our profits or make it more difficult to run our business.</w:t>
      </w:r>
    </w:p>
    <w:p>
      <w:pPr>
        <w:spacing w:after="0" w:line="5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a public company, we have incurred and, particularly after we are no longer an emerging growth company, we will continue to incur significant legal, accounting and other expenses that we did not incur as a private company, including costs associated with public company reporting requirements. We also have incurred and will continue to incur costs associated with the Sarbanes-Oxley Act, and related rules implemented by the SEC and Nasdaq. The expenses generally incurred by public companies for reporting and corporate governance purposes have been increasing. We expect these rules and regulations to increase our legal and financial compliance costs and to make some activities more time-consuming and costly, although we are currently unable to estimate these costs with any degree of certainty.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on our board committees, or as our executive officers. Furthermore, if we are unable to satisfy our obligations as a public company, we could be subject to delisting of our common stock, fines, sanctions, other regulatory action and potentially civil litigation.</w:t>
      </w:r>
    </w:p>
    <w:p>
      <w:pPr>
        <w:spacing w:after="0" w:line="77"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and certain of our former officers have been named as defendants in a pending securities class action lawsuit. This lawsuit, and potential similar or related lawsuits or investigations, could result in substantial damages, divert management’s time and attention from our business, and have a material adverse effect on our results of operations. This lawsuit, and any other lawsuits or investigations to which we are subject, will be costly to defend or comply with and are uncertain in their outcome.</w:t>
      </w:r>
    </w:p>
    <w:p>
      <w:pPr>
        <w:spacing w:after="0" w:line="7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January 31, 2023, a securities class action lawsuit captioned Brill v. Invivyd, Inc., et. al., Case No. 1:23-CV-10254-LTS, was filed against us and certain of our former officers in the U.S. District Court for the District of Massachusetts. The complaint, as amended, alleges violations of Sections 10(b) and 20(a) of the Exchange Act and Rule 10b-5 promulgated thereunder on the basis of purportedly materially false and misleading statements and omissions concerning ADG20’s effectiveness against the Omicron variant of COVID-19. The complaint, as amended, seeks, among other things, unspecified damages, attorneys’ fees, expert fees, and other costs.</w:t>
      </w:r>
    </w:p>
    <w:p>
      <w:pPr>
        <w:spacing w:after="0" w:line="74"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We believe that we have strong defenses, and we intend to vigorously defend against this action. However, whether or not the claim is successful, litigation is often expensive and can divert management’s attention and resources from other business concerns, which could adversely affect our business.</w:t>
      </w:r>
    </w:p>
    <w:p>
      <w:pPr>
        <w:spacing w:after="0" w:line="55"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We currently are not able to estimate the possible cost to us from this action, as the pending lawsuit is currently at an early stage, and we cannot be certain how long it may take to resolve the pending lawsuit or the possible amount of any damages that we may be required to pay. If we are ultimately required to pay significant defense costs, damages or settlement amounts, such payments could adversely affect our operations.</w:t>
      </w:r>
    </w:p>
    <w:p>
      <w:pPr>
        <w:spacing w:after="0" w:line="69"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Additionally, we received a request from the SEC, dated March 22, 2023, for documents and information concerning, among other matters, our testing and analysis of the efficacy of ADG20 against Omicron and other COVID-19 variants, our public statements regarding the potential use of ADG20 against the Omicron variant, and related communications with</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97" w:name="page98"/>
    <w:bookmarkEnd w:id="97"/>
    <w:p>
      <w:pPr>
        <w:jc w:val="both"/>
        <w:spacing w:after="0" w:line="281" w:lineRule="auto"/>
        <w:rPr>
          <w:sz w:val="20"/>
          <w:szCs w:val="20"/>
          <w:color w:val="auto"/>
        </w:rPr>
      </w:pPr>
      <w:r>
        <w:rPr>
          <w:rFonts w:ascii="Times New Roman" w:cs="Times New Roman" w:eastAsia="Times New Roman" w:hAnsi="Times New Roman"/>
          <w:sz w:val="18"/>
          <w:szCs w:val="18"/>
          <w:color w:val="auto"/>
        </w:rPr>
        <w:t>investors and the media. By letter dated August 9, 2023, the SEC notified us that the SEC had concluded its investigation and did not intend to recommend any action against us.</w:t>
      </w:r>
    </w:p>
    <w:p>
      <w:pPr>
        <w:spacing w:after="0" w:line="5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may be the target of similar litigation or investigations in the future. The market price of our common stock has experienced and may continue to experience volatility, and in the past, companies that have experienced volatility in the market price of their stock have been subject to securities litigation. Any future litigation or investigation could result in substantial costs and divert our management’s attention from other business concerns, which could seriously harm our business. We maintain liability insurance; however, if any costs or expenses associated with pending lawsuits or any other litigation or investigation exceed our insurance coverage, we may be forced to bear some or all costs and expenses directly, which could adversely affect our business, financial condition, results of operations or stock price.</w:t>
      </w:r>
    </w:p>
    <w:p>
      <w:pPr>
        <w:spacing w:after="0" w:line="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losses to offset future taxable income may be subject to certain limitations.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have incurred substantial losses since inception and do not expect to become profitable in the near future, if ever. To the extent that we continue to generate taxable losses, unused losses will carry forward to offset future taxable income, if any. As of December 31, 2023, we had U.S. federal net operating loss (“NOL”) carryforwards of $318.6 million, which may be available to reduce future taxable income and have an indefinite carryforward period but are limited in their usage to an annual deduction equal to 80% of annual taxable income. In addition, as of December 31, 2023, we had state NOL carryforwards of $153.8 million, which may be available to reduce future taxable income, of which $9.6 million have an indefinite carryforward period while the remaining $144.2 million begin to expire in 2032. As of December 31, 2023, we also had U.S. federal and state research and development tax credit carryforwards of $19.3 million and $6.4 million, respectively, which may be available to reduce future tax liabilities and expire at various dates beginning in 2041 and 2036 respectively.</w:t>
      </w:r>
    </w:p>
    <w:p>
      <w:pPr>
        <w:spacing w:after="0" w:line="81"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Under the Tax Act, as modified by the Coronavirus Aid, Relief and Economic Security Act (the “CARES Act”), federal NOLs incurred in taxable years beginning after December 31, 2017 and in future taxable years may carry forward indefinitely, but the deductibility of such federal NOLs incurred in taxable years beginning after December 31, 2020 may be limited. There is variation in how states are responding. In addition, for state income tax purposes, there may be periods during which the use of NOLs is suspended or otherwise limited.</w:t>
      </w:r>
    </w:p>
    <w:p>
      <w:pPr>
        <w:spacing w:after="0" w:line="7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under Section 382 of the Internal Revenue Code of 1986, as amended, and corresponding provisions of state law, if a corporation undergoes an “ownership change,” which is generally defined as a greater than 50% change, by value, in its equity ownership over a three-year period, the corporation’s ability to use its pre-change NOL carryforwards and other pre-change tax attributes to offset its post-change income or taxes may be limited. The IPO, together with private placements and other transactions that have occurred since our inception, may trigger such an ownership change pursuant to Section 382. We have not conducted a study to assess whether any such ownership changes have occurred. We may have experienced, and may in the future experience, ownership changes as a result of shifts in our stock ownership, some of which may be outside of our control. If an ownership change has occurred or occurs in the future, and our ability to use our NOL carryforwards is materially limited, it would harm our financial condition and results of operations by effectively increasing our future tax obligations.</w:t>
      </w:r>
    </w:p>
    <w:p>
      <w:pPr>
        <w:spacing w:after="0" w:line="8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assess the impact of various tax reform proposals and modifications to existing tax treaties in all jurisdictions where we have operations to determine the potential effect on our business and any assumptions we have made about our future taxable income. We cannot predict whether any specific proposals will be enacted, the terms of any such proposals or what effect, if any, such proposals would have on our business if they were to be enacted. Beginning in 2022, the Tax Act now eliminates the previously available option to deduct research and development expenditures and requires taxpayers to amortize them over five or fifteen years. Although U.S. Congress considered legislation that would defer the amortization requirement to future periods; the provision has not been repealed or otherwise modified.</w:t>
      </w:r>
    </w:p>
    <w:p>
      <w:pPr>
        <w:spacing w:after="0" w:line="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maintain our cash at financial institutions, often in balances that exceed federally insured limits.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majority of our cash is held in accounts at U.S. banking institutions that we believe are of high quality. Cash held in depository accounts may exceed the $250,000 Federal Deposit Insurance Corporation (“FDIC”) insurance limits. If such banking institutions were to fail, such as Silicon Valley Bank when the FDIC took control in March 2023, we could lose all or a portion of those amounts held in excess of such insurance limitations. In the future, our access to our cash in amounts adequate to finance our operations could be significantly impaired by the financial institutions with which we have arrangements directly facing liquidity constraints or failures. Any material loss that we may experience in the future could have a material adverse effect on our financial condition and could materially impact our ability to pay our operational expenses or make other payments.</w:t>
      </w:r>
    </w:p>
    <w:p>
      <w:pPr>
        <w:spacing w:after="0" w:line="74"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activities are subject to the FCPA and similar anti-bribery and anti-corruption laws. We could face liability and other serious consequences for violations.</w:t>
      </w:r>
    </w:p>
    <w:p>
      <w:pPr>
        <w:spacing w:after="0" w:line="50"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We are subject to anti-corruption laws and regulations, including the FCPA and similar anti-bribery or anti-corruption laws, regulations or rules of other countries in which we operate. The FCPA generally prohibits offering, promising, giving or</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98" w:name="page99"/>
    <w:bookmarkEnd w:id="98"/>
    <w:p>
      <w:pPr>
        <w:jc w:val="both"/>
        <w:spacing w:after="0" w:line="252" w:lineRule="auto"/>
        <w:rPr>
          <w:sz w:val="20"/>
          <w:szCs w:val="20"/>
          <w:color w:val="auto"/>
        </w:rPr>
      </w:pPr>
      <w:r>
        <w:rPr>
          <w:rFonts w:ascii="Times New Roman" w:cs="Times New Roman" w:eastAsia="Times New Roman" w:hAnsi="Times New Roman"/>
          <w:sz w:val="18"/>
          <w:szCs w:val="18"/>
          <w:color w:val="auto"/>
        </w:rPr>
        <w:t>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healthcare providers who prescribe pharmaceuticals are employed by their government, and the purchasers of pharmaceuticals are government entities; therefore, our dealings with these prescribers and purchasers will be subject to regulation under the FCPA. Recently the SEC and Department of Justice have increased their FCPA enforcement activities with respect to biotechnology and pharmaceutical companies. There is no certainty that all of our employees, agents, suppliers, manufacturer,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facilities, including those of our suppliers and manufacturer,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as well as difficulties in manufacturing or continuing to develop our products, and could materially damage our reputation, our brand, our international expansion efforts, our ability to attract and retain employees, and our business, prospects, operating results, and financial condition.</w:t>
      </w:r>
    </w:p>
    <w:p>
      <w:pPr>
        <w:spacing w:after="0" w:line="82"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the SEC and other government agencies caused by funding shortages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1"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7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drugs or biologics to be reviewed and/or approved by necessary government agencies, which would adversely affect our business. For example, over the last several years, including most recently from December 22, 2018 to January 25, 2019,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78"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Separately, in response to the COVID-19 pandemic, on March 10, 2020, the FDA announced its intention to postpone most inspections of foreign manufacturing facilities and products and subsequently, on March 18, 2020, the FDA temporarily postponed routine surveillance inspections of domestic manufacturing facilities. Since then, the FDA has resumed both domestic and foreign inspections subject to travel restrictions.</w:t>
      </w:r>
    </w:p>
    <w:p>
      <w:pPr>
        <w:spacing w:after="0" w:line="69"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If a prolonged government shutdown occurs, or if global health concerns prevent the FDA or other regulatory authorities from conducting business as usual or conducting inspections, reviews or other regulatory activities, it could significantly impact the ability of the FDA to timely review and process our regulatory submissions, which could have a material adverse effect on our business.</w:t>
      </w:r>
    </w:p>
    <w:p>
      <w:pPr>
        <w:spacing w:after="0" w:line="65"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and geopolitical events could adversely affect our business, financial condition or results of operations, including clinical trials.</w:t>
      </w:r>
    </w:p>
    <w:p>
      <w:pPr>
        <w:spacing w:after="0" w:line="5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The financial markets and the global economy may also be adversely affected by the current or anticipated impact of military conflict, including the ongoing conflict between Russia and Ukraine, terrorism or other geopolitical events, including as a result of trade tensions between the U.S. and China. Sanctions imposed by the U.S. and other countries in response to conflicts, including the one in Ukraine, may also adversely impact the financial markets and the global economy, and any economic countermeasures by the affected countries or others could exacerbate market and economic instability. We have conducted and may in the future conduct clinical trials for our product candidates outside of the U.S. and unfavorable economic conditions resulting in the weakening of the U.S. dollar would make those clinical trials more costly to operate. Furthermore, a severe or prolonged economic downturn, including a recession or depression resulting from the COVID-19 pandemic, higher inflation and interest rates, political disruption or other geopolitical events, including an expansion of the conflict between Russia and Ukraine or instigation of other military conflicts, could result in a variety of risks to our business, including weakened demand for our product candidates or any future product candidates, if authorized or approved, and our</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99" w:name="page100"/>
    <w:bookmarkEnd w:id="99"/>
    <w:p>
      <w:pPr>
        <w:jc w:val="both"/>
        <w:spacing w:after="0" w:line="255" w:lineRule="auto"/>
        <w:rPr>
          <w:sz w:val="20"/>
          <w:szCs w:val="20"/>
          <w:color w:val="auto"/>
        </w:rPr>
      </w:pPr>
      <w:r>
        <w:rPr>
          <w:rFonts w:ascii="Times New Roman" w:cs="Times New Roman" w:eastAsia="Times New Roman" w:hAnsi="Times New Roman"/>
          <w:sz w:val="18"/>
          <w:szCs w:val="18"/>
          <w:color w:val="auto"/>
        </w:rPr>
        <w:t>ability to raise additional capital when needed on acceptable terms, if at all. A weak or declining economy or political disruption, including any international trade disputes or changes in U.S. trade policies, particularly with China, could also strain our manufacturer or suppliers, possibly resulting in supply disruption, or cause our customers to delay making payments for our potential products. Furthermore, while we seek to limit our concentration of risk as it relates to cash management by having a separate operating bank account with a U.S. commercial bank for routine disbursements, while maintaining our cash investments with an independent SEC-registered financial advisor, our liquidity, business and financial condition may be materially and adversely affected by unanticipated events such as a bank collapse. Any of the foregoing could seriously harm our business, and we cannot anticipate all of the ways in which the political or economic climate and financial market conditions could seriously harm our business.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100" w:name="page101"/>
    <w:bookmarkEnd w:id="100"/>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48"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We have established policies and processes for assessing, identifying, and managing the risks from foreseeable cybersecurity threats and for detecting and responding to any cybersecurity incidents. These policies and processes are built into our information technology (“IT”) function and are designed to align with the NIST Cybersecurity Framework, published by the U.S. National Institute of Standards and Technology.</w:t>
      </w:r>
    </w:p>
    <w:p>
      <w:pPr>
        <w:spacing w:after="0" w:line="11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have adopted an IT Security Management Policy (“IT Policy”) to establish the requirements for securing and managing our IT assets and data, as well as an Incident Response Policy designed to coordinate the activities for preparing for, identifying, responding to, and recovering from cybersecurity threats. Our Head of IT is primarily responsible for implementing and overseeing the IT Policy, which is applicable to all our employees and contractors, as well as any third parties with access to our IT assets and data. Our Head of IT is also primarily responsible for leading incident response services under the Incident Response Policy. Our Head of IT leverages over 20 years of experience in various cybersecurity functions. As part of our overall risk mitigation strategy, we maintain an Enterprise Risk Register to identify, prioritize and track system risks, including cybersecurity risks. Additionally, we maintain cybersecurity insurance; however, such insurance may not be sufficient in type or amount to cover the total losses or damages related to a cybersecurity incident.</w:t>
      </w:r>
    </w:p>
    <w:p>
      <w:pPr>
        <w:spacing w:after="0" w:line="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implement technical, physical, and organizational measures designed to manage and mitigate risks from cybersecurity threats. For example, we employ multifactor authentication, single sign-on, and email filtering services across our systems. Additionally, we conduct monthly video-based cybersecurity awareness trainings across our workforce, which cover relevant topics such as social engineering, phishing, password protection, confidential data protection, and mobile security. We regularly perform company-wide phishing tests. We currently leverage multiple third-party service providers to assist in monitoring, managing, and detecting cybersecurity threats and conducting periodic vulnerability assessments of our critical assets.</w:t>
      </w:r>
    </w:p>
    <w:p>
      <w:pPr>
        <w:spacing w:after="0" w:line="74"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As of the date of this report, we are not aware of any cybersecurity threats, including as a result of any previous cybersecurity incidents, that have materially affected or are reasonably likely to materially affect our business strategy, results of operations, or financial condition. However, evolving cybersecurity threats make it increasingly challenging to anticipate, detect, and defend against cybersecurity threats and incidents.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4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While our Board of Directors has overall responsibility for risk oversight, the Audit Committee of our Board of Directors (the “Audit Committee”) is responsible for overseeing our cybersecurity risk management and strategy. The Audit Committee reviews and discusses with management and the Company’s auditors, as appropriate, our risks relating to data privacy, technology, and information security, including cybersecurity and back-up of information systems. The Audit Committee also confers with management and our auditors, as appropriate, regarding the adequacy and effectiveness of our policies and the internal controls regarding information security.</w:t>
      </w:r>
    </w:p>
    <w:p>
      <w:pPr>
        <w:spacing w:after="0" w:line="74"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Our Head of IT meets regularly with our Chief Operating Officer to discuss our cybersecurity threat landscape, address open gaps and issues, and evaluate solutions to cover any identified gaps. Our Head of IT, in collaboration with members of senior management, reports relevant cybersecurity matters to our Audit Committee.</w:t>
      </w:r>
    </w:p>
    <w:p>
      <w:pPr>
        <w:spacing w:after="0" w:line="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discussion of cybersecurity risks, please see Item 1A, “Risk Factors.”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Our principal office is located at 1601 Trapelo Road, Suite 178, Waltham, MA, 02451, where we lease 9,600 square feet of office space for general and administrative purposes. We lease this space under a lease agreement that terminates on September 30, 2026.</w:t>
      </w:r>
    </w:p>
    <w:p>
      <w:pPr>
        <w:spacing w:after="0" w:line="55"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Additionally, we lease laboratory and office space in Newton, Massachusetts for research and development purposes. We lease this space under a lease agreement that terminates on November 30, 2024.</w:t>
      </w:r>
    </w:p>
    <w:p>
      <w:pPr>
        <w:spacing w:after="0" w:line="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that our facilities are sufficient to meet our current needs.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January 31, 2023, a securities class action lawsuit captioned Brill v. Invivyd, Inc., et. al., Case No. 1:23-CV-10254-LTS, was filed against us and certain of our former officers in the U.S. District Court for the District of Massachusetts. The complaint alleges violations of Sections 10(b) and 20(a) of the Exchange Act and Rule 10b-5 promulgated thereunder on the basis of purportedly materially false and misleading statements and omissions concerning ADG20’s effectiveness against the Omicron variant of COVID-19. The complaint seeks, among other things, unspecified damages, attorneys’ fees, expert fees, and other costs. The court appointed lead plaintiffs for the action on June 28, 2023. On August 23, 2023, the lead plaintiffs filed an amended complaint that makes allegations similar to those in the original complaint and asserts the same claims against the same defendants as the original complaint. On October 19, 2023, the parties filed a joint stipulation to advise the court that the lead plaintiffs intended to seek leave to file a second amended complaint, and on November 22, 2023, the lead plaintiffs filed a second amended complaint that makes allegations similar to those in the prior complaints and asserts the same claims against the same defendants as the prior complaints. On January 12, 2024, the defendants filed a motion to dismiss the second amended complaint in its entirety. The lead plaintiffs filed an opposition to the motion to dismiss on February 26, 2024, and the defendants filed a reply in further support of their motion to dismiss on March 27, 2024.</w:t>
      </w:r>
    </w:p>
    <w:p>
      <w:pPr>
        <w:spacing w:after="0" w:line="81"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We believe that we have strong defenses, and we intend to vigorously defend against this action. The lawsuit is in early stages, and, at this time, no assessment can be made as to the likely outcome or whether the outcome will be material to us.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32" w:lineRule="exact"/>
        <w:rPr>
          <w:sz w:val="20"/>
          <w:szCs w:val="20"/>
          <w:color w:val="auto"/>
        </w:rPr>
      </w:pPr>
    </w:p>
    <w:p>
      <w:pPr>
        <w:ind w:right="1940"/>
        <w:spacing w:after="0" w:line="377"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“IVVD”.</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21"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As of March 12, 2024, there were 11 holders of record of our common stock. This number does not reflect the beneficial holders of our common stock who hold shares in street name through brokerage accounts or other nominees.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currently anticipate that we will retain all available funds and future earnings for the development, operation and expansion of our business and do not anticipate declaring or paying any cash dividends for the foreseeable future.</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Information regarding securities authorized for issuance under equity compensation plans is incorporated by reference into the information in Part III, Item 12 of this Annual Report on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Other than as previously disclosed on our Current Reports on Form 8-K or Quarterly Reports on Form 10-Q, we did not issue any unregistered equity securities during the twelve months ended December 31,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On August 5, 2021, our Registration Statement on Form S-1, as amended (File No. 333-257975), was declared effective in connection with our initial public offering, pursuant to which we sold an aggregate of 20,930,000 shares of our common stock, including the full exercise of the underwriters’ option to purchase additional shares, at a price to the public of $17.00 per share. Morgan Stanley &amp; Co. LLC, Jefferies LLC, Stifel, Nicolaus &amp; Company, Incorporated and Guggenheim Securities, LLC acted as joint book-running managers.</w:t>
      </w:r>
    </w:p>
    <w:p>
      <w:pPr>
        <w:spacing w:after="0" w:line="7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initial public offering closed on August 10, 2021. The aggregate net proceeds received by the Company from the initial public offering were approximately $327.5 million, after deducting underwriting discounts and commissions of $24.9 million and offering expenses payable by the Company of $3.4 million. In connection with our initial public offering, no payments were made by us to directors, officers or persons owning ten percent or more of our common stock or to their associates or to our affiliates. Other than the reallocation of proceeds to fund clinical development, manufacturing supply and initial commercialization costs from ADG20 to other product candidates, there has been no material change in the planned use of proceeds from our initial public offering as described in our prospectus filed pursuant to Rule 424(b)(4) under the Securities Act with the SEC on August 6, 2021.</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Maximum Number (or</w:t>
            </w: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 (or</w:t>
            </w:r>
          </w:p>
        </w:tc>
        <w:tc>
          <w:tcPr>
            <w:tcW w:w="240" w:type="dxa"/>
            <w:vAlign w:val="bottom"/>
          </w:tcPr>
          <w:p>
            <w:pPr>
              <w:spacing w:after="0"/>
              <w:rPr>
                <w:sz w:val="12"/>
                <w:szCs w:val="12"/>
                <w:color w:val="auto"/>
              </w:rPr>
            </w:pPr>
          </w:p>
        </w:tc>
        <w:tc>
          <w:tcPr>
            <w:tcW w:w="18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Approximate Dollar Value)</w:t>
            </w: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8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of Shares (or Units) that</w:t>
            </w: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Total Number of Shares (or</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22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Purchased as Part of</w:t>
            </w:r>
          </w:p>
        </w:tc>
        <w:tc>
          <w:tcPr>
            <w:tcW w:w="240" w:type="dxa"/>
            <w:vAlign w:val="bottom"/>
          </w:tcPr>
          <w:p>
            <w:pPr>
              <w:spacing w:after="0"/>
              <w:rPr>
                <w:sz w:val="12"/>
                <w:szCs w:val="12"/>
                <w:color w:val="auto"/>
              </w:rPr>
            </w:pPr>
          </w:p>
        </w:tc>
        <w:tc>
          <w:tcPr>
            <w:tcW w:w="18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May Yet Be Purchased</w:t>
            </w:r>
          </w:p>
        </w:tc>
        <w:tc>
          <w:tcPr>
            <w:tcW w:w="0" w:type="dxa"/>
            <w:vAlign w:val="bottom"/>
          </w:tcPr>
          <w:p>
            <w:pPr>
              <w:spacing w:after="0"/>
              <w:rPr>
                <w:sz w:val="1"/>
                <w:szCs w:val="1"/>
                <w:color w:val="auto"/>
              </w:rPr>
            </w:pPr>
          </w:p>
        </w:tc>
      </w:tr>
      <w:tr>
        <w:trPr>
          <w:trHeight w:val="148"/>
        </w:trPr>
        <w:tc>
          <w:tcPr>
            <w:tcW w:w="2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2"/>
                <w:szCs w:val="12"/>
                <w:color w:val="auto"/>
              </w:rPr>
            </w:pPr>
          </w:p>
        </w:tc>
        <w:tc>
          <w:tcPr>
            <w:tcW w:w="18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 Plans or</w:t>
            </w:r>
          </w:p>
        </w:tc>
        <w:tc>
          <w:tcPr>
            <w:tcW w:w="240" w:type="dxa"/>
            <w:vAlign w:val="bottom"/>
          </w:tcPr>
          <w:p>
            <w:pPr>
              <w:spacing w:after="0"/>
              <w:rPr>
                <w:sz w:val="12"/>
                <w:szCs w:val="12"/>
                <w:color w:val="auto"/>
              </w:rPr>
            </w:pPr>
          </w:p>
        </w:tc>
        <w:tc>
          <w:tcPr>
            <w:tcW w:w="18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87"/>
        </w:trPr>
        <w:tc>
          <w:tcPr>
            <w:tcW w:w="29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Units) Purchased</w:t>
            </w:r>
          </w:p>
        </w:tc>
        <w:tc>
          <w:tcPr>
            <w:tcW w:w="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Share (or Unit)</w:t>
            </w:r>
          </w:p>
        </w:tc>
        <w:tc>
          <w:tcPr>
            <w:tcW w:w="220" w:type="dxa"/>
            <w:vAlign w:val="bottom"/>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240" w:type="dxa"/>
            <w:vAlign w:val="bottom"/>
          </w:tcPr>
          <w:p>
            <w:pPr>
              <w:spacing w:after="0"/>
              <w:rPr>
                <w:sz w:val="16"/>
                <w:szCs w:val="16"/>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October 1, 2023 to October 31, 2023</w:t>
            </w:r>
          </w:p>
        </w:tc>
        <w:tc>
          <w:tcPr>
            <w:tcW w:w="1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31,765</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0.002</w:t>
            </w:r>
          </w:p>
        </w:tc>
        <w:tc>
          <w:tcPr>
            <w:tcW w:w="220" w:type="dxa"/>
            <w:vAlign w:val="bottom"/>
            <w:shd w:val="clear" w:color="auto" w:fill="CFF0FC"/>
          </w:tcPr>
          <w:p>
            <w:pPr>
              <w:spacing w:after="0"/>
              <w:rPr>
                <w:sz w:val="20"/>
                <w:szCs w:val="20"/>
                <w:color w:val="auto"/>
              </w:rPr>
            </w:pPr>
          </w:p>
        </w:tc>
        <w:tc>
          <w:tcPr>
            <w:tcW w:w="1840" w:type="dxa"/>
            <w:vAlign w:val="bottom"/>
            <w:shd w:val="clear" w:color="auto" w:fill="CFF0FC"/>
          </w:tcPr>
          <w:p>
            <w:pPr>
              <w:ind w:left="166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0"/>
                <w:szCs w:val="20"/>
                <w:color w:val="auto"/>
              </w:rPr>
            </w:pPr>
          </w:p>
        </w:tc>
        <w:tc>
          <w:tcPr>
            <w:tcW w:w="1880" w:type="dxa"/>
            <w:vAlign w:val="bottom"/>
            <w:gridSpan w:val="2"/>
            <w:shd w:val="clear" w:color="auto" w:fill="CFF0FC"/>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 2023 to November 30,</w:t>
            </w: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40" w:type="dxa"/>
            <w:vAlign w:val="bottom"/>
          </w:tcPr>
          <w:p>
            <w:pPr>
              <w:ind w:left="166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188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2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December 1, 2023 to December 31,</w:t>
            </w:r>
          </w:p>
        </w:tc>
        <w:tc>
          <w:tcPr>
            <w:tcW w:w="120" w:type="dxa"/>
            <w:vAlign w:val="bottom"/>
            <w:shd w:val="clear" w:color="auto" w:fill="CFF0FC"/>
          </w:tcPr>
          <w:p>
            <w:pPr>
              <w:spacing w:after="0"/>
              <w:rPr>
                <w:sz w:val="18"/>
                <w:szCs w:val="18"/>
                <w:color w:val="auto"/>
              </w:rPr>
            </w:pPr>
          </w:p>
        </w:tc>
        <w:tc>
          <w:tcPr>
            <w:tcW w:w="1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840" w:type="dxa"/>
            <w:vAlign w:val="bottom"/>
            <w:vMerge w:val="restart"/>
            <w:shd w:val="clear" w:color="auto" w:fill="CFF0FC"/>
          </w:tcPr>
          <w:p>
            <w:pPr>
              <w:ind w:left="166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18"/>
                <w:szCs w:val="18"/>
                <w:color w:val="auto"/>
              </w:rPr>
            </w:pPr>
          </w:p>
        </w:tc>
        <w:tc>
          <w:tcPr>
            <w:tcW w:w="1780" w:type="dxa"/>
            <w:vAlign w:val="bottom"/>
            <w:vMerge w:val="restart"/>
            <w:shd w:val="clear" w:color="auto" w:fill="CFF0FC"/>
          </w:tcPr>
          <w:p>
            <w:pPr>
              <w:ind w:left="15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vMerge w:val="restart"/>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FF0FC"/>
            </w:tcBorders>
            <w:shd w:val="clear" w:color="auto" w:fill="CFF0FC"/>
          </w:tcPr>
          <w:p>
            <w:pPr>
              <w:spacing w:after="0"/>
              <w:rPr>
                <w:sz w:val="20"/>
                <w:szCs w:val="20"/>
                <w:color w:val="auto"/>
              </w:rPr>
            </w:pPr>
          </w:p>
        </w:tc>
        <w:tc>
          <w:tcPr>
            <w:tcW w:w="1860" w:type="dxa"/>
            <w:vAlign w:val="bottom"/>
            <w:tcBorders>
              <w:bottom w:val="single" w:sz="8" w:color="auto"/>
            </w:tcBorders>
            <w:vMerge w:val="continue"/>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66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84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78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31,765</w:t>
            </w:r>
          </w:p>
        </w:tc>
        <w:tc>
          <w:tcPr>
            <w:tcW w:w="3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0.002</w:t>
            </w:r>
          </w:p>
        </w:tc>
        <w:tc>
          <w:tcPr>
            <w:tcW w:w="220" w:type="dxa"/>
            <w:vAlign w:val="bottom"/>
          </w:tcPr>
          <w:p>
            <w:pPr>
              <w:spacing w:after="0"/>
              <w:rPr>
                <w:sz w:val="20"/>
                <w:szCs w:val="20"/>
                <w:color w:val="auto"/>
              </w:rPr>
            </w:pPr>
          </w:p>
        </w:tc>
        <w:tc>
          <w:tcPr>
            <w:tcW w:w="1840" w:type="dxa"/>
            <w:vAlign w:val="bottom"/>
          </w:tcPr>
          <w:p>
            <w:pPr>
              <w:ind w:left="166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188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3130550</wp:posOffset>
            </wp:positionH>
            <wp:positionV relativeFrom="paragraph">
              <wp:posOffset>-187960</wp:posOffset>
            </wp:positionV>
            <wp:extent cx="768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4483100</wp:posOffset>
            </wp:positionH>
            <wp:positionV relativeFrom="paragraph">
              <wp:posOffset>-187960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5793105</wp:posOffset>
            </wp:positionH>
            <wp:positionV relativeFrom="paragraph">
              <wp:posOffset>-187960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96" w:lineRule="exact"/>
        <w:rPr>
          <w:sz w:val="20"/>
          <w:szCs w:val="20"/>
          <w:color w:val="auto"/>
        </w:rPr>
      </w:pPr>
    </w:p>
    <w:p>
      <w:pPr>
        <w:ind w:right="600" w:firstLine="8"/>
        <w:spacing w:after="0" w:line="281" w:lineRule="auto"/>
        <w:tabs>
          <w:tab w:leader="none" w:pos="111" w:val="left"/>
        </w:tabs>
        <w:numPr>
          <w:ilvl w:val="0"/>
          <w:numId w:val="55"/>
        </w:numPr>
        <w:rPr>
          <w:rFonts w:ascii="Times New Roman" w:cs="Times New Roman" w:eastAsia="Times New Roman" w:hAnsi="Times New Roman"/>
          <w:sz w:val="8"/>
          <w:szCs w:val="8"/>
          <w:color w:val="auto"/>
        </w:rPr>
      </w:pPr>
      <w:r>
        <w:rPr>
          <w:rFonts w:ascii="Times New Roman" w:cs="Times New Roman" w:eastAsia="Times New Roman" w:hAnsi="Times New Roman"/>
          <w:sz w:val="18"/>
          <w:szCs w:val="18"/>
          <w:color w:val="auto"/>
        </w:rPr>
        <w:t>We repurchased shares of our common stock that were previously issued upon the early exercise of employee stock options in connection with the exercise of our repurchase right upon cessation of service of certain of our employees and directors.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4" w:right="339" w:bottom="1440" w:gutter="0" w:footer="0" w:header="0"/>
        </w:sectPr>
      </w:pPr>
    </w:p>
    <w:bookmarkStart w:id="104" w:name="page105"/>
    <w:bookmarkEnd w:id="104"/>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consolidated financial statements and related notes appearing elsewhere in this Annual Report on Form 10-K. Some of the information contained in this discussion and analysis or set forth elsewhere in this Annual Report, including information with respect to our plans and strategy for our business and related financing, includes forward-looking statements that involve risks and uncertainties. As a result of many factors, including those factors set forth in the “Risk Factors” section of this Annual Report, our actual results could differ materially from the results described in or implied by the forward-looking statements contained in the following discussion and analysis.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Invivyd, Inc. is a commercial-stage company on a mission to rapidly and perpetually deliver antibody-based therapies that protect vulnerable people from the devastating consequences of circulating viral threats, beginning with SARS-CoV-2. INVYMAB is designed to facilitate the rapid, serial generation of new monoclonal antibodies (“mAbs”) to keep pace with evolving viral threats.</w:t>
      </w:r>
    </w:p>
    <w:p>
      <w:pPr>
        <w:spacing w:after="0" w:line="6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March 22, 2024, we received emergency use authorization (“EUA”) from the U.S. Food and Drug Administration (“FDA”) for PEMGARDA™ (pemivibart) injection, for intravenous use, a half-life extended investigational mAb, for the pre-exposure prophylaxis (prevention) of COVID-19 in adults and adolescents (12 years of age and older weighing at least 40 kg) who have moderate-to-severe immune compromise due to certain medical conditions or receipt of certain immunosuppressive medications or treatments and are unlikely to mount an adequate immune response to COVID-19 vaccination. Recipients should not be currently infected with or have had a known recent exposure to an individual infected with SARS-CoV-2.</w:t>
      </w:r>
    </w:p>
    <w:p>
      <w:pPr>
        <w:spacing w:after="0" w:line="7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PEMGARDA is our first mAb in a planned series of innovative mAb candidates designed to keep pace with SARS-CoV-2 viral evolution. As the SARS-CoV-2 virus evolves over time, we anticipate leveraging our INVYMAB platform approach to periodically introduce new or engineered mAb candidates, an approach that would be analogous to the periodic updates made to influenza and COVID-19 vaccines. In January 2024, we nominated VYD2311, a mAb optimized for neutralization potency against recent SARS-CoV-2 lineages such as BA.2.86 and JN.1, as a drug candidate, and we expect it will be the next pipeline program to advance into clinical development. In addition to developing candidates for COVID-19, we expect to apply our INVYMAB platform approach to produce lead molecules for other viral diseases, such as influenza.</w:t>
      </w:r>
    </w:p>
    <w:p>
      <w:pPr>
        <w:spacing w:after="0" w:line="7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Globally, COVID-19 has caused millions of deaths and lasting health problems in many survivors and remains a significant global health concern, particularly for immunocompromised individuals. Isolation and mental health impacts, absenteeism from work, and educational losses for children have been profound consequences of this crisis. COVID-19 persists and continues to impact patients, notably those who are immunocompromised, and combating this disease will require a variety of effective and safe prevention and treatment options for years to come. By leveraging our capabilities, which we have developed through our experience with adintrevimab and pemivibart and nearly four years in the COVID-19 space, we aim to develop a continuous repertoire of SARS-CoV-2 neutralizing mAbs to keep pace with viral evolution.</w:t>
      </w:r>
    </w:p>
    <w:p>
      <w:pPr>
        <w:spacing w:after="0" w:line="7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Since our inception, we have devoted substantially all of our resources to organizing and staffing, building an intellectual property portfolio, business planning, conducting research and development, establishing and executing arrangements with third parties for the manufacture of our product candidates, and raising capital. Our focus in recent months has been and will continue to be supporting the commercialization of PEMGARDA and establishing streamlined development pathways that could enable us to efficiently introduce new or engineered mAb candidates targeting SARS-CoV-2, leveraging our INVYMAB platform approach and previously generated safety and efficacy data from our clinical trials of adintrevimab and/or pemivibart.</w:t>
      </w:r>
    </w:p>
    <w:p>
      <w:pPr>
        <w:spacing w:after="0" w:line="7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rely on partnerships, external consultants and contract research organizations (“CROs”) to conduct discovery, nonclinical, preclinical, clinical and commercial activities. Additionally, we rely on contract testing laboratories and a contract development and manufacturing organization (“CDMO”) to execute our chemistry, manufacturing and controls development, testing and manufacturing activities. We have engaged WuXi Biologics (Hong Kong) Limited (“WuXi Biologics”), a CDMO, for the development and manufacture of our product candidates for clinical and commercial use. Further, in 2022, we secured dedicated laboratory space and expanded our research team in order to enable internal discovery and development of our mAb candidates, while continuing to leverage our existing partnership with Adimab, LLC (“Adimab”). We are focused on antibody discovery and use of Adimab’s platform technology, while building our internal capabilities. In addition, we expect to continue to rely on third parties for clinical trials and the manufacture and testing of our product candidates, as well as to perform ongoing research and development and other services on our behalf.</w:t>
      </w:r>
    </w:p>
    <w:p>
      <w:pPr>
        <w:spacing w:after="0" w:line="81"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Since our inception, we have financed our operations primarily with net proceeds of $464.7 million from sales of our preferred stock and with net proceeds of $327.5 million from our initial public offering (“IPO”). Through December 31, 2023, we had not generated any revenue from any sources, including product sales. Our ability to generate product revenue sufficient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5" w:name="page106"/>
    <w:bookmarkEnd w:id="105"/>
    <w:p>
      <w:pPr>
        <w:jc w:val="both"/>
        <w:spacing w:after="0" w:line="281" w:lineRule="auto"/>
        <w:rPr>
          <w:sz w:val="20"/>
          <w:szCs w:val="20"/>
          <w:color w:val="auto"/>
        </w:rPr>
      </w:pPr>
      <w:r>
        <w:rPr>
          <w:rFonts w:ascii="Times New Roman" w:cs="Times New Roman" w:eastAsia="Times New Roman" w:hAnsi="Times New Roman"/>
          <w:sz w:val="18"/>
          <w:szCs w:val="18"/>
          <w:color w:val="auto"/>
        </w:rPr>
        <w:t>to achieve profitability will depend heavily on the successful development and commercialization of one or more of our product candidates, as they become authorized or approved.</w:t>
      </w:r>
    </w:p>
    <w:p>
      <w:pPr>
        <w:spacing w:after="0" w:line="5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Since our inception, we have incurred significant losses, including a net loss of $198.6 million for the year ended December 31, 2023. As of December 31, 2023, we had an accumulated deficit of $732.1 million. We may continue to incur significant expenses and recognize losses in the foreseeable future as we expand and progress our research and development activities, as well as the associated manufacturing activities and commercialization efforts. In addition, our losses from operations may fluctuate significantly from period to period depending on the timing of our clinical trials and our expenditures on other research and development activities, including any associated manufacturing activities, and commercialization efforts. Our expenses could increase substantially in connection with our ongoing activities, as we:</w:t>
      </w:r>
    </w:p>
    <w:p>
      <w:pPr>
        <w:spacing w:after="0" w:line="78" w:lineRule="exact"/>
        <w:rPr>
          <w:sz w:val="20"/>
          <w:szCs w:val="20"/>
          <w:color w:val="auto"/>
        </w:rPr>
      </w:pPr>
    </w:p>
    <w:p>
      <w:pPr>
        <w:ind w:left="1140" w:hanging="504"/>
        <w:spacing w:after="0"/>
        <w:tabs>
          <w:tab w:leader="none" w:pos="11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conduct clinical trials of our product candidates;</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product candidates in new indications or patient populations;</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preclinical and discovery programs, including development and screening of additional antibodies;</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authorization or approval for any product candidates that successfully complete clinical trials;</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regulatory authorizations or approvals and coverage and reimbursement for our product candidates, if authorized or approved;</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product candidates, intellectual property and/or technologies;</w:t>
      </w:r>
    </w:p>
    <w:p>
      <w:pPr>
        <w:spacing w:after="0" w:line="116" w:lineRule="exact"/>
        <w:rPr>
          <w:rFonts w:ascii="Times New Roman" w:cs="Times New Roman" w:eastAsia="Times New Roman" w:hAnsi="Times New Roman"/>
          <w:sz w:val="18"/>
          <w:szCs w:val="18"/>
          <w:color w:val="auto"/>
        </w:rPr>
      </w:pPr>
    </w:p>
    <w:p>
      <w:pPr>
        <w:ind w:left="1140" w:hanging="504"/>
        <w:spacing w:after="0" w:line="281" w:lineRule="auto"/>
        <w:tabs>
          <w:tab w:leader="none" w:pos="11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 and validate our commercial-scale current Good Manufacturing Practices (“cGMP”) manufacturing process and manufacture material under cGMP at our contracted manufacturing facilities for clinical trials and potential commercial sales;</w:t>
      </w:r>
    </w:p>
    <w:p>
      <w:pPr>
        <w:spacing w:after="0" w:line="54"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enforce, defend and protect our intellectual property portfolio;</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regulatory requirements established by the applicable regulatory authorities;</w:t>
      </w:r>
    </w:p>
    <w:p>
      <w:pPr>
        <w:spacing w:after="0" w:line="116" w:lineRule="exact"/>
        <w:rPr>
          <w:rFonts w:ascii="Times New Roman" w:cs="Times New Roman" w:eastAsia="Times New Roman" w:hAnsi="Times New Roman"/>
          <w:sz w:val="18"/>
          <w:szCs w:val="18"/>
          <w:color w:val="auto"/>
        </w:rPr>
      </w:pPr>
    </w:p>
    <w:p>
      <w:pPr>
        <w:ind w:left="1140" w:hanging="504"/>
        <w:spacing w:after="0" w:line="281" w:lineRule="auto"/>
        <w:tabs>
          <w:tab w:leader="none" w:pos="11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expand a sales, marketing and distribution infrastructure to commercialize any product candidates for which we may obtain regulatory authorization or approval;</w:t>
      </w:r>
    </w:p>
    <w:p>
      <w:pPr>
        <w:spacing w:after="0" w:line="54" w:lineRule="exact"/>
        <w:rPr>
          <w:rFonts w:ascii="Times New Roman" w:cs="Times New Roman" w:eastAsia="Times New Roman" w:hAnsi="Times New Roman"/>
          <w:sz w:val="18"/>
          <w:szCs w:val="18"/>
          <w:color w:val="auto"/>
        </w:rPr>
      </w:pPr>
    </w:p>
    <w:p>
      <w:pPr>
        <w:ind w:left="1140" w:hanging="504"/>
        <w:spacing w:after="0" w:line="281" w:lineRule="auto"/>
        <w:tabs>
          <w:tab w:leader="none" w:pos="11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retain personnel, including research, clinical, development, manufacturing, quality control, quality assurance, regulatory, scientific and other personnel; and</w:t>
      </w:r>
    </w:p>
    <w:p>
      <w:pPr>
        <w:spacing w:after="0" w:line="54"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and other expenses in operating as a public company.</w:t>
      </w:r>
    </w:p>
    <w:p>
      <w:pPr>
        <w:spacing w:after="0" w:line="359"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We have implemented a go-to-market strategy, including building our own commercial organization and outsourcing to contract sales and marketing organizations. On March 22, 2024, we received EUA from the FDA for PEMGARDA, and as such, we will continue to incur significant commercialization expenses related to product manufacturing, marketing, sales and distribution.</w:t>
      </w:r>
    </w:p>
    <w:p>
      <w:pPr>
        <w:spacing w:after="0" w:line="6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a result, we will require additional funding to support our continuing operations and pursue our growth strategy. Until such time as we can generate significant product revenue, if ever, we expect to finance our operations through a combination of equity offerings, government or private-party funding or grants, debt financings or other capital sources, such as collaborations with other companies, strategic alliances or licensing arrangements. We may be unable to secure additional funds or enter into such other agreements or arrangements when needed on favorable terms, or at all. If we are unable to secure additional funding when needed, we could be forced to curtail our planned operations and the pursuit of our growth strategy.</w:t>
      </w:r>
    </w:p>
    <w:p>
      <w:pPr>
        <w:spacing w:after="0" w:line="7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product development and emergence of SARS-CoV-2 variants of concern (“VoCs”), we are unable to accurately predict the timing or amount of increased expenses or when, or if, we will be able to achieve or maintain profitability. We may never obtain regulatory authorization or approval for any of our product candidates other than PEMGARDA.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7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Based on current operating plans and excluding any contribution from revenues or external financing, we believe that our existing cash and cash equivalents will be sufficient to fund our operating expenses and capital expenditure requirements into the fourth quarter of 2024. As such, excluding any contribution from revenues or external financing, we will not have sufficient cash and cash equivalents to fund our operating expenses and capital requirements beyond one year from the issuance of our consolidated financial statements appearing at the end of this Annual Report on Form 10-K, and therefore, we have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106" w:name="page107"/>
    <w:bookmarkEnd w:id="106"/>
    <w:p>
      <w:pPr>
        <w:jc w:val="both"/>
        <w:spacing w:after="0" w:line="265" w:lineRule="auto"/>
        <w:rPr>
          <w:sz w:val="20"/>
          <w:szCs w:val="20"/>
          <w:color w:val="auto"/>
        </w:rPr>
      </w:pPr>
      <w:r>
        <w:rPr>
          <w:rFonts w:ascii="Times New Roman" w:cs="Times New Roman" w:eastAsia="Times New Roman" w:hAnsi="Times New Roman"/>
          <w:sz w:val="18"/>
          <w:szCs w:val="18"/>
          <w:color w:val="auto"/>
        </w:rPr>
        <w:t>concluded that there is substantial doubt about our ability to continue as a going concern. We have based this estimate on assumptions that may prove to be wrong, and we could exhaust our available capital resources sooner than we expect. See the section entitled “Liquidity and Capital Resources” for more information.</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Through December 31, 2023, we had not generated any revenue from product sales or any other sources. We expect to generate revenue from sales of PEMGARDA, which received EUA from the FDA in March 2024. If our development efforts for other product candidates are also successful and result in regulatory authorization or approval or collaboration or license agreements with third parties, we may also generate revenue in the future from other product sales or payments from collaboration or license agreements that we may enter into with third parties, or any combination thereof.</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jc w:val="both"/>
        <w:ind w:right="20" w:firstLine="509"/>
        <w:spacing w:after="0" w:line="281" w:lineRule="auto"/>
        <w:rPr>
          <w:sz w:val="20"/>
          <w:szCs w:val="20"/>
          <w:color w:val="auto"/>
        </w:rPr>
      </w:pPr>
      <w:r>
        <w:rPr>
          <w:rFonts w:ascii="Times New Roman" w:cs="Times New Roman" w:eastAsia="Times New Roman" w:hAnsi="Times New Roman"/>
          <w:sz w:val="18"/>
          <w:szCs w:val="18"/>
          <w:color w:val="auto"/>
        </w:rPr>
        <w:t>The nature of our business and primary focus of our activities generates a significant amount of research and development costs. Research and development expenses represent costs incurred by us for:</w:t>
      </w:r>
    </w:p>
    <w:p>
      <w:pPr>
        <w:spacing w:after="0" w:line="55" w:lineRule="exact"/>
        <w:rPr>
          <w:sz w:val="20"/>
          <w:szCs w:val="20"/>
          <w:color w:val="auto"/>
        </w:rPr>
      </w:pPr>
    </w:p>
    <w:p>
      <w:pPr>
        <w:ind w:left="1140" w:hanging="504"/>
        <w:spacing w:after="0"/>
        <w:tabs>
          <w:tab w:leader="none" w:pos="11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nonclinical and preclinical development of our product candidates, including our discovery efforts;</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procurement of our product candidates from a third-party manufacturer; and</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global clinical development of our product candidates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Such costs consist of:</w:t>
      </w:r>
    </w:p>
    <w:p>
      <w:pPr>
        <w:spacing w:after="0" w:line="117" w:lineRule="exact"/>
        <w:rPr>
          <w:sz w:val="20"/>
          <w:szCs w:val="20"/>
          <w:color w:val="auto"/>
        </w:rPr>
      </w:pPr>
    </w:p>
    <w:p>
      <w:pPr>
        <w:ind w:left="1140" w:hanging="504"/>
        <w:spacing w:after="0" w:line="281" w:lineRule="auto"/>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personnel-related expenses, including salaries, bonuses, benefits, third-party fees and other compensation-related costs, including stock-based compensation expense, for employees engaged in research and development functions;</w:t>
      </w:r>
    </w:p>
    <w:p>
      <w:pPr>
        <w:spacing w:after="0" w:line="54" w:lineRule="exact"/>
        <w:rPr>
          <w:rFonts w:ascii="Times New Roman" w:cs="Times New Roman" w:eastAsia="Times New Roman" w:hAnsi="Times New Roman"/>
          <w:sz w:val="18"/>
          <w:szCs w:val="18"/>
          <w:color w:val="auto"/>
        </w:rPr>
      </w:pPr>
    </w:p>
    <w:p>
      <w:pPr>
        <w:ind w:left="1140" w:right="20" w:hanging="504"/>
        <w:spacing w:after="0" w:line="281" w:lineRule="auto"/>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third parties, such as collaborators, consultants, contractors and CROs, that conduct the discovery, nonclinical and preclinical studies and clinical trials of our product candidates and research programs;</w:t>
      </w:r>
    </w:p>
    <w:p>
      <w:pPr>
        <w:spacing w:after="0" w:line="54" w:lineRule="exact"/>
        <w:rPr>
          <w:rFonts w:ascii="Times New Roman" w:cs="Times New Roman" w:eastAsia="Times New Roman" w:hAnsi="Times New Roman"/>
          <w:sz w:val="18"/>
          <w:szCs w:val="18"/>
          <w:color w:val="auto"/>
        </w:rPr>
      </w:pPr>
    </w:p>
    <w:p>
      <w:pPr>
        <w:ind w:left="1140" w:right="20" w:hanging="504"/>
        <w:spacing w:after="0" w:line="281" w:lineRule="auto"/>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procuring manufactured product candidates for use in nonclinical studies, preclinical studies, clinical trials and for commercial supply, prior to receiving authorization or approval, from a third-party CDMO;</w:t>
      </w:r>
    </w:p>
    <w:p>
      <w:pPr>
        <w:spacing w:after="0" w:line="54"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outside consultants and advisors, including their fees and stock-based compensation;</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laboratory-related expenses, which include equipment, laboratory supplies, rent expense, depreciation expense, and other operating costs;</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under third-party licensing agreements; and</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incurred as a result of research and development activities.</w:t>
      </w:r>
    </w:p>
    <w:p>
      <w:pPr>
        <w:spacing w:after="0" w:line="117" w:lineRule="exact"/>
        <w:rPr>
          <w:sz w:val="20"/>
          <w:szCs w:val="20"/>
          <w:color w:val="auto"/>
        </w:rPr>
      </w:pPr>
    </w:p>
    <w:p>
      <w:pPr>
        <w:jc w:val="both"/>
        <w:ind w:right="20" w:firstLine="509"/>
        <w:spacing w:after="0" w:line="265" w:lineRule="auto"/>
        <w:rPr>
          <w:sz w:val="20"/>
          <w:szCs w:val="20"/>
          <w:color w:val="auto"/>
        </w:rPr>
      </w:pPr>
      <w:r>
        <w:rPr>
          <w:rFonts w:ascii="Times New Roman" w:cs="Times New Roman" w:eastAsia="Times New Roman" w:hAnsi="Times New Roman"/>
          <w:sz w:val="18"/>
          <w:szCs w:val="18"/>
          <w:color w:val="auto"/>
        </w:rPr>
        <w:t>We expense research and development costs as incurred. Non-refundable advance payments that we make for goods or services to be received in the future for use in research and development activities are recorded as prepaid expenses. The prepaid amounts are expensed as the related goods are delivered or the services are performed, or when it is no longer expected that the goods will be delivered or the services rendered.</w:t>
      </w:r>
    </w:p>
    <w:p>
      <w:pPr>
        <w:spacing w:after="0" w:line="6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primary focus since inception has been the development of antibodies against COVID-19. Our research and development costs consist primarily of external costs, such as fees paid to a CDMO, CROs and consultants in connection with our nonclinical studies, preclinical studies, clinical trials and product manufacturing. To date, external research and development costs for any individual product candidate have been tracked commencing upon product candidate nomination. We do not allocate employee-related costs, costs associated with our discovery efforts and other internal or indirect costs to specific research and development programs or product candidates because these resources are used and these costs are deployed across multiple programs under development and, as such, are not separately classified.</w:t>
      </w:r>
    </w:p>
    <w:p>
      <w:pPr>
        <w:spacing w:after="0" w:line="78"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and more variable development costs than those in earlier stages of clinical development, primarily due to the increased size and duration of later-stage clinical trials. Our research and development expenses will increase as we continue to advance PEMGARDA and as we expect to advance VYD2311 through clinical development, pursue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107" w:name="page108"/>
    <w:bookmarkEnd w:id="107"/>
    <w:p>
      <w:pPr>
        <w:jc w:val="both"/>
        <w:spacing w:after="0" w:line="281" w:lineRule="auto"/>
        <w:rPr>
          <w:sz w:val="20"/>
          <w:szCs w:val="20"/>
          <w:color w:val="auto"/>
        </w:rPr>
      </w:pPr>
      <w:r>
        <w:rPr>
          <w:rFonts w:ascii="Times New Roman" w:cs="Times New Roman" w:eastAsia="Times New Roman" w:hAnsi="Times New Roman"/>
          <w:sz w:val="18"/>
          <w:szCs w:val="18"/>
          <w:color w:val="auto"/>
        </w:rPr>
        <w:t>EUA or regulatory approval of our product candidates, continue to discover and develop additional product candidates and incur expenses associated with hiring additional personnel to support our research and development efforts, including the associated manufacturing activities.</w:t>
      </w:r>
    </w:p>
    <w:p>
      <w:pPr>
        <w:spacing w:after="0" w:line="55"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At this time, we cannot reasonably estimate or know the nature, timing and estimated costs of the efforts that will be necessary to complete the development of any of our product candidates. We are also unable to predict when, if ever, material net cash inflows will commence from sales or licensing of our product candidates. This is due to the numerous risks and uncertainties associated with drug development, including the uncertainty of:</w:t>
      </w:r>
    </w:p>
    <w:p>
      <w:pPr>
        <w:spacing w:after="0" w:line="83" w:lineRule="exact"/>
        <w:rPr>
          <w:sz w:val="20"/>
          <w:szCs w:val="20"/>
          <w:color w:val="auto"/>
        </w:rPr>
      </w:pPr>
    </w:p>
    <w:p>
      <w:pPr>
        <w:ind w:left="1140" w:hanging="504"/>
        <w:spacing w:after="0"/>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preclinical and clinical development activities;</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116" w:lineRule="exact"/>
        <w:rPr>
          <w:rFonts w:ascii="Times New Roman" w:cs="Times New Roman" w:eastAsia="Times New Roman" w:hAnsi="Times New Roman"/>
          <w:sz w:val="18"/>
          <w:szCs w:val="18"/>
          <w:color w:val="auto"/>
        </w:rPr>
      </w:pPr>
    </w:p>
    <w:p>
      <w:pPr>
        <w:ind w:left="1140" w:right="20" w:hanging="504"/>
        <w:spacing w:after="0" w:line="281" w:lineRule="auto"/>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acceptable IND applications with the FDA or comparable foreign applications that allow commencement of our planned clinical trials or future clinical trials for our product candidates;</w:t>
      </w:r>
    </w:p>
    <w:p>
      <w:pPr>
        <w:spacing w:after="0" w:line="54" w:lineRule="exact"/>
        <w:rPr>
          <w:rFonts w:ascii="Times New Roman" w:cs="Times New Roman" w:eastAsia="Times New Roman" w:hAnsi="Times New Roman"/>
          <w:sz w:val="18"/>
          <w:szCs w:val="18"/>
          <w:color w:val="auto"/>
        </w:rPr>
      </w:pPr>
    </w:p>
    <w:p>
      <w:pPr>
        <w:ind w:left="1140" w:hanging="504"/>
        <w:spacing w:after="0" w:line="281" w:lineRule="auto"/>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our financial and other resources to complete the necessary preclinical studies and clinical trials, manufacture the product candidates and complete associated regulatory activities;</w:t>
      </w:r>
    </w:p>
    <w:p>
      <w:pPr>
        <w:spacing w:after="0" w:line="54" w:lineRule="exact"/>
        <w:rPr>
          <w:rFonts w:ascii="Times New Roman" w:cs="Times New Roman" w:eastAsia="Times New Roman" w:hAnsi="Times New Roman"/>
          <w:sz w:val="18"/>
          <w:szCs w:val="18"/>
          <w:color w:val="auto"/>
        </w:rPr>
      </w:pPr>
    </w:p>
    <w:p>
      <w:pPr>
        <w:ind w:left="1140" w:hanging="504"/>
        <w:spacing w:after="0" w:line="281" w:lineRule="auto"/>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agreements with third-party manufacturers for clinical supply for our clinical trials and successfully develop, obtain regulatory authorization or approval for our product candidates;</w:t>
      </w:r>
    </w:p>
    <w:p>
      <w:pPr>
        <w:spacing w:after="0" w:line="54"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and timely completion of clinical trials, including our ability to generate positive data from any such clinical trials;</w:t>
      </w:r>
    </w:p>
    <w:p>
      <w:pPr>
        <w:spacing w:after="0" w:line="116" w:lineRule="exact"/>
        <w:rPr>
          <w:rFonts w:ascii="Times New Roman" w:cs="Times New Roman" w:eastAsia="Times New Roman" w:hAnsi="Times New Roman"/>
          <w:sz w:val="18"/>
          <w:szCs w:val="18"/>
          <w:color w:val="auto"/>
        </w:rPr>
      </w:pPr>
    </w:p>
    <w:p>
      <w:pPr>
        <w:ind w:left="1140" w:right="20" w:hanging="504"/>
        <w:spacing w:after="0" w:line="281" w:lineRule="auto"/>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the development of any additional development programs and product candidates we identify in-house or acquire through collaborations;</w:t>
      </w:r>
    </w:p>
    <w:p>
      <w:pPr>
        <w:spacing w:after="0" w:line="54"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nature and severity of adverse events experienced with any product candidates;</w:t>
      </w:r>
    </w:p>
    <w:p>
      <w:pPr>
        <w:spacing w:after="0" w:line="116" w:lineRule="exact"/>
        <w:rPr>
          <w:rFonts w:ascii="Times New Roman" w:cs="Times New Roman" w:eastAsia="Times New Roman" w:hAnsi="Times New Roman"/>
          <w:sz w:val="18"/>
          <w:szCs w:val="18"/>
          <w:color w:val="auto"/>
        </w:rPr>
      </w:pPr>
    </w:p>
    <w:p>
      <w:pPr>
        <w:ind w:left="1140" w:hanging="504"/>
        <w:spacing w:after="0" w:line="281" w:lineRule="auto"/>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collaboration, license or other arrangement, including the terms and timing of any milestone payments thereunder;</w:t>
      </w:r>
    </w:p>
    <w:p>
      <w:pPr>
        <w:spacing w:after="0" w:line="54" w:lineRule="exact"/>
        <w:rPr>
          <w:rFonts w:ascii="Times New Roman" w:cs="Times New Roman" w:eastAsia="Times New Roman" w:hAnsi="Times New Roman"/>
          <w:sz w:val="18"/>
          <w:szCs w:val="18"/>
          <w:color w:val="auto"/>
        </w:rPr>
      </w:pPr>
    </w:p>
    <w:p>
      <w:pPr>
        <w:ind w:left="1140" w:hanging="504"/>
        <w:spacing w:after="0" w:line="281" w:lineRule="auto"/>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 trademark and trade secret protection and regulatory exclusivity for our product candidates, if and when approved, and otherwise protecting our rights in our intellectual property portfolio;</w:t>
      </w:r>
    </w:p>
    <w:p>
      <w:pPr>
        <w:spacing w:after="0" w:line="54" w:lineRule="exact"/>
        <w:rPr>
          <w:rFonts w:ascii="Times New Roman" w:cs="Times New Roman" w:eastAsia="Times New Roman" w:hAnsi="Times New Roman"/>
          <w:sz w:val="18"/>
          <w:szCs w:val="18"/>
          <w:color w:val="auto"/>
        </w:rPr>
      </w:pPr>
    </w:p>
    <w:p>
      <w:pPr>
        <w:jc w:val="both"/>
        <w:ind w:left="1140" w:hanging="504"/>
        <w:spacing w:after="0" w:line="265" w:lineRule="auto"/>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compliance with regulatory requirements, including current Good Clinical Practices, current Good Laboratory Practices and cGMPs, and to comply effectively with other rules, regulations and procedures applicable to the development and sale of pharmaceutical products;</w:t>
      </w:r>
    </w:p>
    <w:p>
      <w:pPr>
        <w:spacing w:after="0" w:line="69"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receipt of regulatory authorizations or approvals from applicable regulatory authorities;</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significant and changing government regulation, regulatory guidance and requirements and evolving treatment guidelines; and</w:t>
      </w:r>
    </w:p>
    <w:p>
      <w:pPr>
        <w:spacing w:after="0" w:line="116" w:lineRule="exact"/>
        <w:rPr>
          <w:rFonts w:ascii="Times New Roman" w:cs="Times New Roman" w:eastAsia="Times New Roman" w:hAnsi="Times New Roman"/>
          <w:sz w:val="18"/>
          <w:szCs w:val="18"/>
          <w:color w:val="auto"/>
        </w:rPr>
      </w:pPr>
    </w:p>
    <w:p>
      <w:pPr>
        <w:ind w:left="1140" w:hanging="504"/>
        <w:spacing w:after="0" w:line="281" w:lineRule="auto"/>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business interruptions to our operations or those of third parties with which we work, including as a result of any public health crisis.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1877695</wp:posOffset>
            </wp:positionH>
            <wp:positionV relativeFrom="paragraph">
              <wp:posOffset>-852170</wp:posOffset>
            </wp:positionV>
            <wp:extent cx="2857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35"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any of our product candidates could significantly change the costs and timing associated with the development of that product candidate. We may elect to discontinue, delay or modify clinical trials of some product candidates or focus on others.</w:t>
      </w:r>
    </w:p>
    <w:p>
      <w:pPr>
        <w:spacing w:after="0" w:line="6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emergency situations, such as a pandemic, and with a declaration of a public health emergency by the U.S. Secretary of the Department of Health and Human Services (“HHS”), the FDA has the authority to issue an EUA. While the COVID-19 public health emergency declared by HHS under the Public Health Service Act expired on May 11, 2023, this does not impact the FDA’s ability to authorize COVID-19 drugs and biological products for emergency use. On March 22, 2024, we received EUA from the FDA for PEMGARDA. There can be no assurance that the public health emergency in the U.S. declared under the FDCA will continue to be in place for an extended period of time, that any of our other product candidates will be granted an EUA by the FDA, if we apply for such an authorization, or that we would be able to maintain an EUA, such as the EUA received for PEMGARDA, for an extended period of time. The emergency use of PEMGARDA is only authorized for the duration of the declaration that circumstances exist justifying the authorization of the emergency use of drugs and biological products during the COVID-19 pandemic under Section 564 of the FDCA, unless the declaration is terminated or authorization revoked sooner.</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108" w:name="page109"/>
    <w:bookmarkEnd w:id="108"/>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Acquired In-Process Research and Development Expenses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Acquired in-process research and development (“IPR&amp;D”) expenses consist primarily of costs of contingent milestone payments incurred to acquire rights to Adimab’s antibodies relating to COVID-19 and SARS and related intellectual property and a license to certain of Adimab’s platform patents and technology (the “IPR&amp;D assets”) for use in the research and development of our product candidates. We expensed the cost of the IPR&amp;D assets because they had no alternative future use as of the acquisition date. We will recognize additional IPR&amp;D expenses in the future if and when it is deemed probable that we will make contingent milestone payments to Adimab under the terms of the agreement by which we acquired the IPR&amp;D assets.</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salaries, bonuses, benefits, third-party fees and other compensation-related costs, including stock-based compensation, for our personnel and external contractors involved in our executive, finance, legal, business development and other administrative functions, as well as our commercial function. Selling, general and administrative expenses also include costs incurred for outside services associated with such functions, including legal fees relating to patent and corporate matters; professional fees for accounting, auditing, tax and administrative consulting services; insurance costs; market research costs; and other selling, general and administrative expenses. These costs relate to the operation of the business, unrelated to the research and development function, or any individual program.</w:t>
      </w:r>
    </w:p>
    <w:p>
      <w:pPr>
        <w:spacing w:after="0" w:line="7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selling, general and administrative expenses will increase in the future as our business expands and we increase our headcount to support the expected growth in our research and development activities and the commercialization of any authorized or approved product candidates, such as PEMGARDA. We also anticipate increased expenses associated with operating as a public company, including increased costs of accounting, audit, legal, regulatory and tax-related services, director and officer insurance premiums, and investor and public relations costs. We also expect to incur additional intellectual property-related expenses as we file additional patent applications to protect innovations arising from our research and development activities.</w:t>
      </w:r>
    </w:p>
    <w:p>
      <w:pPr>
        <w:spacing w:after="0" w:line="74"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In June 2022, and subsequently amended in September 2022, we entered into a lease agreement for dedicated laboratory and office space in Newton, Massachusetts for research and development purposes. Through December 31, 2023, we have operated as a hybrid company with employees working at our corporate headquarters and remotely. We have not incurred material operating expenses for the rent, maintenance and insurance of facilities, or for the depreciation of fixed assets.</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Warrant Expense</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November 2022, we entered into the PHP MSA with PHP, pursuant to which PHP agreed to provide services and create deliverables for us as agreed between us and PHP and set forth in one or more work orders under such agreement. As compensation for the services and deliverables, we issued the PHP Warrant to PHP. The aggregate grant date fair value of the PHP Warrant was recognized as warrant expense on the grant date. On the effective date of the PHP MSA, we and PHP entered into the first work order under the PHP MSA, pursuant to which PHP agreed to advise and us regarding clinical development and regulatory matters with respect to our product candidates, which terminated in accordance with its terms in May 2023. Clive Meanwell, M.D. and Tamsin Berry, members of our board of directors, are Managing Partner and Limited Partner of PHP, respectively.</w:t>
      </w:r>
    </w:p>
    <w:p>
      <w:pPr>
        <w:spacing w:after="0" w:line="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a result, warrant expense consists of non-cash expense related to the issuance of the PHP Warrant.</w:t>
      </w:r>
    </w:p>
    <w:p>
      <w:pPr>
        <w:spacing w:after="0" w:line="32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Other income, net consists of interest income earned from our cash, cash equivalents and marketable securities and the net amortization or accretion of premiums and discounts related to our marketable securities. We expect our interest income to vary each reporting period depending on our average bank deposits, money market funds and investment balances during the period and market interest rates.</w:t>
      </w:r>
    </w:p>
    <w:p>
      <w:pPr>
        <w:spacing w:after="0" w:line="2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Since our inception, we have not recorded any income tax expense or realized benefits for the net losses we have incurred or for the research and development tax credits generated in each period as we believe, based upon the weight of available evidence, that it is more likely than not that all of our net operating loss carryforwards and tax credit carryforwards will not be realized.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9" w:name="page110"/>
    <w:bookmarkEnd w:id="109"/>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We continue to monitor the manner in which countries will enact legislation to implement the Pillar Two framework proposed by the Organisation for Economic Co-operation and Development, which proposes a 15% global corporate minimum tax. As of December 31, 2023, various countries have enacted aspects of Pillar Two while committing to enact additional aspects in future years. While we do not expect these rules to have a material impact on our effective tax rate, we continue to monitor these initiatives on a global basis.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2023 and 2022</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2023 and 2022:</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40" w:type="dxa"/>
            <w:vAlign w:val="bottom"/>
            <w:gridSpan w:val="5"/>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158,658</w:t>
            </w:r>
          </w:p>
        </w:tc>
        <w:tc>
          <w:tcPr>
            <w:tcW w:w="28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179,214</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4,975</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49,125</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47,044</w:t>
            </w:r>
          </w:p>
        </w:tc>
        <w:tc>
          <w:tcPr>
            <w:tcW w:w="100" w:type="dxa"/>
            <w:vAlign w:val="bottom"/>
          </w:tcPr>
          <w:p>
            <w:pPr>
              <w:spacing w:after="0"/>
              <w:rPr>
                <w:sz w:val="20"/>
                <w:szCs w:val="20"/>
                <w:color w:val="auto"/>
              </w:rPr>
            </w:pPr>
          </w:p>
        </w:tc>
      </w:tr>
      <w:tr>
        <w:trPr>
          <w:trHeight w:val="24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Warrant expense</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17,373</w:t>
            </w:r>
          </w:p>
        </w:tc>
        <w:tc>
          <w:tcPr>
            <w:tcW w:w="100" w:type="dxa"/>
            <w:vAlign w:val="bottom"/>
            <w:shd w:val="clear" w:color="auto" w:fill="CFF0FC"/>
          </w:tcPr>
          <w:p>
            <w:pPr>
              <w:spacing w:after="0"/>
              <w:rPr>
                <w:sz w:val="21"/>
                <w:szCs w:val="21"/>
                <w:color w:val="auto"/>
              </w:rPr>
            </w:pPr>
          </w:p>
        </w:tc>
      </w:tr>
      <w:tr>
        <w:trPr>
          <w:trHeight w:val="236"/>
        </w:trPr>
        <w:tc>
          <w:tcPr>
            <w:tcW w:w="774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212,758</w:t>
            </w:r>
          </w:p>
        </w:tc>
        <w:tc>
          <w:tcPr>
            <w:tcW w:w="28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248,031</w:t>
            </w:r>
          </w:p>
        </w:tc>
        <w:tc>
          <w:tcPr>
            <w:tcW w:w="100" w:type="dxa"/>
            <w:vAlign w:val="bottom"/>
            <w:tcBorders>
              <w:top w:val="single" w:sz="8" w:color="CFF0FC"/>
            </w:tcBorders>
          </w:tcPr>
          <w:p>
            <w:pPr>
              <w:spacing w:after="0"/>
              <w:rPr>
                <w:sz w:val="20"/>
                <w:szCs w:val="20"/>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(212,758 )</w:t>
            </w: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(248,031 )</w:t>
            </w:r>
          </w:p>
        </w:tc>
      </w:tr>
      <w:tr>
        <w:trPr>
          <w:trHeight w:val="236"/>
        </w:trPr>
        <w:tc>
          <w:tcPr>
            <w:tcW w:w="77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14,115</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income, net</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14,115</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6,714</w:t>
            </w:r>
          </w:p>
        </w:tc>
        <w:tc>
          <w:tcPr>
            <w:tcW w:w="100" w:type="dxa"/>
            <w:vAlign w:val="bottom"/>
          </w:tcPr>
          <w:p>
            <w:pPr>
              <w:spacing w:after="0"/>
              <w:rPr>
                <w:sz w:val="20"/>
                <w:szCs w:val="20"/>
                <w:color w:val="auto"/>
              </w:rPr>
            </w:pPr>
          </w:p>
        </w:tc>
      </w:tr>
      <w:tr>
        <w:trPr>
          <w:trHeight w:val="27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(198,643 )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(241,317 )</w:t>
            </w:r>
          </w:p>
        </w:tc>
      </w:tr>
      <w:tr>
        <w:trPr>
          <w:trHeight w:val="524"/>
        </w:trPr>
        <w:tc>
          <w:tcPr>
            <w:tcW w:w="7740" w:type="dxa"/>
            <w:vAlign w:val="bottom"/>
            <w:tcBorders>
              <w:top w:val="single" w:sz="8" w:color="CFF0FC"/>
            </w:tcBorders>
          </w:tcPr>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tc>
        <w:tc>
          <w:tcPr>
            <w:tcW w:w="3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418"/>
        </w:trPr>
        <w:tc>
          <w:tcPr>
            <w:tcW w:w="7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40" w:type="dxa"/>
            <w:vAlign w:val="bottom"/>
            <w:gridSpan w:val="5"/>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Direct, external research and development expenses by program:</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774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VYD222</w:t>
            </w:r>
            <w:r>
              <w:rPr>
                <w:rFonts w:ascii="Times New Roman" w:cs="Times New Roman" w:eastAsia="Times New Roman" w:hAnsi="Times New Roman"/>
                <w:sz w:val="24"/>
                <w:szCs w:val="24"/>
                <w:color w:val="auto"/>
                <w:vertAlign w:val="superscript"/>
              </w:rPr>
              <w:t>(1)</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96,695</w:t>
            </w:r>
          </w:p>
        </w:tc>
        <w:tc>
          <w:tcPr>
            <w:tcW w:w="28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Adintrevimab</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3,857</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106,024</w:t>
            </w:r>
          </w:p>
        </w:tc>
        <w:tc>
          <w:tcPr>
            <w:tcW w:w="100" w:type="dxa"/>
            <w:vAlign w:val="bottom"/>
            <w:shd w:val="clear" w:color="auto" w:fill="CFF0FC"/>
          </w:tcPr>
          <w:p>
            <w:pPr>
              <w:spacing w:after="0"/>
              <w:rPr>
                <w:sz w:val="21"/>
                <w:szCs w:val="21"/>
                <w:color w:val="auto"/>
              </w:rPr>
            </w:pPr>
          </w:p>
        </w:tc>
      </w:tr>
      <w:tr>
        <w:trPr>
          <w:trHeight w:val="243"/>
        </w:trPr>
        <w:tc>
          <w:tcPr>
            <w:tcW w:w="774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VYD2311</w:t>
            </w:r>
            <w:r>
              <w:rPr>
                <w:rFonts w:ascii="Times New Roman" w:cs="Times New Roman" w:eastAsia="Times New Roman" w:hAnsi="Times New Roman"/>
                <w:sz w:val="24"/>
                <w:szCs w:val="24"/>
                <w:color w:val="auto"/>
                <w:vertAlign w:val="superscript"/>
              </w:rPr>
              <w:t>(2)</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40" w:type="dxa"/>
            <w:vAlign w:val="bottom"/>
            <w:shd w:val="clear" w:color="auto" w:fill="CFF0FC"/>
          </w:tcPr>
          <w:p>
            <w:pPr>
              <w:ind w:left="200"/>
              <w:spacing w:after="0" w:line="243" w:lineRule="exact"/>
              <w:rPr>
                <w:sz w:val="20"/>
                <w:szCs w:val="20"/>
                <w:color w:val="auto"/>
              </w:rPr>
            </w:pPr>
            <w:r>
              <w:rPr>
                <w:rFonts w:ascii="Times New Roman" w:cs="Times New Roman" w:eastAsia="Times New Roman" w:hAnsi="Times New Roman"/>
                <w:sz w:val="18"/>
                <w:szCs w:val="18"/>
                <w:color w:val="auto"/>
              </w:rPr>
              <w:t>NVD200</w:t>
            </w:r>
            <w:r>
              <w:rPr>
                <w:rFonts w:ascii="Times New Roman" w:cs="Times New Roman" w:eastAsia="Times New Roman" w:hAnsi="Times New Roman"/>
                <w:sz w:val="24"/>
                <w:szCs w:val="24"/>
                <w:color w:val="auto"/>
                <w:vertAlign w:val="superscript"/>
              </w:rPr>
              <w:t>(3)</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19,665</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 research and development expenses: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Personnel related (including stock-based compensation)</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30,074</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37,181</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External discovery-related and other costs</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26,607</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16,344</w:t>
            </w:r>
          </w:p>
        </w:tc>
        <w:tc>
          <w:tcPr>
            <w:tcW w:w="100" w:type="dxa"/>
            <w:vAlign w:val="bottom"/>
          </w:tcPr>
          <w:p>
            <w:pPr>
              <w:spacing w:after="0"/>
              <w:rPr>
                <w:sz w:val="20"/>
                <w:szCs w:val="20"/>
                <w:color w:val="auto"/>
              </w:rPr>
            </w:pPr>
          </w:p>
        </w:tc>
      </w:tr>
      <w:tr>
        <w:trPr>
          <w:trHeight w:val="276"/>
        </w:trPr>
        <w:tc>
          <w:tcPr>
            <w:tcW w:w="77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158,658</w:t>
            </w:r>
          </w:p>
        </w:tc>
        <w:tc>
          <w:tcPr>
            <w:tcW w:w="2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179,214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-3150235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-3150235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-2825115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-2825115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-2508250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-2508250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-2182495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-2165350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-2182495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-2165350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180" w:hanging="172"/>
        <w:spacing w:after="0" w:line="217" w:lineRule="auto"/>
        <w:tabs>
          <w:tab w:leader="none" w:pos="180" w:val="left"/>
        </w:tabs>
        <w:numPr>
          <w:ilvl w:val="0"/>
          <w:numId w:val="6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 March 2023, we announced the nomination of VYD222 as a novel mAb therapeutic option for COVID-19.</w:t>
      </w:r>
    </w:p>
    <w:p>
      <w:pPr>
        <w:spacing w:after="0" w:line="15"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6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 March 2024, we announced the nomination of VYD2311 as a novel mAb therapeutic option for COVID-19.</w:t>
      </w:r>
    </w:p>
    <w:p>
      <w:pPr>
        <w:spacing w:after="0" w:line="15" w:lineRule="exact"/>
        <w:rPr>
          <w:rFonts w:ascii="Times New Roman" w:cs="Times New Roman" w:eastAsia="Times New Roman" w:hAnsi="Times New Roman"/>
          <w:sz w:val="22"/>
          <w:szCs w:val="22"/>
          <w:color w:val="auto"/>
          <w:vertAlign w:val="superscript"/>
        </w:rPr>
      </w:pPr>
    </w:p>
    <w:p>
      <w:pPr>
        <w:ind w:firstLine="8"/>
        <w:spacing w:after="0" w:line="213" w:lineRule="auto"/>
        <w:tabs>
          <w:tab w:leader="none" w:pos="197" w:val="left"/>
        </w:tabs>
        <w:numPr>
          <w:ilvl w:val="0"/>
          <w:numId w:val="6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NVD200, a combination product that we previously nominated for clinical advancement, includes costs associated with VYD222 and other mAbs evaluated for potential advancement in 2022, prior to making the decision to prioritize VYD222 instead of NVD200 in 2023.</w:t>
      </w:r>
    </w:p>
    <w:p>
      <w:pPr>
        <w:spacing w:after="0" w:line="1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Research and development expenses were $158.7 million for the year ended December 31, 2023, compared to $179.2 million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The $20.5 million decrease in research and development expenses was primarily due to the following:</w:t>
      </w:r>
    </w:p>
    <w:p>
      <w:pPr>
        <w:spacing w:after="0" w:line="98" w:lineRule="exact"/>
        <w:rPr>
          <w:sz w:val="20"/>
          <w:szCs w:val="20"/>
          <w:color w:val="auto"/>
        </w:rPr>
      </w:pPr>
    </w:p>
    <w:p>
      <w:pPr>
        <w:ind w:left="1140" w:right="20" w:hanging="504"/>
        <w:spacing w:after="0" w:line="281" w:lineRule="auto"/>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direct costs related to our adintrevimab program of $102.2 million was primarily due to a decrease in adintrevimab-related contract manufacturing and clinical trial costs after the nomination of our VYD222 product candidate in 2023.</w:t>
      </w:r>
    </w:p>
    <w:p>
      <w:pPr>
        <w:spacing w:after="0" w:line="54" w:lineRule="exact"/>
        <w:rPr>
          <w:rFonts w:ascii="Times New Roman" w:cs="Times New Roman" w:eastAsia="Times New Roman" w:hAnsi="Times New Roman"/>
          <w:sz w:val="18"/>
          <w:szCs w:val="18"/>
          <w:color w:val="auto"/>
        </w:rPr>
      </w:pPr>
    </w:p>
    <w:p>
      <w:pPr>
        <w:ind w:left="1140" w:hanging="504"/>
        <w:spacing w:after="0" w:line="281" w:lineRule="auto"/>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direct costs related to our VYD222 program was due to the nomination of our VYD222 product candidate in 2023. The costs were primarily related to clinical trial costs and contract manufacturing costs for commercial manufacturing.</w:t>
      </w:r>
    </w:p>
    <w:p>
      <w:pPr>
        <w:spacing w:after="0" w:line="54" w:lineRule="exact"/>
        <w:rPr>
          <w:rFonts w:ascii="Times New Roman" w:cs="Times New Roman" w:eastAsia="Times New Roman" w:hAnsi="Times New Roman"/>
          <w:sz w:val="18"/>
          <w:szCs w:val="18"/>
          <w:color w:val="auto"/>
        </w:rPr>
      </w:pPr>
    </w:p>
    <w:p>
      <w:pPr>
        <w:ind w:left="1140" w:right="20" w:hanging="504"/>
        <w:spacing w:after="0" w:line="281" w:lineRule="auto"/>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direct costs related to our VYD2311 program was due to the nomination of our VYD2311 product candidate in the first quarter of 2024. The costs were primarily related to contract manufacturing costs.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110" w:name="page111"/>
    <w:bookmarkEnd w:id="110"/>
    <w:p>
      <w:pPr>
        <w:ind w:left="1140" w:hanging="504"/>
        <w:spacing w:after="0" w:line="281" w:lineRule="auto"/>
        <w:tabs>
          <w:tab w:leader="none" w:pos="11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quarter of 2023, we prioritized the clinical development of VYD222 instead of NVD200 and therefore, there was no comparable spend for NVD200 during the year ended December 31, 2023.</w:t>
      </w:r>
    </w:p>
    <w:p>
      <w:pPr>
        <w:spacing w:after="0" w:line="54" w:lineRule="exact"/>
        <w:rPr>
          <w:rFonts w:ascii="Times New Roman" w:cs="Times New Roman" w:eastAsia="Times New Roman" w:hAnsi="Times New Roman"/>
          <w:sz w:val="18"/>
          <w:szCs w:val="18"/>
          <w:color w:val="auto"/>
        </w:rPr>
      </w:pPr>
    </w:p>
    <w:p>
      <w:pPr>
        <w:ind w:left="1140" w:right="20" w:hanging="504"/>
        <w:spacing w:after="0" w:line="281" w:lineRule="auto"/>
        <w:tabs>
          <w:tab w:leader="none" w:pos="11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personnel-related costs of $7.1 million was primarily due to a reduction in headcount, including a decrease in stock-based compensation expense of $6.6 million, partially offset by an increase in our bonus compensation in 2023.</w:t>
      </w:r>
    </w:p>
    <w:p>
      <w:pPr>
        <w:spacing w:after="0" w:line="54" w:lineRule="exact"/>
        <w:rPr>
          <w:rFonts w:ascii="Times New Roman" w:cs="Times New Roman" w:eastAsia="Times New Roman" w:hAnsi="Times New Roman"/>
          <w:sz w:val="18"/>
          <w:szCs w:val="18"/>
          <w:color w:val="auto"/>
        </w:rPr>
      </w:pPr>
    </w:p>
    <w:p>
      <w:pPr>
        <w:jc w:val="both"/>
        <w:ind w:left="1140" w:hanging="504"/>
        <w:spacing w:after="0" w:line="265" w:lineRule="auto"/>
        <w:tabs>
          <w:tab w:leader="none" w:pos="11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external discovery-related and other costs of $10.3 million was primarily due to an increase in contract manufacturing costs related to our pipeline candidates of $8.6 million and an increase in other external costs of $2.3 million primarily due to services performed by PHP under the PHP Work Order, partially offset by a decrease in nonclinical and clinical trial costs of $0.6 million.</w:t>
      </w:r>
    </w:p>
    <w:p>
      <w:pPr>
        <w:spacing w:after="0" w:line="2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Acquired In-Process Research and Development Expenses</w:t>
      </w:r>
    </w:p>
    <w:p>
      <w:pPr>
        <w:spacing w:after="0" w:line="121"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Acquired IPR&amp;D expenses of $5.0 million for the year ended December 31, 2023 consisted of $3.6 million incurred related to milestones under the Adimab Assignment Agreement and $1.4 million incurred related to an option exercise fee, a drug discovery fee and an optimization completion fee under the Adimab Collaboration Agreement.</w:t>
      </w:r>
    </w:p>
    <w:p>
      <w:pPr>
        <w:spacing w:after="0" w:line="69"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Acquired IPR&amp;D expenses of $4.4 million for the year ended December 31, 2022 consisted of $3.0 million incurred related to our upfront consideration payable for the rights assigned pursuant to the Adimab Platform Transfer Agreement and $1.4 million incurred related to an option exercise fee and drug discovery fees under the Adimab Collaboration Agreement.</w:t>
      </w:r>
    </w:p>
    <w:p>
      <w:pPr>
        <w:spacing w:after="0" w:line="2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8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Personnel related (including stock-based compensation)</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27,323</w:t>
            </w:r>
          </w:p>
        </w:tc>
        <w:tc>
          <w:tcPr>
            <w:tcW w:w="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21,153</w:t>
            </w:r>
          </w:p>
        </w:tc>
        <w:tc>
          <w:tcPr>
            <w:tcW w:w="100" w:type="dxa"/>
            <w:vAlign w:val="bottom"/>
            <w:shd w:val="clear" w:color="auto" w:fill="CFF0FC"/>
          </w:tcPr>
          <w:p>
            <w:pPr>
              <w:spacing w:after="0"/>
              <w:rPr>
                <w:sz w:val="20"/>
                <w:szCs w:val="20"/>
                <w:color w:val="auto"/>
              </w:rPr>
            </w:pPr>
          </w:p>
        </w:tc>
      </w:tr>
      <w:tr>
        <w:trPr>
          <w:trHeight w:val="238"/>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and consultant fees</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19,833</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23,884</w:t>
            </w:r>
          </w:p>
        </w:tc>
        <w:tc>
          <w:tcPr>
            <w:tcW w:w="100" w:type="dxa"/>
            <w:vAlign w:val="bottom"/>
          </w:tcPr>
          <w:p>
            <w:pPr>
              <w:spacing w:after="0"/>
              <w:rPr>
                <w:sz w:val="20"/>
                <w:szCs w:val="20"/>
                <w:color w:val="auto"/>
              </w:rPr>
            </w:pPr>
          </w:p>
        </w:tc>
      </w:tr>
      <w:tr>
        <w:trPr>
          <w:trHeight w:val="243"/>
        </w:trPr>
        <w:tc>
          <w:tcPr>
            <w:tcW w:w="8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49,125</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47,044</w:t>
            </w:r>
          </w:p>
        </w:tc>
        <w:tc>
          <w:tcPr>
            <w:tcW w:w="100" w:type="dxa"/>
            <w:vAlign w:val="bottom"/>
          </w:tcPr>
          <w:p>
            <w:pPr>
              <w:spacing w:after="0"/>
              <w:rPr>
                <w:sz w:val="20"/>
                <w:szCs w:val="20"/>
                <w:color w:val="auto"/>
              </w:rPr>
            </w:pPr>
          </w:p>
        </w:tc>
      </w:tr>
      <w:tr>
        <w:trPr>
          <w:trHeight w:val="20"/>
        </w:trPr>
        <w:tc>
          <w:tcPr>
            <w:tcW w:w="8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6084570</wp:posOffset>
            </wp:positionH>
            <wp:positionV relativeFrom="paragraph">
              <wp:posOffset>-187960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both"/>
        <w:ind w:right="20" w:firstLine="509"/>
        <w:spacing w:after="0" w:line="281" w:lineRule="auto"/>
        <w:rPr>
          <w:sz w:val="20"/>
          <w:szCs w:val="20"/>
          <w:color w:val="auto"/>
        </w:rPr>
      </w:pPr>
      <w:r>
        <w:rPr>
          <w:rFonts w:ascii="Times New Roman" w:cs="Times New Roman" w:eastAsia="Times New Roman" w:hAnsi="Times New Roman"/>
          <w:sz w:val="18"/>
          <w:szCs w:val="18"/>
          <w:color w:val="auto"/>
        </w:rPr>
        <w:t>Selling, general and administrative expenses were $49.1 million for the year ended December 31, 2023, compared to $47.0 million for the year ended December 31, 2022. The $2.1 million increase in selling, general and administrative expenses was primarily due to the following:</w:t>
      </w:r>
    </w:p>
    <w:p>
      <w:pPr>
        <w:spacing w:after="0" w:line="55" w:lineRule="exact"/>
        <w:rPr>
          <w:sz w:val="20"/>
          <w:szCs w:val="20"/>
          <w:color w:val="auto"/>
        </w:rPr>
      </w:pPr>
    </w:p>
    <w:p>
      <w:pPr>
        <w:jc w:val="both"/>
        <w:ind w:left="1140" w:right="20" w:hanging="504"/>
        <w:spacing w:after="0" w:line="265" w:lineRule="auto"/>
        <w:tabs>
          <w:tab w:leader="none" w:pos="11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personnel-related costs of $6.2 million was primarily due to our bonus compensation in 2023 and the reversal of stock-based compensation expense related to the forfeiture of stock options in conjunction with the resignation of our former Chief Executive Officer and President during the year ended December 31, 2022.</w:t>
      </w:r>
    </w:p>
    <w:p>
      <w:pPr>
        <w:spacing w:after="0" w:line="69" w:lineRule="exact"/>
        <w:rPr>
          <w:rFonts w:ascii="Times New Roman" w:cs="Times New Roman" w:eastAsia="Times New Roman" w:hAnsi="Times New Roman"/>
          <w:sz w:val="18"/>
          <w:szCs w:val="18"/>
          <w:color w:val="auto"/>
        </w:rPr>
      </w:pPr>
    </w:p>
    <w:p>
      <w:pPr>
        <w:jc w:val="both"/>
        <w:ind w:left="1140" w:hanging="504"/>
        <w:spacing w:after="0" w:line="265" w:lineRule="auto"/>
        <w:tabs>
          <w:tab w:leader="none" w:pos="11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professional and consultant fees of $4.1 million was primarily due to a $3.9 million decrease in expenses related to corporate governance matters and a $1.7 million decrease in director and officer insurance premiums, offset by a $1.5 million increase in commercial costs.</w:t>
      </w:r>
    </w:p>
    <w:p>
      <w:pPr>
        <w:spacing w:after="0" w:line="69"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costs remained relatively consistent between periods.</w:t>
      </w:r>
    </w:p>
    <w:p>
      <w:pPr>
        <w:spacing w:after="0" w:line="32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Warrant Expense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warrant expense was recognized for the year ended December 31, 2023.</w:t>
      </w:r>
    </w:p>
    <w:p>
      <w:pPr>
        <w:spacing w:after="0" w:line="117"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Warrant expense for the year ended December 31, 2022 was $17.4 million, consisting of warrant expense recognized as compensation for the services performed in conjunction with the PHP MSA executed in November 2022.</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Other income, net for the year ended December 31, 2023 was $14.1 million, consisting primarily of $7.3 million of interest earned on our invested cash balances and $6.8 million of net accretion of discounts related to our marketable securities.</w:t>
      </w:r>
    </w:p>
    <w:p>
      <w:pPr>
        <w:spacing w:after="0" w:line="55" w:lineRule="exact"/>
        <w:rPr>
          <w:sz w:val="20"/>
          <w:szCs w:val="20"/>
          <w:color w:val="auto"/>
        </w:rPr>
      </w:pPr>
    </w:p>
    <w:p>
      <w:pPr>
        <w:ind w:right="20" w:firstLine="509"/>
        <w:spacing w:after="0" w:line="281" w:lineRule="auto"/>
        <w:rPr>
          <w:sz w:val="20"/>
          <w:szCs w:val="20"/>
          <w:color w:val="auto"/>
        </w:rPr>
      </w:pPr>
      <w:r>
        <w:rPr>
          <w:rFonts w:ascii="Times New Roman" w:cs="Times New Roman" w:eastAsia="Times New Roman" w:hAnsi="Times New Roman"/>
          <w:sz w:val="18"/>
          <w:szCs w:val="18"/>
          <w:color w:val="auto"/>
        </w:rPr>
        <w:t>Other income, net for the year ended December 31, 2022 was $6.7 million, consisting primarily of $3.9 million of interest earned on our invested cash balances and $2.8 million of net accretion of discounts related to our marketable securities.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111" w:name="page112"/>
    <w:bookmarkEnd w:id="111"/>
    <w:p>
      <w:pPr>
        <w:spacing w:after="0" w:line="80" w:lineRule="exact"/>
        <w:rPr>
          <w:sz w:val="20"/>
          <w:szCs w:val="20"/>
          <w:color w:val="auto"/>
        </w:rPr>
      </w:pPr>
    </w:p>
    <w:p>
      <w:pPr>
        <w:jc w:val="center"/>
        <w:ind w:right="874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jc w:val="center"/>
        <w:ind w:right="870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Through December 31, 2023, we had not generated any revenue from any sources, including from product sales, and have incurred significant operating losses and negative cash flows from operations. Although we received an EUA from the FDA for PEMGARDA in March 2024, to date, we have not yet generated any revenue from product sales and we may continue to incur significant expenses and potential operating losses for the foreseeable future as we commercialize PEMGARDA and advance the development of our other product candidates. To date, we have financed our operations primarily with net proceeds of $464.7 million from sales of our preferred stock, and with aggregate net proceeds from our IPO in August 2021 of $327.5 million.</w:t>
      </w:r>
    </w:p>
    <w:p>
      <w:pPr>
        <w:spacing w:after="0" w:line="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2023, we had cash and cash equivalents of $200.6 million.</w:t>
      </w:r>
    </w:p>
    <w:p>
      <w:pPr>
        <w:spacing w:after="0" w:line="124"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18"/>
          <w:szCs w:val="18"/>
          <w:color w:val="auto"/>
        </w:rPr>
        <w:t>In December 2023, we entered into a Controlled Equity Offering</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Sales Agreement (the “Sales Agreement”) with Cantor Fitzgerald &amp; Co., as sales agent (“Cantor”), pursuant to which we may, at our option, offer and sell shares of our common stock, with a sales value of up to $75.0 million, from time to time, through Cantor, acting as sales agent, in transactions deemed to be “at the market offerings”, as defined in Rule 415 under the Securities Act. Cantor is entitled to a commission of 3% of the gross proceeds from any sales of such shares. In February 2024, we sold 9,000,000 shares of our common stock under the Sales Agreement at an average price of $4.50 per share for $39.3 million in net proceeds.</w:t>
      </w:r>
    </w:p>
    <w:p>
      <w:pPr>
        <w:spacing w:after="0" w:line="3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40" w:type="dxa"/>
            <w:vAlign w:val="bottom"/>
            <w:gridSpan w:val="5"/>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(173,164 )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(219,987 )</w:t>
            </w: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280,684</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(230,667 )</w:t>
            </w:r>
          </w:p>
        </w:tc>
      </w:tr>
      <w:tr>
        <w:trPr>
          <w:trHeight w:val="243"/>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108,565</w:t>
            </w:r>
          </w:p>
        </w:tc>
        <w:tc>
          <w:tcPr>
            <w:tcW w:w="28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(450,148 )</w:t>
            </w:r>
          </w:p>
        </w:tc>
      </w:tr>
      <w:tr>
        <w:trPr>
          <w:trHeight w:val="20"/>
        </w:trPr>
        <w:tc>
          <w:tcPr>
            <w:tcW w:w="7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-187960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2023, operating activities used $173.2 million of cash, primarily due to our net loss of $198.6 million, partially offset by non-cash charges of $19.6 million and changes in our operating assets and liabilities of $5.8 million. The changes in our operating assets and liabilities primarily consisted of a $19.2 million increase in accrued expenses, a $6.5 million increase in accounts payable and a $0.7 million increase in non-current liabilities, partially offset by a $18.9 million increase in prepaid expenses and other current assets and a $1.6 million decrease in operating lease liabilities. The increases in accounts payable and accrued expenses were primarily due to the timing of vendor invoicing and payments. The increase in prepaid expenses and other current assets was primarily due to prepayments and deposits to WuXi Biologics for commercial manufacturing.</w:t>
      </w:r>
    </w:p>
    <w:p>
      <w:pPr>
        <w:spacing w:after="0" w:line="7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2022, operating activities used $220.0 million of cash, primarily due to our net loss of $241.3 million and changes in our operating assets and liabilities of $16.1 million, partially offset by non-cash charges of $37.5 million. The changes in our operating assets and liabilities primarily consisted of a $34.9 million decrease in accrued expenses, a $4.3 million decrease in accounts payable, and a $0.5 million decrease in operating lease liabilities, partially offset by a $20.4 million decrease in prepaid expenses and other current assets and a $3.1 million decrease in other non-current assets. The decreases in accounts payable and accrued expenses were primarily due to the timing of vendor invoicing and payments. The decreases in prepaids expenses and other current assets and in other non-current assets were primarily due to our utilization of WuXi Biologics manufacturing deposits.</w:t>
      </w:r>
    </w:p>
    <w:p>
      <w:pPr>
        <w:spacing w:after="0" w:line="2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Net cash provided by investing activities during the year ended December 31, 2023 consisted of $372.5 million in maturities of marketable securities, offset by $91.2 million in purchases of marketable securities and $0.6 million in purchases of property and equipment.</w:t>
      </w:r>
    </w:p>
    <w:p>
      <w:pPr>
        <w:spacing w:after="0" w:line="55"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Net cash used in investing activities during the year ended December 31, 2022 consisted of $298.0 million in purchases of marketable securities and $1.7 million in purchases of property and equipment, offset by $69.0 million in maturities of marketable securities.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Net cash provided by financing activities during the year ended December 31, 2023 primarily consisted of $1.0 million from exercises of stock options and $0.2 million from issuances of common stock under the Company’s employee stock purchase plan.</w:t>
      </w:r>
    </w:p>
    <w:p>
      <w:pPr>
        <w:spacing w:after="0" w:line="55"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Net cash provided by financing activities during the year ended December 31, 2022 primarily consisted of $0.2 million from exercises of stock options and $0.3 million from issuances of common stock under the Company’s employee stock purchase plan.</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Our expenses could increase in connection with our ongoing activities, particularly as we advance the nonclinical and preclinical studies and the clinical trials of our product candidates, including any associated manufacturing activities, and commercialization efforts. Our funding requirements and timing and amount of our operating expenditures will depend on many factors, including:</w:t>
      </w:r>
    </w:p>
    <w:p>
      <w:pPr>
        <w:spacing w:after="0" w:line="69" w:lineRule="exact"/>
        <w:rPr>
          <w:sz w:val="20"/>
          <w:szCs w:val="20"/>
          <w:color w:val="auto"/>
        </w:rPr>
      </w:pPr>
    </w:p>
    <w:p>
      <w:pPr>
        <w:ind w:left="1140" w:hanging="504"/>
        <w:spacing w:after="0" w:line="281" w:lineRule="auto"/>
        <w:tabs>
          <w:tab w:leader="none" w:pos="11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received from sales of PEMGARDA and any other product candidates for which we receive future regulatory authorization or approval;</w:t>
      </w:r>
    </w:p>
    <w:p>
      <w:pPr>
        <w:spacing w:after="0" w:line="54"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in the development of our product candidates;</w:t>
      </w:r>
    </w:p>
    <w:p>
      <w:pPr>
        <w:spacing w:after="0" w:line="116" w:lineRule="exact"/>
        <w:rPr>
          <w:rFonts w:ascii="Times New Roman" w:cs="Times New Roman" w:eastAsia="Times New Roman" w:hAnsi="Times New Roman"/>
          <w:sz w:val="18"/>
          <w:szCs w:val="18"/>
          <w:color w:val="auto"/>
        </w:rPr>
      </w:pPr>
    </w:p>
    <w:p>
      <w:pPr>
        <w:ind w:left="1140" w:hanging="504"/>
        <w:spacing w:after="0" w:line="281" w:lineRule="auto"/>
        <w:tabs>
          <w:tab w:leader="none" w:pos="11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discovery, nonclinical studies, preclinical development, laboratory testing and clinical trials for our product candidates and associated development programs;</w:t>
      </w:r>
    </w:p>
    <w:p>
      <w:pPr>
        <w:spacing w:after="0" w:line="54"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develop, in-license or acquire other product candidates, intellectual property and/or technologies;</w:t>
      </w:r>
    </w:p>
    <w:p>
      <w:pPr>
        <w:spacing w:after="0" w:line="116" w:lineRule="exact"/>
        <w:rPr>
          <w:rFonts w:ascii="Times New Roman" w:cs="Times New Roman" w:eastAsia="Times New Roman" w:hAnsi="Times New Roman"/>
          <w:sz w:val="18"/>
          <w:szCs w:val="18"/>
          <w:color w:val="auto"/>
        </w:rPr>
      </w:pPr>
    </w:p>
    <w:p>
      <w:pPr>
        <w:ind w:left="1140" w:hanging="504"/>
        <w:spacing w:after="0" w:line="281" w:lineRule="auto"/>
        <w:tabs>
          <w:tab w:leader="none" w:pos="11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manufacturing and validation activities associated with our current product candidates with the development and manufacturing of our future product candidates as we advance them through preclinical and clinical development;</w:t>
      </w:r>
    </w:p>
    <w:p>
      <w:pPr>
        <w:spacing w:after="0" w:line="54"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product candidates that we may pursue;</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6" w:lineRule="exact"/>
        <w:rPr>
          <w:rFonts w:ascii="Times New Roman" w:cs="Times New Roman" w:eastAsia="Times New Roman" w:hAnsi="Times New Roman"/>
          <w:sz w:val="18"/>
          <w:szCs w:val="18"/>
          <w:color w:val="auto"/>
        </w:rPr>
      </w:pPr>
    </w:p>
    <w:p>
      <w:pPr>
        <w:ind w:left="1140" w:right="20" w:hanging="504"/>
        <w:spacing w:after="0" w:line="281" w:lineRule="auto"/>
        <w:tabs>
          <w:tab w:leader="none" w:pos="11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capabilities and build and maintain a commercial infrastructure for product candidates for which we obtain regulatory authorization or approval;</w:t>
      </w:r>
    </w:p>
    <w:p>
      <w:pPr>
        <w:spacing w:after="0" w:line="54" w:lineRule="exact"/>
        <w:rPr>
          <w:rFonts w:ascii="Times New Roman" w:cs="Times New Roman" w:eastAsia="Times New Roman" w:hAnsi="Times New Roman"/>
          <w:sz w:val="18"/>
          <w:szCs w:val="18"/>
          <w:color w:val="auto"/>
        </w:rPr>
      </w:pPr>
    </w:p>
    <w:p>
      <w:pPr>
        <w:ind w:left="1140" w:hanging="504"/>
        <w:spacing w:after="0" w:line="281" w:lineRule="auto"/>
        <w:tabs>
          <w:tab w:leader="none" w:pos="11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costs of securing sufficient manufacturing capacity for clinical and commercial supply of our product candidates, or the raw material components thereof;</w:t>
      </w:r>
    </w:p>
    <w:p>
      <w:pPr>
        <w:spacing w:after="0" w:line="54" w:lineRule="exact"/>
        <w:rPr>
          <w:rFonts w:ascii="Times New Roman" w:cs="Times New Roman" w:eastAsia="Times New Roman" w:hAnsi="Times New Roman"/>
          <w:sz w:val="18"/>
          <w:szCs w:val="18"/>
          <w:color w:val="auto"/>
        </w:rPr>
      </w:pPr>
    </w:p>
    <w:p>
      <w:pPr>
        <w:ind w:left="1140" w:hanging="504"/>
        <w:spacing w:after="0" w:line="281" w:lineRule="auto"/>
        <w:tabs>
          <w:tab w:leader="none" w:pos="11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commercialization activities, including product manufacturing, marketing, sales and distribution, for any of our product candidates for which we receive regulatory authorization or approval;</w:t>
      </w:r>
    </w:p>
    <w:p>
      <w:pPr>
        <w:spacing w:after="0" w:line="54" w:lineRule="exact"/>
        <w:rPr>
          <w:rFonts w:ascii="Times New Roman" w:cs="Times New Roman" w:eastAsia="Times New Roman" w:hAnsi="Times New Roman"/>
          <w:sz w:val="18"/>
          <w:szCs w:val="18"/>
          <w:color w:val="auto"/>
        </w:rPr>
      </w:pPr>
    </w:p>
    <w:p>
      <w:pPr>
        <w:ind w:left="1140" w:hanging="504"/>
        <w:spacing w:after="0" w:line="281" w:lineRule="auto"/>
        <w:tabs>
          <w:tab w:leader="none" w:pos="11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necessary to obtain regulatory authorizations or approvals, and the costs of post-marketing studies that could be required by regulatory authorities in jurisdictions where authorization or approval is obtained;</w:t>
      </w:r>
    </w:p>
    <w:p>
      <w:pPr>
        <w:spacing w:after="0" w:line="54" w:lineRule="exact"/>
        <w:rPr>
          <w:rFonts w:ascii="Times New Roman" w:cs="Times New Roman" w:eastAsia="Times New Roman" w:hAnsi="Times New Roman"/>
          <w:sz w:val="18"/>
          <w:szCs w:val="18"/>
          <w:color w:val="auto"/>
        </w:rPr>
      </w:pPr>
    </w:p>
    <w:p>
      <w:pPr>
        <w:ind w:left="1140" w:right="20" w:hanging="504"/>
        <w:spacing w:after="0" w:line="281" w:lineRule="auto"/>
        <w:tabs>
          <w:tab w:leader="none" w:pos="11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spacing w:after="0" w:line="54" w:lineRule="exact"/>
        <w:rPr>
          <w:rFonts w:ascii="Times New Roman" w:cs="Times New Roman" w:eastAsia="Times New Roman" w:hAnsi="Times New Roman"/>
          <w:sz w:val="18"/>
          <w:szCs w:val="18"/>
          <w:color w:val="auto"/>
        </w:rPr>
      </w:pPr>
    </w:p>
    <w:p>
      <w:pPr>
        <w:ind w:left="1140" w:right="20" w:hanging="504"/>
        <w:spacing w:after="0" w:line="281" w:lineRule="auto"/>
        <w:tabs>
          <w:tab w:leader="none" w:pos="11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continuation of our existing licensing and collaboration arrangements and entry into new collaborations and licensing arrangements, if at all;</w:t>
      </w:r>
    </w:p>
    <w:p>
      <w:pPr>
        <w:spacing w:after="0" w:line="54"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and ability to hire and retain additional research, clinical, development, scientific and manufacturing personnel;</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we incur in maintaining business operations;</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implement additional internal systems and infrastructure;</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product and market developments;</w:t>
      </w:r>
    </w:p>
    <w:p>
      <w:pPr>
        <w:spacing w:after="0" w:line="116"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 and</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3" w:name="page114"/>
    <w:bookmarkEnd w:id="113"/>
    <w:p>
      <w:pPr>
        <w:ind w:left="1140" w:hanging="504"/>
        <w:spacing w:after="0"/>
        <w:tabs>
          <w:tab w:leader="none" w:pos="11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business interruptions to our operations or to those of our third-party contractors resulting from any public health crisis.</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Substantial Doubt about Ability to Continue as a Going Concern</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accordance with Accounting Standards Update 2014-15, Disclosure of Uncertainties about an Entity’s Ability to Continue as a Going Concern (Subtopic 205-40), we are required to evaluate whether there are conditions and events, considered in the aggregate, that raise substantial doubt about our ability to continue as a going concern from the issuance date of our consolidated financial statements. Based on current operating plans and excluding any contribution from revenues or external financing, we believe that our cash and cash equivalents will be sufficient to fund our operating expenses and capital expenditure requirements into the fourth quarter of 2024. As such, excluding any contribution from revenues or external financing, we will not have sufficient cash and cash equivalents to fund our operating expenses and capital requirements beyond one year from the issuance of these consolidated financial statements, and therefore, we have concluded that there is substantial doubt about our ability to continue as a going concern. We have based this estimate on assumptions that may prove to be wrong, and we could exhaust our available capital resources sooner than we expect.</w:t>
      </w:r>
    </w:p>
    <w:p>
      <w:pPr>
        <w:spacing w:after="0" w:line="8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significant product revenue, we expect to finance our operations through a combination of equity offerings, government or private-party funding or grants, debt financings or other capital sources, such as collaborations with other companies, strategic alliances or licensing arrangements. To the extent that we raise additional capital through the sale of equity or convertible debt securities, our stockholders’ ownership interest will be diluted, and the terms of such securities may include liquidation or other preferences and anti-dilution protections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secure additional funds through contribution from revenues, equity or debt financings or through other sources, when needed, we may be required to delay, limit, reduce or terminate our product development programs or any commercialization efforts or grant rights to develop and market product candidates to third parties that we would otherwise prefer to develop and market ourselves.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Clinical and Manufacturing Commitments</w:t>
      </w:r>
    </w:p>
    <w:p>
      <w:pPr>
        <w:spacing w:after="0" w:line="121"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In December 2020, we entered into a Commercial Manufacturing Services Agreement with WuXi Biologics, which was amended and restated in August 2021 and further amended and restated in September 2023 (as amended and restated, the “Commercial Manufacturing Agreement”). The Commercial Manufacturing Agreement outlines the terms and conditions under which WuXi Biologics manufactures drug substance and drug product for commercial use.</w:t>
      </w:r>
    </w:p>
    <w:p>
      <w:pPr>
        <w:spacing w:after="0" w:line="7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2023, we committed to noncancelable purchase obligations related to commercial drug substance and drug product manufacturing under the Commercial Manufacturing Agreement. As of December 31, 2023, the total remaining contractually binding commercial drug substance and drug product purchase obligations due to WuXi Biologics was $33.9 million, which is expected to be paid in 2024. As of December 31, 2023, $24.1 million related to the contractually binding commercial drug substance and drug product batches was included in accounts payable and accrued expenses, which is expected to be paid in 2024.</w:t>
      </w:r>
    </w:p>
    <w:p>
      <w:pPr>
        <w:spacing w:after="0" w:line="74"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During the first quarter of 2024, we committed to additional noncancelable purchase obligations of $24.7 million related to the procurement of materials to be used in future drug substance and drug product manufacturing under the Commercial Manufacturing Agreement.</w:t>
      </w:r>
    </w:p>
    <w:p>
      <w:pPr>
        <w:spacing w:after="0" w:line="55"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During the first quarter of 2024, we committed to additional noncancelable purchase obligations of $50.3 million related to commercial drug substance and drug product manufacturing under the Commercial Manufacturing Agreement.</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 Commitments</w:t>
      </w:r>
    </w:p>
    <w:p>
      <w:pPr>
        <w:spacing w:after="0" w:line="121"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In September 2021, we entered into a five-year noncancelable facilities lease agreement for approximately 9,600 square feet of office space in Waltham, Massachusetts. The monthly rental payments under the lease, which include base rent charges of $0.4 million per year, are subject to periodic rent increases through September 2026. In addition to base rent, monthly rental payments include our proportionate share of operating expenses. The lease terms provide for one five-year extension term with base rent calculated on the then-market rate.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114" w:name="page115"/>
    <w:bookmarkEnd w:id="114"/>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In June 2022, we entered into a two-year noncancelable agreement for dedicated laboratory and office space in Newton, Massachusetts (the “Newton, MA Lease”). The monthly rental payments under the agreement include base rent charges of $0.7 million per year. The agreement terms provide for a month-to-month extension after completion of the initial two-year term with base rent calculated on the then-market rate with three months’ prior notice.</w:t>
      </w:r>
    </w:p>
    <w:p>
      <w:pPr>
        <w:spacing w:after="0" w:line="7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September 2022, we amended the Newton, MA Lease. We entered into a separate two-year noncancelable agreement for new dedicated laboratory and office space on the same campus as the Newton, MA Lease. We took occupancy of the new dedicated laboratory and office space in December 2022. The monthly rental payments under the amended agreement include base rent charges of $1.3 million per year. The agreement terms provide for a month-to-month extension, after completion of the initial two-year term extending through November 2024, with base rent calculated on the then-market rate with three months’ prior notice.</w:t>
      </w:r>
    </w:p>
    <w:p>
      <w:pPr>
        <w:spacing w:after="0" w:line="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Future minimum lease payments under the noncancelable leases as of December 31, 2023 were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240" w:type="dxa"/>
            <w:vAlign w:val="bottom"/>
          </w:tcPr>
          <w:p>
            <w:pPr>
              <w:ind w:left="15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520" w:type="dxa"/>
            <w:vAlign w:val="bottom"/>
          </w:tcPr>
          <w:p>
            <w:pPr>
              <w:spacing w:after="0"/>
              <w:rPr>
                <w:sz w:val="16"/>
                <w:szCs w:val="16"/>
                <w:color w:val="auto"/>
              </w:rPr>
            </w:pPr>
          </w:p>
        </w:tc>
        <w:tc>
          <w:tcPr>
            <w:tcW w:w="2480" w:type="dxa"/>
            <w:vAlign w:val="bottom"/>
            <w:gridSpan w:val="2"/>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Operating Lease</w:t>
            </w:r>
          </w:p>
        </w:tc>
      </w:tr>
      <w:tr>
        <w:trPr>
          <w:trHeight w:val="236"/>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20" w:type="dxa"/>
            <w:vAlign w:val="bottom"/>
            <w:tcBorders>
              <w:top w:val="single" w:sz="8" w:color="auto"/>
            </w:tcBorders>
            <w:shd w:val="clear" w:color="auto" w:fill="CFF0FC"/>
          </w:tcPr>
          <w:p>
            <w:pPr>
              <w:spacing w:after="0"/>
              <w:rPr>
                <w:sz w:val="20"/>
                <w:szCs w:val="20"/>
                <w:color w:val="auto"/>
              </w:rPr>
            </w:pPr>
          </w:p>
        </w:tc>
        <w:tc>
          <w:tcPr>
            <w:tcW w:w="2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00" w:type="dxa"/>
            <w:vAlign w:val="bottom"/>
            <w:shd w:val="clear" w:color="auto" w:fill="CFF0FC"/>
          </w:tcPr>
          <w:p>
            <w:pPr>
              <w:spacing w:after="0"/>
              <w:rPr>
                <w:sz w:val="20"/>
                <w:szCs w:val="20"/>
                <w:color w:val="auto"/>
              </w:rPr>
            </w:pPr>
          </w:p>
        </w:tc>
      </w:tr>
      <w:tr>
        <w:trPr>
          <w:trHeight w:val="238"/>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tcPr>
          <w:p>
            <w:pPr>
              <w:spacing w:after="0"/>
              <w:rPr>
                <w:sz w:val="20"/>
                <w:szCs w:val="20"/>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Pr>
          <w:p>
            <w:pPr>
              <w:spacing w:after="0"/>
              <w:rPr>
                <w:sz w:val="20"/>
                <w:szCs w:val="20"/>
                <w:color w:val="auto"/>
              </w:rPr>
            </w:pPr>
          </w:p>
        </w:tc>
      </w:tr>
      <w:tr>
        <w:trPr>
          <w:trHeight w:val="247"/>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shd w:val="clear" w:color="auto" w:fill="CFF0FC"/>
          </w:tcPr>
          <w:p>
            <w:pPr>
              <w:spacing w:after="0"/>
              <w:rPr>
                <w:sz w:val="21"/>
                <w:szCs w:val="21"/>
                <w:color w:val="auto"/>
              </w:rPr>
            </w:pPr>
          </w:p>
        </w:tc>
        <w:tc>
          <w:tcPr>
            <w:tcW w:w="2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shd w:val="clear" w:color="auto" w:fill="CFF0FC"/>
          </w:tcPr>
          <w:p>
            <w:pPr>
              <w:spacing w:after="0"/>
              <w:rPr>
                <w:sz w:val="21"/>
                <w:szCs w:val="21"/>
                <w:color w:val="auto"/>
              </w:rPr>
            </w:pPr>
          </w:p>
        </w:tc>
      </w:tr>
      <w:tr>
        <w:trPr>
          <w:trHeight w:val="238"/>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20" w:type="dxa"/>
            <w:vAlign w:val="bottom"/>
          </w:tcPr>
          <w:p>
            <w:pPr>
              <w:spacing w:after="0"/>
              <w:rPr>
                <w:sz w:val="20"/>
                <w:szCs w:val="20"/>
                <w:color w:val="auto"/>
              </w:rPr>
            </w:pPr>
          </w:p>
        </w:tc>
        <w:tc>
          <w:tcPr>
            <w:tcW w:w="2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520" w:type="dxa"/>
            <w:vAlign w:val="bottom"/>
            <w:tcBorders>
              <w:top w:val="single" w:sz="8" w:color="auto"/>
            </w:tcBorders>
            <w:shd w:val="clear" w:color="auto" w:fill="CFF0FC"/>
          </w:tcPr>
          <w:p>
            <w:pPr>
              <w:spacing w:after="0"/>
              <w:rPr>
                <w:sz w:val="20"/>
                <w:szCs w:val="20"/>
                <w:color w:val="auto"/>
              </w:rPr>
            </w:pPr>
          </w:p>
        </w:tc>
        <w:tc>
          <w:tcPr>
            <w:tcW w:w="2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2,279</w:t>
            </w:r>
          </w:p>
        </w:tc>
        <w:tc>
          <w:tcPr>
            <w:tcW w:w="100" w:type="dxa"/>
            <w:vAlign w:val="bottom"/>
            <w:shd w:val="clear" w:color="auto" w:fill="CFF0FC"/>
          </w:tcPr>
          <w:p>
            <w:pPr>
              <w:spacing w:after="0"/>
              <w:rPr>
                <w:sz w:val="20"/>
                <w:szCs w:val="20"/>
                <w:color w:val="auto"/>
              </w:rPr>
            </w:pPr>
          </w:p>
        </w:tc>
      </w:tr>
      <w:tr>
        <w:trPr>
          <w:trHeight w:val="238"/>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 value adjustment</w:t>
            </w:r>
          </w:p>
        </w:tc>
        <w:tc>
          <w:tcPr>
            <w:tcW w:w="520" w:type="dxa"/>
            <w:vAlign w:val="bottom"/>
          </w:tcPr>
          <w:p>
            <w:pPr>
              <w:spacing w:after="0"/>
              <w:rPr>
                <w:sz w:val="20"/>
                <w:szCs w:val="20"/>
                <w:color w:val="auto"/>
              </w:rPr>
            </w:pPr>
          </w:p>
        </w:tc>
        <w:tc>
          <w:tcPr>
            <w:tcW w:w="2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(114 )</w:t>
            </w:r>
          </w:p>
        </w:tc>
      </w:tr>
      <w:tr>
        <w:trPr>
          <w:trHeight w:val="276"/>
        </w:trPr>
        <w:tc>
          <w:tcPr>
            <w:tcW w:w="8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Present value of operating lease liability</w:t>
            </w:r>
          </w:p>
        </w:tc>
        <w:tc>
          <w:tcPr>
            <w:tcW w:w="520" w:type="dxa"/>
            <w:vAlign w:val="bottom"/>
            <w:tcBorders>
              <w:top w:val="single" w:sz="8" w:color="auto"/>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Under a separate cell line license agreement with WuXi Biologics, we are obligated to pay royalties of less than 1.0% to WuXi Biologics based on our net sales of any products covered by the license. However, if we use WuXi Biologics to manufacture all of our commercial supplies, no royalties would be owed by us to WuXi Biologics for net sales of licensed products. We have an option to buy out our royalty obligations by making a one-time payment in the low eight-figures to WuXi Biologics. The amount and timing of such royalty payments are not known. For additional information, see Note 7 to our annual consolidated financial statements appearing at the end of this Annual Report on Form 10-K.</w:t>
      </w:r>
    </w:p>
    <w:p>
      <w:pPr>
        <w:spacing w:after="0" w:line="74"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July 2020, we entered into the Adimab Assignment Agreement with Adimab, with respect to discovery and optimization of coronavirus-specific antibodies, including COVID-19 and SARS. Under the Adimab Assignment Agreement, we are obligated to pay Adimab up to $16.5 million upon the achievement of specified development and regulatory milestones for the first product under the agreement that achieves such specified milestones and up to $8.1 million upon the achievement of specified development and regulatory milestones for the second product under the agreement that achieves such specified milestones. The maximum aggregate amount of milestone payments payable under the agreement for any and all products under the agreement is $24.6 million, of which a total of $11.1 million has been achieved and paid as of December 31, 2023. In March 2023, we achieved the first specified milestone for the second product candidate under the agreement upon dosing of the first subject in a Phase 1 clinical trial evaluating VYD222, which obligated us to make a $0.4 million milestone payment to Adimab, which was paid in May 2023. In September 2023, we achieved specified milestones for the second product candidate under the agreement upon dosing of the first subject in a pivotal clinical trial evaluating VYD222, which obligated us to make a $3.2 million milestone payment to Adimab, which was paid in October 2023. The next potential milestone under the Adimab Assignment Agreement is a low single-digit million-dollar regulatory milestone. In addition, we are obligated to pay Adimab royalties of a mid-single-digit percentage based on our net sales of products under the agreement, beginning upon the first commercial sale of a product in accordance with the terms of the Adimab Assignment Agreement. Further, we are obligated to pay Adimab royalties of a specified percentage in the range of 45% to 55% of any compulsory sublicense consideration received by us in lieu of certain royalty payments. The amount and timing of such milestone and royalty payments are not known. For additional information, see Note 7 to our annual consolidated financial statements appearing at the end of this Annual Report on Form 10-K.</w:t>
      </w:r>
    </w:p>
    <w:p>
      <w:pPr>
        <w:spacing w:after="0" w:line="8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May 2021, as amended in November 2022 and September 2023, we entered into the Adimab Collaboration Agreement with Adimab for the discovery and optimization of proprietary antibodies as potential therapeutic product candidates. Under the Adimab Collaboration Agreement, we could collaborate with Adimab on research programs for a specified number of targets selected by us within a specified time period. Under the Adimab Collaboration Agreement, through December 31, 2023, we were obligated to pay Adimab a quarterly fee in exchange for Adimab and its affiliates agreeing not to assist or direct certain third parties to discover or optimize antibodies that are intended to bind to coronaviruses or influenza viruses, which obligation could be cancelled at our option at any time. In December 2023, pursuant to the terms of the Adimab Collaboration Agreement, we elected to decrease the scope of Adimab’s exclusivity obligations to cover only coronaviruses and obtained a corresponding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115" w:name="page116"/>
    <w:bookmarkEnd w:id="115"/>
    <w:p>
      <w:pPr>
        <w:jc w:val="both"/>
        <w:spacing w:after="0" w:line="252" w:lineRule="auto"/>
        <w:rPr>
          <w:sz w:val="20"/>
          <w:szCs w:val="20"/>
          <w:color w:val="auto"/>
        </w:rPr>
      </w:pPr>
      <w:r>
        <w:rPr>
          <w:rFonts w:ascii="Times New Roman" w:cs="Times New Roman" w:eastAsia="Times New Roman" w:hAnsi="Times New Roman"/>
          <w:sz w:val="18"/>
          <w:szCs w:val="18"/>
          <w:color w:val="auto"/>
        </w:rPr>
        <w:t>decrease in the quarterly fee. Effective January 2024, we are obligated to pay Adimab a quarterly fee of $0.6 million, a decrease from the previous quarterly fee of $1.3 million. For each agreed upon research program that is commenced, we are obligated to pay Adimab quarterly for its services performed during a given research program at a specified full-time equivalent rate; a discovery delivery fee of $0.2 million; and an optimization completion fee of $0.2 million. For each option exercised by us to commercialize a specific research program, we are obligated to pay Adimab an exercise fee of $1.0 million. During the year ended December 31, 2023, we were obligated to make a $1.0 million, a $0.2 million, and a $0.2 million payment to Adimab related to an option exercise fee, a drug delivery fee and an optimization completion fee, respectively. During the year ended December 31, 2022, we were obligated to make a $1.0 million and a $0.4 million payment to Adimab related to an option exercise fee and a drug delivery fee. Under the Adimab Collaboration Agreement, we are obligated to pay Adimab up to $18.0 million upon the achievement of specified development and regulatory milestones for each product that achieves such milestones. The next potential milestone under the Adimab Collaboration Agreement is a low single-digit million dollar clinical milestone. We are also obligated to pay Adimab royalties of a mid-single-digit percentage based on net sales of any product under the Adimab Collaboration Agreement, subject to reductions for third-party licenses. In addition, we are obligated to pay Adimab for Adimab’s performance of certain validation work with respect to certain antigens acquired from a third party. In consideration for this work, we are obligated to pay Adimab royalties of a low single-digit percentage based on net sales of products that contain such antigens for the same royalty term as antibody-based products, but we are not obligated to make any milestone payments for such antigen products. The amount and timing of such milestone and royalty payments are not known. For additional information, see Note 7 to our annual consolidated financial statements appearing at the end of this Annual Report on Form 10-K.</w:t>
      </w:r>
    </w:p>
    <w:p>
      <w:pPr>
        <w:spacing w:after="0" w:line="84"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September 2022, we entered into the Adimab Platform Transfer Agreement with Adimab, under which we were granted the right under certain intellectual property of Adimab to practice certain elements of Adimab’s platform technology, including B-cell cloning using Adimab’s proprietary yeast cell lines and other antibody optimization libraries, trade secrets, protocols and software of Adimab, to discover, engineer and optimize antibodies. We do not have access to Adimab’s proprietary discovery libraries. We were also granted the right under certain intellectual property of Adimab to research, develop, make, sell and exploit such antibodies and products containing such antibodies. Under the Adimab Platform Transfer Agreement, we are obligated to pay Adimab an annual fee of single digit millions through June 2027, which allows us to receive from Adimab material improvements to the platform technology, including materially improved antibody optimization libraries, updates that provide new functionality to the platform, and software upgrades. Beginning in July 2027 and ending in June 2042, unless terminated earlier, we have the option to receive additional material improvements to the platform technology from Adimab, subject to a commercially reasonable fee to be negotiated by the parties. We are also obligated to pay Adimab up to $9.5 million upon the achievement of specified development and regulatory milestones for each product under the Adimab Platform Transfer Agreement that achieves such milestones. The next potential milestone under the Adimab Platform Transfer Agreement is a mid-six-digit dollar preclinical milestone. In addition, we are obligated to pay Adimab royalties of a low single-digit percentage based on net sales of products containing an antibody discovered, engineered or optimized using Adimab’s platform technology, subject to reductions specified under the Adimab Platform Transfer Agreement. The amount and timing of such royalty payments are not known. For additional information, see Note 7 to our annual consolidated financial statements appearing at the end of this Annual Report on Form 10-K.</w:t>
      </w:r>
    </w:p>
    <w:p>
      <w:pPr>
        <w:spacing w:after="0" w:line="8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November 2022, we entered into the PHP MSA. Concurrently with the PHP MSA, we entered into the first work order with PHP under the PHP MSA, pursuant to which PHP agreed to advise and counsel us regarding clinical development and regulatory matters with respect to our product candidates. The PHP Work Order was effective for six months from November 2022 and terminated in accordance with its terms in May 2023. As compensation for the services and deliverables under the PHP Work Order, we paid PHP a cash fee of $0.5 million per month during the term of the PHP Work Order for an aggregate fee of $3.0 million.</w:t>
      </w:r>
    </w:p>
    <w:p>
      <w:pPr>
        <w:spacing w:after="0" w:line="7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enter into other contracts in the normal course of business with other third parties for preclinical research studies and testing, clinical trials, manufacturing and other services. These contracts do not contain any minimum purchase commitments and provide for termination by us upon prior written notice. Payments due upon cancellation consist only of payments for services provided and expenses incurred up to the date of cancellation, including non-cancelable obligations of our service providers and, in some cases, wind-down costs. The exact amounts of such obligations are dependent on the timing of termination and the terms of the associated agreement.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generally accepted accounting principles in the U.S. The preparation of consolidated financial statements requires us to make estimates and assumptions that affect the reported amounts of assets, and liabilities and the disclosure of contingent assets and liabilities at the date of the consolidated</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116" w:name="page117"/>
    <w:bookmarkEnd w:id="116"/>
    <w:p>
      <w:pPr>
        <w:jc w:val="both"/>
        <w:spacing w:after="0" w:line="260" w:lineRule="auto"/>
        <w:rPr>
          <w:sz w:val="20"/>
          <w:szCs w:val="20"/>
          <w:color w:val="auto"/>
        </w:rPr>
      </w:pPr>
      <w:r>
        <w:rPr>
          <w:rFonts w:ascii="Times New Roman" w:cs="Times New Roman" w:eastAsia="Times New Roman" w:hAnsi="Times New Roman"/>
          <w:sz w:val="18"/>
          <w:szCs w:val="18"/>
          <w:color w:val="auto"/>
        </w:rPr>
        <w:t>financial statements, as well as the reported expenses incurred during the reporting periods. Our estimates are based on our historical experience, known trends and events, and various other factors that we believe are reasonable under the circumstances, the results of which form the basis for making judgments about the carrying value of assets and liabilities and recorded amounts of expenses that are not readily apparent from other sources. We evaluate our estimates and assumptions on an ongoing basis. Our actual results may differ from these estimates under different assumptions or conditions.</w:t>
      </w:r>
    </w:p>
    <w:p>
      <w:pPr>
        <w:spacing w:after="0" w:line="74"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2 to our consolidated financial statements appearing at the end of this Annual Report on Form 10-K, we believe the following accounting policies used in the preparation of our consolidated financial statements require the most significant judgments and estimates.</w:t>
      </w:r>
    </w:p>
    <w:p>
      <w:pPr>
        <w:spacing w:after="0" w:line="2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accrued research and development expenses. This process involves estimating the level of service performed and the associated costs incurred for the services when we have not yet been invoiced or otherwise notified of the actual costs. The majority of our service providers invoice us in arrears for services performed, on a pre-determined schedule or when contractual milestones are met; however, some require advance payments. We make estimates of our accrued expenses as of each balance sheet date in the consolidated financial statements based on facts and circumstances known to us at that time. At each end period, we corroborate the accuracy of these estimates with the service providers and make adjustments, if necessary. Examples of estimated accrued research and development expenses include those related to fees paid to:</w:t>
      </w:r>
    </w:p>
    <w:p>
      <w:pPr>
        <w:spacing w:after="0" w:line="79" w:lineRule="exact"/>
        <w:rPr>
          <w:sz w:val="20"/>
          <w:szCs w:val="20"/>
          <w:color w:val="auto"/>
        </w:rPr>
      </w:pPr>
    </w:p>
    <w:p>
      <w:pPr>
        <w:ind w:left="1140" w:hanging="504"/>
        <w:spacing w:after="0"/>
        <w:tabs>
          <w:tab w:leader="none" w:pos="11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CROs in connection with performing nonclinical studies, preclinical studies and clinical trials;</w:t>
      </w:r>
    </w:p>
    <w:p>
      <w:pPr>
        <w:spacing w:after="0" w:line="116" w:lineRule="exact"/>
        <w:rPr>
          <w:rFonts w:ascii="Times New Roman" w:cs="Times New Roman" w:eastAsia="Times New Roman" w:hAnsi="Times New Roman"/>
          <w:sz w:val="18"/>
          <w:szCs w:val="18"/>
          <w:color w:val="auto"/>
        </w:rPr>
      </w:pPr>
    </w:p>
    <w:p>
      <w:pPr>
        <w:ind w:left="1140" w:hanging="504"/>
        <w:spacing w:after="0" w:line="281" w:lineRule="auto"/>
        <w:tabs>
          <w:tab w:leader="none" w:pos="11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CDMO related to the production of our product candidates for nonclinical studies, preclinical studies, clinical trials and commercial supply, prior to receiving authorization or approval; and</w:t>
      </w:r>
    </w:p>
    <w:p>
      <w:pPr>
        <w:spacing w:after="0" w:line="54"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providers and vendors in connection with research and development activities.</w:t>
      </w:r>
    </w:p>
    <w:p>
      <w:pPr>
        <w:spacing w:after="0" w:line="11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record the expense and accrual related to contract research and manufacturing based on our estimates of the services received and efforts expended considering a number of factors, including our knowledge of the progress towards completion of the research, development and manufacturing activities; invoicing to date under the contracts; communication from the CROs, CDMO and other companies of any actual costs incurred during the period that have not yet been invoiced; and the costs included in the contracts and purchase orders. The financial terms of these agreements are subject to negotiation, vary from contract to contract and may result in uneven payment flows. For CRO expense and accruals, there is estimation uncertainty related to the timing of submission of investigator fees for the period. For CDMO expense and accruals, there is estimation uncertainty related to the percentage of completion of in process batch manufacturing at period end. To date, we have not had significant changes to our estimates. There may be instances in which payments made to our vendors will exceed the level of services provided and result in a prepayment of the expense. In accruing service fees, we estimate the time period over which services will be performed and the level of effort to be expended in each period. If the actual timing of the performance of services or the level of effort varies from the estimate, we adjust the accrual or the amount of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2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117" w:name="page118"/>
    <w:bookmarkEnd w:id="117"/>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grant stock-based awards to employees, directors and non-employees in the form of stock options to purchase shares of our common stock. We measure stock options with service-based vesting granted to employees, directors and non-employees based on the fair value on the date of grant using the Black-Scholes option-pricing model. The Black-Scholes option-pricing model uses as inputs the fair value of our common stock and assumptions we make for the volatility of our common stock, the expected term of our stock options, the risk-free interest rate for a period that approximates the expected term of our stock options, and our expected dividend yield. After the initial public offering, the fair value of our common stock is based on the quoted market price of our common stock. Due to the proximity to the IPO, we continue to lack company-specific historical and implied volatility information. Therefore, we estimate our expected stock volatility based on the historical volatility of a publicly traded set of peer companies and we expect to continue to do so until such time that we have adequate historical data regarding the volatility of our own traded stock price. We have primarily issued awards with service-based vesting conditions through December 31, 2023. Compensation expense for awards granted to employees and directors for their service on the board of directors is recognized on a straight-line basis over the requisite service period of the respective award, which is generally the vesting period of the award. Compensation expense for awards granted to non-employees is recognized in the same period and manner as if we had paid cash for the goods or services provided, which is generally the vesting period of the award. We account for forfeitures of stock-based awards as they occur.</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results of operations and cash flows is disclosed in Note 2 to our consolidated financial statements appearing at the end of this Annual Report on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may remain an emerging growth company until the last day of the fiscal year following the fifth anniversary of the completion of our initial public offering. However, if certain events occur prior to the end of such five-year period, including if we become a “large accelerated filer,” our annual gross revenues exceed $1.235 billion or we issue more than $1.0 billion of non-convertible debt in the previous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78" w:lineRule="exact"/>
        <w:rPr>
          <w:sz w:val="20"/>
          <w:szCs w:val="20"/>
          <w:color w:val="auto"/>
        </w:rPr>
      </w:pPr>
    </w:p>
    <w:p>
      <w:pPr>
        <w:ind w:left="1020" w:hanging="504"/>
        <w:spacing w:after="0"/>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auditor attestation requirement in the assessment of our internal control over financial reporting;</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w:t>
      </w:r>
    </w:p>
    <w:p>
      <w:pPr>
        <w:spacing w:after="0" w:line="116"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stockholder approval of any golden parachute payments not previously approved; and</w:t>
      </w:r>
    </w:p>
    <w:p>
      <w:pPr>
        <w:spacing w:after="0" w:line="54"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requirements of the Public Company Accounting Oversight Board regarding the communication of critical audit matters in the auditor’s report on the financial statements.</w:t>
      </w:r>
    </w:p>
    <w:p>
      <w:pPr>
        <w:spacing w:after="0" w:line="55"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jc w:val="both"/>
        <w:ind w:right="20" w:firstLine="509"/>
        <w:spacing w:after="0" w:line="281"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required under this item.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jc w:val="both"/>
        <w:ind w:right="20" w:firstLine="509"/>
        <w:spacing w:after="0" w:line="281" w:lineRule="auto"/>
        <w:rPr>
          <w:sz w:val="20"/>
          <w:szCs w:val="20"/>
          <w:color w:val="auto"/>
        </w:rPr>
      </w:pPr>
      <w:r>
        <w:rPr>
          <w:rFonts w:ascii="Times New Roman" w:cs="Times New Roman" w:eastAsia="Times New Roman" w:hAnsi="Times New Roman"/>
          <w:sz w:val="18"/>
          <w:szCs w:val="18"/>
          <w:color w:val="auto"/>
        </w:rPr>
        <w:t>The financial statements required to be filed pursuant to this Item 8 are appended to this Annual Report on Form 10-K. An index of those financial statements is found in Item 15, Exhibit and Financial Statement Schedules, of this Annual Report on Form 10-K.</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118" w:name="page119"/>
    <w:bookmarkEnd w:id="118"/>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(our principal executive officer and principal financial officer, respectively), evaluated, as of the end of the period covered by this Annual Report on Form 10-K, the effectiveness of our disclosure controls and procedures. The term “disclosure controls and procedures,” as defined in Rules 13a-15(e) and 15d-15(e) under the Exchange Act, means controls and other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spacing w:after="0" w:line="81"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Based on that evaluation of our disclosure controls and procedures as of December 31, 2023, our principal executive officer and principal financial officer concluded that our disclosure controls and procedures as of such date were effective at the reasonable assurance level.</w:t>
      </w:r>
    </w:p>
    <w:p>
      <w:pPr>
        <w:spacing w:after="0" w:line="2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Management’s Annual Report on Internal Control over Financial Reporting</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Our management conducted an assessment of the effectiveness of our internal control over financial reporting based on the criteria set forth in “Internal Control - Integrated Framework (2013)” issued by the Committee of Sponsoring Organizations of the Treadway Commission. Based on this assessment, our management concluded that, as of December 31, 2023, our internal control over financial reporting was effective. As an “emerging growth company” as defined in the JOBS Act and a non-accelerated filer, we are not required to comply with the auditor attestation requirement of Section 404 of the Sarbanes-Oxley Act of 2002.</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the fiscal quarter ended December 31, 2023 that have materially affected, or are reasonably likely to materially affect, our internal control over financial reporting.</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During the three months ended December 31, 2023, no director or officer of the Company adopted or terminated a “Rule 10b5-1 trading arrangement” or “non-Rule 10b5-1 trading arrangement,” as each term is defined in Item 408 of Regulation S-K.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The information required by this Item 10 (other than as set forth below) will be included in our definitive proxy statement to be filed with the SEC with respect to our 2024 Annual Meeting of Stockholders within 120 days of the end of the fiscal year to which this Annual Report on Form 10-K relates (our “Proxy Statement”), which information is incorporated herein by reference.</w:t>
      </w:r>
    </w:p>
    <w:p>
      <w:pPr>
        <w:spacing w:after="0" w:line="6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adopted a Code of Business Ethics and Conduct within the meaning of Item 406(b) of Regulation S-K. This Code of Business Ethics and Conduct applies to our directors, officers, and employees, including our principal executive officer, principal financial officer, principal accounting officer or controller, or persons performing similar functions, and is posted in the “Corporate Governance” sub-section of the “Investors &amp; Media” section (https://investors.invivyd.com/) of our corporate website (https://invivyd.com/). We intend to disclose on our website any amendments to, or waivers from, the Code of Business Ethics and Conduct that are required to be disclosed pursuant to the disclosure requirements of Item 5.05 of Form 8-K.</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information required by this Item 11 will be included in our Proxy Statement, which information is incorporated herein by reference.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information required by this Item 12 will be included in our Proxy Statement, which information is incorporated herein by reference.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information required by this Item 13 will be included in our Proxy Statement, which information is incorporated herein by reference.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information required by this Item 14 will be included in our Proxy Statement, which information is incorporated herein by reference.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 and Financial Statement Schedules.</w:t>
      </w:r>
    </w:p>
    <w:p>
      <w:pPr>
        <w:spacing w:after="0" w:line="121" w:lineRule="exact"/>
        <w:rPr>
          <w:sz w:val="20"/>
          <w:szCs w:val="20"/>
          <w:color w:val="auto"/>
        </w:rPr>
      </w:pPr>
    </w:p>
    <w:p>
      <w:pPr>
        <w:ind w:left="520" w:right="20"/>
        <w:spacing w:after="0" w:line="281" w:lineRule="auto"/>
        <w:rPr>
          <w:sz w:val="20"/>
          <w:szCs w:val="20"/>
          <w:color w:val="auto"/>
        </w:rPr>
      </w:pPr>
      <w:r>
        <w:rPr>
          <w:rFonts w:ascii="Times New Roman" w:cs="Times New Roman" w:eastAsia="Times New Roman" w:hAnsi="Times New Roman"/>
          <w:sz w:val="18"/>
          <w:szCs w:val="18"/>
          <w:color w:val="auto"/>
        </w:rPr>
        <w:t>(a)(1) For a list of the financial statements filed as part of this Annual Report on Form 10-K, see Index to Consolidated Financial Statements on page F-1 of this Annual Report on Form 10-K, incorporated into this Item by reference.</w:t>
      </w:r>
    </w:p>
    <w:p>
      <w:pPr>
        <w:spacing w:after="0" w:line="55" w:lineRule="exact"/>
        <w:rPr>
          <w:sz w:val="20"/>
          <w:szCs w:val="20"/>
          <w:color w:val="auto"/>
        </w:rPr>
      </w:pPr>
    </w:p>
    <w:p>
      <w:pPr>
        <w:ind w:left="520"/>
        <w:spacing w:after="0" w:line="281" w:lineRule="auto"/>
        <w:rPr>
          <w:sz w:val="20"/>
          <w:szCs w:val="20"/>
          <w:color w:val="auto"/>
        </w:rPr>
      </w:pPr>
      <w:r>
        <w:rPr>
          <w:rFonts w:ascii="Times New Roman" w:cs="Times New Roman" w:eastAsia="Times New Roman" w:hAnsi="Times New Roman"/>
          <w:sz w:val="18"/>
          <w:szCs w:val="18"/>
          <w:color w:val="auto"/>
        </w:rPr>
        <w:t>(a)(2) Financial statement schedules have been omitted because they are either not required or not applicable or the information is included in the consolidated financial statements or the notes thereto.</w:t>
      </w:r>
    </w:p>
    <w:p>
      <w:pPr>
        <w:spacing w:after="0" w:line="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(a)(3) Exhibits: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40" w:type="dxa"/>
            <w:vAlign w:val="bottom"/>
            <w:gridSpan w:val="26"/>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11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640" w:type="dxa"/>
            <w:vAlign w:val="bottom"/>
            <w:tcBorders>
              <w:bottom w:val="single" w:sz="8" w:color="auto"/>
            </w:tcBorders>
            <w:gridSpan w:val="2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1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4"/>
                <w:szCs w:val="14"/>
                <w:color w:val="auto"/>
              </w:rPr>
            </w:pPr>
          </w:p>
        </w:tc>
        <w:tc>
          <w:tcPr>
            <w:tcW w:w="9880" w:type="dxa"/>
            <w:vAlign w:val="bottom"/>
            <w:tcBorders>
              <w:bottom w:val="single" w:sz="8" w:color="0000FF"/>
            </w:tcBorders>
            <w:gridSpan w:val="32"/>
          </w:tcPr>
          <w:p>
            <w:pPr>
              <w:spacing w:after="0" w:line="169"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Amended and Restated Certificate of Incorporation (incorporated by reference to Exhibit 3.1 of the Registrant’s Current Report on Form</w:t>
              </w:r>
            </w:hyperlink>
          </w:p>
        </w:tc>
        <w:tc>
          <w:tcPr>
            <w:tcW w:w="10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40" w:type="dxa"/>
            <w:vAlign w:val="bottom"/>
            <w:tcBorders>
              <w:bottom w:val="single" w:sz="8" w:color="0000FF"/>
            </w:tcBorders>
            <w:gridSpan w:val="15"/>
          </w:tcPr>
          <w:p>
            <w:pPr>
              <w:spacing w:after="0" w:line="195" w:lineRule="exact"/>
              <w:rPr>
                <w:rFonts w:ascii="Times New Roman" w:cs="Times New Roman" w:eastAsia="Times New Roman" w:hAnsi="Times New Roman"/>
                <w:sz w:val="18"/>
                <w:szCs w:val="18"/>
                <w:color w:val="0000FF"/>
                <w:w w:val="99"/>
              </w:rPr>
            </w:pPr>
            <w:hyperlink r:id="rId163">
              <w:r>
                <w:rPr>
                  <w:rFonts w:ascii="Times New Roman" w:cs="Times New Roman" w:eastAsia="Times New Roman" w:hAnsi="Times New Roman"/>
                  <w:sz w:val="18"/>
                  <w:szCs w:val="18"/>
                  <w:color w:val="0000FF"/>
                  <w:w w:val="99"/>
                </w:rPr>
                <w:t>8-K (File No. 001-40703), filed with the Securities and Exchange Commission on August 10, 2021).</w:t>
              </w:r>
            </w:hyperlink>
          </w:p>
        </w:tc>
        <w:tc>
          <w:tcPr>
            <w:tcW w:w="20" w:type="dxa"/>
            <w:vAlign w:val="bottom"/>
            <w:tcBorders>
              <w:bottom w:val="single" w:sz="8" w:color="0000EE"/>
            </w:tcBorders>
          </w:tcPr>
          <w:p>
            <w:pPr>
              <w:spacing w:after="0"/>
              <w:rPr>
                <w:sz w:val="17"/>
                <w:szCs w:val="17"/>
                <w:color w:val="auto"/>
              </w:rPr>
            </w:pPr>
          </w:p>
        </w:tc>
        <w:tc>
          <w:tcPr>
            <w:tcW w:w="272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8"/>
                <w:szCs w:val="18"/>
                <w:color w:val="auto"/>
              </w:rPr>
            </w:pPr>
          </w:p>
        </w:tc>
        <w:tc>
          <w:tcPr>
            <w:tcW w:w="956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Certificate of Amendment to the Amended and Restated Certificate of Incorporation (incorporated by reference to Exhibit 3.1 of the</w:t>
              </w:r>
            </w:hyperlink>
          </w:p>
        </w:tc>
        <w:tc>
          <w:tcPr>
            <w:tcW w:w="420" w:type="dxa"/>
            <w:vAlign w:val="bottom"/>
            <w:gridSpan w:val="13"/>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20" w:type="dxa"/>
            <w:vAlign w:val="bottom"/>
            <w:tcBorders>
              <w:bottom w:val="single" w:sz="8" w:color="0000FF"/>
            </w:tcBorders>
            <w:gridSpan w:val="26"/>
          </w:tcPr>
          <w:p>
            <w:pPr>
              <w:spacing w:after="0" w:line="195"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Registrant’s Current Report on Form 8-K (File No. 001-40703), filed with the Securities and Exchange Commission on September 13,</w:t>
              </w:r>
            </w:hyperlink>
          </w:p>
        </w:tc>
        <w:tc>
          <w:tcPr>
            <w:tcW w:w="2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bottom w:val="single" w:sz="8" w:color="0000FF"/>
            </w:tcBorders>
          </w:tcPr>
          <w:p>
            <w:pPr>
              <w:spacing w:after="0" w:line="195" w:lineRule="exact"/>
              <w:rPr>
                <w:rFonts w:ascii="Times New Roman" w:cs="Times New Roman" w:eastAsia="Times New Roman" w:hAnsi="Times New Roman"/>
                <w:sz w:val="18"/>
                <w:szCs w:val="18"/>
                <w:color w:val="0000FF"/>
                <w:w w:val="94"/>
              </w:rPr>
            </w:pPr>
            <w:hyperlink r:id="rId164">
              <w:r>
                <w:rPr>
                  <w:rFonts w:ascii="Times New Roman" w:cs="Times New Roman" w:eastAsia="Times New Roman" w:hAnsi="Times New Roman"/>
                  <w:sz w:val="18"/>
                  <w:szCs w:val="18"/>
                  <w:color w:val="0000FF"/>
                  <w:w w:val="94"/>
                </w:rPr>
                <w:t>2022).</w:t>
              </w:r>
            </w:hyperlink>
          </w:p>
        </w:tc>
        <w:tc>
          <w:tcPr>
            <w:tcW w:w="20" w:type="dxa"/>
            <w:vAlign w:val="bottom"/>
            <w:tcBorders>
              <w:bottom w:val="single" w:sz="8" w:color="0000EE"/>
            </w:tcBorders>
          </w:tcPr>
          <w:p>
            <w:pPr>
              <w:spacing w:after="0"/>
              <w:rPr>
                <w:sz w:val="17"/>
                <w:szCs w:val="17"/>
                <w:color w:val="auto"/>
              </w:rPr>
            </w:pP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8"/>
                <w:szCs w:val="18"/>
                <w:color w:val="auto"/>
              </w:rPr>
            </w:pPr>
          </w:p>
        </w:tc>
        <w:tc>
          <w:tcPr>
            <w:tcW w:w="956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Certificate of Amendment to the Amended and Restated Certificate of Incorporation (incorporated by reference to Exhibit 3.1 of the</w:t>
              </w:r>
            </w:hyperlink>
          </w:p>
        </w:tc>
        <w:tc>
          <w:tcPr>
            <w:tcW w:w="420" w:type="dxa"/>
            <w:vAlign w:val="bottom"/>
            <w:gridSpan w:val="13"/>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35"/>
          </w:tcPr>
          <w:p>
            <w:pPr>
              <w:spacing w:after="0" w:line="195"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Registrant’s Current Report on Form 8-K (File No. 001-40703), filed with the Securities and Exchange Commission on May 25, 2023).</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8"/>
                <w:szCs w:val="18"/>
                <w:color w:val="auto"/>
              </w:rPr>
            </w:pPr>
          </w:p>
        </w:tc>
        <w:tc>
          <w:tcPr>
            <w:tcW w:w="978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w w:val="99"/>
              </w:rPr>
            </w:pPr>
            <w:hyperlink r:id="rId166">
              <w:r>
                <w:rPr>
                  <w:rFonts w:ascii="Times New Roman" w:cs="Times New Roman" w:eastAsia="Times New Roman" w:hAnsi="Times New Roman"/>
                  <w:sz w:val="18"/>
                  <w:szCs w:val="18"/>
                  <w:color w:val="0000FF"/>
                  <w:w w:val="99"/>
                </w:rPr>
                <w:t>Amended and Restated Bylaws (incorporated by reference to Exhibit 3.2 of the Registrant’s Current Report on Form 8-K (File No. 001-</w:t>
              </w:r>
            </w:hyperlink>
          </w:p>
        </w:tc>
        <w:tc>
          <w:tcPr>
            <w:tcW w:w="20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35"/>
          </w:tcPr>
          <w:p>
            <w:pPr>
              <w:spacing w:after="0" w:line="195"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40703)</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filed with the Securities and Exchange Commission on September 13, 2022).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8"/>
                <w:szCs w:val="18"/>
                <w:color w:val="auto"/>
              </w:rPr>
            </w:pPr>
          </w:p>
        </w:tc>
        <w:tc>
          <w:tcPr>
            <w:tcW w:w="982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Amendment No. 1 to the Amended and Restated Bylaws (incorporated by reference to Exhibit 3.2 of the Registrant’s Current Report on</w:t>
              </w:r>
            </w:hyperlink>
          </w:p>
        </w:tc>
        <w:tc>
          <w:tcPr>
            <w:tcW w:w="16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35"/>
          </w:tcPr>
          <w:p>
            <w:pPr>
              <w:spacing w:after="0" w:line="195"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Form 8-K (File No. 001-40703), filed with the Securities and Exchange Commission on May 25, 2023).</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tcBorders>
              <w:right w:val="single" w:sz="8" w:color="0000EE"/>
            </w:tcBorders>
            <w:gridSpan w:val="3"/>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8"/>
                <w:szCs w:val="18"/>
                <w:color w:val="auto"/>
              </w:rPr>
            </w:pPr>
          </w:p>
        </w:tc>
        <w:tc>
          <w:tcPr>
            <w:tcW w:w="984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w w:val="99"/>
              </w:rPr>
            </w:pPr>
            <w:hyperlink r:id="rId168">
              <w:r>
                <w:rPr>
                  <w:rFonts w:ascii="Times New Roman" w:cs="Times New Roman" w:eastAsia="Times New Roman" w:hAnsi="Times New Roman"/>
                  <w:sz w:val="18"/>
                  <w:szCs w:val="18"/>
                  <w:color w:val="0000FF"/>
                  <w:w w:val="99"/>
                </w:rPr>
                <w:t>Delaware Certificate of Change of Registered Agent (incorporated by reference to Exhibit 3.3 of the Registrant’s Registration Statement</w:t>
              </w:r>
            </w:hyperlink>
          </w:p>
        </w:tc>
        <w:tc>
          <w:tcPr>
            <w:tcW w:w="14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35"/>
          </w:tcPr>
          <w:p>
            <w:pPr>
              <w:spacing w:after="0" w:line="195"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on Form S-3 (File No. 333-267643), filed with the Securities and Exchange Commission on September 28, 2022).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40" w:type="dxa"/>
            <w:vAlign w:val="bottom"/>
            <w:tcBorders>
              <w:right w:val="single" w:sz="8" w:color="0000EE"/>
            </w:tcBorders>
            <w:gridSpan w:val="4"/>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8"/>
                <w:szCs w:val="18"/>
                <w:color w:val="auto"/>
              </w:rPr>
            </w:pPr>
          </w:p>
        </w:tc>
        <w:tc>
          <w:tcPr>
            <w:tcW w:w="990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Second Amended and Restated Investors’ Rights Agreement by and among the Registrant and certain of its stockholders, dated April 16,</w:t>
              </w:r>
            </w:hyperlink>
          </w:p>
        </w:tc>
        <w:tc>
          <w:tcPr>
            <w:tcW w:w="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40" w:type="dxa"/>
            <w:vAlign w:val="bottom"/>
            <w:tcBorders>
              <w:bottom w:val="single" w:sz="8" w:color="0000FF"/>
            </w:tcBorders>
            <w:gridSpan w:val="30"/>
          </w:tcPr>
          <w:p>
            <w:pPr>
              <w:spacing w:after="0" w:line="195"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2021 (incorporated by reference to Exhibit 4.1 of the Registrant’s Registration Statement on Form S-1 (File No. 333-257975), filed with</w:t>
              </w:r>
            </w:hyperlink>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40" w:type="dxa"/>
            <w:vAlign w:val="bottom"/>
            <w:tcBorders>
              <w:bottom w:val="single" w:sz="8" w:color="0000FF"/>
            </w:tcBorders>
            <w:gridSpan w:val="9"/>
          </w:tcPr>
          <w:p>
            <w:pPr>
              <w:spacing w:after="0" w:line="195" w:lineRule="exact"/>
              <w:rPr>
                <w:rFonts w:ascii="Times New Roman" w:cs="Times New Roman" w:eastAsia="Times New Roman" w:hAnsi="Times New Roman"/>
                <w:sz w:val="18"/>
                <w:szCs w:val="18"/>
                <w:color w:val="0000FF"/>
                <w:w w:val="99"/>
              </w:rPr>
            </w:pPr>
            <w:hyperlink r:id="rId169">
              <w:r>
                <w:rPr>
                  <w:rFonts w:ascii="Times New Roman" w:cs="Times New Roman" w:eastAsia="Times New Roman" w:hAnsi="Times New Roman"/>
                  <w:sz w:val="18"/>
                  <w:szCs w:val="18"/>
                  <w:color w:val="0000FF"/>
                  <w:w w:val="99"/>
                </w:rPr>
                <w:t>the Securities and Exchange Commission on July 16, 2021).</w:t>
              </w:r>
            </w:hyperlink>
          </w:p>
        </w:tc>
        <w:tc>
          <w:tcPr>
            <w:tcW w:w="564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8"/>
                <w:szCs w:val="18"/>
                <w:color w:val="auto"/>
              </w:rPr>
            </w:pPr>
          </w:p>
        </w:tc>
        <w:tc>
          <w:tcPr>
            <w:tcW w:w="34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Description of the Registrant’s Common Stock.</w:t>
            </w:r>
          </w:p>
        </w:tc>
        <w:tc>
          <w:tcPr>
            <w:tcW w:w="20" w:type="dxa"/>
            <w:vAlign w:val="bottom"/>
            <w:tcBorders>
              <w:bottom w:val="single" w:sz="8" w:color="0000EE"/>
            </w:tcBorders>
          </w:tcPr>
          <w:p>
            <w:pPr>
              <w:spacing w:after="0"/>
              <w:rPr>
                <w:sz w:val="18"/>
                <w:szCs w:val="18"/>
                <w:color w:val="auto"/>
              </w:rPr>
            </w:pPr>
          </w:p>
        </w:tc>
        <w:tc>
          <w:tcPr>
            <w:tcW w:w="6540" w:type="dxa"/>
            <w:vAlign w:val="bottom"/>
            <w:gridSpan w:val="28"/>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8"/>
                <w:szCs w:val="18"/>
                <w:color w:val="auto"/>
              </w:rPr>
            </w:pPr>
          </w:p>
        </w:tc>
        <w:tc>
          <w:tcPr>
            <w:tcW w:w="970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9"/>
              </w:rPr>
            </w:pPr>
            <w:hyperlink r:id="rId170">
              <w:r>
                <w:rPr>
                  <w:rFonts w:ascii="Times New Roman" w:cs="Times New Roman" w:eastAsia="Times New Roman" w:hAnsi="Times New Roman"/>
                  <w:sz w:val="18"/>
                  <w:szCs w:val="18"/>
                  <w:color w:val="0000FF"/>
                  <w:w w:val="99"/>
                </w:rPr>
                <w:t>Common Stock Purchase Warrant (incorporated by reference to Exhibit 4.3 of the Registrant’s Annual Report on Form 10-K (File No.</w:t>
              </w:r>
            </w:hyperlink>
          </w:p>
        </w:tc>
        <w:tc>
          <w:tcPr>
            <w:tcW w:w="280" w:type="dxa"/>
            <w:vAlign w:val="bottom"/>
            <w:gridSpan w:val="10"/>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180" w:type="dxa"/>
            <w:vAlign w:val="bottom"/>
            <w:tcBorders>
              <w:bottom w:val="single" w:sz="8" w:color="0000FF"/>
            </w:tcBorders>
            <w:gridSpan w:val="12"/>
          </w:tcPr>
          <w:p>
            <w:pPr>
              <w:spacing w:after="0" w:line="195" w:lineRule="exact"/>
              <w:rPr>
                <w:rFonts w:ascii="Times New Roman" w:cs="Times New Roman" w:eastAsia="Times New Roman" w:hAnsi="Times New Roman"/>
                <w:sz w:val="18"/>
                <w:szCs w:val="18"/>
                <w:color w:val="0000FF"/>
                <w:w w:val="99"/>
              </w:rPr>
            </w:pPr>
            <w:hyperlink r:id="rId170">
              <w:r>
                <w:rPr>
                  <w:rFonts w:ascii="Times New Roman" w:cs="Times New Roman" w:eastAsia="Times New Roman" w:hAnsi="Times New Roman"/>
                  <w:sz w:val="18"/>
                  <w:szCs w:val="18"/>
                  <w:color w:val="0000FF"/>
                  <w:w w:val="99"/>
                </w:rPr>
                <w:t>001-40703), filed with the Securities and Exchange Commission on March 23, 2023).</w:t>
              </w:r>
            </w:hyperlink>
          </w:p>
        </w:tc>
        <w:tc>
          <w:tcPr>
            <w:tcW w:w="20" w:type="dxa"/>
            <w:vAlign w:val="bottom"/>
            <w:tcBorders>
              <w:bottom w:val="single" w:sz="8" w:color="0000EE"/>
            </w:tcBorders>
          </w:tcPr>
          <w:p>
            <w:pPr>
              <w:spacing w:after="0"/>
              <w:rPr>
                <w:sz w:val="17"/>
                <w:szCs w:val="17"/>
                <w:color w:val="auto"/>
              </w:rPr>
            </w:pPr>
          </w:p>
        </w:tc>
        <w:tc>
          <w:tcPr>
            <w:tcW w:w="378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8"/>
                <w:szCs w:val="18"/>
                <w:color w:val="auto"/>
              </w:rPr>
            </w:pPr>
          </w:p>
        </w:tc>
        <w:tc>
          <w:tcPr>
            <w:tcW w:w="964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2020 Equity Incentive Plan and Forms of Stock Option Grant Notice, Stock Option Agreement, and Exercise Notice (incorporated by</w:t>
              </w:r>
            </w:hyperlink>
          </w:p>
        </w:tc>
        <w:tc>
          <w:tcPr>
            <w:tcW w:w="340" w:type="dxa"/>
            <w:vAlign w:val="bottom"/>
            <w:gridSpan w:val="11"/>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tcBorders>
              <w:bottom w:val="single" w:sz="8" w:color="0000FF"/>
            </w:tcBorders>
            <w:gridSpan w:val="35"/>
          </w:tcPr>
          <w:p>
            <w:pPr>
              <w:spacing w:after="0" w:line="195"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reference to Exhibit 10.4 of the Registrant’s Quarterly Report on Form 10-Q (File No. 001-40703), filed with the Securities and Exchange</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tcBorders>
              <w:bottom w:val="single" w:sz="8" w:color="0000FF"/>
            </w:tcBorders>
            <w:gridSpan w:val="5"/>
          </w:tcPr>
          <w:p>
            <w:pPr>
              <w:spacing w:after="0" w:line="195" w:lineRule="exact"/>
              <w:rPr>
                <w:rFonts w:ascii="Times New Roman" w:cs="Times New Roman" w:eastAsia="Times New Roman" w:hAnsi="Times New Roman"/>
                <w:sz w:val="18"/>
                <w:szCs w:val="18"/>
                <w:color w:val="0000FF"/>
                <w:w w:val="99"/>
              </w:rPr>
            </w:pPr>
            <w:hyperlink r:id="rId171">
              <w:r>
                <w:rPr>
                  <w:rFonts w:ascii="Times New Roman" w:cs="Times New Roman" w:eastAsia="Times New Roman" w:hAnsi="Times New Roman"/>
                  <w:sz w:val="18"/>
                  <w:szCs w:val="18"/>
                  <w:color w:val="0000FF"/>
                  <w:w w:val="99"/>
                </w:rPr>
                <w:t>Commission on November 10, 2022).</w:t>
              </w:r>
            </w:hyperlink>
          </w:p>
        </w:tc>
        <w:tc>
          <w:tcPr>
            <w:tcW w:w="7260" w:type="dxa"/>
            <w:vAlign w:val="bottom"/>
            <w:gridSpan w:val="30"/>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8"/>
                <w:szCs w:val="18"/>
                <w:color w:val="auto"/>
              </w:rPr>
            </w:pPr>
          </w:p>
        </w:tc>
        <w:tc>
          <w:tcPr>
            <w:tcW w:w="952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2021 Equity Incentive Plan and Forms of Stock Option Grant Notice, Stock Option Agreement, Exercise Notice, RSU Award Grant</w:t>
            </w:r>
          </w:p>
        </w:tc>
        <w:tc>
          <w:tcPr>
            <w:tcW w:w="460" w:type="dxa"/>
            <w:vAlign w:val="bottom"/>
            <w:gridSpan w:val="14"/>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35"/>
          </w:tcPr>
          <w:p>
            <w:pPr>
              <w:spacing w:after="0" w:line="195" w:lineRule="exact"/>
              <w:rPr>
                <w:sz w:val="20"/>
                <w:szCs w:val="20"/>
                <w:color w:val="auto"/>
              </w:rPr>
            </w:pPr>
            <w:r>
              <w:rPr>
                <w:rFonts w:ascii="Times New Roman" w:cs="Times New Roman" w:eastAsia="Times New Roman" w:hAnsi="Times New Roman"/>
                <w:sz w:val="18"/>
                <w:szCs w:val="18"/>
                <w:color w:val="0000FF"/>
              </w:rPr>
              <w:t>Notice and RSU Award Agreement.</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1120" w:type="dxa"/>
            <w:vAlign w:val="bottom"/>
            <w:tcBorders>
              <w:right w:val="single" w:sz="8" w:color="0000EE"/>
            </w:tcBorders>
            <w:shd w:val="clear" w:color="auto" w:fill="0000FF"/>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26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8"/>
                <w:szCs w:val="18"/>
                <w:color w:val="auto"/>
              </w:rPr>
            </w:pPr>
          </w:p>
        </w:tc>
        <w:tc>
          <w:tcPr>
            <w:tcW w:w="986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2021 Employee Stock Purchase Plan (incorporated by reference to Exhibit 10.6 of the Registrant’s Quarterly Report on Form 10-Q (File</w:t>
              </w:r>
            </w:hyperlink>
          </w:p>
        </w:tc>
        <w:tc>
          <w:tcPr>
            <w:tcW w:w="12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80" w:type="dxa"/>
            <w:vAlign w:val="bottom"/>
            <w:tcBorders>
              <w:bottom w:val="single" w:sz="8" w:color="0000FF"/>
            </w:tcBorders>
            <w:gridSpan w:val="14"/>
          </w:tcPr>
          <w:p>
            <w:pPr>
              <w:spacing w:after="0" w:line="195" w:lineRule="exact"/>
              <w:rPr>
                <w:rFonts w:ascii="Times New Roman" w:cs="Times New Roman" w:eastAsia="Times New Roman" w:hAnsi="Times New Roman"/>
                <w:sz w:val="18"/>
                <w:szCs w:val="18"/>
                <w:color w:val="0000FF"/>
                <w:w w:val="99"/>
              </w:rPr>
            </w:pPr>
            <w:hyperlink r:id="rId172">
              <w:r>
                <w:rPr>
                  <w:rFonts w:ascii="Times New Roman" w:cs="Times New Roman" w:eastAsia="Times New Roman" w:hAnsi="Times New Roman"/>
                  <w:sz w:val="18"/>
                  <w:szCs w:val="18"/>
                  <w:color w:val="0000FF"/>
                  <w:w w:val="99"/>
                </w:rPr>
                <w:t>No. 001-40703), filed with the Securities and Exchange Commission on November 10, 2022).</w:t>
              </w:r>
            </w:hyperlink>
          </w:p>
        </w:tc>
        <w:tc>
          <w:tcPr>
            <w:tcW w:w="320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8"/>
                <w:szCs w:val="18"/>
                <w:color w:val="auto"/>
              </w:rPr>
            </w:pPr>
          </w:p>
        </w:tc>
        <w:tc>
          <w:tcPr>
            <w:tcW w:w="998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Form of Indemnification Agreement with Executive Officers and Directors.</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2800" w:type="dxa"/>
            <w:vAlign w:val="bottom"/>
            <w:gridSpan w:val="5"/>
            <w:shd w:val="clear" w:color="auto" w:fill="0000FF"/>
          </w:tcPr>
          <w:p>
            <w:pPr>
              <w:spacing w:after="0" w:line="20" w:lineRule="exact"/>
              <w:rPr>
                <w:sz w:val="1"/>
                <w:szCs w:val="1"/>
                <w:color w:val="auto"/>
              </w:rPr>
            </w:pPr>
          </w:p>
        </w:tc>
        <w:tc>
          <w:tcPr>
            <w:tcW w:w="1180" w:type="dxa"/>
            <w:vAlign w:val="bottom"/>
            <w:tcBorders>
              <w:right w:val="single" w:sz="8" w:color="0000EE"/>
            </w:tcBorders>
            <w:gridSpan w:val="2"/>
            <w:shd w:val="clear" w:color="auto" w:fill="0000FF"/>
          </w:tcPr>
          <w:p>
            <w:pPr>
              <w:spacing w:after="0" w:line="20" w:lineRule="exact"/>
              <w:rPr>
                <w:sz w:val="1"/>
                <w:szCs w:val="1"/>
                <w:color w:val="auto"/>
              </w:rPr>
            </w:pPr>
          </w:p>
        </w:tc>
        <w:tc>
          <w:tcPr>
            <w:tcW w:w="394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8"/>
                <w:szCs w:val="18"/>
                <w:color w:val="auto"/>
              </w:rPr>
            </w:pPr>
          </w:p>
        </w:tc>
        <w:tc>
          <w:tcPr>
            <w:tcW w:w="984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Employment Agreement by and between the Registrant and David Hering, dated July 5, 2022 (incorporated by reference to Exhibit 10.1</w:t>
              </w:r>
            </w:hyperlink>
          </w:p>
        </w:tc>
        <w:tc>
          <w:tcPr>
            <w:tcW w:w="14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20" w:type="dxa"/>
            <w:vAlign w:val="bottom"/>
            <w:tcBorders>
              <w:bottom w:val="single" w:sz="8" w:color="0000FF"/>
            </w:tcBorders>
            <w:gridSpan w:val="23"/>
          </w:tcPr>
          <w:p>
            <w:pPr>
              <w:spacing w:after="0" w:line="195"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of the Registrant’s Current Report on Form 8-K (File No. 001-40703), filed with the Securities and Exchange Commission on July 5,</w:t>
              </w:r>
            </w:hyperlink>
          </w:p>
        </w:tc>
        <w:tc>
          <w:tcPr>
            <w:tcW w:w="36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bottom w:val="single" w:sz="8" w:color="0000FF"/>
            </w:tcBorders>
          </w:tcPr>
          <w:p>
            <w:pPr>
              <w:spacing w:after="0" w:line="195" w:lineRule="exact"/>
              <w:rPr>
                <w:rFonts w:ascii="Times New Roman" w:cs="Times New Roman" w:eastAsia="Times New Roman" w:hAnsi="Times New Roman"/>
                <w:sz w:val="18"/>
                <w:szCs w:val="18"/>
                <w:color w:val="0000FF"/>
                <w:w w:val="94"/>
              </w:rPr>
            </w:pPr>
            <w:hyperlink r:id="rId173">
              <w:r>
                <w:rPr>
                  <w:rFonts w:ascii="Times New Roman" w:cs="Times New Roman" w:eastAsia="Times New Roman" w:hAnsi="Times New Roman"/>
                  <w:sz w:val="18"/>
                  <w:szCs w:val="18"/>
                  <w:color w:val="0000FF"/>
                  <w:w w:val="94"/>
                </w:rPr>
                <w:t>2022).</w:t>
              </w:r>
            </w:hyperlink>
          </w:p>
        </w:tc>
        <w:tc>
          <w:tcPr>
            <w:tcW w:w="20" w:type="dxa"/>
            <w:vAlign w:val="bottom"/>
            <w:tcBorders>
              <w:bottom w:val="single" w:sz="8" w:color="0000EE"/>
            </w:tcBorders>
          </w:tcPr>
          <w:p>
            <w:pPr>
              <w:spacing w:after="0"/>
              <w:rPr>
                <w:sz w:val="17"/>
                <w:szCs w:val="17"/>
                <w:color w:val="auto"/>
              </w:rPr>
            </w:pP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8"/>
                <w:szCs w:val="18"/>
                <w:color w:val="auto"/>
              </w:rPr>
            </w:pPr>
          </w:p>
        </w:tc>
        <w:tc>
          <w:tcPr>
            <w:tcW w:w="988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First Amendment to the Employment Agreement of David Hering by and between the Registrant and David Hering, dated June 15, 2023</w:t>
              </w:r>
            </w:hyperlink>
          </w:p>
        </w:tc>
        <w:tc>
          <w:tcPr>
            <w:tcW w:w="10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0" w:type="dxa"/>
            <w:vAlign w:val="bottom"/>
            <w:tcBorders>
              <w:bottom w:val="single" w:sz="8" w:color="0000FF"/>
            </w:tcBorders>
            <w:gridSpan w:val="19"/>
          </w:tcPr>
          <w:p>
            <w:pPr>
              <w:spacing w:after="0" w:line="195"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(incorporated by reference to Exhibit 10.1 of the Registrant’s Quarterly Report on Form 10-Q (File No. 001-40703), filed with the</w:t>
              </w:r>
            </w:hyperlink>
          </w:p>
        </w:tc>
        <w:tc>
          <w:tcPr>
            <w:tcW w:w="58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gridSpan w:val="35"/>
          </w:tcPr>
          <w:p>
            <w:pPr>
              <w:spacing w:after="0" w:line="195"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Securities and Exchange Commission on August 10, 2023).</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2800" w:type="dxa"/>
            <w:vAlign w:val="bottom"/>
            <w:gridSpan w:val="5"/>
            <w:shd w:val="clear" w:color="auto" w:fill="0000FF"/>
          </w:tcPr>
          <w:p>
            <w:pPr>
              <w:spacing w:after="0" w:line="20" w:lineRule="exact"/>
              <w:rPr>
                <w:sz w:val="1"/>
                <w:szCs w:val="1"/>
                <w:color w:val="auto"/>
              </w:rPr>
            </w:pPr>
          </w:p>
        </w:tc>
        <w:tc>
          <w:tcPr>
            <w:tcW w:w="5160" w:type="dxa"/>
            <w:vAlign w:val="bottom"/>
            <w:gridSpan w:val="12"/>
          </w:tcPr>
          <w:p>
            <w:pPr>
              <w:spacing w:after="0" w:line="20" w:lineRule="exact"/>
              <w:rPr>
                <w:sz w:val="1"/>
                <w:szCs w:val="1"/>
                <w:color w:val="auto"/>
              </w:rPr>
            </w:pPr>
          </w:p>
        </w:tc>
        <w:tc>
          <w:tcPr>
            <w:tcW w:w="52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8"/>
                <w:szCs w:val="18"/>
                <w:color w:val="auto"/>
              </w:rPr>
            </w:pPr>
          </w:p>
        </w:tc>
        <w:tc>
          <w:tcPr>
            <w:tcW w:w="944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Employment Agreement by and between the Registrant and Jill Andersen, dated September 24, 2021 (incorporated by reference to</w:t>
              </w:r>
            </w:hyperlink>
          </w:p>
        </w:tc>
        <w:tc>
          <w:tcPr>
            <w:tcW w:w="540" w:type="dxa"/>
            <w:vAlign w:val="bottom"/>
            <w:gridSpan w:val="15"/>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60" w:type="dxa"/>
            <w:vAlign w:val="bottom"/>
            <w:tcBorders>
              <w:bottom w:val="single" w:sz="8" w:color="0000FF"/>
            </w:tcBorders>
            <w:gridSpan w:val="34"/>
          </w:tcPr>
          <w:p>
            <w:pPr>
              <w:spacing w:after="0" w:line="195"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Exhibit 10.11 of the Registrant’s Annual Report on Form 10-K (File No. 001-40703), filed with the Securities and Exchange Commission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Borders>
              <w:bottom w:val="single" w:sz="8" w:color="0000FF"/>
            </w:tcBorders>
            <w:gridSpan w:val="3"/>
          </w:tcPr>
          <w:p>
            <w:pPr>
              <w:spacing w:after="0" w:line="195" w:lineRule="exact"/>
              <w:rPr>
                <w:rFonts w:ascii="Times New Roman" w:cs="Times New Roman" w:eastAsia="Times New Roman" w:hAnsi="Times New Roman"/>
                <w:sz w:val="18"/>
                <w:szCs w:val="18"/>
                <w:color w:val="0000FF"/>
                <w:w w:val="98"/>
              </w:rPr>
            </w:pPr>
            <w:hyperlink r:id="rId175">
              <w:r>
                <w:rPr>
                  <w:rFonts w:ascii="Times New Roman" w:cs="Times New Roman" w:eastAsia="Times New Roman" w:hAnsi="Times New Roman"/>
                  <w:sz w:val="18"/>
                  <w:szCs w:val="18"/>
                  <w:color w:val="0000FF"/>
                  <w:w w:val="98"/>
                </w:rPr>
                <w:t>on March 31, 2022).</w:t>
              </w:r>
            </w:hyperlink>
          </w:p>
        </w:tc>
        <w:tc>
          <w:tcPr>
            <w:tcW w:w="8500" w:type="dxa"/>
            <w:vAlign w:val="bottom"/>
            <w:gridSpan w:val="32"/>
          </w:tcPr>
          <w:p>
            <w:pPr>
              <w:spacing w:after="0"/>
              <w:rPr>
                <w:sz w:val="17"/>
                <w:szCs w:val="17"/>
                <w:color w:val="auto"/>
              </w:rPr>
            </w:pPr>
          </w:p>
        </w:tc>
        <w:tc>
          <w:tcPr>
            <w:tcW w:w="0" w:type="dxa"/>
            <w:vAlign w:val="bottom"/>
          </w:tcPr>
          <w:p>
            <w:pPr>
              <w:spacing w:after="0"/>
              <w:rPr>
                <w:sz w:val="1"/>
                <w:szCs w:val="1"/>
                <w:color w:val="auto"/>
              </w:rPr>
            </w:pPr>
          </w:p>
        </w:tc>
      </w:tr>
      <w:tr>
        <w:trPr>
          <w:trHeight w:val="465"/>
        </w:trPr>
        <w:tc>
          <w:tcPr>
            <w:tcW w:w="1140" w:type="dxa"/>
            <w:vAlign w:val="bottom"/>
          </w:tcPr>
          <w:p>
            <w:pPr>
              <w:spacing w:after="0"/>
              <w:rPr>
                <w:sz w:val="24"/>
                <w:szCs w:val="24"/>
                <w:color w:val="auto"/>
              </w:rPr>
            </w:pPr>
          </w:p>
        </w:tc>
        <w:tc>
          <w:tcPr>
            <w:tcW w:w="5580" w:type="dxa"/>
            <w:vAlign w:val="bottom"/>
            <w:gridSpan w:val="11"/>
          </w:tcPr>
          <w:p>
            <w:pPr>
              <w:jc w:val="right"/>
              <w:ind w:right="888"/>
              <w:spacing w:after="0"/>
              <w:rPr>
                <w:sz w:val="20"/>
                <w:szCs w:val="20"/>
                <w:color w:val="auto"/>
              </w:rPr>
            </w:pPr>
            <w:r>
              <w:rPr>
                <w:rFonts w:ascii="Times New Roman" w:cs="Times New Roman" w:eastAsia="Times New Roman" w:hAnsi="Times New Roman"/>
                <w:sz w:val="18"/>
                <w:szCs w:val="18"/>
                <w:color w:val="auto"/>
              </w:rPr>
              <w:t>118</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07"/>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9960" w:type="dxa"/>
            <w:vAlign w:val="bottom"/>
            <w:gridSpan w:val="32"/>
          </w:tcPr>
          <w:p>
            <w:pPr>
              <w:spacing w:after="0"/>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Employment Agreement by and between the Registrant and Jeremy Gowler, dated September 17, 2022 (incorporated by reference to</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32"/>
          </w:tcPr>
          <w:p>
            <w:pPr>
              <w:spacing w:after="0" w:line="195"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Exhibit 10.1 of the Registrant’s Current Report on Form 8-K (File No. 001-40703), filed with the Securities and Exchange Commission</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32"/>
          </w:tcPr>
          <w:p>
            <w:pPr>
              <w:spacing w:after="0" w:line="195"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on December 6, 2022).</w:t>
              </w:r>
            </w:hyperlink>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99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Employment Agreement by and between the Registrant and Peter Schmidt, dated November 9, 2020.</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5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6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99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First Amendment to the Employment Agreement of Peter Schmidt by and between the Registrant and Peter Schmidt, dated December 6,</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3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0000FF"/>
                <w:w w:val="88"/>
              </w:rPr>
              <w:t>2022.</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99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Employment Agreement by and between the Registrant and Stacy Price, dated February 3, 2023.</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99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Employment Agreement by and between the Registrant and Robert Allen, dated March 14, 2023.</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9960" w:type="dxa"/>
            <w:vAlign w:val="bottom"/>
            <w:gridSpan w:val="32"/>
          </w:tcPr>
          <w:p>
            <w:pPr>
              <w:spacing w:after="0"/>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Employment Agreement by and between the Registrant and William Duke, Jr. dated July 19, 2023 (incorporated by reference to Exhibit</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32"/>
          </w:tcPr>
          <w:p>
            <w:pPr>
              <w:spacing w:after="0" w:line="195"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of the Registrant’s Current Report on Form 8-K (File No. 001-40703), filed with the Securities and Exchange Commission on</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32"/>
          </w:tcPr>
          <w:p>
            <w:pPr>
              <w:spacing w:after="0" w:line="195"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September 5, 2023).</w:t>
              </w:r>
            </w:hyperlink>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99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Employment Agreement by and between the Registrant and Julie Green, dated January 24, 2024.</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9960" w:type="dxa"/>
            <w:vAlign w:val="bottom"/>
            <w:gridSpan w:val="32"/>
          </w:tcPr>
          <w:p>
            <w:pPr>
              <w:spacing w:after="0"/>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Non-Employee Director Compensation Policy (incorporated by reference to Exhibit 10.3 of the Registrant’s Quarterly Report on Form</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32"/>
          </w:tcPr>
          <w:p>
            <w:pPr>
              <w:spacing w:after="0" w:line="195"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10-Q (File No. 001-40703), filed with the Securities and Exchange Commission on May 11, 2023).</w:t>
              </w:r>
            </w:hyperlink>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80" w:type="dxa"/>
            <w:vAlign w:val="bottom"/>
            <w:tcBorders>
              <w:right w:val="single" w:sz="8" w:color="0000EE"/>
            </w:tcBorders>
            <w:gridSpan w:val="2"/>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9960" w:type="dxa"/>
            <w:vAlign w:val="bottom"/>
            <w:gridSpan w:val="32"/>
          </w:tcPr>
          <w:p>
            <w:pPr>
              <w:spacing w:after="0"/>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Assignment and License Agreement by and between the Registrant and Adimab, LLC, dated July 8, 2020 (incorporated by reference to</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32"/>
          </w:tcPr>
          <w:p>
            <w:pPr>
              <w:spacing w:after="0" w:line="195"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Exhibit 10.5 of the Registrant’s Registration Statement on Form S-1 (File No. 333-257975), filed with the Securities and Exchange</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32"/>
          </w:tcPr>
          <w:p>
            <w:pPr>
              <w:spacing w:after="0" w:line="195"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Commission on July 16, 2021).</w:t>
              </w:r>
            </w:hyperlink>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9960" w:type="dxa"/>
            <w:vAlign w:val="bottom"/>
            <w:gridSpan w:val="32"/>
          </w:tcPr>
          <w:p>
            <w:pPr>
              <w:spacing w:after="0"/>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Collaboration Agreement by and between the Registrant and Adimab, LLC, dated May 21, 2021 (incorporated by reference to Exhibit</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32"/>
          </w:tcPr>
          <w:p>
            <w:pPr>
              <w:spacing w:after="0" w:line="195"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w:t>
              </w:r>
              <w:r>
                <w:rPr>
                  <w:rFonts w:ascii="Times New Roman" w:cs="Times New Roman" w:eastAsia="Times New Roman" w:hAnsi="Times New Roman"/>
                  <w:sz w:val="18"/>
                  <w:szCs w:val="18"/>
                  <w:color w:val="0000FF"/>
                </w:rPr>
                <w:t xml:space="preserve"> of the Registrant’s Registration Statement on Form S-1 (File No. 333-257975), filed with the Securities and Exchange Commission</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32"/>
          </w:tcPr>
          <w:p>
            <w:pPr>
              <w:spacing w:after="0" w:line="195"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on July 16, 2021).</w:t>
              </w:r>
            </w:hyperlink>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9960" w:type="dxa"/>
            <w:vAlign w:val="bottom"/>
            <w:gridSpan w:val="32"/>
          </w:tcPr>
          <w:p>
            <w:pPr>
              <w:spacing w:after="0"/>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Amendment Number One to the Collaboration Agreement by and between the Registrant and Adimab, LLC, November 18, 2022</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32"/>
          </w:tcPr>
          <w:p>
            <w:pPr>
              <w:spacing w:after="0" w:line="195"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(incorporated by reference to Exhibit 10.13 of the Registrant’s Annual Report on Form 10-K (File No. 001-40703), filed with the</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32"/>
          </w:tcPr>
          <w:p>
            <w:pPr>
              <w:spacing w:after="0" w:line="195"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Securities and Exchange Commission on March 23, 2023).</w:t>
              </w:r>
            </w:hyperlink>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9960" w:type="dxa"/>
            <w:vAlign w:val="bottom"/>
            <w:gridSpan w:val="32"/>
          </w:tcPr>
          <w:p>
            <w:pPr>
              <w:spacing w:after="0"/>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Amendment Number Two to the Collaboration Agreement by and between the Registrant and Adimab, LLC, dated September 19, 2023</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32"/>
          </w:tcPr>
          <w:p>
            <w:pPr>
              <w:spacing w:after="0" w:line="195"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(incorporated by reference to Exhibit 10.2 of the Registrant’s Quarterly Report on Form 10-Q (File No. 001-40703), filed with the</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32"/>
          </w:tcPr>
          <w:p>
            <w:pPr>
              <w:spacing w:after="0" w:line="195"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Securities and Exchange Commission on November 9, 2023).</w:t>
              </w:r>
            </w:hyperlink>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10.20†#</w:t>
            </w:r>
          </w:p>
        </w:tc>
        <w:tc>
          <w:tcPr>
            <w:tcW w:w="9960" w:type="dxa"/>
            <w:vAlign w:val="bottom"/>
            <w:gridSpan w:val="32"/>
          </w:tcPr>
          <w:p>
            <w:pPr>
              <w:spacing w:after="0"/>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Second Amended and Restated Commercial Manufacturing Services Agreement by and between the Registrant and WuXi Biologics</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32"/>
          </w:tcPr>
          <w:p>
            <w:pPr>
              <w:spacing w:after="0" w:line="195"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(Hong Kong) Limited, dated September 19, 2023 (incorporated by reference to Exhibit 10.3 of the Registrant’s Quarterly Report on Form</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32"/>
          </w:tcPr>
          <w:p>
            <w:pPr>
              <w:spacing w:after="0" w:line="195"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10-Q (File No. 001-40703), filed with the Securities and Exchange Commission on November 9, 2023).</w:t>
              </w:r>
            </w:hyperlink>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9960" w:type="dxa"/>
            <w:vAlign w:val="bottom"/>
            <w:gridSpan w:val="32"/>
          </w:tcPr>
          <w:p>
            <w:pPr>
              <w:spacing w:after="0"/>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Cell Line License Agreement by and between the Registrant and WuXi Biologics (Hong Kong) Limited, dated December 2, 2020</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80" w:type="dxa"/>
            <w:vAlign w:val="bottom"/>
            <w:gridSpan w:val="5"/>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32"/>
          </w:tcPr>
          <w:p>
            <w:pPr>
              <w:spacing w:after="0" w:line="195"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(incorporated by reference to Exhibit 10.8 of the Registrant’s Registration Statement on Form S-1 (File No. 333-257975), filed with the</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80" w:type="dxa"/>
            <w:vAlign w:val="bottom"/>
            <w:gridSpan w:val="5"/>
            <w:shd w:val="clear" w:color="auto" w:fill="0000FF"/>
          </w:tcPr>
          <w:p>
            <w:pPr>
              <w:spacing w:after="0" w:line="20" w:lineRule="exact"/>
              <w:rPr>
                <w:sz w:val="1"/>
                <w:szCs w:val="1"/>
                <w:color w:val="auto"/>
              </w:rPr>
            </w:pPr>
          </w:p>
        </w:tc>
        <w:tc>
          <w:tcPr>
            <w:tcW w:w="280" w:type="dxa"/>
            <w:vAlign w:val="bottom"/>
            <w:tcBorders>
              <w:left w:val="single" w:sz="8" w:color="0000FF"/>
            </w:tcBorders>
            <w:gridSpan w:val="4"/>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32"/>
          </w:tcPr>
          <w:p>
            <w:pPr>
              <w:spacing w:after="0" w:line="195"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Securities and Exchange Commission on July 16, 2021).</w:t>
              </w:r>
            </w:hyperlink>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80" w:type="dxa"/>
            <w:vAlign w:val="bottom"/>
            <w:gridSpan w:val="5"/>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9960" w:type="dxa"/>
            <w:vAlign w:val="bottom"/>
            <w:gridSpan w:val="32"/>
          </w:tcPr>
          <w:p>
            <w:pPr>
              <w:spacing w:after="0"/>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Amendment No. 1 to the Cell Line License Agreement by and between the Registrant and WuXi Biologics (Hong Kong) Limited, dated</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80" w:type="dxa"/>
            <w:vAlign w:val="bottom"/>
            <w:gridSpan w:val="5"/>
            <w:shd w:val="clear" w:color="auto" w:fill="0000FF"/>
          </w:tcPr>
          <w:p>
            <w:pPr>
              <w:spacing w:after="0" w:line="20" w:lineRule="exact"/>
              <w:rPr>
                <w:sz w:val="1"/>
                <w:szCs w:val="1"/>
                <w:color w:val="auto"/>
              </w:rPr>
            </w:pPr>
          </w:p>
        </w:tc>
        <w:tc>
          <w:tcPr>
            <w:tcW w:w="280" w:type="dxa"/>
            <w:vAlign w:val="bottom"/>
            <w:tcBorders>
              <w:left w:val="single" w:sz="8" w:color="0000FF"/>
            </w:tcBorders>
            <w:gridSpan w:val="4"/>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32"/>
          </w:tcPr>
          <w:p>
            <w:pPr>
              <w:spacing w:after="0" w:line="195" w:lineRule="exact"/>
              <w:rPr>
                <w:rFonts w:ascii="Times New Roman" w:cs="Times New Roman" w:eastAsia="Times New Roman" w:hAnsi="Times New Roman"/>
                <w:sz w:val="18"/>
                <w:szCs w:val="18"/>
                <w:color w:val="0000FF"/>
                <w:w w:val="99"/>
              </w:rPr>
            </w:pPr>
            <w:hyperlink r:id="rId187">
              <w:r>
                <w:rPr>
                  <w:rFonts w:ascii="Times New Roman" w:cs="Times New Roman" w:eastAsia="Times New Roman" w:hAnsi="Times New Roman"/>
                  <w:sz w:val="18"/>
                  <w:szCs w:val="18"/>
                  <w:color w:val="0000FF"/>
                  <w:w w:val="99"/>
                </w:rPr>
                <w:t>February 2, 2023 (incorporated by reference to Exhibit 10.16 of the Registrant’s Annual Report on Form 10-K (File No. 001-40703), filed</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80" w:type="dxa"/>
            <w:vAlign w:val="bottom"/>
            <w:gridSpan w:val="5"/>
            <w:shd w:val="clear" w:color="auto" w:fill="0000FF"/>
          </w:tcPr>
          <w:p>
            <w:pPr>
              <w:spacing w:after="0" w:line="20" w:lineRule="exact"/>
              <w:rPr>
                <w:sz w:val="1"/>
                <w:szCs w:val="1"/>
                <w:color w:val="auto"/>
              </w:rPr>
            </w:pPr>
          </w:p>
        </w:tc>
        <w:tc>
          <w:tcPr>
            <w:tcW w:w="280" w:type="dxa"/>
            <w:vAlign w:val="bottom"/>
            <w:tcBorders>
              <w:left w:val="single" w:sz="8" w:color="0000FF"/>
            </w:tcBorders>
            <w:gridSpan w:val="4"/>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32"/>
          </w:tcPr>
          <w:p>
            <w:pPr>
              <w:spacing w:after="0" w:line="195"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with the Securities and Exchange Commission on March 23, 2023).</w:t>
              </w:r>
            </w:hyperlink>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80" w:type="dxa"/>
            <w:vAlign w:val="bottom"/>
            <w:gridSpan w:val="5"/>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10.23*†</w:t>
            </w:r>
          </w:p>
        </w:tc>
        <w:tc>
          <w:tcPr>
            <w:tcW w:w="99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Amendment No. 2 to the Cell Line License Agreement by and between the Registrant and WuXi Biologics (Hong Kong) Limited, dated</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7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80" w:type="dxa"/>
            <w:vAlign w:val="bottom"/>
            <w:gridSpan w:val="5"/>
            <w:shd w:val="clear" w:color="auto" w:fill="0000FF"/>
          </w:tcPr>
          <w:p>
            <w:pPr>
              <w:spacing w:after="0" w:line="20" w:lineRule="exact"/>
              <w:rPr>
                <w:sz w:val="1"/>
                <w:szCs w:val="1"/>
                <w:color w:val="auto"/>
              </w:rPr>
            </w:pPr>
          </w:p>
        </w:tc>
        <w:tc>
          <w:tcPr>
            <w:tcW w:w="280" w:type="dxa"/>
            <w:vAlign w:val="bottom"/>
            <w:tcBorders>
              <w:left w:val="single" w:sz="8" w:color="0000FF"/>
            </w:tcBorders>
            <w:gridSpan w:val="4"/>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32"/>
          </w:tcPr>
          <w:p>
            <w:pPr>
              <w:spacing w:after="0" w:line="195" w:lineRule="exact"/>
              <w:rPr>
                <w:sz w:val="20"/>
                <w:szCs w:val="20"/>
                <w:color w:val="auto"/>
              </w:rPr>
            </w:pPr>
            <w:r>
              <w:rPr>
                <w:rFonts w:ascii="Times New Roman" w:cs="Times New Roman" w:eastAsia="Times New Roman" w:hAnsi="Times New Roman"/>
                <w:sz w:val="18"/>
                <w:szCs w:val="18"/>
                <w:color w:val="0000FF"/>
              </w:rPr>
              <w:t>March 13, 2024.</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80" w:type="dxa"/>
            <w:vAlign w:val="bottom"/>
            <w:gridSpan w:val="5"/>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10.24†</w:t>
            </w:r>
          </w:p>
        </w:tc>
        <w:tc>
          <w:tcPr>
            <w:tcW w:w="9960" w:type="dxa"/>
            <w:vAlign w:val="bottom"/>
            <w:gridSpan w:val="32"/>
          </w:tcPr>
          <w:p>
            <w:pPr>
              <w:spacing w:after="0"/>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Clinical Master Services Agreement by between the Registrant and WuXi Biologics (Hong Kong) Limited, dated July 21, 2020</w:t>
              </w:r>
            </w:hyperlink>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4"/>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7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80" w:type="dxa"/>
            <w:vAlign w:val="bottom"/>
            <w:gridSpan w:val="5"/>
            <w:shd w:val="clear" w:color="auto" w:fill="0000FF"/>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32"/>
          </w:tcPr>
          <w:p>
            <w:pPr>
              <w:spacing w:after="0" w:line="195"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(incorporated by reference to Exhibit 10.17 of the Registrant’s Annual Report on Form 10-K (File No. 001-40703), filed with the</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380" w:type="dxa"/>
            <w:vAlign w:val="bottom"/>
            <w:tcBorders>
              <w:right w:val="single" w:sz="8" w:color="0000FF"/>
            </w:tcBorders>
            <w:gridSpan w:val="4"/>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7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80" w:type="dxa"/>
            <w:vAlign w:val="bottom"/>
            <w:gridSpan w:val="5"/>
            <w:shd w:val="clear" w:color="auto" w:fill="0000FF"/>
          </w:tcPr>
          <w:p>
            <w:pPr>
              <w:spacing w:after="0" w:line="20" w:lineRule="exact"/>
              <w:rPr>
                <w:sz w:val="1"/>
                <w:szCs w:val="1"/>
                <w:color w:val="auto"/>
              </w:rPr>
            </w:pPr>
          </w:p>
        </w:tc>
        <w:tc>
          <w:tcPr>
            <w:tcW w:w="280" w:type="dxa"/>
            <w:vAlign w:val="bottom"/>
            <w:tcBorders>
              <w:left w:val="single" w:sz="8" w:color="0000FF"/>
            </w:tcBorders>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32"/>
          </w:tcPr>
          <w:p>
            <w:pPr>
              <w:spacing w:after="0" w:line="195"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Securities and Exchange Commission on March 23, 2023).</w:t>
              </w:r>
            </w:hyperlink>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4"/>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760" w:type="dxa"/>
            <w:vAlign w:val="bottom"/>
            <w:tcBorders>
              <w:left w:val="single" w:sz="8" w:color="0000EE"/>
            </w:tcBorders>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960" w:type="dxa"/>
            <w:vAlign w:val="bottom"/>
            <w:gridSpan w:val="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10.25</w:t>
            </w:r>
          </w:p>
        </w:tc>
        <w:tc>
          <w:tcPr>
            <w:tcW w:w="1960" w:type="dxa"/>
            <w:vAlign w:val="bottom"/>
            <w:gridSpan w:val="6"/>
            <w:vMerge w:val="restart"/>
          </w:tcPr>
          <w:p>
            <w:pPr>
              <w:spacing w:after="0"/>
              <w:rPr>
                <w:rFonts w:ascii="Times New Roman" w:cs="Times New Roman" w:eastAsia="Times New Roman" w:hAnsi="Times New Roman"/>
                <w:sz w:val="18"/>
                <w:szCs w:val="18"/>
                <w:color w:val="0000FF"/>
                <w:w w:val="97"/>
              </w:rPr>
            </w:pPr>
            <w:hyperlink r:id="rId189">
              <w:r>
                <w:rPr>
                  <w:rFonts w:ascii="Times New Roman" w:cs="Times New Roman" w:eastAsia="Times New Roman" w:hAnsi="Times New Roman"/>
                  <w:sz w:val="18"/>
                  <w:szCs w:val="18"/>
                  <w:color w:val="0000FF"/>
                  <w:w w:val="97"/>
                </w:rPr>
                <w:t>Controlled Equity Offering</w:t>
              </w:r>
            </w:hyperlink>
          </w:p>
        </w:tc>
        <w:tc>
          <w:tcPr>
            <w:tcW w:w="100" w:type="dxa"/>
            <w:vAlign w:val="bottom"/>
            <w:tcBorders>
              <w:bottom w:val="single" w:sz="8" w:color="0000FF"/>
            </w:tcBorders>
          </w:tcPr>
          <w:p>
            <w:pPr>
              <w:spacing w:after="0"/>
              <w:rPr>
                <w:rFonts w:ascii="Times New Roman" w:cs="Times New Roman" w:eastAsia="Times New Roman" w:hAnsi="Times New Roman"/>
                <w:sz w:val="7"/>
                <w:szCs w:val="7"/>
                <w:color w:val="0000FF"/>
                <w:w w:val="78"/>
              </w:rPr>
            </w:pPr>
            <w:hyperlink r:id="rId189">
              <w:r>
                <w:rPr>
                  <w:rFonts w:ascii="Times New Roman" w:cs="Times New Roman" w:eastAsia="Times New Roman" w:hAnsi="Times New Roman"/>
                  <w:sz w:val="7"/>
                  <w:szCs w:val="7"/>
                  <w:color w:val="0000FF"/>
                  <w:w w:val="78"/>
                </w:rPr>
                <w:t>SM</w:t>
              </w:r>
            </w:hyperlink>
          </w:p>
        </w:tc>
        <w:tc>
          <w:tcPr>
            <w:tcW w:w="7900" w:type="dxa"/>
            <w:vAlign w:val="bottom"/>
            <w:gridSpan w:val="25"/>
            <w:vMerge w:val="restart"/>
          </w:tcPr>
          <w:p>
            <w:pPr>
              <w:ind w:left="60"/>
              <w:spacing w:after="0"/>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Sales Agreement by and between the Registrant and Cantor Fitzgerald &amp; Co., dated December 22, 2023</w:t>
              </w:r>
            </w:hyperlink>
          </w:p>
        </w:tc>
        <w:tc>
          <w:tcPr>
            <w:tcW w:w="0" w:type="dxa"/>
            <w:vAlign w:val="bottom"/>
          </w:tcPr>
          <w:p>
            <w:pPr>
              <w:spacing w:after="0"/>
              <w:rPr>
                <w:sz w:val="1"/>
                <w:szCs w:val="1"/>
                <w:color w:val="auto"/>
              </w:rPr>
            </w:pPr>
          </w:p>
        </w:tc>
      </w:tr>
      <w:tr>
        <w:trPr>
          <w:trHeight w:val="47"/>
        </w:trPr>
        <w:tc>
          <w:tcPr>
            <w:tcW w:w="1280" w:type="dxa"/>
            <w:vAlign w:val="bottom"/>
            <w:vMerge w:val="continue"/>
          </w:tcPr>
          <w:p>
            <w:pPr>
              <w:spacing w:after="0"/>
              <w:rPr>
                <w:sz w:val="4"/>
                <w:szCs w:val="4"/>
                <w:color w:val="auto"/>
              </w:rPr>
            </w:pPr>
          </w:p>
        </w:tc>
        <w:tc>
          <w:tcPr>
            <w:tcW w:w="1960" w:type="dxa"/>
            <w:vAlign w:val="bottom"/>
            <w:gridSpan w:val="6"/>
            <w:vMerge w:val="continue"/>
          </w:tcPr>
          <w:p>
            <w:pPr>
              <w:spacing w:after="0"/>
              <w:rPr>
                <w:sz w:val="4"/>
                <w:szCs w:val="4"/>
                <w:color w:val="auto"/>
              </w:rPr>
            </w:pPr>
          </w:p>
        </w:tc>
        <w:tc>
          <w:tcPr>
            <w:tcW w:w="100" w:type="dxa"/>
            <w:vAlign w:val="bottom"/>
          </w:tcPr>
          <w:p>
            <w:pPr>
              <w:spacing w:after="0"/>
              <w:rPr>
                <w:sz w:val="4"/>
                <w:szCs w:val="4"/>
                <w:color w:val="auto"/>
              </w:rPr>
            </w:pPr>
          </w:p>
        </w:tc>
        <w:tc>
          <w:tcPr>
            <w:tcW w:w="7900" w:type="dxa"/>
            <w:vAlign w:val="bottom"/>
            <w:gridSpan w:val="2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4"/>
            <w:shd w:val="clear" w:color="auto" w:fill="0000FF"/>
          </w:tcPr>
          <w:p>
            <w:pPr>
              <w:spacing w:after="0" w:line="20" w:lineRule="exact"/>
              <w:rPr>
                <w:sz w:val="1"/>
                <w:szCs w:val="1"/>
                <w:color w:val="auto"/>
              </w:rPr>
            </w:pPr>
          </w:p>
        </w:tc>
        <w:tc>
          <w:tcPr>
            <w:tcW w:w="58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right w:val="single" w:sz="8" w:color="0000FF"/>
            </w:tcBorders>
            <w:gridSpan w:val="2"/>
            <w:shd w:val="clear" w:color="auto" w:fill="0000FF"/>
          </w:tcPr>
          <w:p>
            <w:pPr>
              <w:spacing w:after="0" w:line="20" w:lineRule="exact"/>
              <w:rPr>
                <w:sz w:val="1"/>
                <w:szCs w:val="1"/>
                <w:color w:val="auto"/>
              </w:rPr>
            </w:pPr>
          </w:p>
        </w:tc>
        <w:tc>
          <w:tcPr>
            <w:tcW w:w="1220" w:type="dxa"/>
            <w:vAlign w:val="bottom"/>
            <w:tcBorders>
              <w:right w:val="single" w:sz="8" w:color="0000FF"/>
            </w:tcBorders>
            <w:gridSpan w:val="5"/>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960" w:type="dxa"/>
            <w:vAlign w:val="bottom"/>
            <w:gridSpan w:val="9"/>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32"/>
          </w:tcPr>
          <w:p>
            <w:pPr>
              <w:spacing w:after="0" w:line="195"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(incorporated by reference to Exhibit 10.1 of the Registrant’s Current Report on Form 8-K (File No. 001-40703), filed with the Securities</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380" w:type="dxa"/>
            <w:vAlign w:val="bottom"/>
            <w:tcBorders>
              <w:right w:val="single" w:sz="8" w:color="0000FF"/>
            </w:tcBorders>
            <w:gridSpan w:val="4"/>
            <w:shd w:val="clear" w:color="auto" w:fill="0000FF"/>
          </w:tcPr>
          <w:p>
            <w:pPr>
              <w:spacing w:after="0" w:line="20" w:lineRule="exact"/>
              <w:rPr>
                <w:sz w:val="1"/>
                <w:szCs w:val="1"/>
                <w:color w:val="auto"/>
              </w:rPr>
            </w:pPr>
          </w:p>
        </w:tc>
        <w:tc>
          <w:tcPr>
            <w:tcW w:w="238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1220" w:type="dxa"/>
            <w:vAlign w:val="bottom"/>
            <w:tcBorders>
              <w:right w:val="single" w:sz="8" w:color="0000FF"/>
            </w:tcBorders>
            <w:gridSpan w:val="5"/>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960" w:type="dxa"/>
            <w:vAlign w:val="bottom"/>
            <w:gridSpan w:val="9"/>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32"/>
          </w:tcPr>
          <w:p>
            <w:pPr>
              <w:spacing w:after="0" w:line="195"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and Exchange Commission on December 22, 2023).</w:t>
              </w:r>
            </w:hyperlink>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4"/>
            <w:shd w:val="clear" w:color="auto" w:fill="0000FF"/>
          </w:tcPr>
          <w:p>
            <w:pPr>
              <w:spacing w:after="0" w:line="20" w:lineRule="exact"/>
              <w:rPr>
                <w:sz w:val="1"/>
                <w:szCs w:val="1"/>
                <w:color w:val="auto"/>
              </w:rPr>
            </w:pPr>
          </w:p>
        </w:tc>
        <w:tc>
          <w:tcPr>
            <w:tcW w:w="2380" w:type="dxa"/>
            <w:vAlign w:val="bottom"/>
            <w:tcBorders>
              <w:left w:val="single" w:sz="8" w:color="0000FF"/>
              <w:right w:val="single" w:sz="8" w:color="0000EE"/>
            </w:tcBorders>
            <w:gridSpan w:val="5"/>
            <w:shd w:val="clear" w:color="auto" w:fill="0000FF"/>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960" w:type="dxa"/>
            <w:vAlign w:val="bottom"/>
            <w:gridSpan w:val="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9960" w:type="dxa"/>
            <w:vAlign w:val="bottom"/>
            <w:gridSpan w:val="32"/>
          </w:tcPr>
          <w:p>
            <w:pPr>
              <w:spacing w:after="0"/>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Subsidiaries of the Registrant (incorporated by reference to Exhibit 21.1 of the Registrant’s Annual Report on Form 10-K (File No. 001-</w:t>
              </w:r>
            </w:hyperlink>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4"/>
            <w:shd w:val="clear" w:color="auto" w:fill="0000FF"/>
          </w:tcPr>
          <w:p>
            <w:pPr>
              <w:spacing w:after="0" w:line="20" w:lineRule="exact"/>
              <w:rPr>
                <w:sz w:val="1"/>
                <w:szCs w:val="1"/>
                <w:color w:val="auto"/>
              </w:rPr>
            </w:pPr>
          </w:p>
        </w:tc>
        <w:tc>
          <w:tcPr>
            <w:tcW w:w="3600" w:type="dxa"/>
            <w:vAlign w:val="bottom"/>
            <w:tcBorders>
              <w:left w:val="single" w:sz="8" w:color="0000FF"/>
              <w:right w:val="single" w:sz="8" w:color="0000FF"/>
            </w:tcBorders>
            <w:gridSpan w:val="10"/>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960" w:type="dxa"/>
            <w:vAlign w:val="bottom"/>
            <w:gridSpan w:val="9"/>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32"/>
          </w:tcPr>
          <w:p>
            <w:pPr>
              <w:spacing w:after="0" w:line="195"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40703)</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filed with the Securities and Exchange Commission on March 23, 2023).</w:t>
              </w:r>
            </w:hyperlink>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4"/>
            <w:shd w:val="clear" w:color="auto" w:fill="0000FF"/>
          </w:tcPr>
          <w:p>
            <w:pPr>
              <w:spacing w:after="0" w:line="20" w:lineRule="exact"/>
              <w:rPr>
                <w:sz w:val="1"/>
                <w:szCs w:val="1"/>
                <w:color w:val="auto"/>
              </w:rPr>
            </w:pPr>
          </w:p>
        </w:tc>
        <w:tc>
          <w:tcPr>
            <w:tcW w:w="3600" w:type="dxa"/>
            <w:vAlign w:val="bottom"/>
            <w:tcBorders>
              <w:left w:val="single" w:sz="8" w:color="0000FF"/>
              <w:right w:val="single" w:sz="8" w:color="0000FF"/>
            </w:tcBorders>
            <w:gridSpan w:val="10"/>
            <w:shd w:val="clear" w:color="auto" w:fill="0000FF"/>
          </w:tcPr>
          <w:p>
            <w:pPr>
              <w:spacing w:after="0" w:line="20" w:lineRule="exact"/>
              <w:rPr>
                <w:sz w:val="1"/>
                <w:szCs w:val="1"/>
                <w:color w:val="auto"/>
              </w:rPr>
            </w:pPr>
          </w:p>
        </w:tc>
        <w:tc>
          <w:tcPr>
            <w:tcW w:w="86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960" w:type="dxa"/>
            <w:vAlign w:val="bottom"/>
            <w:gridSpan w:val="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99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Consent of PricewaterhouseCoopers LLP, Independent Registered Public Accounting Firm.</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4"/>
            <w:shd w:val="clear" w:color="auto" w:fill="0000FF"/>
          </w:tcPr>
          <w:p>
            <w:pPr>
              <w:spacing w:after="0" w:line="20" w:lineRule="exact"/>
              <w:rPr>
                <w:sz w:val="1"/>
                <w:szCs w:val="1"/>
                <w:color w:val="auto"/>
              </w:rPr>
            </w:pPr>
          </w:p>
        </w:tc>
        <w:tc>
          <w:tcPr>
            <w:tcW w:w="3600" w:type="dxa"/>
            <w:vAlign w:val="bottom"/>
            <w:tcBorders>
              <w:left w:val="single" w:sz="8" w:color="0000FF"/>
              <w:right w:val="single" w:sz="8" w:color="0000FF"/>
            </w:tcBorders>
            <w:gridSpan w:val="10"/>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2960" w:type="dxa"/>
            <w:vAlign w:val="bottom"/>
            <w:gridSpan w:val="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99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380" w:type="dxa"/>
            <w:vAlign w:val="bottom"/>
            <w:tcBorders>
              <w:right w:val="single" w:sz="8" w:color="0000FF"/>
            </w:tcBorders>
            <w:gridSpan w:val="4"/>
            <w:shd w:val="clear" w:color="auto" w:fill="0000FF"/>
          </w:tcPr>
          <w:p>
            <w:pPr>
              <w:spacing w:after="0" w:line="20" w:lineRule="exact"/>
              <w:rPr>
                <w:sz w:val="1"/>
                <w:szCs w:val="1"/>
                <w:color w:val="auto"/>
              </w:rPr>
            </w:pPr>
          </w:p>
        </w:tc>
        <w:tc>
          <w:tcPr>
            <w:tcW w:w="3600" w:type="dxa"/>
            <w:vAlign w:val="bottom"/>
            <w:tcBorders>
              <w:left w:val="single" w:sz="8" w:color="0000FF"/>
              <w:right w:val="single" w:sz="8" w:color="0000FF"/>
            </w:tcBorders>
            <w:gridSpan w:val="10"/>
            <w:shd w:val="clear" w:color="auto" w:fill="0000FF"/>
          </w:tcPr>
          <w:p>
            <w:pPr>
              <w:spacing w:after="0" w:line="20" w:lineRule="exact"/>
              <w:rPr>
                <w:sz w:val="1"/>
                <w:szCs w:val="1"/>
                <w:color w:val="auto"/>
              </w:rPr>
            </w:pPr>
          </w:p>
        </w:tc>
        <w:tc>
          <w:tcPr>
            <w:tcW w:w="4540" w:type="dxa"/>
            <w:vAlign w:val="bottom"/>
            <w:gridSpan w:val="11"/>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32"/>
          </w:tcPr>
          <w:p>
            <w:pPr>
              <w:spacing w:after="0" w:line="195"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4"/>
            <w:shd w:val="clear" w:color="auto" w:fill="0000FF"/>
          </w:tcPr>
          <w:p>
            <w:pPr>
              <w:spacing w:after="0" w:line="20" w:lineRule="exact"/>
              <w:rPr>
                <w:sz w:val="1"/>
                <w:szCs w:val="1"/>
                <w:color w:val="auto"/>
              </w:rPr>
            </w:pPr>
          </w:p>
        </w:tc>
        <w:tc>
          <w:tcPr>
            <w:tcW w:w="3600" w:type="dxa"/>
            <w:vAlign w:val="bottom"/>
            <w:tcBorders>
              <w:left w:val="single" w:sz="8" w:color="0000FF"/>
              <w:right w:val="single" w:sz="8" w:color="0000EE"/>
            </w:tcBorders>
            <w:gridSpan w:val="10"/>
            <w:shd w:val="clear" w:color="auto" w:fill="0000FF"/>
          </w:tcPr>
          <w:p>
            <w:pPr>
              <w:spacing w:after="0" w:line="20" w:lineRule="exact"/>
              <w:rPr>
                <w:sz w:val="1"/>
                <w:szCs w:val="1"/>
                <w:color w:val="auto"/>
              </w:rPr>
            </w:pPr>
          </w:p>
        </w:tc>
        <w:tc>
          <w:tcPr>
            <w:tcW w:w="4540" w:type="dxa"/>
            <w:vAlign w:val="bottom"/>
            <w:gridSpan w:val="11"/>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99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4"/>
            <w:shd w:val="clear" w:color="auto" w:fill="0000FF"/>
          </w:tcPr>
          <w:p>
            <w:pPr>
              <w:spacing w:after="0" w:line="20" w:lineRule="exact"/>
              <w:rPr>
                <w:sz w:val="1"/>
                <w:szCs w:val="1"/>
                <w:color w:val="auto"/>
              </w:rPr>
            </w:pPr>
          </w:p>
        </w:tc>
        <w:tc>
          <w:tcPr>
            <w:tcW w:w="8140" w:type="dxa"/>
            <w:vAlign w:val="bottom"/>
            <w:tcBorders>
              <w:left w:val="single" w:sz="8" w:color="0000FF"/>
            </w:tcBorders>
            <w:gridSpan w:val="21"/>
            <w:shd w:val="clear" w:color="auto" w:fill="0000FF"/>
          </w:tcPr>
          <w:p>
            <w:pPr>
              <w:spacing w:after="0" w:line="20" w:lineRule="exact"/>
              <w:rPr>
                <w:sz w:val="1"/>
                <w:szCs w:val="1"/>
                <w:color w:val="auto"/>
              </w:rPr>
            </w:pPr>
          </w:p>
        </w:tc>
        <w:tc>
          <w:tcPr>
            <w:tcW w:w="420" w:type="dxa"/>
            <w:vAlign w:val="bottom"/>
            <w:tcBorders>
              <w:left w:val="single" w:sz="8" w:color="0000FF"/>
            </w:tcBorders>
            <w:gridSpan w:val="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32"/>
          </w:tcPr>
          <w:p>
            <w:pPr>
              <w:spacing w:after="0" w:line="195"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4"/>
            <w:shd w:val="clear" w:color="auto" w:fill="0000FF"/>
          </w:tcPr>
          <w:p>
            <w:pPr>
              <w:spacing w:after="0" w:line="20" w:lineRule="exact"/>
              <w:rPr>
                <w:sz w:val="1"/>
                <w:szCs w:val="1"/>
                <w:color w:val="auto"/>
              </w:rPr>
            </w:pPr>
          </w:p>
        </w:tc>
        <w:tc>
          <w:tcPr>
            <w:tcW w:w="3600" w:type="dxa"/>
            <w:vAlign w:val="bottom"/>
            <w:tcBorders>
              <w:left w:val="single" w:sz="8" w:color="0000FF"/>
              <w:right w:val="single" w:sz="8" w:color="0000EE"/>
            </w:tcBorders>
            <w:gridSpan w:val="10"/>
            <w:shd w:val="clear" w:color="auto" w:fill="0000FF"/>
          </w:tcPr>
          <w:p>
            <w:pPr>
              <w:spacing w:after="0" w:line="20" w:lineRule="exact"/>
              <w:rPr>
                <w:sz w:val="1"/>
                <w:szCs w:val="1"/>
                <w:color w:val="auto"/>
              </w:rPr>
            </w:pPr>
          </w:p>
        </w:tc>
        <w:tc>
          <w:tcPr>
            <w:tcW w:w="4540" w:type="dxa"/>
            <w:vAlign w:val="bottom"/>
            <w:gridSpan w:val="11"/>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99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gridSpan w:val="4"/>
            <w:shd w:val="clear" w:color="auto" w:fill="0000FF"/>
          </w:tcPr>
          <w:p>
            <w:pPr>
              <w:spacing w:after="0" w:line="20" w:lineRule="exact"/>
              <w:rPr>
                <w:sz w:val="1"/>
                <w:szCs w:val="1"/>
                <w:color w:val="auto"/>
              </w:rPr>
            </w:pPr>
          </w:p>
        </w:tc>
        <w:tc>
          <w:tcPr>
            <w:tcW w:w="8140" w:type="dxa"/>
            <w:vAlign w:val="bottom"/>
            <w:tcBorders>
              <w:left w:val="single" w:sz="8" w:color="0000FF"/>
            </w:tcBorders>
            <w:gridSpan w:val="21"/>
            <w:shd w:val="clear" w:color="auto" w:fill="0000FF"/>
          </w:tcPr>
          <w:p>
            <w:pPr>
              <w:spacing w:after="0" w:line="20" w:lineRule="exact"/>
              <w:rPr>
                <w:sz w:val="1"/>
                <w:szCs w:val="1"/>
                <w:color w:val="auto"/>
              </w:rPr>
            </w:pPr>
          </w:p>
        </w:tc>
        <w:tc>
          <w:tcPr>
            <w:tcW w:w="420" w:type="dxa"/>
            <w:vAlign w:val="bottom"/>
            <w:tcBorders>
              <w:left w:val="single" w:sz="8" w:color="0000FF"/>
            </w:tcBorders>
            <w:gridSpan w:val="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32"/>
          </w:tcPr>
          <w:p>
            <w:pPr>
              <w:spacing w:after="0" w:line="195" w:lineRule="exact"/>
              <w:rPr>
                <w:sz w:val="20"/>
                <w:szCs w:val="20"/>
                <w:color w:val="auto"/>
              </w:rPr>
            </w:pPr>
            <w:r>
              <w:rPr>
                <w:rFonts w:ascii="Times New Roman" w:cs="Times New Roman" w:eastAsia="Times New Roman" w:hAnsi="Times New Roman"/>
                <w:sz w:val="18"/>
                <w:szCs w:val="18"/>
                <w:color w:val="0000FF"/>
              </w:rPr>
              <w:t>Oxley Act of 2002.</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EE"/>
            </w:tcBorders>
            <w:gridSpan w:val="4"/>
            <w:shd w:val="clear" w:color="auto" w:fill="0000FF"/>
          </w:tcPr>
          <w:p>
            <w:pPr>
              <w:spacing w:after="0" w:line="20" w:lineRule="exact"/>
              <w:rPr>
                <w:sz w:val="1"/>
                <w:szCs w:val="1"/>
                <w:color w:val="auto"/>
              </w:rPr>
            </w:pPr>
          </w:p>
        </w:tc>
        <w:tc>
          <w:tcPr>
            <w:tcW w:w="8140" w:type="dxa"/>
            <w:vAlign w:val="bottom"/>
            <w:gridSpan w:val="21"/>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996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w:t>
            </w: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9520" w:type="dxa"/>
            <w:vAlign w:val="bottom"/>
            <w:gridSpan w:val="25"/>
            <w:shd w:val="clear" w:color="auto" w:fill="0000FF"/>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9960" w:type="dxa"/>
            <w:vAlign w:val="bottom"/>
            <w:gridSpan w:val="32"/>
          </w:tcPr>
          <w:p>
            <w:pPr>
              <w:spacing w:after="0" w:line="195" w:lineRule="exact"/>
              <w:rPr>
                <w:sz w:val="20"/>
                <w:szCs w:val="20"/>
                <w:color w:val="auto"/>
              </w:rPr>
            </w:pPr>
            <w:r>
              <w:rPr>
                <w:rFonts w:ascii="Times New Roman" w:cs="Times New Roman" w:eastAsia="Times New Roman" w:hAnsi="Times New Roman"/>
                <w:sz w:val="18"/>
                <w:szCs w:val="18"/>
                <w:color w:val="0000FF"/>
              </w:rPr>
              <w:t>Oxley Act of 2002.</w:t>
            </w:r>
          </w:p>
        </w:tc>
        <w:tc>
          <w:tcPr>
            <w:tcW w:w="0" w:type="dxa"/>
            <w:vAlign w:val="bottom"/>
          </w:tcPr>
          <w:p>
            <w:pPr>
              <w:spacing w:after="0"/>
              <w:rPr>
                <w:sz w:val="1"/>
                <w:szCs w:val="1"/>
                <w:color w:val="auto"/>
              </w:rPr>
            </w:pPr>
          </w:p>
        </w:tc>
      </w:tr>
      <w:tr>
        <w:trPr>
          <w:trHeight w:val="465"/>
        </w:trPr>
        <w:tc>
          <w:tcPr>
            <w:tcW w:w="1280" w:type="dxa"/>
            <w:vAlign w:val="bottom"/>
          </w:tcPr>
          <w:p>
            <w:pPr>
              <w:spacing w:after="0"/>
              <w:rPr>
                <w:sz w:val="24"/>
                <w:szCs w:val="24"/>
                <w:color w:val="auto"/>
              </w:rPr>
            </w:pPr>
          </w:p>
        </w:tc>
        <w:tc>
          <w:tcPr>
            <w:tcW w:w="1380" w:type="dxa"/>
            <w:vAlign w:val="bottom"/>
            <w:tcBorders>
              <w:top w:val="single" w:sz="8" w:color="0000FF"/>
            </w:tcBorders>
            <w:gridSpan w:val="4"/>
          </w:tcPr>
          <w:p>
            <w:pPr>
              <w:spacing w:after="0"/>
              <w:rPr>
                <w:sz w:val="24"/>
                <w:szCs w:val="24"/>
                <w:color w:val="auto"/>
              </w:rPr>
            </w:pPr>
          </w:p>
        </w:tc>
        <w:tc>
          <w:tcPr>
            <w:tcW w:w="3480" w:type="dxa"/>
            <w:vAlign w:val="bottom"/>
            <w:gridSpan w:val="9"/>
          </w:tcPr>
          <w:p>
            <w:pPr>
              <w:jc w:val="right"/>
              <w:ind w:right="380"/>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1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122" w:name="page123"/>
    <w:bookmarkEnd w:id="122"/>
    <w:tbl>
      <w:tblPr>
        <w:tblLayout w:type="fixed"/>
        <w:tblInd w:w="2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4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FF"/>
              </w:rPr>
              <w:t>Incentive Compensation Recovery Policy of the Registrant.</w:t>
            </w:r>
          </w:p>
        </w:tc>
        <w:tc>
          <w:tcPr>
            <w:tcW w:w="5520" w:type="dxa"/>
            <w:vAlign w:val="bottom"/>
          </w:tcPr>
          <w:p>
            <w:pPr>
              <w:spacing w:after="0"/>
              <w:rPr>
                <w:sz w:val="17"/>
                <w:szCs w:val="17"/>
                <w:color w:val="auto"/>
              </w:rPr>
            </w:pPr>
          </w:p>
        </w:tc>
      </w:tr>
      <w:tr>
        <w:trPr>
          <w:trHeight w:val="231"/>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8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XBRL tags are embedded</w:t>
            </w:r>
          </w:p>
        </w:tc>
      </w:tr>
      <w:tr>
        <w:trPr>
          <w:trHeight w:val="229"/>
        </w:trPr>
        <w:tc>
          <w:tcPr>
            <w:tcW w:w="1240" w:type="dxa"/>
            <w:vAlign w:val="bottom"/>
          </w:tcPr>
          <w:p>
            <w:pPr>
              <w:spacing w:after="0"/>
              <w:rPr>
                <w:sz w:val="19"/>
                <w:szCs w:val="19"/>
                <w:color w:val="auto"/>
              </w:rPr>
            </w:pPr>
          </w:p>
        </w:tc>
        <w:tc>
          <w:tcPr>
            <w:tcW w:w="9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2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85" w:lineRule="exact"/>
        <w:rPr>
          <w:sz w:val="20"/>
          <w:szCs w:val="20"/>
          <w:color w:val="auto"/>
        </w:rPr>
      </w:pPr>
    </w:p>
    <w:p>
      <w:pPr>
        <w:ind w:left="420" w:hanging="399"/>
        <w:spacing w:after="0"/>
        <w:tabs>
          <w:tab w:leader="none" w:pos="420" w:val="left"/>
        </w:tabs>
        <w:numPr>
          <w:ilvl w:val="0"/>
          <w:numId w:val="68"/>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Filed herewith.</w:t>
      </w:r>
    </w:p>
    <w:p>
      <w:pPr>
        <w:spacing w:after="0" w:line="29" w:lineRule="exact"/>
        <w:rPr>
          <w:sz w:val="20"/>
          <w:szCs w:val="20"/>
          <w:color w:val="auto"/>
        </w:rPr>
      </w:pPr>
    </w:p>
    <w:p>
      <w:pPr>
        <w:ind w:left="420" w:hanging="399"/>
        <w:spacing w:after="0"/>
        <w:tabs>
          <w:tab w:leader="none" w:pos="4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16" w:lineRule="exact"/>
        <w:rPr>
          <w:sz w:val="20"/>
          <w:szCs w:val="20"/>
          <w:color w:val="auto"/>
        </w:rPr>
      </w:pPr>
    </w:p>
    <w:p>
      <w:pPr>
        <w:ind w:left="420" w:hanging="399"/>
        <w:spacing w:after="0"/>
        <w:tabs>
          <w:tab w:leader="none" w:pos="4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(indicated by asterisks) have been omitted pursuant to Item 601(b)(10)(iv) of Regulation S-K.</w:t>
      </w:r>
    </w:p>
    <w:p>
      <w:pPr>
        <w:spacing w:after="0" w:line="36" w:lineRule="exact"/>
        <w:rPr>
          <w:sz w:val="20"/>
          <w:szCs w:val="20"/>
          <w:color w:val="auto"/>
        </w:rPr>
      </w:pPr>
    </w:p>
    <w:p>
      <w:pPr>
        <w:ind w:left="420" w:hanging="399"/>
        <w:spacing w:after="0" w:line="265" w:lineRule="auto"/>
        <w:tabs>
          <w:tab w:leader="none" w:pos="4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to this agreement have been omitted in accordance with Item 601(a)(5) of Regulation S-K. A copy of any omitted schedules will be furnished supplementally to the SEC upon request.</w:t>
      </w:r>
    </w:p>
    <w:p>
      <w:pPr>
        <w:spacing w:after="0" w:line="1" w:lineRule="exact"/>
        <w:rPr>
          <w:sz w:val="20"/>
          <w:szCs w:val="20"/>
          <w:color w:val="auto"/>
        </w:rPr>
      </w:pPr>
    </w:p>
    <w:p>
      <w:pPr>
        <w:ind w:left="420" w:hanging="399"/>
        <w:spacing w:after="0" w:line="265" w:lineRule="auto"/>
        <w:tabs>
          <w:tab w:leader="none" w:pos="4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certifications are being furnished solely to accompany this annual report pursuant to 18 U.S.C. Section 1350, and are not being filed for purposes of Section 18 of the Exchange Act, and are not to be incorporated by reference into any filing of the registrant, whether made before or after the date hereof, regardless of any general incorporation language in such filing.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7" w:right="39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220" w:type="dxa"/>
            <w:vAlign w:val="bottom"/>
          </w:tcPr>
          <w:p>
            <w:pPr>
              <w:spacing w:after="0"/>
              <w:rPr>
                <w:sz w:val="20"/>
                <w:szCs w:val="20"/>
                <w:color w:val="auto"/>
              </w:rPr>
            </w:pPr>
          </w:p>
        </w:tc>
        <w:tc>
          <w:tcPr>
            <w:tcW w:w="8000" w:type="dxa"/>
            <w:vAlign w:val="bottom"/>
            <w:gridSpan w:val="2"/>
          </w:tcPr>
          <w:p>
            <w:pPr>
              <w:ind w:left="1620"/>
              <w:spacing w:after="0"/>
              <w:rPr>
                <w:sz w:val="20"/>
                <w:szCs w:val="20"/>
                <w:color w:val="auto"/>
              </w:rPr>
            </w:pPr>
            <w:r>
              <w:rPr>
                <w:rFonts w:ascii="Times New Roman" w:cs="Times New Roman" w:eastAsia="Times New Roman" w:hAnsi="Times New Roman"/>
                <w:sz w:val="18"/>
                <w:szCs w:val="18"/>
                <w:b w:val="1"/>
                <w:bCs w:val="1"/>
                <w:color w:val="auto"/>
              </w:rPr>
              <w:t>INVIVYD, INC.</w:t>
            </w:r>
          </w:p>
        </w:tc>
      </w:tr>
      <w:tr>
        <w:trPr>
          <w:trHeight w:val="472"/>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Date: March 28, 2024</w:t>
            </w:r>
          </w:p>
        </w:tc>
        <w:tc>
          <w:tcPr>
            <w:tcW w:w="216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By:</w:t>
            </w:r>
          </w:p>
        </w:tc>
        <w:tc>
          <w:tcPr>
            <w:tcW w:w="5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Hering, M.B.A.</w:t>
            </w:r>
          </w:p>
        </w:tc>
      </w:tr>
      <w:tr>
        <w:trPr>
          <w:trHeight w:val="200"/>
        </w:trPr>
        <w:tc>
          <w:tcPr>
            <w:tcW w:w="32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584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David Hering, M.B.A.</w:t>
            </w:r>
          </w:p>
        </w:tc>
      </w:tr>
      <w:tr>
        <w:trPr>
          <w:trHeight w:val="238"/>
        </w:trPr>
        <w:tc>
          <w:tcPr>
            <w:tcW w:w="3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Chief Executive Officer and Director</w:t>
            </w:r>
          </w:p>
        </w:tc>
      </w:tr>
      <w:tr>
        <w:trPr>
          <w:trHeight w:val="472"/>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Date: March 28, 2024</w:t>
            </w:r>
          </w:p>
        </w:tc>
        <w:tc>
          <w:tcPr>
            <w:tcW w:w="216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By:</w:t>
            </w:r>
          </w:p>
        </w:tc>
        <w:tc>
          <w:tcPr>
            <w:tcW w:w="5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William Duke, Jr.</w:t>
            </w:r>
          </w:p>
        </w:tc>
      </w:tr>
      <w:tr>
        <w:trPr>
          <w:trHeight w:val="200"/>
        </w:trPr>
        <w:tc>
          <w:tcPr>
            <w:tcW w:w="32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584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William Duke, Jr.</w:t>
            </w:r>
          </w:p>
        </w:tc>
      </w:tr>
      <w:tr>
        <w:trPr>
          <w:trHeight w:val="238"/>
        </w:trPr>
        <w:tc>
          <w:tcPr>
            <w:tcW w:w="3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Chief Financial Officer</w:t>
            </w:r>
          </w:p>
        </w:tc>
      </w:tr>
    </w:tbl>
    <w:p>
      <w:pPr>
        <w:spacing w:after="0" w:line="200" w:lineRule="exact"/>
        <w:rPr>
          <w:sz w:val="20"/>
          <w:szCs w:val="20"/>
          <w:color w:val="auto"/>
        </w:rPr>
      </w:pPr>
    </w:p>
    <w:p>
      <w:pPr>
        <w:spacing w:after="0" w:line="227"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ectPr>
          <w:pgSz w:w="11900" w:h="16838" w:orient="portrait"/>
          <w:cols w:equalWidth="0" w:num="1">
            <w:col w:w="11240"/>
          </w:cols>
          <w:pgMar w:left="320" w:top="1196" w:right="339" w:bottom="1440" w:gutter="0" w:footer="0" w:header="0"/>
        </w:sectPr>
      </w:pP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50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6"/>
                <w:szCs w:val="16"/>
                <w:color w:val="auto"/>
              </w:rPr>
            </w:pPr>
          </w:p>
        </w:tc>
        <w:tc>
          <w:tcPr>
            <w:tcW w:w="5840" w:type="dxa"/>
            <w:vAlign w:val="bottom"/>
            <w:tcBorders>
              <w:bottom w:val="single" w:sz="8" w:color="auto"/>
            </w:tcBorders>
          </w:tcPr>
          <w:p>
            <w:pPr>
              <w:ind w:left="278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311"/>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Hering, M.B.A.</w:t>
            </w:r>
          </w:p>
        </w:tc>
        <w:tc>
          <w:tcPr>
            <w:tcW w:w="120" w:type="dxa"/>
            <w:vAlign w:val="bottom"/>
          </w:tcPr>
          <w:p>
            <w:pPr>
              <w:spacing w:after="0"/>
              <w:rPr>
                <w:sz w:val="24"/>
                <w:szCs w:val="24"/>
                <w:color w:val="auto"/>
              </w:rPr>
            </w:pPr>
          </w:p>
        </w:tc>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&amp; Director</w:t>
            </w:r>
          </w:p>
        </w:tc>
      </w:tr>
      <w:tr>
        <w:trPr>
          <w:trHeight w:val="234"/>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Hering, M.B.A.</w:t>
            </w:r>
          </w:p>
        </w:tc>
        <w:tc>
          <w:tcPr>
            <w:tcW w:w="120" w:type="dxa"/>
            <w:vAlign w:val="bottom"/>
          </w:tcPr>
          <w:p>
            <w:pPr>
              <w:spacing w:after="0"/>
              <w:rPr>
                <w:sz w:val="20"/>
                <w:szCs w:val="20"/>
                <w:color w:val="auto"/>
              </w:rPr>
            </w:pPr>
          </w:p>
        </w:tc>
        <w:tc>
          <w:tcPr>
            <w:tcW w:w="584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312"/>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William Duke, Jr.</w:t>
            </w:r>
          </w:p>
        </w:tc>
        <w:tc>
          <w:tcPr>
            <w:tcW w:w="120" w:type="dxa"/>
            <w:vAlign w:val="bottom"/>
          </w:tcPr>
          <w:p>
            <w:pPr>
              <w:spacing w:after="0"/>
              <w:rPr>
                <w:sz w:val="24"/>
                <w:szCs w:val="24"/>
                <w:color w:val="auto"/>
              </w:rPr>
            </w:pPr>
          </w:p>
        </w:tc>
        <w:tc>
          <w:tcPr>
            <w:tcW w:w="5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Duke, Jr.</w:t>
            </w:r>
          </w:p>
        </w:tc>
        <w:tc>
          <w:tcPr>
            <w:tcW w:w="120" w:type="dxa"/>
            <w:vAlign w:val="bottom"/>
          </w:tcPr>
          <w:p>
            <w:pPr>
              <w:spacing w:after="0"/>
              <w:rPr>
                <w:sz w:val="20"/>
                <w:szCs w:val="20"/>
                <w:color w:val="auto"/>
              </w:rPr>
            </w:pPr>
          </w:p>
        </w:tc>
        <w:tc>
          <w:tcPr>
            <w:tcW w:w="584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tc>
      </w:tr>
      <w:tr>
        <w:trPr>
          <w:trHeight w:val="312"/>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Marc Elia</w:t>
            </w:r>
          </w:p>
        </w:tc>
        <w:tc>
          <w:tcPr>
            <w:tcW w:w="120" w:type="dxa"/>
            <w:vAlign w:val="bottom"/>
          </w:tcPr>
          <w:p>
            <w:pPr>
              <w:spacing w:after="0"/>
              <w:rPr>
                <w:sz w:val="24"/>
                <w:szCs w:val="24"/>
                <w:color w:val="auto"/>
              </w:rPr>
            </w:pPr>
          </w:p>
        </w:tc>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 of the Board of Directors</w:t>
            </w:r>
          </w:p>
        </w:tc>
      </w:tr>
      <w:tr>
        <w:trPr>
          <w:trHeight w:val="234"/>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 Elia</w:t>
            </w:r>
          </w:p>
        </w:tc>
        <w:tc>
          <w:tcPr>
            <w:tcW w:w="120" w:type="dxa"/>
            <w:vAlign w:val="bottom"/>
          </w:tcPr>
          <w:p>
            <w:pPr>
              <w:spacing w:after="0"/>
              <w:rPr>
                <w:sz w:val="20"/>
                <w:szCs w:val="20"/>
                <w:color w:val="auto"/>
              </w:rPr>
            </w:pPr>
          </w:p>
        </w:tc>
        <w:tc>
          <w:tcPr>
            <w:tcW w:w="5840" w:type="dxa"/>
            <w:vAlign w:val="bottom"/>
          </w:tcPr>
          <w:p>
            <w:pPr>
              <w:spacing w:after="0"/>
              <w:rPr>
                <w:sz w:val="20"/>
                <w:szCs w:val="20"/>
                <w:color w:val="auto"/>
              </w:rPr>
            </w:pPr>
          </w:p>
        </w:tc>
      </w:tr>
      <w:tr>
        <w:trPr>
          <w:trHeight w:val="312"/>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Tamsin Berry</w:t>
            </w:r>
          </w:p>
        </w:tc>
        <w:tc>
          <w:tcPr>
            <w:tcW w:w="120" w:type="dxa"/>
            <w:vAlign w:val="bottom"/>
          </w:tcPr>
          <w:p>
            <w:pPr>
              <w:spacing w:after="0"/>
              <w:rPr>
                <w:sz w:val="24"/>
                <w:szCs w:val="24"/>
                <w:color w:val="auto"/>
              </w:rPr>
            </w:pPr>
          </w:p>
        </w:tc>
        <w:tc>
          <w:tcPr>
            <w:tcW w:w="5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Tamsin Berry</w:t>
            </w:r>
          </w:p>
        </w:tc>
        <w:tc>
          <w:tcPr>
            <w:tcW w:w="120" w:type="dxa"/>
            <w:vAlign w:val="bottom"/>
          </w:tcPr>
          <w:p>
            <w:pPr>
              <w:spacing w:after="0"/>
              <w:rPr>
                <w:sz w:val="20"/>
                <w:szCs w:val="20"/>
                <w:color w:val="auto"/>
              </w:rPr>
            </w:pPr>
          </w:p>
        </w:tc>
        <w:tc>
          <w:tcPr>
            <w:tcW w:w="5840" w:type="dxa"/>
            <w:vAlign w:val="bottom"/>
          </w:tcPr>
          <w:p>
            <w:pPr>
              <w:spacing w:after="0"/>
              <w:rPr>
                <w:sz w:val="20"/>
                <w:szCs w:val="20"/>
                <w:color w:val="auto"/>
              </w:rPr>
            </w:pPr>
          </w:p>
        </w:tc>
      </w:tr>
      <w:tr>
        <w:trPr>
          <w:trHeight w:val="319"/>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Sara Cotter</w:t>
            </w:r>
          </w:p>
        </w:tc>
        <w:tc>
          <w:tcPr>
            <w:tcW w:w="120" w:type="dxa"/>
            <w:vAlign w:val="bottom"/>
          </w:tcPr>
          <w:p>
            <w:pPr>
              <w:spacing w:after="0"/>
              <w:rPr>
                <w:sz w:val="24"/>
                <w:szCs w:val="24"/>
                <w:color w:val="auto"/>
              </w:rPr>
            </w:pPr>
          </w:p>
        </w:tc>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Sara Cotter</w:t>
            </w:r>
          </w:p>
        </w:tc>
        <w:tc>
          <w:tcPr>
            <w:tcW w:w="120" w:type="dxa"/>
            <w:vAlign w:val="bottom"/>
          </w:tcPr>
          <w:p>
            <w:pPr>
              <w:spacing w:after="0"/>
              <w:rPr>
                <w:sz w:val="19"/>
                <w:szCs w:val="19"/>
                <w:color w:val="auto"/>
              </w:rPr>
            </w:pPr>
          </w:p>
        </w:tc>
        <w:tc>
          <w:tcPr>
            <w:tcW w:w="5840" w:type="dxa"/>
            <w:vAlign w:val="bottom"/>
          </w:tcPr>
          <w:p>
            <w:pPr>
              <w:spacing w:after="0"/>
              <w:rPr>
                <w:sz w:val="19"/>
                <w:szCs w:val="19"/>
                <w:color w:val="auto"/>
              </w:rPr>
            </w:pPr>
          </w:p>
        </w:tc>
      </w:tr>
      <w:tr>
        <w:trPr>
          <w:trHeight w:val="312"/>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Tomas Heyman</w:t>
            </w:r>
          </w:p>
        </w:tc>
        <w:tc>
          <w:tcPr>
            <w:tcW w:w="120" w:type="dxa"/>
            <w:vAlign w:val="bottom"/>
          </w:tcPr>
          <w:p>
            <w:pPr>
              <w:spacing w:after="0"/>
              <w:rPr>
                <w:sz w:val="24"/>
                <w:szCs w:val="24"/>
                <w:color w:val="auto"/>
              </w:rPr>
            </w:pPr>
          </w:p>
        </w:tc>
        <w:tc>
          <w:tcPr>
            <w:tcW w:w="5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Tomas Heyman</w:t>
            </w:r>
          </w:p>
        </w:tc>
        <w:tc>
          <w:tcPr>
            <w:tcW w:w="120" w:type="dxa"/>
            <w:vAlign w:val="bottom"/>
          </w:tcPr>
          <w:p>
            <w:pPr>
              <w:spacing w:after="0"/>
              <w:rPr>
                <w:sz w:val="20"/>
                <w:szCs w:val="20"/>
                <w:color w:val="auto"/>
              </w:rPr>
            </w:pPr>
          </w:p>
        </w:tc>
        <w:tc>
          <w:tcPr>
            <w:tcW w:w="5840" w:type="dxa"/>
            <w:vAlign w:val="bottom"/>
          </w:tcPr>
          <w:p>
            <w:pPr>
              <w:spacing w:after="0"/>
              <w:rPr>
                <w:sz w:val="20"/>
                <w:szCs w:val="20"/>
                <w:color w:val="auto"/>
              </w:rPr>
            </w:pPr>
          </w:p>
        </w:tc>
      </w:tr>
      <w:tr>
        <w:trPr>
          <w:trHeight w:val="312"/>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Christine Lindenboom</w:t>
            </w:r>
          </w:p>
        </w:tc>
        <w:tc>
          <w:tcPr>
            <w:tcW w:w="120" w:type="dxa"/>
            <w:vAlign w:val="bottom"/>
          </w:tcPr>
          <w:p>
            <w:pPr>
              <w:spacing w:after="0"/>
              <w:rPr>
                <w:sz w:val="24"/>
                <w:szCs w:val="24"/>
                <w:color w:val="auto"/>
              </w:rPr>
            </w:pPr>
          </w:p>
        </w:tc>
        <w:tc>
          <w:tcPr>
            <w:tcW w:w="5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Christine Lindenboom</w:t>
            </w:r>
          </w:p>
        </w:tc>
        <w:tc>
          <w:tcPr>
            <w:tcW w:w="120" w:type="dxa"/>
            <w:vAlign w:val="bottom"/>
          </w:tcPr>
          <w:p>
            <w:pPr>
              <w:spacing w:after="0"/>
              <w:rPr>
                <w:sz w:val="20"/>
                <w:szCs w:val="20"/>
                <w:color w:val="auto"/>
              </w:rPr>
            </w:pPr>
          </w:p>
        </w:tc>
        <w:tc>
          <w:tcPr>
            <w:tcW w:w="5840" w:type="dxa"/>
            <w:vAlign w:val="bottom"/>
          </w:tcPr>
          <w:p>
            <w:pPr>
              <w:spacing w:after="0"/>
              <w:rPr>
                <w:sz w:val="20"/>
                <w:szCs w:val="20"/>
                <w:color w:val="auto"/>
              </w:rPr>
            </w:pPr>
          </w:p>
        </w:tc>
      </w:tr>
      <w:tr>
        <w:trPr>
          <w:trHeight w:val="312"/>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Terrance McGuire</w:t>
            </w:r>
          </w:p>
        </w:tc>
        <w:tc>
          <w:tcPr>
            <w:tcW w:w="120" w:type="dxa"/>
            <w:vAlign w:val="bottom"/>
          </w:tcPr>
          <w:p>
            <w:pPr>
              <w:spacing w:after="0"/>
              <w:rPr>
                <w:sz w:val="24"/>
                <w:szCs w:val="24"/>
                <w:color w:val="auto"/>
              </w:rPr>
            </w:pPr>
          </w:p>
        </w:tc>
        <w:tc>
          <w:tcPr>
            <w:tcW w:w="5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Terrance McGuire</w:t>
            </w:r>
          </w:p>
        </w:tc>
        <w:tc>
          <w:tcPr>
            <w:tcW w:w="120" w:type="dxa"/>
            <w:vAlign w:val="bottom"/>
          </w:tcPr>
          <w:p>
            <w:pPr>
              <w:spacing w:after="0"/>
              <w:rPr>
                <w:sz w:val="20"/>
                <w:szCs w:val="20"/>
                <w:color w:val="auto"/>
              </w:rPr>
            </w:pPr>
          </w:p>
        </w:tc>
        <w:tc>
          <w:tcPr>
            <w:tcW w:w="5840" w:type="dxa"/>
            <w:vAlign w:val="bottom"/>
          </w:tcPr>
          <w:p>
            <w:pPr>
              <w:spacing w:after="0"/>
              <w:rPr>
                <w:sz w:val="20"/>
                <w:szCs w:val="20"/>
                <w:color w:val="auto"/>
              </w:rPr>
            </w:pPr>
          </w:p>
        </w:tc>
      </w:tr>
      <w:tr>
        <w:trPr>
          <w:trHeight w:val="312"/>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Clive A. Meanwell, M.D.</w:t>
            </w:r>
          </w:p>
        </w:tc>
        <w:tc>
          <w:tcPr>
            <w:tcW w:w="120" w:type="dxa"/>
            <w:vAlign w:val="bottom"/>
          </w:tcPr>
          <w:p>
            <w:pPr>
              <w:spacing w:after="0"/>
              <w:rPr>
                <w:sz w:val="24"/>
                <w:szCs w:val="24"/>
                <w:color w:val="auto"/>
              </w:rPr>
            </w:pPr>
          </w:p>
        </w:tc>
        <w:tc>
          <w:tcPr>
            <w:tcW w:w="5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Clive A. Meanwell, M.D.</w:t>
            </w:r>
          </w:p>
        </w:tc>
        <w:tc>
          <w:tcPr>
            <w:tcW w:w="120" w:type="dxa"/>
            <w:vAlign w:val="bottom"/>
          </w:tcPr>
          <w:p>
            <w:pPr>
              <w:spacing w:after="0"/>
              <w:rPr>
                <w:sz w:val="20"/>
                <w:szCs w:val="20"/>
                <w:color w:val="auto"/>
              </w:rPr>
            </w:pPr>
          </w:p>
        </w:tc>
        <w:tc>
          <w:tcPr>
            <w:tcW w:w="5840" w:type="dxa"/>
            <w:vAlign w:val="bottom"/>
          </w:tcPr>
          <w:p>
            <w:pPr>
              <w:spacing w:after="0"/>
              <w:rPr>
                <w:sz w:val="20"/>
                <w:szCs w:val="20"/>
                <w:color w:val="auto"/>
              </w:rPr>
            </w:pPr>
          </w:p>
        </w:tc>
      </w:tr>
      <w:tr>
        <w:trPr>
          <w:trHeight w:val="312"/>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S. Wyzga</w:t>
            </w:r>
          </w:p>
        </w:tc>
        <w:tc>
          <w:tcPr>
            <w:tcW w:w="120" w:type="dxa"/>
            <w:vAlign w:val="bottom"/>
          </w:tcPr>
          <w:p>
            <w:pPr>
              <w:spacing w:after="0"/>
              <w:rPr>
                <w:sz w:val="24"/>
                <w:szCs w:val="24"/>
                <w:color w:val="auto"/>
              </w:rPr>
            </w:pPr>
          </w:p>
        </w:tc>
        <w:tc>
          <w:tcPr>
            <w:tcW w:w="5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S. Wyzga</w:t>
            </w:r>
          </w:p>
        </w:tc>
        <w:tc>
          <w:tcPr>
            <w:tcW w:w="120" w:type="dxa"/>
            <w:vAlign w:val="bottom"/>
          </w:tcPr>
          <w:p>
            <w:pPr>
              <w:spacing w:after="0"/>
              <w:rPr>
                <w:sz w:val="20"/>
                <w:szCs w:val="20"/>
                <w:color w:val="auto"/>
              </w:rPr>
            </w:pPr>
          </w:p>
        </w:tc>
        <w:tc>
          <w:tcPr>
            <w:tcW w:w="58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wp:posOffset>
            </wp:positionV>
            <wp:extent cx="10617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4">
                      <a:extLst>
                        <a:ext uri="{28A0092B-C50C-407E-A947-70E740481C1C}"/>
                      </a:extLst>
                    </a:blip>
                    <a:srcRect/>
                    <a:stretch>
                      <a:fillRect/>
                    </a:stretch>
                  </pic:blipFill>
                  <pic:spPr bwMode="auto">
                    <a:xfrm>
                      <a:off x="0" y="0"/>
                      <a:ext cx="1061720" cy="8255"/>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28, 2024</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28, 2024</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28, 2024</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28, 2024</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28, 2024</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28, 2024</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28, 2024</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28, 2024</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28, 2024</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28, 2024</w:t>
      </w:r>
    </w:p>
    <w:p>
      <w:pPr>
        <w:spacing w:after="0" w:line="486" w:lineRule="exact"/>
        <w:rPr>
          <w:sz w:val="20"/>
          <w:szCs w:val="20"/>
          <w:color w:val="auto"/>
        </w:rPr>
      </w:pPr>
    </w:p>
    <w:p>
      <w:pPr>
        <w:sectPr>
          <w:pgSz w:w="11900" w:h="16838" w:orient="portrait"/>
          <w:cols w:equalWidth="0" w:num="2">
            <w:col w:w="9460" w:space="120"/>
            <w:col w:w="1660"/>
          </w:cols>
          <w:pgMar w:left="320" w:top="1196" w:right="339" w:bottom="1440" w:gutter="0" w:footer="0" w:header="0"/>
          <w:type w:val="continuous"/>
        </w:sect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type w:val="continuous"/>
        </w:sectPr>
      </w:pPr>
    </w:p>
    <w:bookmarkStart w:id="124" w:name="page125"/>
    <w:bookmarkEnd w:id="12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10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20" w:type="dxa"/>
            <w:vAlign w:val="bottom"/>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10120" w:type="dxa"/>
            <w:vAlign w:val="bottom"/>
            <w:gridSpan w:val="7"/>
          </w:tcPr>
          <w:p>
            <w:pPr>
              <w:spacing w:after="0" w:line="195" w:lineRule="exact"/>
              <w:rPr>
                <w:sz w:val="20"/>
                <w:szCs w:val="20"/>
                <w:color w:val="auto"/>
              </w:rPr>
            </w:pPr>
            <w:r>
              <w:rPr>
                <w:rFonts w:ascii="Times New Roman" w:cs="Times New Roman" w:eastAsia="Times New Roman" w:hAnsi="Times New Roman"/>
                <w:sz w:val="18"/>
                <w:szCs w:val="18"/>
                <w:color w:val="0000FF"/>
              </w:rPr>
              <w:t>Report of Independent Registered Public Accounting Firm (PCAOB ID 238)</w:t>
            </w:r>
          </w:p>
        </w:tc>
        <w:tc>
          <w:tcPr>
            <w:tcW w:w="1100" w:type="dxa"/>
            <w:vAlign w:val="bottom"/>
            <w:gridSpan w:val="2"/>
          </w:tcPr>
          <w:p>
            <w:pPr>
              <w:ind w:left="840"/>
              <w:spacing w:after="0" w:line="195" w:lineRule="exact"/>
              <w:rPr>
                <w:sz w:val="20"/>
                <w:szCs w:val="20"/>
                <w:color w:val="auto"/>
              </w:rPr>
            </w:pPr>
            <w:r>
              <w:rPr>
                <w:rFonts w:ascii="Times New Roman" w:cs="Times New Roman" w:eastAsia="Times New Roman" w:hAnsi="Times New Roman"/>
                <w:sz w:val="18"/>
                <w:szCs w:val="18"/>
                <w:color w:val="auto"/>
                <w:w w:val="95"/>
              </w:rPr>
              <w:t>F-2</w:t>
            </w:r>
          </w:p>
        </w:tc>
      </w:tr>
      <w:tr>
        <w:trPr>
          <w:trHeight w:val="236"/>
        </w:trPr>
        <w:tc>
          <w:tcPr>
            <w:tcW w:w="20" w:type="dxa"/>
            <w:vAlign w:val="bottom"/>
          </w:tcPr>
          <w:p>
            <w:pPr>
              <w:spacing w:after="0"/>
              <w:rPr>
                <w:sz w:val="20"/>
                <w:szCs w:val="20"/>
                <w:color w:val="auto"/>
              </w:rPr>
            </w:pPr>
          </w:p>
        </w:tc>
        <w:tc>
          <w:tcPr>
            <w:tcW w:w="55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4600" w:type="dxa"/>
            <w:vAlign w:val="bottom"/>
          </w:tcPr>
          <w:p>
            <w:pPr>
              <w:spacing w:after="0"/>
              <w:rPr>
                <w:sz w:val="20"/>
                <w:szCs w:val="20"/>
                <w:color w:val="auto"/>
              </w:rPr>
            </w:pP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w w:val="95"/>
              </w:rPr>
              <w:t>F-3</w:t>
            </w:r>
          </w:p>
        </w:tc>
      </w:tr>
      <w:tr>
        <w:trPr>
          <w:trHeight w:val="20"/>
        </w:trPr>
        <w:tc>
          <w:tcPr>
            <w:tcW w:w="20" w:type="dxa"/>
            <w:vAlign w:val="bottom"/>
          </w:tcPr>
          <w:p>
            <w:pPr>
              <w:spacing w:after="0" w:line="20" w:lineRule="exact"/>
              <w:rPr>
                <w:sz w:val="1"/>
                <w:szCs w:val="1"/>
                <w:color w:val="auto"/>
              </w:rPr>
            </w:pPr>
          </w:p>
        </w:tc>
        <w:tc>
          <w:tcPr>
            <w:tcW w:w="210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4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46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 and Comprehensive Loss</w:t>
            </w:r>
          </w:p>
        </w:tc>
        <w:tc>
          <w:tcPr>
            <w:tcW w:w="5440" w:type="dxa"/>
            <w:vAlign w:val="bottom"/>
            <w:gridSpan w:val="2"/>
          </w:tcPr>
          <w:p>
            <w:pPr>
              <w:spacing w:after="0"/>
              <w:rPr>
                <w:sz w:val="20"/>
                <w:szCs w:val="20"/>
                <w:color w:val="auto"/>
              </w:rPr>
            </w:pP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w w:val="95"/>
              </w:rPr>
              <w:t>F-4</w:t>
            </w:r>
          </w:p>
        </w:tc>
      </w:tr>
      <w:tr>
        <w:trPr>
          <w:trHeight w:val="236"/>
        </w:trPr>
        <w:tc>
          <w:tcPr>
            <w:tcW w:w="20" w:type="dxa"/>
            <w:vAlign w:val="bottom"/>
          </w:tcPr>
          <w:p>
            <w:pPr>
              <w:spacing w:after="0"/>
              <w:rPr>
                <w:sz w:val="20"/>
                <w:szCs w:val="20"/>
                <w:color w:val="auto"/>
              </w:rPr>
            </w:pPr>
          </w:p>
        </w:tc>
        <w:tc>
          <w:tcPr>
            <w:tcW w:w="101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 (Deficit)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w w:val="95"/>
              </w:rPr>
              <w:t>F-5</w:t>
            </w:r>
          </w:p>
        </w:tc>
      </w:tr>
      <w:tr>
        <w:trPr>
          <w:trHeight w:val="236"/>
        </w:trPr>
        <w:tc>
          <w:tcPr>
            <w:tcW w:w="20" w:type="dxa"/>
            <w:vAlign w:val="bottom"/>
          </w:tcPr>
          <w:p>
            <w:pPr>
              <w:spacing w:after="0"/>
              <w:rPr>
                <w:sz w:val="20"/>
                <w:szCs w:val="20"/>
                <w:color w:val="auto"/>
              </w:rPr>
            </w:pPr>
          </w:p>
        </w:tc>
        <w:tc>
          <w:tcPr>
            <w:tcW w:w="42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5920" w:type="dxa"/>
            <w:vAlign w:val="bottom"/>
            <w:gridSpan w:val="3"/>
          </w:tcPr>
          <w:p>
            <w:pPr>
              <w:spacing w:after="0"/>
              <w:rPr>
                <w:sz w:val="20"/>
                <w:szCs w:val="20"/>
                <w:color w:val="auto"/>
              </w:rPr>
            </w:pP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w w:val="95"/>
              </w:rPr>
              <w:t>F-7</w:t>
            </w:r>
          </w:p>
        </w:tc>
      </w:tr>
      <w:tr>
        <w:trPr>
          <w:trHeight w:val="20"/>
        </w:trPr>
        <w:tc>
          <w:tcPr>
            <w:tcW w:w="20" w:type="dxa"/>
            <w:vAlign w:val="bottom"/>
          </w:tcPr>
          <w:p>
            <w:pPr>
              <w:spacing w:after="0" w:line="20" w:lineRule="exact"/>
              <w:rPr>
                <w:sz w:val="1"/>
                <w:szCs w:val="1"/>
                <w:color w:val="auto"/>
              </w:rPr>
            </w:pPr>
          </w:p>
        </w:tc>
        <w:tc>
          <w:tcPr>
            <w:tcW w:w="2880" w:type="dxa"/>
            <w:vAlign w:val="bottom"/>
            <w:tcBorders>
              <w:right w:val="single" w:sz="8" w:color="0000EE"/>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980" w:type="dxa"/>
            <w:vAlign w:val="bottom"/>
            <w:gridSpan w:val="4"/>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101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w w:val="95"/>
              </w:rPr>
              <w:t>F-8</w:t>
            </w:r>
          </w:p>
        </w:tc>
      </w:tr>
      <w:tr>
        <w:trPr>
          <w:trHeight w:val="695"/>
        </w:trPr>
        <w:tc>
          <w:tcPr>
            <w:tcW w:w="20" w:type="dxa"/>
            <w:vAlign w:val="bottom"/>
          </w:tcPr>
          <w:p>
            <w:pPr>
              <w:spacing w:after="0"/>
              <w:rPr>
                <w:sz w:val="24"/>
                <w:szCs w:val="24"/>
                <w:color w:val="auto"/>
              </w:rPr>
            </w:pPr>
          </w:p>
        </w:tc>
        <w:tc>
          <w:tcPr>
            <w:tcW w:w="210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F-1</w:t>
            </w: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2"/>
        </w:trPr>
        <w:tc>
          <w:tcPr>
            <w:tcW w:w="2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6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125" w:name="page126"/>
    <w:bookmarkEnd w:id="125"/>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Invivyd, Inc.</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Invivyd, Inc. and its subsidiaries (the “Company”) as of December 31, 2023 and 2022, and the related consolidated statements of operations and comprehensive loss, of stockholders’ equity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2023 and 2022, and the results of its operations and its cash flows for the years then ended in conformity with accounting principles generally accepted in the United States of America.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Substantial Doubt about the Company’s Ability to Continue as a Going Concern</w:t>
      </w:r>
    </w:p>
    <w:p>
      <w:pPr>
        <w:spacing w:after="0" w:line="227"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1 to the consolidated financial statements, the Company has incurred recurring losses from operations since inception and will require additional funding to finance its future operations. These conditions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2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28,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8" w:right="35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200,641</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92,076</w:t>
            </w:r>
          </w:p>
        </w:tc>
        <w:tc>
          <w:tcPr>
            <w:tcW w:w="100" w:type="dxa"/>
            <w:vAlign w:val="bottom"/>
            <w:shd w:val="clear" w:color="auto" w:fill="CFF0FC"/>
          </w:tcPr>
          <w:p>
            <w:pPr>
              <w:spacing w:after="0"/>
              <w:rPr>
                <w:sz w:val="21"/>
                <w:szCs w:val="21"/>
                <w:color w:val="auto"/>
              </w:rPr>
            </w:pPr>
          </w:p>
        </w:tc>
      </w:tr>
      <w:tr>
        <w:trPr>
          <w:trHeight w:val="238"/>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tcPr>
          <w:p>
            <w:pPr>
              <w:spacing w:after="0"/>
              <w:rPr>
                <w:sz w:val="20"/>
                <w:szCs w:val="20"/>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279,915</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24,240</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224,881</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376,917</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100" w:type="dxa"/>
            <w:vAlign w:val="bottom"/>
            <w:shd w:val="clear" w:color="auto" w:fill="CFF0FC"/>
          </w:tcPr>
          <w:p>
            <w:pPr>
              <w:spacing w:after="0"/>
              <w:rPr>
                <w:sz w:val="21"/>
                <w:szCs w:val="21"/>
                <w:color w:val="auto"/>
              </w:rPr>
            </w:pP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3,777</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229,181</w:t>
            </w:r>
          </w:p>
        </w:tc>
        <w:tc>
          <w:tcPr>
            <w:tcW w:w="28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383,167</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Preferred Stock and Stockholders’ Equity</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7,953</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100" w:type="dxa"/>
            <w:vAlign w:val="bottom"/>
            <w:shd w:val="clear" w:color="auto" w:fill="CFF0FC"/>
          </w:tcPr>
          <w:p>
            <w:pPr>
              <w:spacing w:after="0"/>
              <w:rPr>
                <w:sz w:val="21"/>
                <w:szCs w:val="21"/>
                <w:color w:val="auto"/>
              </w:rPr>
            </w:pPr>
          </w:p>
        </w:tc>
      </w:tr>
      <w:tr>
        <w:trPr>
          <w:trHeight w:val="238"/>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40,860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21,911</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00" w:type="dxa"/>
            <w:vAlign w:val="bottom"/>
            <w:shd w:val="clear" w:color="auto" w:fill="CFF0FC"/>
          </w:tcPr>
          <w:p>
            <w:pPr>
              <w:spacing w:after="0"/>
              <w:rPr>
                <w:sz w:val="21"/>
                <w:szCs w:val="21"/>
                <w:color w:val="auto"/>
              </w:rPr>
            </w:pPr>
          </w:p>
        </w:tc>
      </w:tr>
      <w:tr>
        <w:trPr>
          <w:trHeight w:val="238"/>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liability</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0"/>
                <w:szCs w:val="20"/>
                <w:color w:val="auto"/>
              </w:rPr>
            </w:pPr>
          </w:p>
        </w:tc>
      </w:tr>
      <w:tr>
        <w:trPr>
          <w:trHeight w:val="236"/>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50,291</w:t>
            </w:r>
          </w:p>
        </w:tc>
        <w:tc>
          <w:tcPr>
            <w:tcW w:w="2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25,031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liability</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Early-exercise liability</w:t>
            </w:r>
          </w:p>
        </w:tc>
        <w:tc>
          <w:tcPr>
            <w:tcW w:w="240" w:type="dxa"/>
            <w:vAlign w:val="bottom"/>
          </w:tcPr>
          <w:p>
            <w:pPr>
              <w:spacing w:after="0"/>
              <w:rPr>
                <w:sz w:val="20"/>
                <w:szCs w:val="20"/>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r>
      <w:tr>
        <w:trPr>
          <w:trHeight w:val="236"/>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51,713</w:t>
            </w:r>
          </w:p>
        </w:tc>
        <w:tc>
          <w:tcPr>
            <w:tcW w:w="2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27,197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Preferred stock (undesignated), $0.0001 par value; 10,000,000 shares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authorized and no shares issued and outstanding at December 31, 2023</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and December 31, 2022</w:t>
            </w:r>
          </w:p>
        </w:tc>
        <w:tc>
          <w:tcPr>
            <w:tcW w:w="240" w:type="dxa"/>
            <w:vAlign w:val="bottom"/>
          </w:tcPr>
          <w:p>
            <w:pPr>
              <w:spacing w:after="0"/>
              <w:rPr>
                <w:sz w:val="20"/>
                <w:szCs w:val="20"/>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Common stock, $0.0001 par value; 1,000,000,000 shares authorized,</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110,160,684 shares issued and outstanding at December 31, 2023;</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2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109,044,046 shares issued and outstanding at December 31, 2022</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21"/>
                <w:szCs w:val="21"/>
                <w:color w:val="auto"/>
              </w:rPr>
            </w:pP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909,539</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889,657</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(13 )</w:t>
            </w:r>
          </w:p>
        </w:tc>
        <w:tc>
          <w:tcPr>
            <w:tcW w:w="24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(272 )</w:t>
            </w: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20"/>
                <w:szCs w:val="20"/>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(732,069 )</w:t>
            </w:r>
          </w:p>
        </w:tc>
        <w:tc>
          <w:tcPr>
            <w:tcW w:w="24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(533,426 )</w:t>
            </w:r>
          </w:p>
        </w:tc>
      </w:tr>
      <w:tr>
        <w:trPr>
          <w:trHeight w:val="236"/>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177,468</w:t>
            </w:r>
          </w:p>
        </w:tc>
        <w:tc>
          <w:tcPr>
            <w:tcW w:w="2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355,970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 preferred stock and stockholders’ equity</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229,181</w:t>
            </w:r>
          </w:p>
        </w:tc>
        <w:tc>
          <w:tcPr>
            <w:tcW w:w="28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383,167</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-4520565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-4520565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-3895090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-3895090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-2619375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-2619375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-1985645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-1985645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-187960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6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gridSpan w:val="5"/>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37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79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7920" w:type="dxa"/>
            <w:vAlign w:val="bottom"/>
            <w:gridSpan w:val="2"/>
          </w:tcPr>
          <w:p>
            <w:pPr>
              <w:ind w:left="200"/>
              <w:spacing w:after="0" w:line="243"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4"/>
                <w:szCs w:val="24"/>
                <w:color w:val="auto"/>
                <w:vertAlign w:val="superscript"/>
              </w:rPr>
              <w:t>(1)</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158,658</w:t>
            </w:r>
          </w:p>
        </w:tc>
        <w:tc>
          <w:tcPr>
            <w:tcW w:w="26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179,214</w:t>
            </w:r>
          </w:p>
        </w:tc>
        <w:tc>
          <w:tcPr>
            <w:tcW w:w="100" w:type="dxa"/>
            <w:vAlign w:val="bottom"/>
          </w:tcPr>
          <w:p>
            <w:pPr>
              <w:spacing w:after="0"/>
              <w:rPr>
                <w:sz w:val="21"/>
                <w:szCs w:val="21"/>
                <w:color w:val="auto"/>
              </w:rPr>
            </w:pPr>
          </w:p>
        </w:tc>
      </w:tr>
      <w:tr>
        <w:trPr>
          <w:trHeight w:val="243"/>
        </w:trPr>
        <w:tc>
          <w:tcPr>
            <w:tcW w:w="7920" w:type="dxa"/>
            <w:vAlign w:val="bottom"/>
            <w:gridSpan w:val="2"/>
            <w:shd w:val="clear" w:color="auto" w:fill="CFF0FC"/>
          </w:tcPr>
          <w:p>
            <w:pPr>
              <w:ind w:left="200"/>
              <w:spacing w:after="0" w:line="243" w:lineRule="exact"/>
              <w:rPr>
                <w:sz w:val="20"/>
                <w:szCs w:val="20"/>
                <w:color w:val="auto"/>
              </w:rPr>
            </w:pPr>
            <w:r>
              <w:rPr>
                <w:rFonts w:ascii="Times New Roman" w:cs="Times New Roman" w:eastAsia="Times New Roman" w:hAnsi="Times New Roman"/>
                <w:sz w:val="18"/>
                <w:szCs w:val="18"/>
                <w:color w:val="auto"/>
              </w:rPr>
              <w:t>Acquired in-process research and development</w:t>
            </w:r>
            <w:r>
              <w:rPr>
                <w:rFonts w:ascii="Times New Roman" w:cs="Times New Roman" w:eastAsia="Times New Roman" w:hAnsi="Times New Roman"/>
                <w:sz w:val="24"/>
                <w:szCs w:val="24"/>
                <w:color w:val="auto"/>
                <w:vertAlign w:val="superscript"/>
              </w:rPr>
              <w:t>(2)</w:t>
            </w: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4,975</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100" w:type="dxa"/>
            <w:vAlign w:val="bottom"/>
            <w:shd w:val="clear" w:color="auto" w:fill="CFF0FC"/>
          </w:tcPr>
          <w:p>
            <w:pPr>
              <w:spacing w:after="0"/>
              <w:rPr>
                <w:sz w:val="21"/>
                <w:szCs w:val="21"/>
                <w:color w:val="auto"/>
              </w:rPr>
            </w:pPr>
          </w:p>
        </w:tc>
      </w:tr>
      <w:tr>
        <w:trPr>
          <w:trHeight w:val="238"/>
        </w:trPr>
        <w:tc>
          <w:tcPr>
            <w:tcW w:w="7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49,125</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47,044</w:t>
            </w:r>
          </w:p>
        </w:tc>
        <w:tc>
          <w:tcPr>
            <w:tcW w:w="100" w:type="dxa"/>
            <w:vAlign w:val="bottom"/>
          </w:tcPr>
          <w:p>
            <w:pPr>
              <w:spacing w:after="0"/>
              <w:rPr>
                <w:sz w:val="20"/>
                <w:szCs w:val="20"/>
                <w:color w:val="auto"/>
              </w:rPr>
            </w:pPr>
          </w:p>
        </w:tc>
      </w:tr>
      <w:tr>
        <w:trPr>
          <w:trHeight w:val="247"/>
        </w:trPr>
        <w:tc>
          <w:tcPr>
            <w:tcW w:w="7920" w:type="dxa"/>
            <w:vAlign w:val="bottom"/>
            <w:gridSpan w:val="2"/>
            <w:shd w:val="clear" w:color="auto" w:fill="CFF0FC"/>
          </w:tcPr>
          <w:p>
            <w:pPr>
              <w:ind w:left="200"/>
              <w:spacing w:after="0" w:line="247" w:lineRule="exact"/>
              <w:rPr>
                <w:sz w:val="20"/>
                <w:szCs w:val="20"/>
                <w:color w:val="auto"/>
              </w:rPr>
            </w:pPr>
            <w:r>
              <w:rPr>
                <w:rFonts w:ascii="Times New Roman" w:cs="Times New Roman" w:eastAsia="Times New Roman" w:hAnsi="Times New Roman"/>
                <w:sz w:val="18"/>
                <w:szCs w:val="18"/>
                <w:color w:val="auto"/>
              </w:rPr>
              <w:t>Warrant expense</w:t>
            </w:r>
            <w:r>
              <w:rPr>
                <w:rFonts w:ascii="Times New Roman" w:cs="Times New Roman" w:eastAsia="Times New Roman" w:hAnsi="Times New Roman"/>
                <w:sz w:val="24"/>
                <w:szCs w:val="24"/>
                <w:color w:val="auto"/>
                <w:vertAlign w:val="superscript"/>
              </w:rPr>
              <w:t>(3)</w:t>
            </w:r>
          </w:p>
        </w:tc>
        <w:tc>
          <w:tcPr>
            <w:tcW w:w="3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17,373</w:t>
            </w:r>
          </w:p>
        </w:tc>
        <w:tc>
          <w:tcPr>
            <w:tcW w:w="100" w:type="dxa"/>
            <w:vAlign w:val="bottom"/>
            <w:shd w:val="clear" w:color="auto" w:fill="CFF0FC"/>
          </w:tcPr>
          <w:p>
            <w:pPr>
              <w:spacing w:after="0"/>
              <w:rPr>
                <w:sz w:val="21"/>
                <w:szCs w:val="21"/>
                <w:color w:val="auto"/>
              </w:rPr>
            </w:pPr>
          </w:p>
        </w:tc>
      </w:tr>
      <w:tr>
        <w:trPr>
          <w:trHeight w:val="232"/>
        </w:trPr>
        <w:tc>
          <w:tcPr>
            <w:tcW w:w="7920" w:type="dxa"/>
            <w:vAlign w:val="bottom"/>
            <w:tcBorders>
              <w:top w:val="single" w:sz="8" w:color="CFF0FC"/>
            </w:tcBorders>
            <w:gridSpan w:val="2"/>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212,758</w:t>
            </w:r>
          </w:p>
        </w:tc>
        <w:tc>
          <w:tcPr>
            <w:tcW w:w="26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248,031</w:t>
            </w:r>
          </w:p>
        </w:tc>
        <w:tc>
          <w:tcPr>
            <w:tcW w:w="100" w:type="dxa"/>
            <w:vAlign w:val="bottom"/>
            <w:tcBorders>
              <w:top w:val="single" w:sz="8" w:color="CFF0FC"/>
            </w:tcBorders>
          </w:tcPr>
          <w:p>
            <w:pPr>
              <w:spacing w:after="0"/>
              <w:rPr>
                <w:sz w:val="20"/>
                <w:szCs w:val="20"/>
                <w:color w:val="auto"/>
              </w:rPr>
            </w:pPr>
          </w:p>
        </w:tc>
      </w:tr>
      <w:tr>
        <w:trPr>
          <w:trHeight w:val="236"/>
        </w:trPr>
        <w:tc>
          <w:tcPr>
            <w:tcW w:w="79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8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(212,758 )</w:t>
            </w:r>
          </w:p>
        </w:tc>
        <w:tc>
          <w:tcPr>
            <w:tcW w:w="2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(248,031 )</w:t>
            </w:r>
          </w:p>
        </w:tc>
      </w:tr>
      <w:tr>
        <w:trPr>
          <w:trHeight w:val="236"/>
        </w:trPr>
        <w:tc>
          <w:tcPr>
            <w:tcW w:w="792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3"/>
        </w:trPr>
        <w:tc>
          <w:tcPr>
            <w:tcW w:w="792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income, net</w:t>
            </w:r>
          </w:p>
        </w:tc>
        <w:tc>
          <w:tcPr>
            <w:tcW w:w="38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14,115</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9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 other income, net</w:t>
            </w: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14,115</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6,714</w:t>
            </w:r>
          </w:p>
        </w:tc>
        <w:tc>
          <w:tcPr>
            <w:tcW w:w="100" w:type="dxa"/>
            <w:vAlign w:val="bottom"/>
          </w:tcPr>
          <w:p>
            <w:pPr>
              <w:spacing w:after="0"/>
              <w:rPr>
                <w:sz w:val="20"/>
                <w:szCs w:val="20"/>
                <w:color w:val="auto"/>
              </w:rPr>
            </w:pPr>
          </w:p>
        </w:tc>
      </w:tr>
      <w:tr>
        <w:trPr>
          <w:trHeight w:val="236"/>
        </w:trPr>
        <w:tc>
          <w:tcPr>
            <w:tcW w:w="79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(198,643 )</w:t>
            </w:r>
          </w:p>
        </w:tc>
        <w:tc>
          <w:tcPr>
            <w:tcW w:w="2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(241,317 )</w:t>
            </w:r>
          </w:p>
        </w:tc>
      </w:tr>
      <w:tr>
        <w:trPr>
          <w:trHeight w:val="236"/>
        </w:trPr>
        <w:tc>
          <w:tcPr>
            <w:tcW w:w="792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3"/>
        </w:trPr>
        <w:tc>
          <w:tcPr>
            <w:tcW w:w="79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gain (loss) on available-for-sale securities, net of tax</w:t>
            </w: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(264 )</w:t>
            </w:r>
          </w:p>
        </w:tc>
      </w:tr>
      <w:tr>
        <w:trPr>
          <w:trHeight w:val="20"/>
        </w:trPr>
        <w:tc>
          <w:tcPr>
            <w:tcW w:w="3760" w:type="dxa"/>
            <w:vAlign w:val="bottom"/>
            <w:shd w:val="clear" w:color="auto" w:fill="CFF0FC"/>
          </w:tcPr>
          <w:p>
            <w:pPr>
              <w:spacing w:after="0" w:line="20" w:lineRule="exact"/>
              <w:rPr>
                <w:sz w:val="1"/>
                <w:szCs w:val="1"/>
                <w:color w:val="auto"/>
              </w:rPr>
            </w:pPr>
          </w:p>
        </w:tc>
        <w:tc>
          <w:tcPr>
            <w:tcW w:w="41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(198,384 )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(241,581 )</w:t>
            </w:r>
          </w:p>
        </w:tc>
      </w:tr>
      <w:tr>
        <w:trPr>
          <w:trHeight w:val="20"/>
        </w:trPr>
        <w:tc>
          <w:tcPr>
            <w:tcW w:w="37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9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(1.81 )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(2.23 )</w:t>
            </w:r>
          </w:p>
        </w:tc>
      </w:tr>
      <w:tr>
        <w:trPr>
          <w:trHeight w:val="223"/>
        </w:trPr>
        <w:tc>
          <w:tcPr>
            <w:tcW w:w="792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109,526,053</w:t>
            </w:r>
          </w:p>
        </w:tc>
        <w:tc>
          <w:tcPr>
            <w:tcW w:w="260" w:type="dxa"/>
            <w:vAlign w:val="bottom"/>
            <w:tcBorders>
              <w:top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108,268,289</w:t>
            </w:r>
          </w:p>
        </w:tc>
        <w:tc>
          <w:tcPr>
            <w:tcW w:w="100" w:type="dxa"/>
            <w:vAlign w:val="bottom"/>
            <w:tcBorders>
              <w:top w:val="single" w:sz="8" w:color="CFF0FC"/>
            </w:tcBorders>
          </w:tcPr>
          <w:p>
            <w:pPr>
              <w:spacing w:after="0"/>
              <w:rPr>
                <w:sz w:val="19"/>
                <w:szCs w:val="19"/>
                <w:color w:val="auto"/>
              </w:rPr>
            </w:pPr>
          </w:p>
        </w:tc>
      </w:tr>
      <w:tr>
        <w:trPr>
          <w:trHeight w:val="20"/>
        </w:trPr>
        <w:tc>
          <w:tcPr>
            <w:tcW w:w="37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0"/>
        </w:trPr>
        <w:tc>
          <w:tcPr>
            <w:tcW w:w="3760" w:type="dxa"/>
            <w:vAlign w:val="bottom"/>
            <w:tcBorders>
              <w:bottom w:val="single" w:sz="8" w:color="auto"/>
            </w:tcBorders>
          </w:tcPr>
          <w:p>
            <w:pPr>
              <w:spacing w:after="0"/>
              <w:rPr>
                <w:sz w:val="10"/>
                <w:szCs w:val="10"/>
                <w:color w:val="auto"/>
              </w:rPr>
            </w:pPr>
          </w:p>
        </w:tc>
        <w:tc>
          <w:tcPr>
            <w:tcW w:w="4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6058535</wp:posOffset>
            </wp:positionH>
            <wp:positionV relativeFrom="paragraph">
              <wp:posOffset>-1925955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-1925955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-1600835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-1600835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-1283970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-1283970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-958215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-958215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-641350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-641350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-299085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-281940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-299085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520" w:hanging="512"/>
        <w:spacing w:after="0"/>
        <w:tabs>
          <w:tab w:leader="none" w:pos="5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related-party amounts of $8,418 and $8,154 for the years ended December 31, 2023 and 2022, respectively (see Note 15).</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related-party amounts of $4,975 and $4,400 for the years ended December 31, 2023 and 2022, respectively (see Note 15).</w:t>
      </w:r>
    </w:p>
    <w:p>
      <w:pPr>
        <w:spacing w:after="0" w:line="8"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related-party amounts of $0 and $17,373 for the years ended December 31, 2023 and 2022, respectively (see Note 15).</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(DEFICIT)</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3"/>
                <w:szCs w:val="13"/>
                <w:b w:val="1"/>
                <w:bCs w:val="1"/>
                <w:color w:val="auto"/>
              </w:rPr>
              <w:t>Other</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1780" w:type="dxa"/>
            <w:vAlign w:val="bottom"/>
            <w:gridSpan w:val="4"/>
            <w:vMerge w:val="restart"/>
          </w:tcPr>
          <w:p>
            <w:pPr>
              <w:jc w:val="right"/>
              <w:ind w:right="373"/>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40" w:type="dxa"/>
            <w:vAlign w:val="bottom"/>
          </w:tcPr>
          <w:p>
            <w:pPr>
              <w:spacing w:after="0"/>
              <w:rPr>
                <w:sz w:val="12"/>
                <w:szCs w:val="12"/>
                <w:color w:val="auto"/>
              </w:rPr>
            </w:pPr>
          </w:p>
        </w:tc>
        <w:tc>
          <w:tcPr>
            <w:tcW w:w="1680" w:type="dxa"/>
            <w:vAlign w:val="bottom"/>
            <w:gridSpan w:val="4"/>
            <w:vMerge w:val="restart"/>
          </w:tcPr>
          <w:p>
            <w:pPr>
              <w:ind w:left="40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73"/>
              <w:spacing w:after="0" w:line="149"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220" w:type="dxa"/>
            <w:vAlign w:val="bottom"/>
          </w:tcPr>
          <w:p>
            <w:pPr>
              <w:spacing w:after="0"/>
              <w:rPr>
                <w:sz w:val="12"/>
                <w:szCs w:val="12"/>
                <w:color w:val="auto"/>
              </w:rPr>
            </w:pPr>
          </w:p>
        </w:tc>
        <w:tc>
          <w:tcPr>
            <w:tcW w:w="112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3"/>
                <w:szCs w:val="13"/>
                <w:b w:val="1"/>
                <w:bCs w:val="1"/>
                <w:color w:val="auto"/>
              </w:rPr>
              <w:t>Comprehensiv</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0"/>
        </w:trPr>
        <w:tc>
          <w:tcPr>
            <w:tcW w:w="2920" w:type="dxa"/>
            <w:vAlign w:val="bottom"/>
          </w:tcPr>
          <w:p>
            <w:pPr>
              <w:spacing w:after="0"/>
              <w:rPr>
                <w:sz w:val="14"/>
                <w:szCs w:val="14"/>
                <w:color w:val="auto"/>
              </w:rPr>
            </w:pPr>
          </w:p>
        </w:tc>
        <w:tc>
          <w:tcPr>
            <w:tcW w:w="1780" w:type="dxa"/>
            <w:vAlign w:val="bottom"/>
            <w:tcBorders>
              <w:bottom w:val="single" w:sz="8" w:color="auto"/>
            </w:tcBorders>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tcBorders>
              <w:bottom w:val="single" w:sz="8" w:color="auto"/>
            </w:tcBorders>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e</w:t>
            </w:r>
          </w:p>
        </w:tc>
        <w:tc>
          <w:tcPr>
            <w:tcW w:w="110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69"/>
        </w:trPr>
        <w:tc>
          <w:tcPr>
            <w:tcW w:w="2920" w:type="dxa"/>
            <w:vAlign w:val="bottom"/>
          </w:tcPr>
          <w:p>
            <w:pPr>
              <w:spacing w:after="0"/>
              <w:rPr>
                <w:sz w:val="14"/>
                <w:szCs w:val="14"/>
                <w:color w:val="auto"/>
              </w:rPr>
            </w:pPr>
          </w:p>
        </w:tc>
        <w:tc>
          <w:tcPr>
            <w:tcW w:w="8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Pr>
          <w:p>
            <w:pPr>
              <w:spacing w:after="0"/>
              <w:rPr>
                <w:sz w:val="14"/>
                <w:szCs w:val="14"/>
                <w:color w:val="auto"/>
              </w:rPr>
            </w:pPr>
          </w:p>
        </w:tc>
        <w:tc>
          <w:tcPr>
            <w:tcW w:w="7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Income (Loss)</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4"/>
                <w:szCs w:val="14"/>
                <w:color w:val="auto"/>
              </w:rPr>
            </w:pPr>
          </w:p>
        </w:tc>
        <w:tc>
          <w:tcPr>
            <w:tcW w:w="9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Equity (Deficit)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9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December 31, 2022</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109,044,046</w:t>
            </w:r>
          </w:p>
        </w:tc>
        <w:tc>
          <w:tcPr>
            <w:tcW w:w="2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24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ind w:left="460"/>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889,657</w:t>
            </w:r>
          </w:p>
        </w:tc>
        <w:tc>
          <w:tcPr>
            <w:tcW w:w="400" w:type="dxa"/>
            <w:vAlign w:val="bottom"/>
            <w:gridSpan w:val="2"/>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(272 )</w:t>
            </w:r>
          </w:p>
        </w:tc>
        <w:tc>
          <w:tcPr>
            <w:tcW w:w="18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(533,426 )</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355,970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1,224,330</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955</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Repurchase of unvested restricted common stock</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(285,167 )</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285,167</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ind w:left="46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Retirement of treasury stock</w:t>
            </w: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(285,167 )</w:t>
            </w: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2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00" w:type="dxa"/>
            <w:vAlign w:val="bottom"/>
          </w:tcPr>
          <w:p>
            <w:pPr>
              <w:ind w:left="46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18,685</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18,685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Issuance of common stock under the employee</w:t>
            </w: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stock purchase plan</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177,475</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240</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Vesting of restricted common stock from early-</w:t>
            </w: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exercised options</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00" w:type="dxa"/>
            <w:vAlign w:val="bottom"/>
          </w:tcPr>
          <w:p>
            <w:pPr>
              <w:ind w:left="46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Unrealized gain on available-for-sale securities,</w:t>
            </w: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of tax</w:t>
            </w: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259</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ind w:left="46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(198,643 )</w:t>
            </w:r>
          </w:p>
        </w:tc>
        <w:tc>
          <w:tcPr>
            <w:tcW w:w="80" w:type="dxa"/>
            <w:vAlign w:val="bottom"/>
          </w:tcPr>
          <w:p>
            <w:pPr>
              <w:spacing w:after="0"/>
              <w:rPr>
                <w:sz w:val="15"/>
                <w:szCs w:val="15"/>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(198,643 )</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December 31, 2023</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110,160,684</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909,539</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(13 )</w:t>
            </w:r>
          </w:p>
        </w:tc>
        <w:tc>
          <w:tcPr>
            <w:tcW w:w="1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(732,069 )</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177,468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92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2402205</wp:posOffset>
            </wp:positionH>
            <wp:positionV relativeFrom="paragraph">
              <wp:posOffset>-24765</wp:posOffset>
            </wp:positionV>
            <wp:extent cx="768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2402205</wp:posOffset>
            </wp:positionH>
            <wp:positionV relativeFrom="paragraph">
              <wp:posOffset>-7620</wp:posOffset>
            </wp:positionV>
            <wp:extent cx="768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2984500</wp:posOffset>
            </wp:positionH>
            <wp:positionV relativeFrom="paragraph">
              <wp:posOffset>-24765</wp:posOffset>
            </wp:positionV>
            <wp:extent cx="768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2984500</wp:posOffset>
            </wp:positionH>
            <wp:positionV relativeFrom="paragraph">
              <wp:posOffset>-7620</wp:posOffset>
            </wp:positionV>
            <wp:extent cx="768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3627120</wp:posOffset>
            </wp:positionH>
            <wp:positionV relativeFrom="paragraph">
              <wp:posOffset>-24765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3627120</wp:posOffset>
            </wp:positionH>
            <wp:positionV relativeFrom="paragraph">
              <wp:posOffset>-7620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4209415</wp:posOffset>
            </wp:positionH>
            <wp:positionV relativeFrom="paragraph">
              <wp:posOffset>-24765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4209415</wp:posOffset>
            </wp:positionH>
            <wp:positionV relativeFrom="paragraph">
              <wp:posOffset>-7620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4902835</wp:posOffset>
            </wp:positionH>
            <wp:positionV relativeFrom="paragraph">
              <wp:posOffset>-24765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4902835</wp:posOffset>
            </wp:positionH>
            <wp:positionV relativeFrom="paragraph">
              <wp:posOffset>-7620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5621655</wp:posOffset>
            </wp:positionH>
            <wp:positionV relativeFrom="paragraph">
              <wp:posOffset>-24765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5621655</wp:posOffset>
            </wp:positionH>
            <wp:positionV relativeFrom="paragraph">
              <wp:posOffset>-7620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6315710</wp:posOffset>
            </wp:positionH>
            <wp:positionV relativeFrom="paragraph">
              <wp:posOffset>-24765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6315710</wp:posOffset>
            </wp:positionH>
            <wp:positionV relativeFrom="paragraph">
              <wp:posOffset>-7620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9" w:right="33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(DEFICIT)</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3"/>
                <w:szCs w:val="13"/>
                <w:b w:val="1"/>
                <w:bCs w:val="1"/>
                <w:color w:val="auto"/>
              </w:rPr>
              <w:t>Other</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1780" w:type="dxa"/>
            <w:vAlign w:val="bottom"/>
            <w:gridSpan w:val="4"/>
            <w:vMerge w:val="restart"/>
          </w:tcPr>
          <w:p>
            <w:pPr>
              <w:jc w:val="right"/>
              <w:ind w:right="373"/>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40" w:type="dxa"/>
            <w:vAlign w:val="bottom"/>
          </w:tcPr>
          <w:p>
            <w:pPr>
              <w:spacing w:after="0"/>
              <w:rPr>
                <w:sz w:val="12"/>
                <w:szCs w:val="12"/>
                <w:color w:val="auto"/>
              </w:rPr>
            </w:pPr>
          </w:p>
        </w:tc>
        <w:tc>
          <w:tcPr>
            <w:tcW w:w="1680" w:type="dxa"/>
            <w:vAlign w:val="bottom"/>
            <w:gridSpan w:val="4"/>
            <w:vMerge w:val="restart"/>
          </w:tcPr>
          <w:p>
            <w:pPr>
              <w:ind w:left="40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73"/>
              <w:spacing w:after="0" w:line="149"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220" w:type="dxa"/>
            <w:vAlign w:val="bottom"/>
          </w:tcPr>
          <w:p>
            <w:pPr>
              <w:spacing w:after="0"/>
              <w:rPr>
                <w:sz w:val="12"/>
                <w:szCs w:val="12"/>
                <w:color w:val="auto"/>
              </w:rPr>
            </w:pPr>
          </w:p>
        </w:tc>
        <w:tc>
          <w:tcPr>
            <w:tcW w:w="112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3"/>
                <w:szCs w:val="13"/>
                <w:b w:val="1"/>
                <w:bCs w:val="1"/>
                <w:color w:val="auto"/>
              </w:rPr>
              <w:t>Comprehensiv</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0"/>
        </w:trPr>
        <w:tc>
          <w:tcPr>
            <w:tcW w:w="2920" w:type="dxa"/>
            <w:vAlign w:val="bottom"/>
          </w:tcPr>
          <w:p>
            <w:pPr>
              <w:spacing w:after="0"/>
              <w:rPr>
                <w:sz w:val="14"/>
                <w:szCs w:val="14"/>
                <w:color w:val="auto"/>
              </w:rPr>
            </w:pPr>
          </w:p>
        </w:tc>
        <w:tc>
          <w:tcPr>
            <w:tcW w:w="1780" w:type="dxa"/>
            <w:vAlign w:val="bottom"/>
            <w:tcBorders>
              <w:bottom w:val="single" w:sz="8" w:color="auto"/>
            </w:tcBorders>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tcBorders>
              <w:bottom w:val="single" w:sz="8" w:color="auto"/>
            </w:tcBorders>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e</w:t>
            </w:r>
          </w:p>
        </w:tc>
        <w:tc>
          <w:tcPr>
            <w:tcW w:w="110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69"/>
        </w:trPr>
        <w:tc>
          <w:tcPr>
            <w:tcW w:w="2920" w:type="dxa"/>
            <w:vAlign w:val="bottom"/>
          </w:tcPr>
          <w:p>
            <w:pPr>
              <w:spacing w:after="0"/>
              <w:rPr>
                <w:sz w:val="14"/>
                <w:szCs w:val="14"/>
                <w:color w:val="auto"/>
              </w:rPr>
            </w:pPr>
          </w:p>
        </w:tc>
        <w:tc>
          <w:tcPr>
            <w:tcW w:w="8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Pr>
          <w:p>
            <w:pPr>
              <w:spacing w:after="0"/>
              <w:rPr>
                <w:sz w:val="14"/>
                <w:szCs w:val="14"/>
                <w:color w:val="auto"/>
              </w:rPr>
            </w:pPr>
          </w:p>
        </w:tc>
        <w:tc>
          <w:tcPr>
            <w:tcW w:w="7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Income (Loss)</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4"/>
                <w:szCs w:val="14"/>
                <w:color w:val="auto"/>
              </w:rPr>
            </w:pPr>
          </w:p>
        </w:tc>
        <w:tc>
          <w:tcPr>
            <w:tcW w:w="9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Equity (Deficit)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December 31, 2021</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110,782,909</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468,751</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850,125</w:t>
            </w:r>
          </w:p>
        </w:tc>
        <w:tc>
          <w:tcPr>
            <w:tcW w:w="40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(8 )</w:t>
            </w:r>
          </w:p>
        </w:tc>
        <w:tc>
          <w:tcPr>
            <w:tcW w:w="1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(292,109 )</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558,019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warrants for common stock</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00" w:type="dxa"/>
            <w:vAlign w:val="bottom"/>
          </w:tcPr>
          <w:p>
            <w:pPr>
              <w:ind w:left="46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17,373</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17,373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298,353</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241</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Repurchase of unvested restricted common stock</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(2,150,737 )</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2,150,737</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ind w:left="46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Retirement of treasury stock</w:t>
            </w: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(2,619,488 )</w:t>
            </w: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2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00" w:type="dxa"/>
            <w:vAlign w:val="bottom"/>
          </w:tcPr>
          <w:p>
            <w:pPr>
              <w:ind w:left="46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21,648</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21,648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Issuance of common stock under the employee</w:t>
            </w: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stock purchase plan</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113,521</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269</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Vesting of restricted common stock from early-</w:t>
            </w: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exercised options</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00" w:type="dxa"/>
            <w:vAlign w:val="bottom"/>
          </w:tcPr>
          <w:p>
            <w:pPr>
              <w:ind w:left="46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Unrealized loss on available-for-sale securities, net</w:t>
            </w: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of tax</w:t>
            </w: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(264 )</w:t>
            </w:r>
          </w:p>
        </w:tc>
        <w:tc>
          <w:tcPr>
            <w:tcW w:w="1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(264 )</w:t>
            </w:r>
          </w:p>
        </w:tc>
        <w:tc>
          <w:tcPr>
            <w:tcW w:w="0" w:type="dxa"/>
            <w:vAlign w:val="bottom"/>
          </w:tcPr>
          <w:p>
            <w:pPr>
              <w:spacing w:after="0"/>
              <w:rPr>
                <w:sz w:val="1"/>
                <w:szCs w:val="1"/>
                <w:color w:val="auto"/>
              </w:rPr>
            </w:pPr>
          </w:p>
        </w:tc>
      </w:tr>
      <w:tr>
        <w:trPr>
          <w:trHeight w:val="175"/>
        </w:trPr>
        <w:tc>
          <w:tcPr>
            <w:tcW w:w="2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ind w:left="46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(241,317 )</w:t>
            </w:r>
          </w:p>
        </w:tc>
        <w:tc>
          <w:tcPr>
            <w:tcW w:w="80" w:type="dxa"/>
            <w:vAlign w:val="bottom"/>
          </w:tcPr>
          <w:p>
            <w:pPr>
              <w:spacing w:after="0"/>
              <w:rPr>
                <w:sz w:val="15"/>
                <w:szCs w:val="15"/>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(241,317 )</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December 31, 2022</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109,044,046</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889,657</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(272 )</w:t>
            </w:r>
          </w:p>
        </w:tc>
        <w:tc>
          <w:tcPr>
            <w:tcW w:w="1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(533,426 )</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355,970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92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2402205</wp:posOffset>
            </wp:positionH>
            <wp:positionV relativeFrom="paragraph">
              <wp:posOffset>-24765</wp:posOffset>
            </wp:positionV>
            <wp:extent cx="768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2402205</wp:posOffset>
            </wp:positionH>
            <wp:positionV relativeFrom="paragraph">
              <wp:posOffset>-7620</wp:posOffset>
            </wp:positionV>
            <wp:extent cx="768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2984500</wp:posOffset>
            </wp:positionH>
            <wp:positionV relativeFrom="paragraph">
              <wp:posOffset>-24765</wp:posOffset>
            </wp:positionV>
            <wp:extent cx="768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2984500</wp:posOffset>
            </wp:positionH>
            <wp:positionV relativeFrom="paragraph">
              <wp:posOffset>-7620</wp:posOffset>
            </wp:positionV>
            <wp:extent cx="768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3627120</wp:posOffset>
            </wp:positionH>
            <wp:positionV relativeFrom="paragraph">
              <wp:posOffset>-24765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3627120</wp:posOffset>
            </wp:positionH>
            <wp:positionV relativeFrom="paragraph">
              <wp:posOffset>-7620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4209415</wp:posOffset>
            </wp:positionH>
            <wp:positionV relativeFrom="paragraph">
              <wp:posOffset>-24765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4209415</wp:posOffset>
            </wp:positionH>
            <wp:positionV relativeFrom="paragraph">
              <wp:posOffset>-7620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4902835</wp:posOffset>
            </wp:positionH>
            <wp:positionV relativeFrom="paragraph">
              <wp:posOffset>-24765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4902835</wp:posOffset>
            </wp:positionH>
            <wp:positionV relativeFrom="paragraph">
              <wp:posOffset>-7620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5621655</wp:posOffset>
            </wp:positionH>
            <wp:positionV relativeFrom="paragraph">
              <wp:posOffset>-24765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5621655</wp:posOffset>
            </wp:positionH>
            <wp:positionV relativeFrom="paragraph">
              <wp:posOffset>-7620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6315710</wp:posOffset>
            </wp:positionH>
            <wp:positionV relativeFrom="paragraph">
              <wp:posOffset>-24765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6315710</wp:posOffset>
            </wp:positionH>
            <wp:positionV relativeFrom="paragraph">
              <wp:posOffset>-7620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8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836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(198,643 )</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(241,317 )</w:t>
            </w:r>
          </w:p>
        </w:tc>
      </w:tr>
      <w:tr>
        <w:trPr>
          <w:trHeight w:val="247"/>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21,648</w:t>
            </w:r>
          </w:p>
        </w:tc>
        <w:tc>
          <w:tcPr>
            <w:tcW w:w="100" w:type="dxa"/>
            <w:vAlign w:val="bottom"/>
          </w:tcPr>
          <w:p>
            <w:pPr>
              <w:spacing w:after="0"/>
              <w:rPr>
                <w:sz w:val="20"/>
                <w:szCs w:val="20"/>
                <w:color w:val="auto"/>
              </w:rPr>
            </w:pPr>
          </w:p>
        </w:tc>
      </w:tr>
      <w:tr>
        <w:trPr>
          <w:trHeight w:val="247"/>
        </w:trPr>
        <w:tc>
          <w:tcPr>
            <w:tcW w:w="8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Warrant expense</w:t>
            </w:r>
          </w:p>
        </w:tc>
        <w:tc>
          <w:tcPr>
            <w:tcW w:w="3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17,373</w:t>
            </w:r>
          </w:p>
        </w:tc>
        <w:tc>
          <w:tcPr>
            <w:tcW w:w="100" w:type="dxa"/>
            <w:vAlign w:val="bottom"/>
            <w:shd w:val="clear" w:color="auto" w:fill="CFF0FC"/>
          </w:tcPr>
          <w:p>
            <w:pPr>
              <w:spacing w:after="0"/>
              <w:rPr>
                <w:sz w:val="21"/>
                <w:szCs w:val="21"/>
                <w:color w:val="auto"/>
              </w:rPr>
            </w:pPr>
          </w:p>
        </w:tc>
      </w:tr>
      <w:tr>
        <w:trPr>
          <w:trHeight w:val="238"/>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amortization of premiums and accretion of discounts on marketable securities</w:t>
            </w:r>
          </w:p>
        </w:tc>
        <w:tc>
          <w:tcPr>
            <w:tcW w:w="30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(1,122 )</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(2,023 )</w:t>
            </w:r>
          </w:p>
        </w:tc>
      </w:tr>
      <w:tr>
        <w:trPr>
          <w:trHeight w:val="247"/>
        </w:trPr>
        <w:tc>
          <w:tcPr>
            <w:tcW w:w="8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shd w:val="clear" w:color="auto" w:fill="CFF0FC"/>
          </w:tcPr>
          <w:p>
            <w:pPr>
              <w:spacing w:after="0"/>
              <w:rPr>
                <w:sz w:val="21"/>
                <w:szCs w:val="21"/>
                <w:color w:val="auto"/>
              </w:rPr>
            </w:pPr>
          </w:p>
        </w:tc>
      </w:tr>
      <w:tr>
        <w:trPr>
          <w:trHeight w:val="238"/>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expense</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0"/>
                <w:szCs w:val="20"/>
                <w:color w:val="auto"/>
              </w:rPr>
            </w:pPr>
          </w:p>
        </w:tc>
      </w:tr>
      <w:tr>
        <w:trPr>
          <w:trHeight w:val="247"/>
        </w:trPr>
        <w:tc>
          <w:tcPr>
            <w:tcW w:w="8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8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(18,892 )</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20,367</w:t>
            </w:r>
          </w:p>
        </w:tc>
        <w:tc>
          <w:tcPr>
            <w:tcW w:w="100" w:type="dxa"/>
            <w:vAlign w:val="bottom"/>
          </w:tcPr>
          <w:p>
            <w:pPr>
              <w:spacing w:after="0"/>
              <w:rPr>
                <w:sz w:val="20"/>
                <w:szCs w:val="20"/>
                <w:color w:val="auto"/>
              </w:rPr>
            </w:pPr>
          </w:p>
        </w:tc>
      </w:tr>
      <w:tr>
        <w:trPr>
          <w:trHeight w:val="247"/>
        </w:trPr>
        <w:tc>
          <w:tcPr>
            <w:tcW w:w="83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non-current assets</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3,106</w:t>
            </w:r>
          </w:p>
        </w:tc>
        <w:tc>
          <w:tcPr>
            <w:tcW w:w="100" w:type="dxa"/>
            <w:vAlign w:val="bottom"/>
            <w:shd w:val="clear" w:color="auto" w:fill="CFF0FC"/>
          </w:tcPr>
          <w:p>
            <w:pPr>
              <w:spacing w:after="0"/>
              <w:rPr>
                <w:sz w:val="21"/>
                <w:szCs w:val="21"/>
                <w:color w:val="auto"/>
              </w:rPr>
            </w:pPr>
          </w:p>
        </w:tc>
      </w:tr>
      <w:tr>
        <w:trPr>
          <w:trHeight w:val="238"/>
        </w:trPr>
        <w:tc>
          <w:tcPr>
            <w:tcW w:w="8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(4,300 )</w:t>
            </w:r>
          </w:p>
        </w:tc>
      </w:tr>
      <w:tr>
        <w:trPr>
          <w:trHeight w:val="247"/>
        </w:trPr>
        <w:tc>
          <w:tcPr>
            <w:tcW w:w="83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19,162</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(34,867 )</w:t>
            </w:r>
          </w:p>
        </w:tc>
      </w:tr>
      <w:tr>
        <w:trPr>
          <w:trHeight w:val="238"/>
        </w:trPr>
        <w:tc>
          <w:tcPr>
            <w:tcW w:w="8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(1,559 )</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(475 )</w:t>
            </w:r>
          </w:p>
        </w:tc>
      </w:tr>
      <w:tr>
        <w:trPr>
          <w:trHeight w:val="247"/>
        </w:trPr>
        <w:tc>
          <w:tcPr>
            <w:tcW w:w="83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(10 )</w:t>
            </w: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FF0FC"/>
          </w:tcPr>
          <w:p>
            <w:pPr>
              <w:spacing w:after="0"/>
              <w:rPr>
                <w:sz w:val="21"/>
                <w:szCs w:val="21"/>
                <w:color w:val="auto"/>
              </w:rPr>
            </w:pPr>
          </w:p>
        </w:tc>
      </w:tr>
      <w:tr>
        <w:trPr>
          <w:trHeight w:val="238"/>
        </w:trPr>
        <w:tc>
          <w:tcPr>
            <w:tcW w:w="8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(5 )</w:t>
            </w:r>
          </w:p>
        </w:tc>
      </w:tr>
      <w:tr>
        <w:trPr>
          <w:trHeight w:val="20"/>
        </w:trPr>
        <w:tc>
          <w:tcPr>
            <w:tcW w:w="8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83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(173,164 )</w:t>
            </w: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(219,987 )</w:t>
            </w:r>
          </w:p>
        </w:tc>
      </w:tr>
      <w:tr>
        <w:trPr>
          <w:trHeight w:val="238"/>
        </w:trPr>
        <w:tc>
          <w:tcPr>
            <w:tcW w:w="83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5"/>
        </w:trPr>
        <w:tc>
          <w:tcPr>
            <w:tcW w:w="8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(91,202 )</w:t>
            </w: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(297,962 )</w:t>
            </w:r>
          </w:p>
        </w:tc>
      </w:tr>
      <w:tr>
        <w:trPr>
          <w:trHeight w:val="238"/>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372,501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69,000</w:t>
            </w:r>
          </w:p>
        </w:tc>
        <w:tc>
          <w:tcPr>
            <w:tcW w:w="100" w:type="dxa"/>
            <w:vAlign w:val="bottom"/>
          </w:tcPr>
          <w:p>
            <w:pPr>
              <w:spacing w:after="0"/>
              <w:rPr>
                <w:sz w:val="20"/>
                <w:szCs w:val="20"/>
                <w:color w:val="auto"/>
              </w:rPr>
            </w:pPr>
          </w:p>
        </w:tc>
      </w:tr>
      <w:tr>
        <w:trPr>
          <w:trHeight w:val="243"/>
        </w:trPr>
        <w:tc>
          <w:tcPr>
            <w:tcW w:w="8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(615 )</w:t>
            </w: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(1,705 )</w:t>
            </w:r>
          </w:p>
        </w:tc>
      </w:tr>
      <w:tr>
        <w:trPr>
          <w:trHeight w:val="20"/>
        </w:trPr>
        <w:tc>
          <w:tcPr>
            <w:tcW w:w="83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83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280,684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(230,667 )</w:t>
            </w:r>
          </w:p>
        </w:tc>
      </w:tr>
      <w:tr>
        <w:trPr>
          <w:trHeight w:val="240"/>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exercises of stock options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20"/>
                <w:szCs w:val="20"/>
                <w:color w:val="auto"/>
              </w:rPr>
            </w:pPr>
          </w:p>
        </w:tc>
      </w:tr>
      <w:tr>
        <w:trPr>
          <w:trHeight w:val="247"/>
        </w:trPr>
        <w:tc>
          <w:tcPr>
            <w:tcW w:w="8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 under the employee stock purchase plan</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FF0FC"/>
          </w:tcPr>
          <w:p>
            <w:pPr>
              <w:spacing w:after="0"/>
              <w:rPr>
                <w:sz w:val="21"/>
                <w:szCs w:val="21"/>
                <w:color w:val="auto"/>
              </w:rPr>
            </w:pPr>
          </w:p>
        </w:tc>
      </w:tr>
      <w:tr>
        <w:trPr>
          <w:trHeight w:val="238"/>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Payments for offering costs</w:t>
            </w:r>
          </w:p>
        </w:tc>
        <w:tc>
          <w:tcPr>
            <w:tcW w:w="30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(149 )</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Payments for repurchases of unvested restricted common stock</w:t>
            </w:r>
          </w:p>
        </w:tc>
        <w:tc>
          <w:tcPr>
            <w:tcW w:w="3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(1 )</w:t>
            </w: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(4 )</w:t>
            </w:r>
          </w:p>
        </w:tc>
      </w:tr>
      <w:tr>
        <w:trPr>
          <w:trHeight w:val="236"/>
        </w:trPr>
        <w:tc>
          <w:tcPr>
            <w:tcW w:w="8360" w:type="dxa"/>
            <w:vAlign w:val="bottom"/>
            <w:tcBorders>
              <w:top w:val="single" w:sz="8" w:color="CFF0FC"/>
            </w:tcBorders>
          </w:tcPr>
          <w:p>
            <w:pPr>
              <w:ind w:left="5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2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Borders>
              <w:top w:val="single" w:sz="8" w:color="CFF0FC"/>
            </w:tcBorders>
          </w:tcPr>
          <w:p>
            <w:pPr>
              <w:spacing w:after="0"/>
              <w:rPr>
                <w:sz w:val="20"/>
                <w:szCs w:val="20"/>
                <w:color w:val="auto"/>
              </w:rPr>
            </w:pPr>
          </w:p>
        </w:tc>
      </w:tr>
      <w:tr>
        <w:trPr>
          <w:trHeight w:val="240"/>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108,565</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(450,148 )</w:t>
            </w:r>
          </w:p>
        </w:tc>
      </w:tr>
      <w:tr>
        <w:trPr>
          <w:trHeight w:val="238"/>
        </w:trPr>
        <w:tc>
          <w:tcPr>
            <w:tcW w:w="8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92,076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542,224</w:t>
            </w:r>
          </w:p>
        </w:tc>
        <w:tc>
          <w:tcPr>
            <w:tcW w:w="100" w:type="dxa"/>
            <w:vAlign w:val="bottom"/>
          </w:tcPr>
          <w:p>
            <w:pPr>
              <w:spacing w:after="0"/>
              <w:rPr>
                <w:sz w:val="20"/>
                <w:szCs w:val="20"/>
                <w:color w:val="auto"/>
              </w:rPr>
            </w:pPr>
          </w:p>
        </w:tc>
      </w:tr>
      <w:tr>
        <w:trPr>
          <w:trHeight w:val="276"/>
        </w:trPr>
        <w:tc>
          <w:tcPr>
            <w:tcW w:w="8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200,641</w:t>
            </w:r>
          </w:p>
        </w:tc>
        <w:tc>
          <w:tcPr>
            <w:tcW w:w="120" w:type="dxa"/>
            <w:vAlign w:val="bottom"/>
            <w:shd w:val="clear" w:color="auto" w:fill="CFF0FC"/>
          </w:tcPr>
          <w:p>
            <w:pPr>
              <w:spacing w:after="0"/>
              <w:rPr>
                <w:sz w:val="24"/>
                <w:szCs w:val="24"/>
                <w:color w:val="auto"/>
              </w:rPr>
            </w:pP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92,076</w:t>
            </w:r>
          </w:p>
        </w:tc>
        <w:tc>
          <w:tcPr>
            <w:tcW w:w="100" w:type="dxa"/>
            <w:vAlign w:val="bottom"/>
            <w:shd w:val="clear" w:color="auto" w:fill="CFF0FC"/>
          </w:tcPr>
          <w:p>
            <w:pPr>
              <w:spacing w:after="0"/>
              <w:rPr>
                <w:sz w:val="24"/>
                <w:szCs w:val="24"/>
                <w:color w:val="auto"/>
              </w:rPr>
            </w:pPr>
          </w:p>
        </w:tc>
      </w:tr>
      <w:tr>
        <w:trPr>
          <w:trHeight w:val="225"/>
        </w:trPr>
        <w:tc>
          <w:tcPr>
            <w:tcW w:w="83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5"/>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 recognized upon adoption of ASC 842</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100" w:type="dxa"/>
            <w:vAlign w:val="bottom"/>
            <w:shd w:val="clear" w:color="auto" w:fill="CFF0FC"/>
          </w:tcPr>
          <w:p>
            <w:pPr>
              <w:spacing w:after="0"/>
              <w:rPr>
                <w:sz w:val="21"/>
                <w:szCs w:val="21"/>
                <w:color w:val="auto"/>
              </w:rPr>
            </w:pPr>
          </w:p>
        </w:tc>
      </w:tr>
      <w:tr>
        <w:trPr>
          <w:trHeight w:val="238"/>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 recognized under ASC 842</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100" w:type="dxa"/>
            <w:vAlign w:val="bottom"/>
          </w:tcPr>
          <w:p>
            <w:pPr>
              <w:spacing w:after="0"/>
              <w:rPr>
                <w:sz w:val="20"/>
                <w:szCs w:val="20"/>
                <w:color w:val="auto"/>
              </w:rPr>
            </w:pPr>
          </w:p>
        </w:tc>
      </w:tr>
      <w:tr>
        <w:trPr>
          <w:trHeight w:val="247"/>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activities</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 in accounts payable and accrued expenses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0"/>
                <w:szCs w:val="20"/>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Pr>
          <w:p>
            <w:pPr>
              <w:spacing w:after="0"/>
              <w:rPr>
                <w:sz w:val="20"/>
                <w:szCs w:val="20"/>
                <w:color w:val="auto"/>
              </w:rPr>
            </w:pPr>
          </w:p>
        </w:tc>
      </w:tr>
      <w:tr>
        <w:trPr>
          <w:trHeight w:val="247"/>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offering costs in accrued expenses</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shd w:val="clear" w:color="auto" w:fill="CFF0FC"/>
          </w:tcPr>
          <w:p>
            <w:pPr>
              <w:spacing w:after="0"/>
              <w:rPr>
                <w:sz w:val="21"/>
                <w:szCs w:val="21"/>
                <w:color w:val="auto"/>
              </w:rPr>
            </w:pP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6118860</wp:posOffset>
            </wp:positionH>
            <wp:positionV relativeFrom="paragraph">
              <wp:posOffset>-3159125</wp:posOffset>
            </wp:positionV>
            <wp:extent cx="768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-3159125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-2533650</wp:posOffset>
            </wp:positionV>
            <wp:extent cx="7683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-2533650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-1591945</wp:posOffset>
            </wp:positionV>
            <wp:extent cx="7683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-1591945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-949960</wp:posOffset>
            </wp:positionV>
            <wp:extent cx="7683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-932815</wp:posOffset>
            </wp:positionV>
            <wp:extent cx="7683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-949960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-932815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7" w:right="33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 and Basis of Presentation</w:t>
      </w:r>
    </w:p>
    <w:p>
      <w:pPr>
        <w:spacing w:after="0" w:line="121"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Invivyd, Inc. is a commercial-stage company on a mission to rapidly and perpetually deliver antibody-based therapies that protect vulnerable people from the devastating consequences of circulating viral threats, beginning with SARS-CoV-2. The Company’s proprietary INVYMAB™ platform approach combines state-of-the-art viral surveillance and predictive modeling with advanced antibody engineering. INVYMAB is designed to facilitate the rapid, serial generation of new monoclonal antibodies (“mAbs”) to keep pace with evolving viral threats.</w:t>
      </w:r>
    </w:p>
    <w:p>
      <w:pPr>
        <w:spacing w:after="0" w:line="7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March 22, 2024, the Company received emergency use authorization (“EUA”) from the U.S. Food and Drug Administration (“FDA”) for PEMGARDA™ (pemivibart) injection, for intravenous use, a half-life extended investigational mAb, for the pre-exposure prophylaxis (prevention) of COVID-19 in adults and adolescents (12 years of age and older weighing at least 40 kg) who have moderate-to-severe immune compromise due to certain medical conditions or receipt of certain immunosuppressive medications or treatments and are unlikely to mount an adequate immune response to COVID-19 vaccination. Recipients should not be currently infected with or have had a known recent exposure to an individual infected with SARS-CoV-2.</w:t>
      </w:r>
    </w:p>
    <w:p>
      <w:pPr>
        <w:spacing w:after="0" w:line="7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PEMGARDA is the Company’s first mAb in a planned series of innovative mAb candidates designed to keep pace with SARS-CoV-2 viral evolution. As the SARS-CoV-2 virus evolves over time, the Company anticipates leveraging its INVYMAB platform approach to periodically introduce new or engineered mAb candidates, an approach that would be analogous to the periodic updates made to influenza and COVID-19 vaccines. In January 2024, the Company nominated VYD2311, a mAb optimized for neutralization potency against recent SARS-CoV-2 lineages such as BA.2.86 and JN.1, as a drug candidate, and the Company expects it will be the next pipeline program to advance into clinical development. In addition to developing candidates for COVID-19, the Company expects to apply its INVYMAB platform approach to produce lead molecules for other viral diseases, such as influenza.</w:t>
      </w:r>
    </w:p>
    <w:p>
      <w:pPr>
        <w:spacing w:after="0" w:line="7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was incorporated in the State of Delaware in June 2020. The Company operates as a hybrid company with employees working at its corporate headquarters in Waltham, Massachusetts and remotely. In June 2022, and subsequently amended in September 2022, the Company entered into a lease for dedicated laboratory and office space in Newton, Massachusetts for research and development purposes. In 2022, the Company expanded its research team in order to enable internal discovery and development of its mAb candidates, while continuing to leverage the Company’s existing partnership with Adimab, LLC (“Adimab”). The Company is focused on antibody discovery and use of Adimab’s platform technology while building its own internal capabilities. In addition, the Company performs research and development activities internally and engages third parties, including Adimab, to perform ongoing research and development and other services on its behalf.</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is subject to a number of risks and uncertainties common to companies in the biopharmaceutical industry, including, but not limited to, completing clinical trials, the ability to raise additional capital to fund operations, obtaining regulatory authorization or approval for product candidates, market acceptance of products, competition from other products, protection of proprietary intellectual property, compliance with government regulations, dependence on key personnel, the ability to attract and retain qualified employees, and reliance on third-party organizations for the discovery, manufacturing, clinical and commercial success of its product candidates.</w:t>
      </w:r>
    </w:p>
    <w:p>
      <w:pPr>
        <w:spacing w:after="0" w:line="7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Through December 31, 2023, the Company has not generated any revenue. To date, the Company has received regulatory authorization for only one product candidate, PEMGARDA, which has not been approved, but has been authorized for emergency use by the FDA under an EUA, for pre-exposure prophylaxis of COVID-19 in certain adults and adolescent individuals (12 years of age and older weighing at least 40 kg). All of its other product candidates, other than adintrevimab, are currently in preclinical development. The Company’s additional product candidates require significant additional research and development efforts, including extensive clinical testing, and regulatory authorization or approval prior to potential commercialization. These efforts require significant amounts of additional capital, adequate personnel and infrastructure and compliance-reporting capabilities. Even if the Company’s development efforts are successful, it is uncertain when, if ever, the Company will generate substantial revenue from product sales to be able to fund its operating expenses and capital requirements</w:t>
      </w:r>
      <w:r>
        <w:rPr>
          <w:rFonts w:ascii="Times New Roman" w:cs="Times New Roman" w:eastAsia="Times New Roman" w:hAnsi="Times New Roman"/>
          <w:sz w:val="21"/>
          <w:szCs w:val="21"/>
          <w:color w:val="auto"/>
        </w:rPr>
        <w:t>.</w:t>
      </w:r>
    </w:p>
    <w:p>
      <w:pPr>
        <w:spacing w:after="0" w:line="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Substantial Doubt about Ability to Continue as a Going Concern</w:t>
      </w:r>
    </w:p>
    <w:p>
      <w:pPr>
        <w:spacing w:after="0" w:line="119"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on the basis of continuity of operations, realization of assets, and the satisfaction of liabilities and commitments in the ordinary course of business. The Company has primarily funded its operations with proceeds from sales of convertible preferred stock and proceeds from the Company’s initial public offering (“IPO”). The Company has incurred losses and negative cash flows from operations since its inception,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132" w:name="page133"/>
    <w:bookmarkEnd w:id="132"/>
    <w:p>
      <w:pPr>
        <w:jc w:val="both"/>
        <w:spacing w:after="0" w:line="281" w:lineRule="auto"/>
        <w:rPr>
          <w:sz w:val="20"/>
          <w:szCs w:val="20"/>
          <w:color w:val="auto"/>
        </w:rPr>
      </w:pPr>
      <w:r>
        <w:rPr>
          <w:rFonts w:ascii="Times New Roman" w:cs="Times New Roman" w:eastAsia="Times New Roman" w:hAnsi="Times New Roman"/>
          <w:sz w:val="18"/>
          <w:szCs w:val="18"/>
          <w:color w:val="auto"/>
        </w:rPr>
        <w:t>including a net loss of $198.6 million for the year ended December 31, 2023. As of December 31, 2023, the Company had an accumulated deficit of $732.1 million. The Company may continue to generate operating losses for the foreseeable future.</w:t>
      </w:r>
    </w:p>
    <w:p>
      <w:pPr>
        <w:spacing w:after="0" w:line="55"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In February 2024, the Company sold 9,000,000 shares of its common stock under the Sales Agreement (defined below) at an average price of $4.50 per share for $39.3 million in net proceeds.</w:t>
      </w:r>
    </w:p>
    <w:p>
      <w:pPr>
        <w:spacing w:after="0" w:line="5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Based on current operating plans and excluding any contribution from revenues or external financing, the Company believes that its existing cash and cash equivalents will be sufficient to fund its operating expenses and capital expenditure requirements into the fourth quarter of 2024. As such, excluding any contribution from revenues or external financing, the Company will not have sufficient cash and cash equivalents to fund its operating expenses and capital requirements beyond one year from the issuance of these consolidated financial statements, and therefore, the Company has concluded that there is substantial doubt about its ability to continue as a going concern.</w:t>
      </w:r>
    </w:p>
    <w:p>
      <w:pPr>
        <w:spacing w:after="0" w:line="74"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The Company will require additional funding through a combination of contribution from revenues, equity offerings, government or private-party grants, debt financings or other capital sources, such as collaborations with other companies, strategic alliances or licensing arrangements to finance its future operations. The Company may not be able to obtain financing on acceptable terms, or at all, and the Company may not be able to enter into collaborations or other arrangements. The terms of any financing may adversely affect the holdings or rights of the Company’s stockholders.</w:t>
      </w:r>
    </w:p>
    <w:p>
      <w:pPr>
        <w:spacing w:after="0" w:line="74"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If the Company is unable to obtain sufficient capital, the Company will be forced to delay, reduce or eliminate some or all of its research and development programs, product portfolio expansion or commercialization efforts, which could adversely affect its business prospects, or the Company may be unable to continue operations. Although management continues to pursue these plans, there is no assurance that the Company will be successful in obtaining sufficient funding on terms acceptable to the Company to fund continuing operations, if at all.</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accounting principles generally accepted in the United States of America (“U.S. GAAP”). Any reference in these notes to applicable guidance is meant to refer to the authoritative U.S. GAAP as found in the Accounting Standards Codification (“ASC”) and Accounting Standards Update (“ASU”) of the Financial Accounting Standards Board (“FASB”).</w:t>
      </w:r>
    </w:p>
    <w:p>
      <w:pPr>
        <w:spacing w:after="0" w:line="69"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Invivyd, Inc. and its wholly owned subsidiaries, Invivyd Security Corporation, Invivyd Switzerland GmbH, and Invivyd Netherlands B.V. All intercompany accounts and transactions have been eliminated in consolidation. The Company views its operations and manages its business in one operating segment, which is the business of discovering, developing and commercializing differentiated products for the prevention and treatment of infectious diseases.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3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preparation of the Company’s consolidated financial statements in conformity with U.S.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periods. Significant estimates and assumptions reflected in these consolidated financial statements include, but are not limited to, research and development expenses and related prepaid or accrued costs and stock-based compensation expense. The Company bases its estimates on historical experience, known trends and other market-specific or relevant factors it believes to be reasonable under the circumstances. On an ongoing basis, management evaluates its estimates as there are changes in circumstances, facts and experience. Changes in estimates are recorded in the period in which they become known. Actual results may differ materially from those estimates or assumptions.</w:t>
      </w:r>
    </w:p>
    <w:p>
      <w:pPr>
        <w:spacing w:after="0" w:line="81"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The Company is monitoring the potential impact of the COVID-19 pandemic on its business and consolidated financial statements. The Company is not aware of any specific event or circumstance that would require any update to its estimates or judgments reflected in these consolidated financial statements or a revision of the carrying value of its assets or liabilities as of the issuance date of these consolidated financial statements. These estimates may change as new events occur and additional information is obtained.</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133" w:name="page134"/>
    <w:bookmarkEnd w:id="133"/>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Significant Suppliers and License Rights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consist of cash, cash equivalents and marketable securities. As of December 31, 2023, the Company invested its excess cash in money market funds that are subject to minimal credit and market risks. The Company maintains its existing cash and cash equivalents at three accredited financial institutions that it believes are creditworthy. From time to time, these deposits may exceed federally insured limits. The Company has not experienced any losses historically in these accounts. Accordingly, the Company does not believe it is exposed to unusual credit risk related to its existing cash and cash equivalents beyond the normal credit risk associated with commercial banking relationships.</w:t>
      </w:r>
    </w:p>
    <w:p>
      <w:pPr>
        <w:spacing w:after="0" w:line="7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is dependent on third-party organizations to manufacture and process its product candidates for its development programs. In particular, the Company relies on a single third-party contract manufacturer to produce and process its product candidates and to manufacture supply of its product candidates for preclinical and clinical activities. The Company also currently relies on this same third-party contract manufacturer for any anticipated requirements of commercial supply, including both drug substance and drug product (see Note 9). The Company expects to continue to be dependent on a small number of manufacturers to supply it with its requirements for all products. The Company’s research and development programs, including any associated commercialization efforts, could be adversely affected by a significant interruption in the supply of the necessary materials.</w:t>
      </w:r>
    </w:p>
    <w:p>
      <w:pPr>
        <w:spacing w:after="0" w:line="7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is dependent on a limited number of third parties that provide license rights used by the Company in the development and potential commercialization of its product candidates and programs. Through December 31, 2023, the Company’s research and development programs primarily relate to rights conveyed by Adimab (see Note 7). The Company could experience delays in the development and commercialization of its product candidates and programs if the Adimab agreements or any other license agreement utilized in the Company’s research and development activities is terminated, if the Company fails to meet the obligations required under its arrangements, or if the Company is unable to successfully secure new strategic alliances or licensing agreements.</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considers all highly liquid investments with original maturities of three months or less at the acquisition date to be cash equivalents.</w:t>
      </w:r>
    </w:p>
    <w:p>
      <w:pPr>
        <w:spacing w:after="0" w:line="32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1"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Effective January 1, 2023, the Company adopted ASU No. 2016-13 (“ASU 2016-13”), ASC 326, Financial Instruments-Credit Losses: Measurement of Credit Losses on Financial Instruments, using the effective date method. As the Company had never recorded any other-than-temporary-impairment adjustments to its available-for-sale debt securities prior to the effective date, no transition provisions were applicable to the Company.</w:t>
      </w:r>
    </w:p>
    <w:p>
      <w:pPr>
        <w:spacing w:after="0" w:line="6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Marketable securities represent holdings of available-for-sale marketable debt securities in accordance with the Company’s investment policy. The Company determines the appropriate classification of marketable securities at the time of purchase and reevaluates such designation at each balance sheet date. The Company classified all of its marketable securities as “available-for-sale” pursuant to ASC 320, Investments – Debt and Equity Securities. Investments not classified as cash equivalents are presented as either short-term or long-term investments based on both their maturities as well as the time period the Company intends to hold such securities. Available-for-sale securities are maintained by an investment manager and consist of U.S. Treasury securities and federal agency securities. Available-for-sale securities are carried at fair value with the unrealized gains and losses included in other comprehensive income (loss) as a component of stockholders’ equity (deficit) until realized. Any premium or discount arising at purchase is amortized or accreted to interest expense or income over the life of the instrument. Realized gains and losses are determined using the specific identification method and are included in other income (expense). There were no material realized gains or losses on marketable securities recognized during the years ended December 31, 2023 or 2022.</w:t>
      </w:r>
    </w:p>
    <w:p>
      <w:pPr>
        <w:spacing w:after="0" w:line="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assesses its available-for-sale debt securities under the available-for-sale debt security impairment model in ASC 326, Financial Instruments-Credit Losses, as of each reporting date in order to determine if a portion of any decline in fair value below carrying value recognized on its available-for-sale debt securities is the result of a credit loss. The Company records credit losses in the consolidated statements of operations and comprehensive loss as credit loss expense within other income (expense), net, which is limited to the difference between the fair value and the amortized cost of the security. To date, the Company has not recorded any credit losses on its available-for-sale debt securities.</w:t>
      </w:r>
    </w:p>
    <w:p>
      <w:pPr>
        <w:spacing w:after="0" w:line="74"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Accrued interest receivable related to the Company’s available-for-sale debt securities is presented within prepaid expenses and other current assets on the Company’s consolidated balance sheets. The Company has elected the practical</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34" w:name="page135"/>
    <w:bookmarkEnd w:id="134"/>
    <w:p>
      <w:pPr>
        <w:jc w:val="both"/>
        <w:spacing w:after="0" w:line="260" w:lineRule="auto"/>
        <w:rPr>
          <w:sz w:val="20"/>
          <w:szCs w:val="20"/>
          <w:color w:val="auto"/>
        </w:rPr>
      </w:pPr>
      <w:r>
        <w:rPr>
          <w:rFonts w:ascii="Times New Roman" w:cs="Times New Roman" w:eastAsia="Times New Roman" w:hAnsi="Times New Roman"/>
          <w:sz w:val="18"/>
          <w:szCs w:val="18"/>
          <w:color w:val="auto"/>
        </w:rPr>
        <w:t>expedient available to exclude accrued interest receivable from both the fair value and the amortized cost basis of available-for-sale debt securities for the purposes of identifying and measuring any impairment. The Company writes off accrued interest receivable once it has determined that the asset is not realizable. Any write offs of accrued interest receivable are recorded by reversing interest income, recognizing credit loss expense, or a combination of both. To date, the Company has not written off any accrued interest receivables associated with its marketable securities.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Certain assets of the Company are carried at fair value under U.S. GAAP.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74" w:lineRule="exact"/>
        <w:rPr>
          <w:sz w:val="20"/>
          <w:szCs w:val="20"/>
          <w:color w:val="auto"/>
        </w:rPr>
      </w:pPr>
    </w:p>
    <w:p>
      <w:pPr>
        <w:ind w:left="1140" w:hanging="504"/>
        <w:spacing w:after="0"/>
        <w:tabs>
          <w:tab w:leader="none" w:pos="11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16" w:lineRule="exact"/>
        <w:rPr>
          <w:rFonts w:ascii="Times New Roman" w:cs="Times New Roman" w:eastAsia="Times New Roman" w:hAnsi="Times New Roman"/>
          <w:sz w:val="18"/>
          <w:szCs w:val="18"/>
          <w:color w:val="auto"/>
        </w:rPr>
      </w:pPr>
    </w:p>
    <w:p>
      <w:pPr>
        <w:jc w:val="both"/>
        <w:ind w:left="1140" w:hanging="504"/>
        <w:spacing w:after="0" w:line="265" w:lineRule="auto"/>
        <w:tabs>
          <w:tab w:leader="none" w:pos="11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69" w:lineRule="exact"/>
        <w:rPr>
          <w:rFonts w:ascii="Times New Roman" w:cs="Times New Roman" w:eastAsia="Times New Roman" w:hAnsi="Times New Roman"/>
          <w:sz w:val="18"/>
          <w:szCs w:val="18"/>
          <w:color w:val="auto"/>
        </w:rPr>
      </w:pPr>
    </w:p>
    <w:p>
      <w:pPr>
        <w:ind w:left="1140" w:hanging="504"/>
        <w:spacing w:after="0" w:line="281" w:lineRule="auto"/>
        <w:tabs>
          <w:tab w:leader="none" w:pos="11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determining the fair value of the assets or liabilities, including pricing models, discounted cash flow methodologies and similar techniques.</w:t>
      </w:r>
    </w:p>
    <w:p>
      <w:pPr>
        <w:spacing w:after="0" w:line="55"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The Company’s cash equivalents and marketable securities are carried at fair value, determined according to the fair value hierarchy described above (see Note 4). The carrying values of the Company’s accounts payable and accrued expenses approximate their fair values due to the short-term nature of these liabilities.</w:t>
      </w:r>
    </w:p>
    <w:p>
      <w:pPr>
        <w:spacing w:after="0" w:line="2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jc w:val="both"/>
        <w:ind w:right="20" w:firstLine="509"/>
        <w:spacing w:after="0" w:line="281"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Depreciation and amortization expense is recognized using the straight-line method over the estimated useful life of each asset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80" w:type="dxa"/>
            <w:vAlign w:val="bottom"/>
          </w:tcPr>
          <w:p>
            <w:pPr>
              <w:spacing w:after="0"/>
              <w:rPr>
                <w:sz w:val="16"/>
                <w:szCs w:val="16"/>
                <w:color w:val="auto"/>
              </w:rPr>
            </w:pPr>
          </w:p>
        </w:tc>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236"/>
        </w:trPr>
        <w:tc>
          <w:tcPr>
            <w:tcW w:w="6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4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 to 5 years</w:t>
            </w:r>
          </w:p>
        </w:tc>
      </w:tr>
      <w:tr>
        <w:trPr>
          <w:trHeight w:val="238"/>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 to 5 years</w:t>
            </w:r>
          </w:p>
        </w:tc>
      </w:tr>
      <w:tr>
        <w:trPr>
          <w:trHeight w:val="247"/>
        </w:trPr>
        <w:tc>
          <w:tcPr>
            <w:tcW w:w="6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4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Shorter of lease term of useful life</w:t>
            </w:r>
          </w:p>
        </w:tc>
      </w:tr>
    </w:tbl>
    <w:p>
      <w:pPr>
        <w:spacing w:after="0" w:line="238"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Costs for capital assets not yet placed into service are capitalized as construction-in-progress and depreciated in accordance with the above guidelines once placed into service. Upon retirement or sale, the cost of assets disposed of and the related accumulated depreciation and amortization are removed from the accounts and any resulting gain or loss is included in loss from operations. Expenditures for repairs and maintenance that do not improve or extend the life of the respective assets are charged to expense as incurred.</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Long-lived assets consist of property and equipment. The Company continually evaluates long-lived assets for potential impairment whenever events or changes in circumstances indicate that the carrying value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group for recoverability, the Company compares the carrying values of the asset group to the expected future undiscounted cash flows that the asset group is expected to generate from the use and eventual disposition of the long-lived asset group. An impairment loss would be recognized in loss from operations when estimated undiscounted future cash flows expected to result from the use of an asset group are less than its carrying amount. If such asset group is considered to be impaired, the impairment loss to be recognized would be based on the excess of the carrying value of the impaired asset group over its fair value. The Company did not recognize any impairment losses on long-lived assets during the years ended December 31, 2023 and 2022.</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466725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135" w:name="page136"/>
    <w:bookmarkEnd w:id="135"/>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Effective January 1, 2022, the Company adopted ASU No. 2016-02, Leases (Topic 842) (“ASC 842”) using the required modified retrospective approach and utilizing the effective date as its date of initial application.</w:t>
      </w:r>
    </w:p>
    <w:p>
      <w:pPr>
        <w:spacing w:after="0" w:line="5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 evaluates whether an arrangement is or contains a lease at the inception date. If determined to be or contain a lease, the Company determines the classification of the lease at the commencement date, which represents the date at which the lessor makes the underlying asset available for use by the Company. When determining the expected accounting lease term, the Company includes the noncancellable lease term, together with periods covered by (i) an option to extend the lease if the Company is reasonably certain to exercise such option, (ii) an option to terminate the lease if the Company is reasonably certain not to exercise such option and (iii) an option to extend or not terminate the lease where the exercise of such option is controlled by the lessor. The Company has elected the short-term lease exemption, which allows the Company to not recognize lease liabilities and right-of-use assets arising from lease arrangements with original lease terms of twelve months or less. The Company elected the practical expedient to not separate lease and non-lease components for its leases.</w:t>
      </w:r>
    </w:p>
    <w:p>
      <w:pPr>
        <w:spacing w:after="0" w:line="8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Right-of-use assets represent the Company’s right to use an underlying asset over the lease term and lease liabilities represent the Company’s obligation to make lease payments under the arrangement. The Company measures its lease liabilities as the present value of the lease payments, discounted using an incremental borrowing rate, as interest rates implicit in lease arrangements are generally not readily determinable. The Company measures its right-of-use assets as the present value of its lease payments at the commencement date. The incremental borrowing rate represents the interest rate at which the Company could borrow an amount equal to the lease payments on a fully collateralized basis, over a similar term, in a similar economic environment. The Company recognizes rent expense for operating leases on a straight-line basis. The Company recognizes variable lease expenses as incurred.</w:t>
      </w:r>
    </w:p>
    <w:p>
      <w:pPr>
        <w:spacing w:after="0" w:line="79"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The Company remeasures right-of-use assets and lease liabilities when a lease is modified, and the modification is not accounted for as a separate contract. A modification is accounted for as a separate contract if the modification grants the Company an additional right of use not included in the original lease arrangement and the increase in lease payments is commensurate with the additional right of use. The Company assesses its right-of-use assets for impairment in a manner consistent with its assessment for long-lived assets held and used in operations.</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Patent Costs</w:t>
      </w:r>
    </w:p>
    <w:p>
      <w:pPr>
        <w:spacing w:after="0" w:line="121"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Costs to secure, defend and maintain patents, including those incurred in connection with filing and prosecuting patent applications, are expensed as incurred due to the uncertainty about the recovery of the expenditure. Amounts incurred for patent-related expenditures are classified as general and administrative expenses.</w:t>
      </w:r>
    </w:p>
    <w:p>
      <w:pPr>
        <w:spacing w:after="0" w:line="2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The Company manages its operations as a single segment for the purposes of assessing performance and making operating decisions. The Company is focused on the discovery, development and commercialization of antibody-based solutions for infectious diseases with pandemic potential. The Company’s chief operating decision maker reviews the Company’s financial information on an aggregated basis for purposes of assessing performance and allocating resources.</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consist of costs incurred in performing research and development activities, including expenses incurred under agreements with external vendors and consultants engaged to perform nonclinical studies, preclinical studies and clinical trials as well as to manufacture research and development materials for use in such studies and trials and for commercial supply; salaries and related personnel costs; stock-based compensation; consultant fees; and third-party license fees.</w:t>
      </w:r>
    </w:p>
    <w:p>
      <w:pPr>
        <w:spacing w:after="0" w:line="74" w:lineRule="exact"/>
        <w:rPr>
          <w:sz w:val="20"/>
          <w:szCs w:val="20"/>
          <w:color w:val="auto"/>
        </w:rPr>
      </w:pPr>
    </w:p>
    <w:p>
      <w:pPr>
        <w:jc w:val="both"/>
        <w:ind w:right="20" w:firstLine="509"/>
        <w:spacing w:after="0" w:line="265" w:lineRule="auto"/>
        <w:rPr>
          <w:sz w:val="20"/>
          <w:szCs w:val="20"/>
          <w:color w:val="auto"/>
        </w:rPr>
      </w:pPr>
      <w:r>
        <w:rPr>
          <w:rFonts w:ascii="Times New Roman" w:cs="Times New Roman" w:eastAsia="Times New Roman" w:hAnsi="Times New Roman"/>
          <w:sz w:val="18"/>
          <w:szCs w:val="18"/>
          <w:color w:val="auto"/>
        </w:rPr>
        <w:t>Nonrefundable advance payments for goods and services to be received in the future for use in research and development activities are recorded as prepaid expenses. The prepaid amounts are expensed as the related goods are delivered or the services are performed, or when it is no longer expected that the goods will be delivered or the services rendered.</w:t>
      </w:r>
    </w:p>
    <w:p>
      <w:pPr>
        <w:spacing w:after="0" w:line="2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Costs</w:t>
      </w:r>
    </w:p>
    <w:p>
      <w:pPr>
        <w:spacing w:after="0" w:line="121"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The Company has entered into various research, development and manufacturing contracts with third-party service providers, including clinical research organizations (“CROs”) and a contract manufacturing organization. With the exception of the Company’s commercial manufacturing arrangement with WuXi Biologics (Hong Kong) Limited (see Note 9), these agreements are generally cancellable. The Company recognizes research and development expense associated with such arrangements as the costs are incurred and records accruals for estimated ongoing research, development and manufacturing</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36" w:name="page137"/>
    <w:bookmarkEnd w:id="136"/>
    <w:p>
      <w:pPr>
        <w:jc w:val="both"/>
        <w:spacing w:after="0" w:line="256" w:lineRule="auto"/>
        <w:rPr>
          <w:sz w:val="20"/>
          <w:szCs w:val="20"/>
          <w:color w:val="auto"/>
        </w:rPr>
      </w:pPr>
      <w:r>
        <w:rPr>
          <w:rFonts w:ascii="Times New Roman" w:cs="Times New Roman" w:eastAsia="Times New Roman" w:hAnsi="Times New Roman"/>
          <w:sz w:val="18"/>
          <w:szCs w:val="18"/>
          <w:color w:val="auto"/>
        </w:rPr>
        <w:t>costs, where necessary. When billing terms under these contracts do not coincide with the timing of when the work is performed, the Company is required to make estimates of outstanding obligations to those third parties as of period end. Any accrual estimates are based on a number of factors, including the Company’s knowledge of the progress towards completion of the specific tasks to be performed, invoicing to date under the contracts, communication from the vendors of any actual costs incurred during the period that have not yet been invoiced and the costs included in the contracts. Significant judgments and estimates may be made in determining the accrued balances at the end of any reporting period. Actual results could differ from the estimates made by the Company. The historical accrual estimates made by the Company have not been materially different from the actual costs.</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Asset Acquisitions and Acquired In-Process Research and Development Expenses</w:t>
      </w:r>
    </w:p>
    <w:p>
      <w:pPr>
        <w:spacing w:after="0" w:line="121"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The Company measures and recognizes asset acquisitions that are not deemed to be business combinations based on the cost to acquire the asset or group of assets, which includes transaction costs. Goodwill is not recognized in asset acquisitions. In an asset acquisition, the cost allocated to acquire in-process research and development (“IPR&amp;D”) with no alternative future use is recognized as expense on the acquisition date.</w:t>
      </w:r>
    </w:p>
    <w:p>
      <w:pPr>
        <w:spacing w:after="0" w:line="69"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Contingent consideration in asset acquisitions payable in the form of cash is recognized in the period the triggering event is determined to be probable of occurrence and the related amount is reasonably estimable. Such amounts are expensed or capitalized based on the nature of the associated asset at the date the related contingency is resolved.</w:t>
      </w:r>
    </w:p>
    <w:p>
      <w:pPr>
        <w:spacing w:after="0" w:line="2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right="20" w:firstLine="509"/>
        <w:spacing w:after="0" w:line="260" w:lineRule="auto"/>
        <w:rPr>
          <w:sz w:val="20"/>
          <w:szCs w:val="20"/>
          <w:color w:val="auto"/>
        </w:rPr>
      </w:pPr>
      <w:r>
        <w:rPr>
          <w:rFonts w:ascii="Times New Roman" w:cs="Times New Roman" w:eastAsia="Times New Roman" w:hAnsi="Times New Roman"/>
          <w:sz w:val="18"/>
          <w:szCs w:val="18"/>
          <w:color w:val="auto"/>
        </w:rPr>
        <w:t>The Company grants stock-based awards to employees, directors and non-employee consultants in the form of stock options to purchase shares of its common stock. The Company measures stock options with service-based vesting granted to employees, non-employees and directors based on the fair value on the date of grant using the Black-Scholes option-pricing model. The Company has primarily issued awards with service-based vesting conditions through December 31, 2023.</w:t>
      </w:r>
    </w:p>
    <w:p>
      <w:pPr>
        <w:spacing w:after="0" w:line="74"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Compensation expense for awards granted to employees and directors for their service on the board of directors is recognized on a straight-line basis over the requisite service period of the respective award, which is generally the vesting period of the award. Compensation expense for awards granted to non-employees is recognized in the same period and manner as if the Company had paid cash for the goods or services provided, which is generally the vesting period of the award. The Company accounts for forfeitures of stock-based awards as they occur.</w:t>
      </w:r>
    </w:p>
    <w:p>
      <w:pPr>
        <w:spacing w:after="0" w:line="74"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The Company classifies stock-based compensation expense in its statements of operations and comprehensive loss in the same manner in which the award recipient’s salary and related costs are classified or in which the award recipient’s service payments are classified.</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Deferred tax assets and liabilities are determined on the basis of the differences between the financial statement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profits expected and considering prudent and feasible tax planning strategies.</w:t>
      </w:r>
    </w:p>
    <w:p>
      <w:pPr>
        <w:spacing w:after="0" w:line="8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accounts for uncertainty in income taxes recognized in the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 likely than not to be sustained, the tax position is then assessed to determine the amount of benefit to recognize in the consolidated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 The Company had no amounts accrued for interest and penalties on its consolidated balance sheets as of December 31, 2023 and 2022.</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137" w:name="page138"/>
    <w:bookmarkEnd w:id="137"/>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Comprehensive loss includes net loss as well as other changes in stockholders’ equity (deficit) that result from transactions and economic events other than those with stockholders. For the years ended December 31, 2023 and 2022, the Company's only element of other comprehensive loss was unrealized gains and losses on marketable securities.</w:t>
      </w:r>
    </w:p>
    <w:p>
      <w:pPr>
        <w:spacing w:after="0" w:line="2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follows the two-class method when computing net income (loss) per share attributable to common stockholders as the Company has issued shares that meet the definition of participating securities. The two-class method determines net income (loss) per share for each class of common and participating securities according to dividends declared or accumulated and participation rights in undistributed earnings. The two-class method requires income (loss) for the period to be allocated between common and participating securities based upon their respective rights to share in the undistributed earnings as if all income (loss) for the period had been distributed. There is no allocation required under the two-class method during periods of loss since the participating securities do not have a contractual obligation to share in the losses of the Company.</w:t>
      </w:r>
    </w:p>
    <w:p>
      <w:pPr>
        <w:spacing w:after="0" w:line="7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Basic net income (loss) per share attributable to common stockholders is computed by dividing the net income (loss) attributable to common stockholders by the weighted-average number of common shares outstanding for the period, excluding shares of unvested restricted common stock. Diluted net income (loss) per share attributable to common stockholders is computed by adjusting net loss attributable to common stockholders to reallocate undistributed earnings based on the potential impact of dilutive securities. Diluted net income (loss) per share attributable to common stockholders is computed by dividing the diluted net income (loss) attributable to common stockholders by the weighted-average number of common shares outstanding for the period, including potential dilutive common shares. For the purposes of this calculation, the Company’s outstanding stock options and outstanding warrants are considered potential dilutive common shares.</w:t>
      </w:r>
    </w:p>
    <w:p>
      <w:pPr>
        <w:spacing w:after="0" w:line="79"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The Company has generated a net loss for each of the periods presented. Accordingly, basic and diluted net loss per share attributable to common stockholders are the same because the inclusion of the potentially dilutive securities would be anti-dilutive.</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and Adopted Accounting Pronouncements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of 2012 (the “JOBS Act”), and may remain an emerging growth company until the last day of the fiscal year following the fifth anniversary of the completion of its initial public offering. However, if certain events occur prior to the end of such five-year period, including if it becomes a “large accelerated filer,” its annual gross revenues exceeds $1.235 billion or it issues more than $1.0 billion of non-convertible debt in the previous three-year period, it will cease to be an emerging growth company prior to the end of such five-year period. For so long as the Company remains an emerging growth company, it is permitted and intends to rely on exemptions from certain disclosure requirements that are applicable to other public companies that are not emerging growth companies. For example,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w:t>
      </w:r>
    </w:p>
    <w:p>
      <w:pPr>
        <w:spacing w:after="0" w:line="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On </w:t>
      </w:r>
      <w:r>
        <w:rPr>
          <w:rFonts w:ascii="Times New Roman" w:cs="Times New Roman" w:eastAsia="Times New Roman" w:hAnsi="Times New Roman"/>
          <w:sz w:val="18"/>
          <w:szCs w:val="18"/>
          <w:color w:val="202124"/>
        </w:rPr>
        <w:t>January 1, 2023, the Company adopted ASU No. 2016-13 (</w:t>
      </w:r>
      <w:r>
        <w:rPr>
          <w:rFonts w:ascii="Times New Roman" w:cs="Times New Roman" w:eastAsia="Times New Roman" w:hAnsi="Times New Roman"/>
          <w:sz w:val="18"/>
          <w:szCs w:val="18"/>
          <w:color w:val="auto"/>
        </w:rPr>
        <w:t>“ASU 2016-13”)</w:t>
      </w:r>
      <w:r>
        <w:rPr>
          <w:rFonts w:ascii="Times New Roman" w:cs="Times New Roman" w:eastAsia="Times New Roman" w:hAnsi="Times New Roman"/>
          <w:sz w:val="18"/>
          <w:szCs w:val="18"/>
          <w:color w:val="202124"/>
        </w:rPr>
        <w:t>,</w:t>
      </w:r>
      <w:r>
        <w:rPr>
          <w:rFonts w:ascii="Times New Roman" w:cs="Times New Roman" w:eastAsia="Times New Roman" w:hAnsi="Times New Roman"/>
          <w:sz w:val="18"/>
          <w:szCs w:val="18"/>
          <w:color w:val="auto"/>
        </w:rPr>
        <w:t xml:space="preserve"> Financial Instruments-Credit Losses: Measurement of Credit Losses on Financial Instruments. ASU 2016-13 requires measurement and recognition of expected credit losses for financial assets. In April 2019, the FASB issued clarification to ASU 2016-13 within ASU 2019-04, Codification Improvements to Topic 326, Financial Instruments-Credit Losses, Topic 815, Derivatives and Hedging, and Topic 825, Financial Instruments, or ASU 2016-13. The guidance is effective for fiscal years beginning after December 15, 2022. The adoption of the standard was immaterial to the accompanying consolidated financial statements and related disclosures.</w:t>
      </w:r>
    </w:p>
    <w:p>
      <w:pPr>
        <w:spacing w:after="0" w:line="7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December 2023, the FASB issued ASU 2023-09, Income Taxes—Income Taxes (Topic 740): Improvements to Income Tax Disclosures (“ASU 2023-09”). ASU 2023-09 modifies the rules on income tax disclosures to enhance the transparency and decision-usefulness of income tax disclosures, particularly in the rate reconciliation table and disclosures about income taxes paid. The amendments are intended to address investors’ requests for income tax disclosures that provide more information to help them better understand an entity’s exposure to potential changes in tax laws and the ensuing risks and opportunities and to assess income tax information that affects cash flow forecasts and capital allocation decisions. The guidance also eliminates certain existing disclosure requirements related to uncertain tax positions and unrecognized deferred tax liabilities. The guidance is effective for all entities for annual periods beginning after December 15, 2025. All entities should apply the guidance prospectively but have the option to apply it retrospectively. Early adoption is permitted. The Company is continuing to assess the timing of adoption and the potential impacts of ASC 2023-09 on the consolidated financial statements and related disclosures.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color w:val="auto"/>
        </w:rPr>
        <w:t>3. Marketable Securities</w:t>
      </w:r>
    </w:p>
    <w:p>
      <w:pPr>
        <w:spacing w:after="0" w:line="121" w:lineRule="exact"/>
        <w:rPr>
          <w:sz w:val="20"/>
          <w:szCs w:val="20"/>
          <w:color w:val="auto"/>
        </w:rPr>
      </w:pPr>
    </w:p>
    <w:p>
      <w:pPr>
        <w:ind w:right="20" w:firstLine="509"/>
        <w:spacing w:after="0" w:line="281" w:lineRule="auto"/>
        <w:rPr>
          <w:sz w:val="20"/>
          <w:szCs w:val="20"/>
          <w:color w:val="auto"/>
        </w:rPr>
      </w:pPr>
      <w:r>
        <w:rPr>
          <w:rFonts w:ascii="Times New Roman" w:cs="Times New Roman" w:eastAsia="Times New Roman" w:hAnsi="Times New Roman"/>
          <w:sz w:val="18"/>
          <w:szCs w:val="18"/>
          <w:color w:val="auto"/>
        </w:rPr>
        <w:t>Marketable securities held by the Company are classified as available-for-sale debt securities pursuant to ASC 320, Investments – Debt and Equity Securities, and carried at fair value in the accompanying consolidated balance sheets on a settlement date basis.</w:t>
      </w:r>
    </w:p>
    <w:p>
      <w:pPr>
        <w:spacing w:after="0" w:line="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did not hold any available-for-sale marketable securities as of December 31, 2023.</w:t>
      </w:r>
    </w:p>
    <w:p>
      <w:pPr>
        <w:spacing w:after="0" w:line="117"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The following tables summarize the gross unrealized gains and losses of the Company’s marketable securities as of December 31, 2022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20" w:type="dxa"/>
            <w:vAlign w:val="bottom"/>
          </w:tcPr>
          <w:p>
            <w:pPr>
              <w:spacing w:after="0"/>
              <w:rPr>
                <w:sz w:val="13"/>
                <w:szCs w:val="13"/>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0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0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securities</w:t>
            </w:r>
          </w:p>
        </w:tc>
        <w:tc>
          <w:tcPr>
            <w:tcW w:w="3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107,973</w:t>
            </w:r>
          </w:p>
        </w:tc>
        <w:tc>
          <w:tcPr>
            <w:tcW w:w="1060" w:type="dxa"/>
            <w:vAlign w:val="bottom"/>
            <w:gridSpan w:val="2"/>
            <w:shd w:val="clear" w:color="auto" w:fill="CFF0FC"/>
          </w:tcPr>
          <w:p>
            <w:pPr>
              <w:jc w:val="right"/>
              <w:ind w:right="64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13</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(115 )</w:t>
            </w:r>
          </w:p>
        </w:tc>
        <w:tc>
          <w:tcPr>
            <w:tcW w:w="460" w:type="dxa"/>
            <w:vAlign w:val="bottom"/>
            <w:shd w:val="clear" w:color="auto" w:fill="CFF0FC"/>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107,871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 agency securities</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172,214</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39</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(209 )</w:t>
            </w:r>
          </w:p>
        </w:tc>
        <w:tc>
          <w:tcPr>
            <w:tcW w:w="460" w:type="dxa"/>
            <w:vAlign w:val="bottom"/>
          </w:tcPr>
          <w:p>
            <w:pPr>
              <w:spacing w:after="0"/>
              <w:rPr>
                <w:sz w:val="20"/>
                <w:szCs w:val="20"/>
                <w:color w:val="auto"/>
              </w:rPr>
            </w:pPr>
          </w:p>
        </w:tc>
        <w:tc>
          <w:tcPr>
            <w:tcW w:w="54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5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financial assets</w:t>
            </w:r>
          </w:p>
        </w:tc>
        <w:tc>
          <w:tcPr>
            <w:tcW w:w="1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280,187</w:t>
            </w:r>
          </w:p>
        </w:tc>
        <w:tc>
          <w:tcPr>
            <w:tcW w:w="240" w:type="dxa"/>
            <w:vAlign w:val="bottom"/>
            <w:shd w:val="clear" w:color="auto" w:fill="CFF0FC"/>
          </w:tcPr>
          <w:p>
            <w:pPr>
              <w:spacing w:after="0"/>
              <w:rPr>
                <w:sz w:val="22"/>
                <w:szCs w:val="22"/>
                <w:color w:val="auto"/>
              </w:rPr>
            </w:pPr>
          </w:p>
        </w:tc>
        <w:tc>
          <w:tcPr>
            <w:tcW w:w="820" w:type="dxa"/>
            <w:vAlign w:val="bottom"/>
            <w:shd w:val="clear" w:color="auto" w:fill="CFF0FC"/>
          </w:tcPr>
          <w:p>
            <w:pPr>
              <w:jc w:val="right"/>
              <w:ind w:right="642"/>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52</w:t>
            </w:r>
          </w:p>
        </w:tc>
        <w:tc>
          <w:tcPr>
            <w:tcW w:w="24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(324 )</w:t>
            </w:r>
          </w:p>
        </w:tc>
        <w:tc>
          <w:tcPr>
            <w:tcW w:w="460" w:type="dxa"/>
            <w:vAlign w:val="bottom"/>
            <w:shd w:val="clear" w:color="auto" w:fill="CFF0FC"/>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279,915</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3935095</wp:posOffset>
            </wp:positionH>
            <wp:positionV relativeFrom="paragraph">
              <wp:posOffset>-24765</wp:posOffset>
            </wp:positionV>
            <wp:extent cx="7683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3935095</wp:posOffset>
            </wp:positionH>
            <wp:positionV relativeFrom="paragraph">
              <wp:posOffset>-7620</wp:posOffset>
            </wp:positionV>
            <wp:extent cx="7683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-24765</wp:posOffset>
            </wp:positionV>
            <wp:extent cx="7683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-7620</wp:posOffset>
            </wp:positionV>
            <wp:extent cx="7683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-24765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-7620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-24765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-7620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available-for-sale marketable securities held as of December 31, 2022 had remaining maturities greater than twelve months.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121"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The following tables present the Company’s fair value hierarchy for its assets and liabilities that are measured at fair value on a recurring basis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5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equivalents: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8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198,193</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677"/>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198,193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82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198,193</w:t>
            </w:r>
          </w:p>
        </w:tc>
        <w:tc>
          <w:tcPr>
            <w:tcW w:w="260" w:type="dxa"/>
            <w:vAlign w:val="bottom"/>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60" w:type="dxa"/>
            <w:vAlign w:val="bottom"/>
            <w:tcBorders>
              <w:bottom w:val="single" w:sz="8" w:color="auto"/>
            </w:tcBorders>
          </w:tcPr>
          <w:p>
            <w:pPr>
              <w:jc w:val="right"/>
              <w:ind w:right="677"/>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198,193</w:t>
            </w:r>
          </w:p>
        </w:tc>
        <w:tc>
          <w:tcPr>
            <w:tcW w:w="100" w:type="dxa"/>
            <w:vAlign w:val="bottom"/>
          </w:tcPr>
          <w:p>
            <w:pPr>
              <w:spacing w:after="0"/>
              <w:rPr>
                <w:sz w:val="20"/>
                <w:szCs w:val="20"/>
                <w:color w:val="auto"/>
              </w:rPr>
            </w:pPr>
          </w:p>
        </w:tc>
      </w:tr>
      <w:tr>
        <w:trPr>
          <w:trHeight w:val="20"/>
        </w:trPr>
        <w:tc>
          <w:tcPr>
            <w:tcW w:w="5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5"/>
        </w:trPr>
        <w:tc>
          <w:tcPr>
            <w:tcW w:w="5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5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equivalents: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91,050</w:t>
            </w:r>
          </w:p>
        </w:tc>
        <w:tc>
          <w:tcPr>
            <w:tcW w:w="5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677"/>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91,050</w:t>
            </w:r>
          </w:p>
        </w:tc>
        <w:tc>
          <w:tcPr>
            <w:tcW w:w="100" w:type="dxa"/>
            <w:vAlign w:val="bottom"/>
            <w:shd w:val="clear" w:color="auto" w:fill="CFF0FC"/>
          </w:tcPr>
          <w:p>
            <w:pPr>
              <w:spacing w:after="0"/>
              <w:rPr>
                <w:sz w:val="21"/>
                <w:szCs w:val="2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U.S. Treasury securities</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107,871</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107,871</w:t>
            </w:r>
          </w:p>
        </w:tc>
        <w:tc>
          <w:tcPr>
            <w:tcW w:w="100" w:type="dxa"/>
            <w:vAlign w:val="bottom"/>
            <w:shd w:val="clear" w:color="auto" w:fill="CFF0FC"/>
          </w:tcPr>
          <w:p>
            <w:pPr>
              <w:spacing w:after="0"/>
              <w:rPr>
                <w:sz w:val="21"/>
                <w:szCs w:val="21"/>
                <w:color w:val="auto"/>
              </w:rPr>
            </w:pPr>
          </w:p>
        </w:tc>
      </w:tr>
      <w:tr>
        <w:trPr>
          <w:trHeight w:val="238"/>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Federal agency securities</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172,044</w:t>
            </w:r>
          </w:p>
        </w:tc>
        <w:tc>
          <w:tcPr>
            <w:tcW w:w="24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172,044</w:t>
            </w:r>
          </w:p>
        </w:tc>
        <w:tc>
          <w:tcPr>
            <w:tcW w:w="100" w:type="dxa"/>
            <w:vAlign w:val="bottom"/>
          </w:tcPr>
          <w:p>
            <w:pPr>
              <w:spacing w:after="0"/>
              <w:rPr>
                <w:sz w:val="20"/>
                <w:szCs w:val="20"/>
                <w:color w:val="auto"/>
              </w:rPr>
            </w:pPr>
          </w:p>
        </w:tc>
      </w:tr>
      <w:tr>
        <w:trPr>
          <w:trHeight w:val="276"/>
        </w:trPr>
        <w:tc>
          <w:tcPr>
            <w:tcW w:w="58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198,921</w:t>
            </w:r>
          </w:p>
        </w:tc>
        <w:tc>
          <w:tcPr>
            <w:tcW w:w="2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172,044</w:t>
            </w:r>
          </w:p>
        </w:tc>
        <w:tc>
          <w:tcPr>
            <w:tcW w:w="24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auto"/>
            </w:tcBorders>
            <w:shd w:val="clear" w:color="auto" w:fill="CFF0FC"/>
          </w:tcPr>
          <w:p>
            <w:pPr>
              <w:jc w:val="right"/>
              <w:ind w:right="677"/>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370,965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-1788795</wp:posOffset>
            </wp:positionV>
            <wp:extent cx="7683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-1788795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-1788795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-1788795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-24765</wp:posOffset>
            </wp:positionV>
            <wp:extent cx="7683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-7620</wp:posOffset>
            </wp:positionV>
            <wp:extent cx="768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-24765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-7620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-24765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-7620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both"/>
        <w:ind w:right="20" w:firstLine="509"/>
        <w:spacing w:after="0" w:line="281" w:lineRule="auto"/>
        <w:rPr>
          <w:sz w:val="20"/>
          <w:szCs w:val="20"/>
          <w:color w:val="auto"/>
        </w:rPr>
      </w:pPr>
      <w:r>
        <w:rPr>
          <w:rFonts w:ascii="Times New Roman" w:cs="Times New Roman" w:eastAsia="Times New Roman" w:hAnsi="Times New Roman"/>
          <w:sz w:val="18"/>
          <w:szCs w:val="18"/>
          <w:color w:val="auto"/>
        </w:rPr>
        <w:t>The money market funds were valued by the Company based on quoted market prices, which represent a Level 1 measurement within the fair value hierarchy.</w:t>
      </w:r>
    </w:p>
    <w:p>
      <w:pPr>
        <w:spacing w:after="0" w:line="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changes to the valuation methods during the years ended December 31, 2023 or 2022.</w:t>
      </w:r>
    </w:p>
    <w:p>
      <w:pPr>
        <w:spacing w:after="0" w:line="117"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The Company evaluates transfers between levels at the end of each reporting period. There were no transfers into or out of Level 1, Level 2 or Level 3 fair value measurements during the years ended December 31, 2023 or 2022.</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6"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color w:val="auto"/>
        </w:rPr>
        <w:t>5. Prepaid Expenses and Other Current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external research, development and manufacturing costs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19,962</w:t>
            </w:r>
          </w:p>
        </w:tc>
        <w:tc>
          <w:tcPr>
            <w:tcW w:w="5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compensation and other</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receivable</w:t>
            </w: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20"/>
                <w:szCs w:val="20"/>
                <w:color w:val="auto"/>
              </w:rPr>
            </w:pPr>
          </w:p>
        </w:tc>
      </w:tr>
      <w:tr>
        <w:trPr>
          <w:trHeight w:val="276"/>
        </w:trPr>
        <w:tc>
          <w:tcPr>
            <w:tcW w:w="7740" w:type="dxa"/>
            <w:vAlign w:val="bottom"/>
            <w:shd w:val="clear" w:color="auto" w:fill="CFF0FC"/>
          </w:tcPr>
          <w:p>
            <w:pPr>
              <w:spacing w:after="0"/>
              <w:rPr>
                <w:sz w:val="24"/>
                <w:szCs w:val="24"/>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24,240</w:t>
            </w:r>
          </w:p>
        </w:tc>
        <w:tc>
          <w:tcPr>
            <w:tcW w:w="5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4,926</w:t>
            </w:r>
          </w:p>
        </w:tc>
        <w:tc>
          <w:tcPr>
            <w:tcW w:w="100" w:type="dxa"/>
            <w:vAlign w:val="bottom"/>
            <w:shd w:val="clear" w:color="auto" w:fill="CFF0FC"/>
          </w:tcPr>
          <w:p>
            <w:pPr>
              <w:spacing w:after="0"/>
              <w:rPr>
                <w:sz w:val="24"/>
                <w:szCs w:val="24"/>
                <w:color w:val="auto"/>
              </w:rPr>
            </w:pPr>
          </w:p>
        </w:tc>
      </w:tr>
      <w:tr>
        <w:trPr>
          <w:trHeight w:val="551"/>
        </w:trPr>
        <w:tc>
          <w:tcPr>
            <w:tcW w:w="7740" w:type="dxa"/>
            <w:vAlign w:val="bottom"/>
            <w:tcBorders>
              <w:top w:val="single" w:sz="8" w:color="CFF0FC"/>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6. Accrued Expenses</w:t>
            </w:r>
          </w:p>
        </w:tc>
        <w:tc>
          <w:tcPr>
            <w:tcW w:w="2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324"/>
        </w:trPr>
        <w:tc>
          <w:tcPr>
            <w:tcW w:w="77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Accrued expenses consisted of the following (in thousands):</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0"/>
        </w:trPr>
        <w:tc>
          <w:tcPr>
            <w:tcW w:w="7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external research, development and manufacturing costs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28,151</w:t>
            </w:r>
          </w:p>
        </w:tc>
        <w:tc>
          <w:tcPr>
            <w:tcW w:w="5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13,955</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professional and consultant fees</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employee compensation</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10,752</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5,985</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tcPr>
          <w:p>
            <w:pPr>
              <w:spacing w:after="0"/>
              <w:rPr>
                <w:sz w:val="20"/>
                <w:szCs w:val="20"/>
                <w:color w:val="auto"/>
              </w:rPr>
            </w:pPr>
          </w:p>
        </w:tc>
      </w:tr>
      <w:tr>
        <w:trPr>
          <w:trHeight w:val="276"/>
        </w:trPr>
        <w:tc>
          <w:tcPr>
            <w:tcW w:w="77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40,860</w:t>
            </w:r>
          </w:p>
        </w:tc>
        <w:tc>
          <w:tcPr>
            <w:tcW w:w="2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21,911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-1763395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-1746250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-1763395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-1746250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License and Collaboration Agreements</w:t>
      </w:r>
    </w:p>
    <w:p>
      <w:pPr>
        <w:spacing w:after="0" w:line="3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Adimab Assignment Agreement</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July 2020, the Company entered into an Assignment and License Agreement with Adimab (the “Adimab Assignment Agreement”). Under the terms of the agreement, Adimab assigned to the Company all rights, title and interest in and to certain of its coronavirus-specific antibodies (each, a “CoV Antibody” and together, the “CoV Antibodies”), including modified or derivative forms thereof, and related intellectual property. In addition, Adimab granted to the Company a non-exclusive, worldwide, royalty-bearing, sublicensable license to certain of its platform patents and technology for the development, manufacture and commercialization of the CoV Antibodies and pharmaceutical products containing or comprising one or more CoV Antibodies (each, a “Product”) for all indications and uses, with the exception of certain diagnostic uses and use as a research reagent (the “Field”). The Company is entitled to sublicense the assigned rights and licensed intellectual property solely with respect to any CoV Antibody or Product, subject to specified conditions of the agreement. The Company is obligated to use commercially reasonable efforts to achieve specified development and regulatory milestones for Products in certain major markets and to commercialize a product in any country in which the Company obtains marketing approval.</w:t>
      </w:r>
    </w:p>
    <w:p>
      <w:pPr>
        <w:spacing w:after="0" w:line="7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Pursuant to the terms of the Adimab Assignment Agreement, the parties will establish one or more work plans that set forth the activities to be performed under the agreement (each, a “Work Plan”), and each party is responsible for performing the obligations to which it is assigned under such Work Plans. Upon execution of the Adimab Assignment Agreement, the Company and Adimab agreed on an initial Work Plan that outlined the services that will be performed commencing at inception of the arrangement. The Company is obligated to pay Adimab quarterly for its services performed under each Work Plan at a specified full-time equivalent rate. Otherwise, the Company is solely responsible for the development, manufacture and commercialization of the CoV Antibodies and associated Products at its own cost and expense. The Company is solely responsible for preparing and submitting all investigational new drug applications, new drug applications, biologics license applications and other regulatory filings for the CoV Antibodies and Products in the Field, and for obtaining and maintaining all marketing approvals for Products in the Field, at its sole expense. Additionally, the Company has the sole right to prosecute, maintain, enforce and defend patents covering the CoV Antibodies and Products, all at its own expense.</w:t>
      </w:r>
    </w:p>
    <w:p>
      <w:pPr>
        <w:spacing w:after="0" w:line="78"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Amounts paid with respect to services performed by Adimab on the Company’s behalf under the Adimab Assignment Agreement are recognized as research and development expense as such amounts are incurred. During the years ended December 31, 2023 and 2022, the Company recognized $0 and $0.6 million, respectively, of research and development expense with respect to services performed by Adimab on the Company’s behalf under the Adimab Assignment Agreement. Please refer to Note 15 for additional information.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40" w:name="page141"/>
    <w:bookmarkEnd w:id="140"/>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Company is obligated to pay Adimab up to $16.5 million upon the achievement of specified development and regulatory milestones for the first Product under the agreement that achieves such specified milestones and up to $8.1 million upon the achievement of specified development and regulatory milestones for the second Product under the agreement that achieves such specified milestones. The maximum aggregate amount of milestone payments payable under the agreement for any and all Products is $24.6 million, of which a total of $11.1 million has been achieved and paid as of December 31, 2023; however, milestone payments do not accrue for certain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devices consisting of or containing CoV Antibodies.</w:t>
      </w:r>
    </w:p>
    <w:p>
      <w:pPr>
        <w:spacing w:after="0" w:line="7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March 2023, the Company achieved the first specified milestone for the second product candidate under the Adimab Assignment Agreement upon dosing of the first subject in a Phase 1 clinical trial evaluating VYD222, which obligated the Company to make a $0.4 million milestone payment to Adimab, which was paid in May 2023. In September 2023, the Company achieved specified milestones for the second product candidate under the Adimab Assignment Agreement upon dosing of the first subject in a pivotal clinical trial evaluating VYD222, which obligated the Company to make a $3.2 million milestone payment to Adimab, which was paid in October 2023. During the year ended December 31, 2023, the Company recognized $3.6 million of IPR&amp;D expense with respect to contingent consideration payable under the Adimab Assignment Agreement. During the year ended December 31, 2022, the Company did not recognize any IPR&amp;D expense in connection with contingent consideration payable under the Adimab Assignment Agreement. The next potential milestone under the Adimab Assignment Agreement is a low single-digit million-dollar regulatory milestone, which was not considered probable under U.S. GAAP and therefore, no expense was recognized as of December 31, 2023.</w:t>
      </w:r>
    </w:p>
    <w:p>
      <w:pPr>
        <w:spacing w:after="0" w:line="7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 is obligated to pay Adimab royalties of a mid-single-digit percentage based on net sales of any Products, beginning upon the first commercial sale of a Product in accordance with the Adimab Assignment Agreement. The royalty rate is subject to reductions specified under the agreement. Royalties are due on a Product-by-Product and country-by-country basis beginning upon the first commercial sale of each Product and ending on the later of (i) 12 years after the first commercial sale of such Product in such country and (ii) the expiration of the last valid claim of a patent covering such Product in such country (the “Royalty Term”). In addition, the Company is obligated to pay Adimab royalties of a specified percentage in the range of 45% to 55% of any compulsory sublicense consideration received by the Company in lieu of certain royalty payments. Except for milestone payments of $11.1 million incurred through December 31, 2023, no other milestone, royalty or other contingent payments had become due to Adimab through December 31, 2023.</w:t>
      </w:r>
    </w:p>
    <w:p>
      <w:pPr>
        <w:spacing w:after="0" w:line="8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Unless earlier terminated, the Adimab Assignment Agreement remains in effect until the expiration of the last-to-expire Royalty Term for any and all Products. The Company may terminate the agreement at any time for any or no reason upon advance written notice to Adimab, or in the event of a material breach by Adimab that is not cured with specific periods. Adimab may only terminate the agreement for an uncured material breach by the Company for its due diligence obligation or a payment obligation. Upon any termination of the agreement prior to its expiration, all licenses and rights granted pursuant to the arrangement will automatically terminate and revert to the granting party and all other rights and obligations of the parties will terminate.</w:t>
      </w:r>
    </w:p>
    <w:p>
      <w:pPr>
        <w:spacing w:after="0" w:line="78"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The Company concluded that the Adimab Assignment Agreement represented an asset acquisition of IPR&amp;D assets with no alternative future use. The arrangement did not qualify as a business combination because substantially all of the fair value of the assets acquired was concentrated in a single asset.</w:t>
      </w:r>
    </w:p>
    <w:p>
      <w:pPr>
        <w:spacing w:after="0" w:line="2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Adimab Collaboration Agreement</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May 2021, the Company entered into a Collaboration Agreement with Adimab, as amended in November 2022 and September 2023 (the “Adimab Collaboration Agreement”), for the discovery and optimization of proprietary antibodies as potential therapeutic product candidates. Under the Adimab Collaboration Agreement, the Company and Adimab could collaborate on research programs for a specified number of targets selected by the Company within a specified time period. Under the Adimab Collaboration Agreement, Adimab granted the Company a worldwide, non-exclusive license to certain of its platform patents and technology and antibody patents to perform the Company’s responsibilities during the ongoing research period and for a specified evaluation period thereafter (the “Evaluation Term”). In addition, the Company granted Adimab a license to certain of the Company’s patents and intellectual property solely to perform Adimab’s responsibilities under the research plans. Under the Adimab Collaboration Agreement, the Company has an exclusive option, on a program-by-program basis, to obtain licenses and assignments to commercialize selected products containing or comprising antibodies directed against the applicable target, which option may be exercised upon the payment of a specified option fee for each program. Upon exercise of an option by the Company, Adimab will assign to the Company all right, title and interest in the antibodies of the optioned research program and will grant the Company a worldwide, royalty-free, fully paid-up, non-exclusive, sublicensable license under the Adimab platform technology for the development, manufacture and commercialization of the antibodies for which the Company has exercised its options and products containing or comprising those antibodies. The Company is obligated to use commercially reasonable efforts to develop, seek marketing approval for, and commercialize one product that contains an antibody discovered in each optioned research program.</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141" w:name="page142"/>
    <w:bookmarkEnd w:id="141"/>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 agreed to pay Adimab a quarterly fee of $1.3 million, which could be cancelled at the Company’s option at any time. For so long as the Company was paying such quarterly fee (or earlier if (i) the Company experiences a change of control after the third anniversary of the Adimab Collaboration Agreement or (ii) Adimab owns less than a specified percentage of the Company’s equity), Adimab and its affiliates agreed not to assist or direct certain third parties to discover or optimize antibodies intended to bind to coronaviruses or influenza viruses. Under the Adimab Collaboration Agreement, the Company could also elect to decrease the scope of Adimab’s exclusivity obligations and obtain a corresponding decrease in the quarterly fee. In December 2023, the Company elected to decrease the scope of Adimab’s exclusivity obligations to cover only coronaviruses, and obtained a corresponding decrease in the quarterly fee. Effective January 2024, the Company is obligated to pay Adimab a quarterly fee of $0.6 million. For each of the years ended December 31, 2023 and 2022, the Company recognized $5.2 million of research and development expense related to the quarterly fee.</w:t>
      </w:r>
    </w:p>
    <w:p>
      <w:pPr>
        <w:spacing w:after="0" w:line="8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For each agreed upon research program that is commenced, the Company is obligated to pay Adimab quarterly for its services performed during a given research program at a specified full-time equivalent rate; a discovery delivery fee of $0.2 million; and an optimization completion fee of $0.2 million. For each option exercised by the Company to commercialize a specific research program, the Company is obligated to pay Adimab an exercise fee of $1.0 million. Amounts paid with respect to services performed by Adimab on the Company’s behalf in each of the research programs under the Adimab Collaboration Agreement are recognized as research and development expense as such amounts are incurred and services are rendered. During the years ended December 31, 2023 and 2022, the Company recognized $0.5 million and $1.7 million, respectively, of research and development expense with respect to services performed by Adimab on the Company’s behalf under the Adimab Collaboration Agreement. During the year ended December 31, 2023, the Company recognized $1.0 million, $0.2 million, and $0.2 million of IPR&amp;D expense related to an option exercise fee, a drug delivery fee and an optimization completion fee, respectively. During the year ended December 31, 2022, the Company recognized $1.0 million and $0.4 million of IPR&amp;D expense related to an option exercise fee and a drug delivery fee, respectively. Please refer to Note 15 for additional information.</w:t>
      </w:r>
    </w:p>
    <w:p>
      <w:pPr>
        <w:spacing w:after="0" w:line="8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 is obligated to pay Adimab up to $18.0 million upon the achievement of specified development and regulatory milestones for each product under the Adimab Collaboration Agreement that achieves such milestones. The next potential milestone under the Adimab Collaboration Agreement is a low single-digit million dollar clinical milestone, which was not considered probable under U.S. GAAP and therefore, no expense was recognized as of December 31, 2023. The Company is also obligated to pay Adimab royalties of a mid-single-digit percentage based on net sales of any product under the Adimab Collaboration Agreement, subject to reductions for third-party licenses. The royalty term will expire for each product on a country-by-country basis upon the later of (i) 12 years after the first commercial sale of such product in such country and (ii) the expiration of the last valid claim of any patent claiming composition of matter or method of making or using any antibody identified or optimized under the Adimab Collaboration Agreement in such country.</w:t>
      </w:r>
    </w:p>
    <w:p>
      <w:pPr>
        <w:spacing w:after="0" w:line="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the Company is obligated to pay Adimab for Adimab’s performance of certain validation work with respect to certain antigens acquired from a third party. In consideration for this work, the Company is obligated to pay Adimab royalties of a low single-digit percentage based on net sales of products that contain such antigens for the same royalty term as antibody-based products, but the Company is not obligated to make any milestone payments for such antigen products. Through December 31, 2023, the Company had not paid any royalties to Adimab under the Adimab Collaboration Agreement.</w:t>
      </w:r>
    </w:p>
    <w:p>
      <w:pPr>
        <w:spacing w:after="0" w:line="7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Adimab Collaboration Agreement will expire (i) if the Company does not exercise any option, upon the conclusion of the last Evaluation Term for the research programs, or (ii) if the Company exercises an option, on the expiration of the last royalty term for a product in a particular country, unless the agreement is earlier terminated. The Company may terminate the Adimab Collaboration Agreement at any time upon advance written notice to Adimab. In addition, subject to certain conditions, either party may terminate the Adimab Collaboration Agreement in the event of a material breach by the other party that is not cured within specified periods.</w:t>
      </w:r>
    </w:p>
    <w:p>
      <w:pPr>
        <w:spacing w:after="0" w:line="74"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The Company concluded that the Adimab Collaboration Agreement represented an asset acquisition of IPR&amp;D with no alternative future use. Therefore, payments made by the Company to Adimab for milestones achieved will be recognized as IPR&amp;D expense in the related period in which the services are performed or the related milestone is considered probable of achievement. Amounts paid with respect to services performed by Adimab on the Company’s behalf under the Adimab</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142" w:name="page143"/>
    <w:bookmarkEnd w:id="142"/>
    <w:p>
      <w:pPr>
        <w:jc w:val="both"/>
        <w:spacing w:after="0" w:line="281" w:lineRule="auto"/>
        <w:rPr>
          <w:sz w:val="20"/>
          <w:szCs w:val="20"/>
          <w:color w:val="auto"/>
        </w:rPr>
      </w:pPr>
      <w:r>
        <w:rPr>
          <w:rFonts w:ascii="Times New Roman" w:cs="Times New Roman" w:eastAsia="Times New Roman" w:hAnsi="Times New Roman"/>
          <w:sz w:val="18"/>
          <w:szCs w:val="18"/>
          <w:color w:val="auto"/>
        </w:rPr>
        <w:t>Collaboration Agreement are recognized as research and development expense as such amounts are incurred and services are rendered. Please refer to Note 15 for additional information.</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Adimab Platform Transfer Agreement</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September 2022 (the “Adimab Platform Transfer Agreement Effective Date”), the Company entered into a Platform Transfer Agreement with Adimab (the “Adimab Platform Transfer Agreement”) under which the Company was granted the right under certain intellectual property of Adimab to practice certain elements of Adimab’s platform technology, including B-cell cloning using Adimab’s proprietary yeast cell lines and other antibody optimization libraries, trade secrets, protocols and software of Adimab, to discover, engineer and optimize antibodies. The Company does not have access to Adimab’s proprietary discovery libraries. The Company was also granted the right under certain intellectual property of Adimab to research, develop, make, sell and exploit such antibodies and products containing such antibodies. The Adimab platform has been transferred to the Company in accordance with the terms of the Adimab Platform Transfer Agreement. In September 2022, the Company recognized $3.0 million as IPR&amp;D expense in connection with the upfront consideration payable for the rights assigned pursuant to the Adimab Platform Transfer Agreement.</w:t>
      </w:r>
    </w:p>
    <w:p>
      <w:pPr>
        <w:spacing w:after="0" w:line="8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is obligated to pay Adimab an annual fee of single digit millions on each of the first four anniversaries of the Adimab Platform Transfer Agreement Effective Date, which allows the Company to receive material improvements to the platform technology, including materially improved antibody optimization libraries, updates that provide new functionality to the platform, and software upgrades, from Adimab through June 2027. The first annual fee became due in September 2023 and was paid in October 2023. During the year ended December 31, 2023, the Company recognized a portion of the first annual fee as research and development expense. Beginning in July 2027 and ending in June 2042, unless terminated earlier, the Company has the option to receive additional material improvements to the platform technology from Adimab, subject to a commercially reasonable fee to be negotiated by the parties.</w:t>
      </w:r>
    </w:p>
    <w:p>
      <w:pPr>
        <w:spacing w:after="0" w:line="79"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The Company is obligated to pay Adimab up to $9.5 million upon the achievement of specified development and regulatory milestones for each product under the Adimab Platform Transfer Agreement that achieves such milestones. The next potential milestone under the Adimab Platform Transfer Agreement is a mid-six-digit dollar preclinical milestone, which was not considered probable under U.S. GAAP and therefore, no expense was recognized as of December 31, 2023.</w:t>
      </w:r>
    </w:p>
    <w:p>
      <w:pPr>
        <w:spacing w:after="0" w:line="7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the Company is obligated to pay Adimab royalties of a low single-digit percentage based on net sales of products containing an antibody discovered, engineered or optimized using Adimab’s platform technology, subject to reductions specified under the Adimab Platform Transfer Agreement. Royalties are due on a product-by-product and country-by-country basis. The royalty term will expire for each product on a country-by-country basis upon the later of (i) 12 years after the first commercial sale of such product in such country and (ii) the expiration of the last valid claim of a program antibody patent for covering the program antibody contained in such product in such country. Through December 31, 2023, the Company had not paid any royalties to Adimab under the Adimab Platform Transfer Agreement.</w:t>
      </w:r>
    </w:p>
    <w:p>
      <w:pPr>
        <w:spacing w:after="0" w:line="78"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The Company may terminate the Adimab Platform Transfer Agreement at any time upon advance written notice to Adimab. In addition, subject to certain conditions, either party may terminate the Adimab Platform Transfer Agreement in the event of a material breach by the other party that is not cured within specified periods or in connection with the other party’s insolvency.</w:t>
      </w:r>
    </w:p>
    <w:p>
      <w:pPr>
        <w:spacing w:after="0" w:line="69"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The Company concluded that the Adimab Platform Transfer Agreement represented an asset acquisition of IPR&amp;D with no alternative future use. Therefore, payments made by the Company to Adimab for milestones achieved will be recognized as IPR&amp;D expense in the related period in which the services are performed or the related milestone is considered probable of achievement. Amounts paid with respect to the annual material improvement fees are recognized as research and development expense as such amounts are incurred. Please refer to Note 15 for additional information.</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WuXi Biologics Cell Line License Agreement</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December 2020, as amended in February 2023 and March 2024, the Company entered into a Cell Line License Agreement with WuXi Biologics (Hong Kong) Limited (“WuXi Biologics”) (the “Cell Line License Agreement”), under which WuXi Biologics granted to the Company a non-exclusive, non-transferable, worldwide, royalty-bearing, sublicensable license to certain of its intellectual property, including certain patent rights associated with a proprietary cell line developed by WuXi Biologics for the exploitation of certain recombinant antibodies developed using such proprietary cell line (each, a “Licensed Product”). Each Licensed Product generated under the arrangement will be produced from a transformed or transfected version of the proprietary cell line derived by WuXi Biologics (each of such transformed or transfected cell lines, a “Licensed Cell Line”).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143" w:name="page144"/>
    <w:bookmarkEnd w:id="143"/>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December 2020, the Company recognized an upfront fee of $0.2 million upon completion of cell bank generation for the first Licensed Cell Line created under the Cell Line License Agreement. The Company is also obligated to pay royalties in the range of less than 1.0% to WuXi Biologics based on net sales of any Licensed Products manufactured by the Company or a third party on its behalf. However, if the Company uses WuXi Biologics to manufacture all of its commercial supplies for Licensed Products, no royalties would be owed by the Company to WuXi Biologics for net sales of Licensed Products. The Company has an option to buy out its royalty obligations on a Licensed Cell Line-by-Licensed Cell Line basis by making a one-time payment in the low eight-figures to WuXi Biologics. Royalties are due on a Licensed Product-by-Licensed Product basis commencing on the date of the first commercial sale of the applicable product and continuing for so long as the Company commercializes Licensed Products or, if earlier, until the Company exercises its option to buy out the royalty obligations. Through December 31, 2023, no royalties had become due to WuXi Biologics.</w:t>
      </w:r>
    </w:p>
    <w:p>
      <w:pPr>
        <w:spacing w:after="0" w:line="8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Cell Line License Agreement remains in effect until it is terminated. The Company may terminate the Cell Line License Agreement at any time with notice to WuXi Biologics. WuXi Biologics may terminate the Cell Line License Agreement in the event the Company fails to make a payment when due under the Cell Line License Agreement and such non-payment is not cured within a specified period after notice. Either party may terminate the Cell Line License Agreement in the event of a material breach by the other party that is not cured within a specified period after notice. Upon termination of the Cell Line License Agreement, the license conveyed by WuXi Biologics to the Company will continue in full force and effect with respect to all Licensed Products manufactured using the Licensed Cell Line already generated under the Cell Line License Agreement, provided that the Company continues to pay its royalty obligations, if any.</w:t>
      </w:r>
    </w:p>
    <w:p>
      <w:pPr>
        <w:spacing w:after="0" w:line="79"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The Company concluded that the Cell Line License Agreement represented an asset acquisition of IPR&amp;D with no alternative future use. The Cell Line License Agreement did not qualify as a business combination because substantially all of the fair value of the assets acquired was concentrated in a single asset. The Company did not recognize any IPR&amp;D expense under the Cell Line License Agreement during the years ended December 31, 2023 or 2022.</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Collaboration and License Agreement with The Scripps Research Institute</w:t>
      </w:r>
    </w:p>
    <w:p>
      <w:pPr>
        <w:spacing w:after="0" w:line="121"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In August 2021, the Company entered into a Research Collaboration and License Agreement (the “Research Agreement”) with The Scripps Research Institute (“TSRI”). Under the terms of the Research Agreement, TSRI performed research activities to identify vaccine candidates for the prevention, diagnosis or treatment of influenza or beta coronaviruses. In August 2021, the Company paid TSRI $1.5 million in funding, which was credited against research funding payable by the Company under the Research Agreement.</w:t>
      </w:r>
    </w:p>
    <w:p>
      <w:pPr>
        <w:spacing w:after="0" w:line="74" w:lineRule="exact"/>
        <w:rPr>
          <w:sz w:val="20"/>
          <w:szCs w:val="20"/>
          <w:color w:val="auto"/>
        </w:rPr>
      </w:pPr>
    </w:p>
    <w:p>
      <w:pPr>
        <w:jc w:val="both"/>
        <w:ind w:firstLine="577"/>
        <w:spacing w:after="0" w:line="281" w:lineRule="auto"/>
        <w:rPr>
          <w:sz w:val="20"/>
          <w:szCs w:val="20"/>
          <w:color w:val="auto"/>
        </w:rPr>
      </w:pPr>
      <w:r>
        <w:rPr>
          <w:rFonts w:ascii="Times New Roman" w:cs="Times New Roman" w:eastAsia="Times New Roman" w:hAnsi="Times New Roman"/>
          <w:sz w:val="18"/>
          <w:szCs w:val="18"/>
          <w:color w:val="auto"/>
        </w:rPr>
        <w:t>In April 2022, the Company provided written notice to TSRI to terminate the Research Agreement. Following early termination in the second quarter of 2022, all licenses were terminated and reverted to TSRI.</w:t>
      </w:r>
    </w:p>
    <w:p>
      <w:pPr>
        <w:spacing w:after="0" w:line="55"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Amounts incurred for services performed by TSRI under the Research Agreement were expensed to research and development expense as the services were rendered. During the year ended December 31, 2023, the Company did not recognize any research and development expense with respect to services performed under the Research Agreement as it was terminated during 2022. During the year ended December 31, 2022, the Company recognized $1.7 million of research and development expense with respect to services performed under the Research Agreement.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Population Health Partners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November 2022 (the “PHP Effective Date”), the Company entered into a Master Services Agreement with Population Health Partners, L.P. (“PHP”), pursuant to which PHP agreed to provide services and create deliverables for the Company as agreed between the Company and PHP and set forth in one or more work orders under such agreement (the “PHP MSA”). The term of the PHP MSA commenced on the PHP Effective Date for an initial term of one year. The PHP MSA renews for subsequent periods, until terminated in accordance with its terms. On the PHP Effective Date, the Company and PHP entered into the first work order under the PHP MSA (the “PHP Work Order”), pursuant to which PHP agreed to advise and counsel the Company regarding clinical development and regulatory matters with respect to the Company’s product candidates. The PHP Work Order was effective for six months from the PHP Effective Date and terminated in accordance with its terms in May 2023. The PHP MSA contains customary confidentiality provisions and representations and warranties of the parties, as well as mutual non-solicitation of certain employees during the term of the PHP MSA and for a period of one year thereafter.</w:t>
      </w:r>
    </w:p>
    <w:p>
      <w:pPr>
        <w:spacing w:after="0" w:line="78"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As compensation for the services and deliverables under the PHP Work Order, the Company paid PHP a cash fee of $0.5 million per month during the term of the PHP Work Order for an aggregate fee of $3.0 million (the “Aggregate Fee”).</w:t>
      </w:r>
    </w:p>
    <w:p>
      <w:pPr>
        <w:spacing w:after="0" w:line="55" w:lineRule="exact"/>
        <w:rPr>
          <w:sz w:val="20"/>
          <w:szCs w:val="20"/>
          <w:color w:val="auto"/>
        </w:rPr>
      </w:pPr>
    </w:p>
    <w:p>
      <w:pPr>
        <w:jc w:val="both"/>
        <w:ind w:right="20" w:firstLine="509"/>
        <w:spacing w:after="0" w:line="281" w:lineRule="auto"/>
        <w:rPr>
          <w:sz w:val="20"/>
          <w:szCs w:val="20"/>
          <w:color w:val="auto"/>
        </w:rPr>
      </w:pPr>
      <w:r>
        <w:rPr>
          <w:rFonts w:ascii="Times New Roman" w:cs="Times New Roman" w:eastAsia="Times New Roman" w:hAnsi="Times New Roman"/>
          <w:sz w:val="18"/>
          <w:szCs w:val="18"/>
          <w:color w:val="auto"/>
        </w:rPr>
        <w:t>During the years ended December 31, 2023 and 2022, the Company recognized $2.2 million and $0.8 million, respectively, of research and development expense related to the cash compensation paid to PHP. Please refer to Note 15 for additional information.</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144" w:name="page145"/>
    <w:bookmarkEnd w:id="144"/>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to the cash compensation, on the PHP Effective Date, the Company issued a warrant to purchase shares of the Company’s common stock to PHP (the “PHP Warrant”). The exercise price of the PHP Warrant is $3.48 per share of the Company’s common stock, which was equal to the Nasdaq official closing price (as defined in the PHP Warrant) of a share of the Company’s common stock on the trading day immediately prior to the PHP Effective Date. The PHP Warrant is exercisable for up to an aggregate of 6,824,712 shares of the Company’s common stock, and vests in three separate tranches as follows:</w:t>
      </w:r>
    </w:p>
    <w:p>
      <w:pPr>
        <w:spacing w:after="0" w:line="182" w:lineRule="exact"/>
        <w:rPr>
          <w:sz w:val="20"/>
          <w:szCs w:val="20"/>
          <w:color w:val="auto"/>
        </w:rPr>
      </w:pPr>
    </w:p>
    <w:p>
      <w:pPr>
        <w:ind w:left="1040" w:right="340" w:hanging="452"/>
        <w:spacing w:after="0" w:line="281" w:lineRule="auto"/>
        <w:tabs>
          <w:tab w:leader="none" w:pos="10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3,591,954 shares of the Company’s common stock underlying the PHP Warrant vests if the Company’s Market Capitalization (as defined below) equals or exceeds $758,517,511 by November 15, 2028;</w:t>
      </w:r>
    </w:p>
    <w:p>
      <w:pPr>
        <w:spacing w:after="0" w:line="176" w:lineRule="exact"/>
        <w:rPr>
          <w:rFonts w:ascii="Times New Roman" w:cs="Times New Roman" w:eastAsia="Times New Roman" w:hAnsi="Times New Roman"/>
          <w:sz w:val="18"/>
          <w:szCs w:val="18"/>
          <w:color w:val="auto"/>
        </w:rPr>
      </w:pPr>
    </w:p>
    <w:p>
      <w:pPr>
        <w:ind w:left="1040" w:right="480" w:hanging="452"/>
        <w:spacing w:after="0" w:line="281" w:lineRule="auto"/>
        <w:tabs>
          <w:tab w:leader="none" w:pos="10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1,795,977 shares of the Company’s common stock underlying the PHP Warrant vests if the Company’s Market Capitalization equals or exceeds $1,137,776,266 by November 15, 2029; and</w:t>
      </w:r>
    </w:p>
    <w:p>
      <w:pPr>
        <w:spacing w:after="0" w:line="176" w:lineRule="exact"/>
        <w:rPr>
          <w:rFonts w:ascii="Times New Roman" w:cs="Times New Roman" w:eastAsia="Times New Roman" w:hAnsi="Times New Roman"/>
          <w:sz w:val="18"/>
          <w:szCs w:val="18"/>
          <w:color w:val="auto"/>
        </w:rPr>
      </w:pPr>
    </w:p>
    <w:p>
      <w:pPr>
        <w:ind w:left="1040" w:right="480" w:hanging="452"/>
        <w:spacing w:after="0" w:line="281" w:lineRule="auto"/>
        <w:tabs>
          <w:tab w:leader="none" w:pos="10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1,436,781 shares of the Company’s common stock underlying the PHP Warrant vests if the Company’s Market Capitalization equals or exceeds $1,517,035,022 by November 15, 2030.</w:t>
      </w:r>
    </w:p>
    <w:p>
      <w:pPr>
        <w:spacing w:after="0" w:line="6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For purposes of the PHP Warrant, the term “Market Capitalization” means, with respect to a particular trading day, the total value of the outstanding shares of the Company’s common stock on such date, calculated by multiplying the Company’s volume weighted average price for the ten (10) trading days immediately preceding such date by the Company’s total number of outstanding shares of the Company’s common stock as reflected in (i) the Company’s most recent periodic or annual report filed with the U.S. Securities and Exchange Commission (“SEC”) (e.g., Annual Report on Form 10-K or Quarterly Report on Form 10-Q), as the case may be, (ii) a more recent public announcement by the Company or (iii) a more recent written notice by the Company or the Company’s transfer agent setting forth the number of shares of the Company's common stock outstanding.</w:t>
      </w:r>
    </w:p>
    <w:p>
      <w:pPr>
        <w:spacing w:after="0" w:line="7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PHP Warrant is exercisable for ten years from the PHP Effective Date with respect to the vested portion(s) of the PHP Warrant. The PHP Warrant may be exercised by cash exercise or, at the election of PHP, by means of “cashless exercise” pursuant to a formula set forth in the PHP Warrant. The Company has also granted PHP certain “piggyback” registration rights requiring the Company to register any shares of the Company’s common stock underlying the PHP Warrant for resale with the SEC, subject to the Company’s existing obligations under that certain Second Amended and Restated Investors’ Rights Agreement, dated April 16, 2021, by and among the Company and the investors party thereto.</w:t>
      </w:r>
    </w:p>
    <w:p>
      <w:pPr>
        <w:spacing w:after="0" w:line="7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Upon the consummation of a fundamental transaction of the Company (as defined in the PHP Warrant) on or prior to November 15, 2028, all of the shares underlying the PHP Warrant would become immediately vested and exercisable; upon the consummation of a fundamental transaction of the Company after November 15, 2028 but on or prior to November 15, 2029, the shares underlying the second and third tranches of the PHP Warrant would become immediately vested and exercisable; and upon the consummation of a fundamental transaction of the Company after November 15, 2029 but on or prior to November 15, 2030, the shares underlying the third tranche of the PHP Warrant would become immediately vested and exercisable.</w:t>
      </w:r>
    </w:p>
    <w:p>
      <w:pPr>
        <w:spacing w:after="0" w:line="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Refer to Note 11 for additional information on the PHP Warrant.</w:t>
      </w:r>
    </w:p>
    <w:p>
      <w:pPr>
        <w:spacing w:after="0" w:line="117"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Clive Meanwell, M.D. and Tamsin Berry, members of the Company’s board of directors, are Managing Partner and Limited Partner of PHP,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 Commitments</w:t>
      </w:r>
    </w:p>
    <w:p>
      <w:pPr>
        <w:spacing w:after="0" w:line="121"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In September 2021, the Company entered into a five-year noncancelable facilities lease agreement for approximately 9,600 square feet of office space in Waltham, Massachusetts. The monthly rental payments under the lease, which include base rent charges of $0.4 million per year, are subject to periodic rent increases through September 2026. In addition to base rent, monthly rental payments include the Company’s proportionate share of operating expenses. The lease terms provide for one five-year extension term with base rent calculated on the then-market rate.</w:t>
      </w:r>
    </w:p>
    <w:p>
      <w:pPr>
        <w:spacing w:after="0" w:line="74"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In June 2022, the Company entered into a two-year noncancelable agreement for dedicated laboratory and office space in Newton, Massachusetts (the “Newton, MA Lease”). The monthly rental payments under the agreement include base rent charges of $0.7 million per year. The agreement terms provide for a month-to-month extension after completion of the initial two-year term with base rent calculated on the then-market rate with three months’ prior notice.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145" w:name="page146"/>
    <w:bookmarkEnd w:id="145"/>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September 2022, the Company amended the Newton, MA Lease. Pursuant to the amendment, the Company entered into a separate two-year noncancelable agreement for new dedicated laboratory and office space on the same campus as the Newton, MA Lease. The Company took occupancy of the new dedicated laboratory and office space in December 2022. The monthly rental payments under the amended agreement include base rent charges of $1.3 million per year. The agreement terms provide for a month-to-month extension, after completion of the initial two-year term extending through November 2024, with base rent calculated on the then-market rate with three months’ prior notice.</w:t>
      </w:r>
    </w:p>
    <w:p>
      <w:pPr>
        <w:spacing w:after="0" w:line="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operating lease expense were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50"/>
        </w:trPr>
        <w:tc>
          <w:tcPr>
            <w:tcW w:w="76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100" w:type="dxa"/>
            <w:vAlign w:val="bottom"/>
          </w:tcPr>
          <w:p>
            <w:pPr>
              <w:spacing w:after="0"/>
              <w:rPr>
                <w:sz w:val="21"/>
                <w:szCs w:val="21"/>
                <w:color w:val="auto"/>
              </w:rPr>
            </w:pPr>
          </w:p>
        </w:tc>
      </w:tr>
      <w:tr>
        <w:trPr>
          <w:trHeight w:val="243"/>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 cost:</w:t>
            </w:r>
          </w:p>
        </w:tc>
        <w:tc>
          <w:tcPr>
            <w:tcW w:w="38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r>
      <w:tr>
        <w:trPr>
          <w:trHeight w:val="263"/>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cost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9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tcPr>
          <w:p>
            <w:pPr>
              <w:spacing w:after="0"/>
              <w:rPr>
                <w:sz w:val="22"/>
                <w:szCs w:val="22"/>
                <w:color w:val="auto"/>
              </w:rPr>
            </w:pPr>
          </w:p>
        </w:tc>
      </w:tr>
      <w:tr>
        <w:trPr>
          <w:trHeight w:val="256"/>
        </w:trPr>
        <w:tc>
          <w:tcPr>
            <w:tcW w:w="7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Variable lease cost</w:t>
            </w:r>
          </w:p>
        </w:tc>
        <w:tc>
          <w:tcPr>
            <w:tcW w:w="380" w:type="dxa"/>
            <w:vAlign w:val="bottom"/>
            <w:tcBorders>
              <w:bottom w:val="single" w:sz="8" w:color="auto"/>
            </w:tcBorders>
            <w:shd w:val="clear" w:color="auto" w:fill="CFF0FC"/>
          </w:tcPr>
          <w:p>
            <w:pPr>
              <w:spacing w:after="0"/>
              <w:rPr>
                <w:sz w:val="22"/>
                <w:szCs w:val="22"/>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80" w:type="dxa"/>
            <w:vAlign w:val="bottom"/>
            <w:tcBorders>
              <w:bottom w:val="single" w:sz="8" w:color="CFF0FC"/>
            </w:tcBorders>
            <w:shd w:val="clear" w:color="auto" w:fill="CFF0FC"/>
          </w:tcPr>
          <w:p>
            <w:pPr>
              <w:spacing w:after="0"/>
              <w:rPr>
                <w:sz w:val="22"/>
                <w:szCs w:val="22"/>
                <w:color w:val="auto"/>
              </w:rPr>
            </w:pPr>
          </w:p>
        </w:tc>
        <w:tc>
          <w:tcPr>
            <w:tcW w:w="66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38"/>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9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tcPr>
          <w:p>
            <w:pPr>
              <w:spacing w:after="0"/>
              <w:rPr>
                <w:sz w:val="20"/>
                <w:szCs w:val="20"/>
                <w:color w:val="auto"/>
              </w:rPr>
            </w:pPr>
          </w:p>
        </w:tc>
      </w:tr>
      <w:tr>
        <w:trPr>
          <w:trHeight w:val="20"/>
        </w:trPr>
        <w:tc>
          <w:tcPr>
            <w:tcW w:w="76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4"/>
        </w:trPr>
        <w:tc>
          <w:tcPr>
            <w:tcW w:w="766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66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34"/>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
        </w:trPr>
        <w:tc>
          <w:tcPr>
            <w:tcW w:w="7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70"/>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cash flows related to operating leases</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940" w:type="dxa"/>
            <w:vAlign w:val="bottom"/>
            <w:gridSpan w:val="2"/>
            <w:shd w:val="clear" w:color="auto" w:fill="CFF0FC"/>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5878830</wp:posOffset>
            </wp:positionH>
            <wp:positionV relativeFrom="paragraph">
              <wp:posOffset>-701675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-701675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Future minimum lease payments under the noncancelable leases as of December 31, 2023 was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240" w:type="dxa"/>
            <w:vAlign w:val="bottom"/>
          </w:tcPr>
          <w:p>
            <w:pPr>
              <w:ind w:left="15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520" w:type="dxa"/>
            <w:vAlign w:val="bottom"/>
          </w:tcPr>
          <w:p>
            <w:pPr>
              <w:spacing w:after="0"/>
              <w:rPr>
                <w:sz w:val="16"/>
                <w:szCs w:val="16"/>
                <w:color w:val="auto"/>
              </w:rPr>
            </w:pPr>
          </w:p>
        </w:tc>
        <w:tc>
          <w:tcPr>
            <w:tcW w:w="2480" w:type="dxa"/>
            <w:vAlign w:val="bottom"/>
            <w:gridSpan w:val="2"/>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Operating Lease</w:t>
            </w:r>
          </w:p>
        </w:tc>
      </w:tr>
      <w:tr>
        <w:trPr>
          <w:trHeight w:val="236"/>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20" w:type="dxa"/>
            <w:vAlign w:val="bottom"/>
            <w:tcBorders>
              <w:top w:val="single" w:sz="8" w:color="auto"/>
            </w:tcBorders>
            <w:shd w:val="clear" w:color="auto" w:fill="CFF0FC"/>
          </w:tcPr>
          <w:p>
            <w:pPr>
              <w:spacing w:after="0"/>
              <w:rPr>
                <w:sz w:val="20"/>
                <w:szCs w:val="20"/>
                <w:color w:val="auto"/>
              </w:rPr>
            </w:pPr>
          </w:p>
        </w:tc>
        <w:tc>
          <w:tcPr>
            <w:tcW w:w="2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00" w:type="dxa"/>
            <w:vAlign w:val="bottom"/>
            <w:shd w:val="clear" w:color="auto" w:fill="CFF0FC"/>
          </w:tcPr>
          <w:p>
            <w:pPr>
              <w:spacing w:after="0"/>
              <w:rPr>
                <w:sz w:val="20"/>
                <w:szCs w:val="20"/>
                <w:color w:val="auto"/>
              </w:rPr>
            </w:pPr>
          </w:p>
        </w:tc>
      </w:tr>
      <w:tr>
        <w:trPr>
          <w:trHeight w:val="238"/>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tcPr>
          <w:p>
            <w:pPr>
              <w:spacing w:after="0"/>
              <w:rPr>
                <w:sz w:val="20"/>
                <w:szCs w:val="20"/>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Pr>
          <w:p>
            <w:pPr>
              <w:spacing w:after="0"/>
              <w:rPr>
                <w:sz w:val="20"/>
                <w:szCs w:val="20"/>
                <w:color w:val="auto"/>
              </w:rPr>
            </w:pPr>
          </w:p>
        </w:tc>
      </w:tr>
      <w:tr>
        <w:trPr>
          <w:trHeight w:val="247"/>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shd w:val="clear" w:color="auto" w:fill="CFF0FC"/>
          </w:tcPr>
          <w:p>
            <w:pPr>
              <w:spacing w:after="0"/>
              <w:rPr>
                <w:sz w:val="21"/>
                <w:szCs w:val="21"/>
                <w:color w:val="auto"/>
              </w:rPr>
            </w:pPr>
          </w:p>
        </w:tc>
        <w:tc>
          <w:tcPr>
            <w:tcW w:w="2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shd w:val="clear" w:color="auto" w:fill="CFF0FC"/>
          </w:tcPr>
          <w:p>
            <w:pPr>
              <w:spacing w:after="0"/>
              <w:rPr>
                <w:sz w:val="21"/>
                <w:szCs w:val="21"/>
                <w:color w:val="auto"/>
              </w:rPr>
            </w:pPr>
          </w:p>
        </w:tc>
      </w:tr>
      <w:tr>
        <w:trPr>
          <w:trHeight w:val="238"/>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20" w:type="dxa"/>
            <w:vAlign w:val="bottom"/>
          </w:tcPr>
          <w:p>
            <w:pPr>
              <w:spacing w:after="0"/>
              <w:rPr>
                <w:sz w:val="20"/>
                <w:szCs w:val="20"/>
                <w:color w:val="auto"/>
              </w:rPr>
            </w:pPr>
          </w:p>
        </w:tc>
        <w:tc>
          <w:tcPr>
            <w:tcW w:w="2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520" w:type="dxa"/>
            <w:vAlign w:val="bottom"/>
            <w:tcBorders>
              <w:top w:val="single" w:sz="8" w:color="auto"/>
            </w:tcBorders>
            <w:shd w:val="clear" w:color="auto" w:fill="CFF0FC"/>
          </w:tcPr>
          <w:p>
            <w:pPr>
              <w:spacing w:after="0"/>
              <w:rPr>
                <w:sz w:val="20"/>
                <w:szCs w:val="20"/>
                <w:color w:val="auto"/>
              </w:rPr>
            </w:pPr>
          </w:p>
        </w:tc>
        <w:tc>
          <w:tcPr>
            <w:tcW w:w="2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2,279</w:t>
            </w:r>
          </w:p>
        </w:tc>
        <w:tc>
          <w:tcPr>
            <w:tcW w:w="100" w:type="dxa"/>
            <w:vAlign w:val="bottom"/>
            <w:shd w:val="clear" w:color="auto" w:fill="CFF0FC"/>
          </w:tcPr>
          <w:p>
            <w:pPr>
              <w:spacing w:after="0"/>
              <w:rPr>
                <w:sz w:val="20"/>
                <w:szCs w:val="20"/>
                <w:color w:val="auto"/>
              </w:rPr>
            </w:pPr>
          </w:p>
        </w:tc>
      </w:tr>
      <w:tr>
        <w:trPr>
          <w:trHeight w:val="238"/>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 value adjustment</w:t>
            </w:r>
          </w:p>
        </w:tc>
        <w:tc>
          <w:tcPr>
            <w:tcW w:w="520" w:type="dxa"/>
            <w:vAlign w:val="bottom"/>
          </w:tcPr>
          <w:p>
            <w:pPr>
              <w:spacing w:after="0"/>
              <w:rPr>
                <w:sz w:val="20"/>
                <w:szCs w:val="20"/>
                <w:color w:val="auto"/>
              </w:rPr>
            </w:pPr>
          </w:p>
        </w:tc>
        <w:tc>
          <w:tcPr>
            <w:tcW w:w="2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(114 )</w:t>
            </w:r>
          </w:p>
        </w:tc>
      </w:tr>
      <w:tr>
        <w:trPr>
          <w:trHeight w:val="276"/>
        </w:trPr>
        <w:tc>
          <w:tcPr>
            <w:tcW w:w="8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Present value of operating lease liability</w:t>
            </w:r>
          </w:p>
        </w:tc>
        <w:tc>
          <w:tcPr>
            <w:tcW w:w="520" w:type="dxa"/>
            <w:vAlign w:val="bottom"/>
            <w:tcBorders>
              <w:top w:val="single" w:sz="8" w:color="auto"/>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both"/>
        <w:ind w:right="20" w:firstLine="509"/>
        <w:spacing w:after="0" w:line="281" w:lineRule="auto"/>
        <w:rPr>
          <w:sz w:val="20"/>
          <w:szCs w:val="20"/>
          <w:color w:val="auto"/>
        </w:rPr>
      </w:pPr>
      <w:r>
        <w:rPr>
          <w:rFonts w:ascii="Times New Roman" w:cs="Times New Roman" w:eastAsia="Times New Roman" w:hAnsi="Times New Roman"/>
          <w:sz w:val="18"/>
          <w:szCs w:val="18"/>
          <w:color w:val="auto"/>
        </w:rPr>
        <w:t>As of December 31, 2023, the Company’s operating leases were measured using a weighted-average incremental borrowing rate of 6.0% over a weighted-average remaining lease term of 1.8 years.</w:t>
      </w:r>
    </w:p>
    <w:p>
      <w:pPr>
        <w:spacing w:after="0" w:line="163" w:lineRule="exact"/>
        <w:rPr>
          <w:sz w:val="20"/>
          <w:szCs w:val="20"/>
          <w:color w:val="auto"/>
        </w:rPr>
      </w:pPr>
    </w:p>
    <w:p>
      <w:pPr>
        <w:jc w:val="both"/>
        <w:ind w:right="20" w:firstLine="509"/>
        <w:spacing w:after="0" w:line="281" w:lineRule="auto"/>
        <w:rPr>
          <w:sz w:val="20"/>
          <w:szCs w:val="20"/>
          <w:color w:val="auto"/>
        </w:rPr>
      </w:pPr>
      <w:r>
        <w:rPr>
          <w:rFonts w:ascii="Times New Roman" w:cs="Times New Roman" w:eastAsia="Times New Roman" w:hAnsi="Times New Roman"/>
          <w:sz w:val="18"/>
          <w:szCs w:val="18"/>
          <w:color w:val="auto"/>
        </w:rPr>
        <w:t>As of December 31, 2022, the Company’s operating leases were measured using a weighted-average incremental borrowing rate of 6.0% over a weighted-average remaining lease term of 2.6 years.</w:t>
      </w:r>
    </w:p>
    <w:p>
      <w:pPr>
        <w:spacing w:after="0" w:line="55" w:lineRule="exact"/>
        <w:rPr>
          <w:sz w:val="20"/>
          <w:szCs w:val="20"/>
          <w:color w:val="auto"/>
        </w:rPr>
      </w:pPr>
    </w:p>
    <w:p>
      <w:pPr>
        <w:jc w:val="both"/>
        <w:ind w:firstLine="509"/>
        <w:spacing w:after="0" w:line="280" w:lineRule="auto"/>
        <w:rPr>
          <w:sz w:val="20"/>
          <w:szCs w:val="20"/>
          <w:color w:val="auto"/>
        </w:rPr>
      </w:pPr>
      <w:r>
        <w:rPr>
          <w:rFonts w:ascii="Times New Roman" w:cs="Times New Roman" w:eastAsia="Times New Roman" w:hAnsi="Times New Roman"/>
          <w:sz w:val="18"/>
          <w:szCs w:val="18"/>
          <w:color w:val="auto"/>
        </w:rPr>
        <w:t xml:space="preserve">The total operating liabilities are presented on the Company’s consolidated balance sheet based on maturity dates. $1.4 million is classified under </w:t>
      </w:r>
      <w:r>
        <w:rPr>
          <w:rFonts w:ascii="Times New Roman" w:cs="Times New Roman" w:eastAsia="Times New Roman" w:hAnsi="Times New Roman"/>
          <w:sz w:val="21"/>
          <w:szCs w:val="21"/>
          <w:color w:val="auto"/>
        </w:rPr>
        <w:t>“</w:t>
      </w:r>
      <w:r>
        <w:rPr>
          <w:rFonts w:ascii="Times New Roman" w:cs="Times New Roman" w:eastAsia="Times New Roman" w:hAnsi="Times New Roman"/>
          <w:sz w:val="17"/>
          <w:szCs w:val="17"/>
          <w:color w:val="auto"/>
        </w:rPr>
        <w:t>operating lease liabilities, current” for the portion due within twelve months, and $0.7 million is classified under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auto"/>
        </w:rPr>
        <w:t>operating lease liabilities, non-current”.</w:t>
      </w:r>
    </w:p>
    <w:p>
      <w:pPr>
        <w:spacing w:after="0" w:line="2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entered into license agreements with Adimab and WuXi Biologics (see Note 7).</w:t>
      </w:r>
    </w:p>
    <w:p>
      <w:pPr>
        <w:spacing w:after="0" w:line="32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Agreements</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November 2022, the Company entered into the PHP MSA (see Note 8). Concurrently with the PHP MSA, the Company entered into the PHP Work Order, pursuant to which PHP agreed to advise and counsel the Company regarding clinical development and regulatory matters with respect to its product candidates. The PHP Work Order was effective for six months from November 2022 and terminated in accordance with its terms in May 2023. As compensation for the services and deliverables under the PHP Work Order, the Company paid PHP a cash fee of $0.5 million per month during the term of the PHP Work Order for an Aggregate Fee of $3.0 million.</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Clinical and Manufacturing Agreements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146" w:name="page147"/>
    <w:bookmarkEnd w:id="146"/>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In December 2020, the Company entered into a Commercial Manufacturing Services Agreement with WuXi Biologics, which was amended and restated in August 2021 and further amended and restated in September 2023 (as amended and restated, the “Commercial Manufacturing Agreement”). The Commercial Manufacturing Agreement outlines the terms and conditions under which WuXi Biologics manufactures drug substance and drug product for commercial use.</w:t>
      </w:r>
    </w:p>
    <w:p>
      <w:pPr>
        <w:spacing w:after="0" w:line="7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2023, the Company committed to noncancelable purchase obligations related to commercial drug substance and drug product manufacturing under the Commercial Manufacturing Agreement. As of December 31, 2023, the total remaining contractually binding commercial drug substance and drug product purchase obligations due to WuXi Biologics was $33.9 million, which is expected to be paid in 2024. As of December 31, 2023, $24.1 million related to the contractually binding commercial drug substance and drug product batches was included in accounts payable and accrued expenses, which is expected to be paid in 2024.</w:t>
      </w:r>
    </w:p>
    <w:p>
      <w:pPr>
        <w:spacing w:after="0" w:line="74"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During the first quarter of 2024, the Company committed to additional noncancelable purchase obligations of $24.7 million related to the procurement of materials to be used in future drug substance and drug product manufacturing under the Commercial Manufacturing Agreement.</w:t>
      </w:r>
    </w:p>
    <w:p>
      <w:pPr>
        <w:spacing w:after="0" w:line="55" w:lineRule="exact"/>
        <w:rPr>
          <w:sz w:val="20"/>
          <w:szCs w:val="20"/>
          <w:color w:val="auto"/>
        </w:rPr>
      </w:pPr>
    </w:p>
    <w:p>
      <w:pPr>
        <w:jc w:val="both"/>
        <w:ind w:right="20" w:firstLine="509"/>
        <w:spacing w:after="0" w:line="281" w:lineRule="auto"/>
        <w:rPr>
          <w:sz w:val="20"/>
          <w:szCs w:val="20"/>
          <w:color w:val="auto"/>
        </w:rPr>
      </w:pPr>
      <w:r>
        <w:rPr>
          <w:rFonts w:ascii="Times New Roman" w:cs="Times New Roman" w:eastAsia="Times New Roman" w:hAnsi="Times New Roman"/>
          <w:sz w:val="18"/>
          <w:szCs w:val="18"/>
          <w:color w:val="auto"/>
        </w:rPr>
        <w:t>During the first quarter of 2024, the Company committed to additional noncancelable purchase obligations of $50.3 million related to commercial drug substance and drug product manufacturing under the Commercial Manufacturing Agreement.</w:t>
      </w:r>
    </w:p>
    <w:p>
      <w:pPr>
        <w:spacing w:after="0" w:line="5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Unless earlier terminated, the Commercial Manufacturing Agreement remains in effect for an initial period of five years from the date of the last amendment and restatement of the agreement and thereafter automatically renews for further successive periods of five years each. Either party may terminate the agreement upon the breach or default by the other party, other than a non-payment breach, that is not timely cured after notice thereof. Both parties are also entitled to terminate the Commercial Manufacturing Agreement if the other party becomes insolvent or is the subject of a petition in bankruptcy or of any other related proceeding or event. Either party may terminate either the Commercial Manufacturing Agreement in its entirety, or an individual order, (i) to the extent the other party suffers a force majeure event that is continuing for a predefined period of time and (ii) if the other party fails to make a payment when due under the arrangement and such non-payment is not timely cured after notice thereof. Until regulatory approval and future economic benefit is probable, the Company will continue to expense costs related to batches manufactured under the Commercial Manufacturing Agreement.</w:t>
      </w:r>
    </w:p>
    <w:p>
      <w:pPr>
        <w:spacing w:after="0" w:line="2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Contracts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enters into agreements with third parties in the ordinary course of business for various products and services, including those related to research, preclinical and clinical operations, manufacturing and support, supply chain, and distribution. These contracts do not contain any material minimum purchase commitments. Certain of these agreements provide for termination rights subject to the payment of termination fees and/or wind-down costs. Under such agreements, the Company is contractually obligated to make certain payments to vendors upon early termination, primarily to reimburse them for their unrecoverable outlays incurred prior to cancellation as well as any amounts owed by the Company prior to early termination. The actual amounts the Company could pay in the future to the vendors under such agreements may differ from the purchase order amounts due to cancellation provisions. The termination fees were not probable of payment as of December 31, 2023 and 2022.</w:t>
      </w:r>
    </w:p>
    <w:p>
      <w:pPr>
        <w:spacing w:after="0" w:line="2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From time to time, the Company may become involved in legal proceedings or other litigation relating to claims arising in the ordinary course of business. The Company accrues a liability for such matters when it is probable that future expenditures will be made and that such expenditures can be reasonably estimated. Significant judgment is required to determine both probability and estimated exposure amount. Legal fees and other costs associated with such proceedings are expensed as incurred.</w:t>
      </w:r>
    </w:p>
    <w:p>
      <w:pPr>
        <w:spacing w:after="0" w:line="7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January 31, 2023, a securities class action lawsuit captioned Brill v. Invivyd, Inc., et. al., Case No. 1:23-CV-10254-LTS, was filed against the Company and certain of its former officers in the U.S. District Court for the District of Massachusetts. The complaint alleges violations of Sections 10(b) and 20(a) of the Exchange Act and Rule 10b-5 promulgated thereunder on the basis of purportedly materially false and misleading statements and omissions concerning ADG20’s effectiveness against the Omicron variant of COVID-19. The complaint seeks, among other things, unspecified damages, attorneys’ fees, expert fees, and other costs. The court appointed lead plaintiffs for the action on June 28, 2023. On August 23, 2023, the lead plaintiffs filed an amended complaint that makes allegations similar to those in the original complaint and asserts the same claims against the same defendants as the original complaint. On October 19, 2023, the parties filed a joint stipulation to advise the court that the lead plaintiffs intended to seek leave to file a second amended complaint, and on November 22, 2023, the lead plaintiffs filed a second amended complaint that makes allegations similar to those in the prior complaints and asserts the same claims against the same defendants as the prior complaints. On January 12, 2024, the defendants filed a motion to dismiss the second</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147" w:name="page148"/>
    <w:bookmarkEnd w:id="147"/>
    <w:p>
      <w:pPr>
        <w:jc w:val="both"/>
        <w:spacing w:after="0" w:line="281" w:lineRule="auto"/>
        <w:rPr>
          <w:sz w:val="20"/>
          <w:szCs w:val="20"/>
          <w:color w:val="auto"/>
        </w:rPr>
      </w:pPr>
      <w:r>
        <w:rPr>
          <w:rFonts w:ascii="Times New Roman" w:cs="Times New Roman" w:eastAsia="Times New Roman" w:hAnsi="Times New Roman"/>
          <w:sz w:val="18"/>
          <w:szCs w:val="18"/>
          <w:color w:val="auto"/>
        </w:rPr>
        <w:t>amended complaint in its entirety. The lead plaintiffs filed an opposition to the motion to dismiss on February 26, 2024, and the defendants filed a reply in further support of their motion to dismiss on March 27, 2024.</w:t>
      </w:r>
    </w:p>
    <w:p>
      <w:pPr>
        <w:spacing w:after="0" w:line="55"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The Company believes that is has strong defenses, and it intends to vigorously defend against this action. The lawsuit is in early stages, and, at this time, no assessment can be made as to the likely outcome or whether the outcome will be material to the Company.</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its vendors, lessors, CROs, contract development and manufacturing organizations (“CDMOs”),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its executive officers that require the Company, among other things, to indemnify them against certain liabilities that may arise by reason of their status or service as directors or executive officers. The maximum potential amount of future payments that the Company could be required to make under these indemnification agreements is, in many cases, unlimited. The Company has not incurred any material costs as a result of such indemnifications and is not currently aware of any indemnification claims.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Common Stock</w:t>
      </w:r>
    </w:p>
    <w:p>
      <w:pPr>
        <w:spacing w:after="0" w:line="3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Shares Reserved for Future Issuance</w:t>
      </w:r>
    </w:p>
    <w:p>
      <w:pPr>
        <w:spacing w:after="0" w:line="121"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As of December 31, 2023 the Company had reserved 43,048,016 shares of common stock for the exercise of outstanding stock options and the issuance of awards available for grant under the Company’s 2020 Equity Incentive Plan, 2021 Equity Incentive Plan and 2021 Employee Stock Purchase Plan (see Note 11).</w:t>
      </w:r>
    </w:p>
    <w:p>
      <w:pPr>
        <w:spacing w:after="0" w:line="2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Shelf Registration Statement</w:t>
      </w:r>
    </w:p>
    <w:p>
      <w:pPr>
        <w:spacing w:after="0" w:line="121"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In September 2022, the Company filed a shelf registration statement on Form S-3 with the SEC (File No. 333-267643) and accompanying base prospectus, which was declared effective by the SEC on October 5, 2022, for the offer and sale of up to $400 million of the Company’s securities. As of December 31, 2023, $325 million of the Company's securities remained available for offer and sale under this shelf registration statement.</w:t>
      </w:r>
    </w:p>
    <w:p>
      <w:pPr>
        <w:spacing w:after="0" w:line="2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ATM Facility</w:t>
      </w:r>
    </w:p>
    <w:p>
      <w:pPr>
        <w:spacing w:after="0" w:line="129" w:lineRule="exact"/>
        <w:rPr>
          <w:sz w:val="20"/>
          <w:szCs w:val="20"/>
          <w:color w:val="auto"/>
        </w:rPr>
      </w:pPr>
    </w:p>
    <w:p>
      <w:pPr>
        <w:jc w:val="both"/>
        <w:ind w:firstLine="509"/>
        <w:spacing w:after="0" w:line="237" w:lineRule="auto"/>
        <w:rPr>
          <w:sz w:val="20"/>
          <w:szCs w:val="20"/>
          <w:color w:val="auto"/>
        </w:rPr>
      </w:pPr>
      <w:r>
        <w:rPr>
          <w:rFonts w:ascii="Times New Roman" w:cs="Times New Roman" w:eastAsia="Times New Roman" w:hAnsi="Times New Roman"/>
          <w:sz w:val="18"/>
          <w:szCs w:val="18"/>
          <w:color w:val="auto"/>
        </w:rPr>
        <w:t>In December 2023, the Company entered into a Controlled Equity Offering</w:t>
      </w:r>
      <w:r>
        <w:rPr>
          <w:rFonts w:ascii="Times New Roman" w:cs="Times New Roman" w:eastAsia="Times New Roman" w:hAnsi="Times New Roman"/>
          <w:sz w:val="28"/>
          <w:szCs w:val="28"/>
          <w:color w:val="auto"/>
          <w:vertAlign w:val="superscript"/>
        </w:rPr>
        <w:t>SM</w:t>
      </w:r>
      <w:r>
        <w:rPr>
          <w:rFonts w:ascii="Times New Roman" w:cs="Times New Roman" w:eastAsia="Times New Roman" w:hAnsi="Times New Roman"/>
          <w:sz w:val="18"/>
          <w:szCs w:val="18"/>
          <w:color w:val="auto"/>
        </w:rPr>
        <w:t xml:space="preserve"> Sales Agreement (the “Sales Agreement”) with Cantor Fitzgerald &amp; Co., as sales agent (“Cantor”), pursuant to which the Company may, at its option, offer and sell shares of its common stock, with a sales value of up to $75.0 million, from time to time, through Cantor, acting as sales agent, in transactions deemed to be “at the market offerings”, as defined in Rule 415 under the Securities Act. Cantor is entitled to a commission of 3% of the gross proceeds from any sales of such shares. The Company did not sell any shares of its common stock through the year ended December 31, 2023. As of December 31, 2023, $75.0 million remained available for sale under the Sales Agreement.</w:t>
      </w:r>
    </w:p>
    <w:p>
      <w:pPr>
        <w:spacing w:after="0" w:line="94"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In February 2024, the Company sold 9,000,000 shares of its common stock under the Sales Agreement at an average price of $4.50 per share for $39.3 million in net proceeds.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121"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In February and June 2022, the Company repurchased 1,158,089 and 992,648 shares of unvested restricted common stock, respectively, at the original purchase price upon a termination of service during the vesting period. The shares of common stock repurchased were recorded as treasury stock in the accompanying consolidated balance sheets and consolidated statements of stockholders’ equity (deficit) as such shares were not retired. The fair value of the repurchased common stock was insignificant.</w:t>
      </w:r>
    </w:p>
    <w:p>
      <w:pPr>
        <w:spacing w:after="0" w:line="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March and September 2022, the Company retired an aggregate of 1,626,840 and 992,648 shares of common stock, respectively, held in treasury.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retirement, the shares were redesignated as authorized but unissued shares of the Company’s common stock.</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148" w:name="page149"/>
    <w:bookmarkEnd w:id="148"/>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In March 2023, the Company repurchased, and subsequently retired, 206,802 shares of unvested restricted common stock at the original purchase price upon a termination of service of an employee during the vesting period. The fair value of the repurchased common stock was insignificant. Upon retirement, the shares were redesignated as authorized but unissued shares of the Company’s common stock.</w:t>
      </w:r>
    </w:p>
    <w:p>
      <w:pPr>
        <w:spacing w:after="0" w:line="69"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In May 2023, the Company repurchased 46,600 shares of unvested restricted common stock at the original purchase price upon a termination of service of an employee during the vesting period. The shares of common stock repurchased were recorded as treasury stock. The fair value of the repurchased common stock was insignificant. In June 2023, the Company retired the 46,600 shares of treasury stock. Upon retirement, the shares were redesignated as authorized but unissued shares of the Company’s common stock.</w:t>
      </w:r>
    </w:p>
    <w:p>
      <w:pPr>
        <w:spacing w:after="0" w:line="74"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In October 2023, the Company repurchased 31,765 shares of unvested restricted common stock at the original purchase price upon a termination of service of an employee during the vesting period. The shares of common stock repurchased were recorded as treasury stock. The fair value of the repurchased common stock was insignificant. In December 2023, the Company retired the 31,765 shares of treasury stock. Upon retirement, the shares were redesignated as authorized but unissued shares of the Company’s common stock.</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3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2020 Equity Incentive Plan</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Company’s 2020 Equity Incentive Plan (the “2020 Plan”) provides for the Company to grant incentive stock options, non-qualified stock options, restricted stock awards, restricted stock units and other stock-based awards to employees, members of the board of directors and consultants. The 2020 Plan is administered by the board of directors or, at the discretion of the board of directors, by a committee of the board of directors. The board of directors may also delegate to one or more officers of the Company the power to grant awards to employees and certain officers of the Company. The exercise prices, vesting and other restrictions are determined at the discretion of the board of directors, or its committee or any such officer if so delegated.</w:t>
      </w:r>
    </w:p>
    <w:p>
      <w:pPr>
        <w:spacing w:after="0" w:line="7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exercise price for stock options granted may not be less than the fair market value of the Company’s common stock on the date of grant, as determined by the board of directors, or at least 110% of the fair market value of the Company’s common stock on the date of grant in the case of an incentive stock option granted to an employee who owns stock representing more than 10% of the voting power of all classes of stock as determined by the board of directors as of the date of grant. Prior to the IPO, the Company’s board of directors determined the fair value of the Company’s common stock, taking into consideration its most recently available valuation of common stock performed by third parties as well as additional factors which may have changed since the date of the most recent contemporaneous valuation through the date of grant. Stock options granted under the 2020 Plan expire after ten years and typically vest over a four-year period with the first 25% vesting upon the first anniversary of a specified vesting commencement date and the remainder vesting in 36 equal monthly installments over the succeeding three years, contingent on the recipient’s continued employment or service. Certain awards of stock options permit the holders to exercise the option in whole or in part prior to the full vesting of the option in exchange for unvested shares of restricted common stock with respect to any unvested portion of the option so exercised.</w:t>
      </w:r>
    </w:p>
    <w:p>
      <w:pPr>
        <w:spacing w:after="0" w:line="83"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As of December 31, 2023, there were 4,318,810 shares authorized to be issued upon the exercise of outstanding stock option grants and no shares reserved for future issuance under the 2020 Plan.</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2021 Equity Incentive Plan</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July 2021, the Company’s board of directors adopted, and its stockholders approved, the 2021 Equity Incentive Plan (the “2021 Plan”), which became effective immediately prior to and contingent upon the execution of the underwriting agreement related to the Company’s IPO. The 2021 Plan provides for the grant of incentive stock options, non-statutory stock options, stock appreciation rights, restricted stock awards, restricted stock units and other stock-based awards. The number of shares reserved for issuance under the 2021 Plan was equal to 35,075,122, which is the sum of 11,413,572 new shares; plus the number of shares (not to exceed 23,661,550 shares), which represents (i) the number of shares that remained available for issuance under the 2020 Plan, at the time the 2021 Plan became effective, and (ii) any shares subject to outstanding stock options or other stock awards that were granted under the 2020 Plan that are forfeited, terminate, expire or are otherwise not issued. In addition, the number of shares of the Company’s common stock reserved for issuance under the 2021 Plan will automatically increase on the first day of each calendar year pursuant to the evergreen provision thereof, beginning on January 1, 2022 and continuing through January 1, 2031, in an amount equal to 5% of the shares of common stock outstanding on the last day of the calendar month before the date of each automatic increase, or a lesser number of shares determined by the board of directors. On January 1, 2022, 5,539,145 shares of common stock were automatically added to the shares authorized for issuance under the 2021 Plan pursuant to the evergreen provision thereof. The number of shares to be issued under the 2021</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149" w:name="page150"/>
    <w:bookmarkEnd w:id="149"/>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Plan did not increase on January 1, 2023 as determined by the Company’s board of directors. On January 1, 2024, 3,304,821 shares of common stock were added to the shares authorized for issuance under the 2021 Plan, pursuant to the evergreen provision thereof, as determined by the Company’s board of directors. The shares of common stock underlying any awards that are forfeited, cancelled, held back upon exercise or settlement of an award to satisfy the exercise price or tax withholding, repurchased or are otherwise terminated by the Company under the 2021 Plan will be added back to the shares of common stock available for issuance under the 2021 Plan.</w:t>
      </w:r>
    </w:p>
    <w:p>
      <w:pPr>
        <w:spacing w:after="0" w:line="74" w:lineRule="exact"/>
        <w:rPr>
          <w:sz w:val="20"/>
          <w:szCs w:val="20"/>
          <w:color w:val="auto"/>
        </w:rPr>
      </w:pPr>
    </w:p>
    <w:p>
      <w:pPr>
        <w:jc w:val="both"/>
        <w:ind w:right="60" w:firstLine="509"/>
        <w:spacing w:after="0" w:line="265" w:lineRule="auto"/>
        <w:rPr>
          <w:sz w:val="20"/>
          <w:szCs w:val="20"/>
          <w:color w:val="auto"/>
        </w:rPr>
      </w:pPr>
      <w:r>
        <w:rPr>
          <w:rFonts w:ascii="Times New Roman" w:cs="Times New Roman" w:eastAsia="Times New Roman" w:hAnsi="Times New Roman"/>
          <w:sz w:val="18"/>
          <w:szCs w:val="18"/>
          <w:color w:val="auto"/>
        </w:rPr>
        <w:t>As of December 31, 2023, there were an aggregate of 41,996,239 shares authorized to be issued under the 2020 Plan and the 2021 Plan, which included 4,318,810 and 18,746,704 shares authorized to be issued upon the exercise of outstanding stock option grants from the 2020 Plan and 2021 Plan, respectively, and 0 and 18,930,725 shares reserved for future issuance under the 2020 Plan and 2021 Plan, respectively.</w:t>
      </w:r>
    </w:p>
    <w:p>
      <w:pPr>
        <w:spacing w:after="0" w:line="2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 Valuation</w:t>
      </w:r>
    </w:p>
    <w:p>
      <w:pPr>
        <w:spacing w:after="0" w:line="121" w:lineRule="exact"/>
        <w:rPr>
          <w:sz w:val="20"/>
          <w:szCs w:val="20"/>
          <w:color w:val="auto"/>
        </w:rPr>
      </w:pPr>
    </w:p>
    <w:p>
      <w:pPr>
        <w:jc w:val="both"/>
        <w:ind w:right="60" w:firstLine="509"/>
        <w:spacing w:after="0" w:line="254" w:lineRule="auto"/>
        <w:rPr>
          <w:sz w:val="20"/>
          <w:szCs w:val="20"/>
          <w:color w:val="auto"/>
        </w:rPr>
      </w:pPr>
      <w:r>
        <w:rPr>
          <w:rFonts w:ascii="Times New Roman" w:cs="Times New Roman" w:eastAsia="Times New Roman" w:hAnsi="Times New Roman"/>
          <w:sz w:val="18"/>
          <w:szCs w:val="18"/>
          <w:color w:val="auto"/>
        </w:rPr>
        <w:t>The fair value of stock option grants is estimated using the Black-Scholes option-pricing model. Prior to its IPO in August 2021, the Company had been a private company. Due to the proximity to the IPO, the Company continues to lack sufficient company-specific historical and implied volatility information. Therefore, it estimates its expected stock volatility based on the historical volatility of a publicly traded set of peer companies and expects to continue to do so until such time as it has adequate historical data regarding the volatility of its own traded stock price. For options with service-based vesting conditions, the expected term of the Company’s stock options has been determined utilizing the “simplified” method.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and does not expect to pay any cash dividends in the foreseeable future.</w:t>
      </w:r>
    </w:p>
    <w:p>
      <w:pPr>
        <w:spacing w:after="0" w:line="81" w:lineRule="exact"/>
        <w:rPr>
          <w:sz w:val="20"/>
          <w:szCs w:val="20"/>
          <w:color w:val="auto"/>
        </w:rPr>
      </w:pPr>
    </w:p>
    <w:p>
      <w:pPr>
        <w:jc w:val="both"/>
        <w:ind w:right="80" w:firstLine="509"/>
        <w:spacing w:after="0" w:line="281" w:lineRule="auto"/>
        <w:rPr>
          <w:sz w:val="20"/>
          <w:szCs w:val="20"/>
          <w:color w:val="auto"/>
        </w:rPr>
      </w:pPr>
      <w:r>
        <w:rPr>
          <w:rFonts w:ascii="Times New Roman" w:cs="Times New Roman" w:eastAsia="Times New Roman" w:hAnsi="Times New Roman"/>
          <w:sz w:val="18"/>
          <w:szCs w:val="18"/>
          <w:color w:val="auto"/>
        </w:rPr>
        <w:t>The following table presents, on a weighted-average basis, the assumptions used in the Black-Scholes option-pricing model to determine the grant-date fair value of stock options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6054725</wp:posOffset>
            </wp:positionH>
            <wp:positionV relativeFrom="paragraph">
              <wp:posOffset>119380</wp:posOffset>
            </wp:positionV>
            <wp:extent cx="93980" cy="15367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2">
                      <a:extLst>
                        <a:ext uri="{28A0092B-C50C-407E-A947-70E740481C1C}"/>
                      </a:extLst>
                    </a:blip>
                    <a:srcRect/>
                    <a:stretch>
                      <a:fillRect/>
                    </a:stretch>
                  </pic:blipFill>
                  <pic:spPr bwMode="auto">
                    <a:xfrm>
                      <a:off x="0" y="0"/>
                      <a:ext cx="93980" cy="15367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119380</wp:posOffset>
            </wp:positionV>
            <wp:extent cx="93980" cy="15367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3">
                      <a:extLst>
                        <a:ext uri="{28A0092B-C50C-407E-A947-70E740481C1C}"/>
                      </a:extLst>
                    </a:blip>
                    <a:srcRect/>
                    <a:stretch>
                      <a:fillRect/>
                    </a:stretch>
                  </pic:blipFill>
                  <pic:spPr bwMode="auto">
                    <a:xfrm>
                      <a:off x="0" y="0"/>
                      <a:ext cx="93980" cy="153670"/>
                    </a:xfrm>
                    <a:prstGeom prst="rect">
                      <a:avLst/>
                    </a:prstGeom>
                    <a:noFill/>
                  </pic:spPr>
                </pic:pic>
              </a:graphicData>
            </a:graphic>
          </wp:anchor>
        </w:drawing>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0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top w:val="single" w:sz="8" w:color="auto"/>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6"/>
        </w:trPr>
        <w:tc>
          <w:tcPr>
            <w:tcW w:w="9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66.1 %</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71.8 %</w:t>
            </w:r>
          </w:p>
        </w:tc>
      </w:tr>
      <w:tr>
        <w:trPr>
          <w:trHeight w:val="238"/>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3.8 %</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43"/>
        </w:trPr>
        <w:tc>
          <w:tcPr>
            <w:tcW w:w="9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 Activity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 since December 31, 2022:</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vMerge w:val="restart"/>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48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2"/>
                <w:szCs w:val="12"/>
                <w:color w:val="auto"/>
              </w:rPr>
            </w:pPr>
          </w:p>
        </w:tc>
        <w:tc>
          <w:tcPr>
            <w:tcW w:w="94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87"/>
        </w:trPr>
        <w:tc>
          <w:tcPr>
            <w:tcW w:w="5760" w:type="dxa"/>
            <w:vAlign w:val="bottom"/>
          </w:tcPr>
          <w:p>
            <w:pPr>
              <w:spacing w:after="0"/>
              <w:rPr>
                <w:sz w:val="16"/>
                <w:szCs w:val="16"/>
                <w:color w:val="auto"/>
              </w:rPr>
            </w:pPr>
          </w:p>
        </w:tc>
        <w:tc>
          <w:tcPr>
            <w:tcW w:w="148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6"/>
                <w:szCs w:val="16"/>
                <w:color w:val="auto"/>
              </w:rPr>
            </w:pPr>
          </w:p>
        </w:tc>
        <w:tc>
          <w:tcPr>
            <w:tcW w:w="94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69"/>
        </w:trPr>
        <w:tc>
          <w:tcPr>
            <w:tcW w:w="576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23,239,391</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9,862,389</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(1,224,330 )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(8,811,936 )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23,065,514</w:t>
            </w:r>
          </w:p>
        </w:tc>
        <w:tc>
          <w:tcPr>
            <w:tcW w:w="2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4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3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24,745</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December 31, 2023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23,065,514</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exercisable at December 31, 2023</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7,371,263</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-333375</wp:posOffset>
            </wp:positionV>
            <wp:extent cx="7683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-316230</wp:posOffset>
            </wp:positionV>
            <wp:extent cx="7683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6">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77" w:lineRule="exact"/>
        <w:rPr>
          <w:sz w:val="20"/>
          <w:szCs w:val="20"/>
          <w:color w:val="auto"/>
        </w:rPr>
      </w:pPr>
    </w:p>
    <w:p>
      <w:pPr>
        <w:jc w:val="both"/>
        <w:ind w:right="60" w:firstLine="509"/>
        <w:spacing w:after="0" w:line="281" w:lineRule="auto"/>
        <w:rPr>
          <w:sz w:val="20"/>
          <w:szCs w:val="20"/>
          <w:color w:val="auto"/>
        </w:rPr>
      </w:pPr>
      <w:r>
        <w:rPr>
          <w:rFonts w:ascii="Times New Roman" w:cs="Times New Roman" w:eastAsia="Times New Roman" w:hAnsi="Times New Roman"/>
          <w:sz w:val="18"/>
          <w:szCs w:val="18"/>
          <w:color w:val="auto"/>
        </w:rPr>
        <w:t>The weighted-average grant date fair value of stock options granted during the year ended December 31, 2023 and 2022 was $1.46 and $2.79, respectively, per share.</w:t>
      </w:r>
    </w:p>
    <w:p>
      <w:pPr>
        <w:spacing w:after="0" w:line="55" w:lineRule="exact"/>
        <w:rPr>
          <w:sz w:val="20"/>
          <w:szCs w:val="20"/>
          <w:color w:val="auto"/>
        </w:rPr>
      </w:pPr>
    </w:p>
    <w:p>
      <w:pPr>
        <w:jc w:val="both"/>
        <w:ind w:right="60" w:firstLine="509"/>
        <w:spacing w:after="0" w:line="265" w:lineRule="auto"/>
        <w:rPr>
          <w:sz w:val="20"/>
          <w:szCs w:val="20"/>
          <w:color w:val="auto"/>
        </w:rPr>
      </w:pPr>
      <w:r>
        <w:rPr>
          <w:rFonts w:ascii="Times New Roman" w:cs="Times New Roman" w:eastAsia="Times New Roman" w:hAnsi="Times New Roman"/>
          <w:sz w:val="18"/>
          <w:szCs w:val="18"/>
          <w:color w:val="auto"/>
        </w:rPr>
        <w:t>The aggregate intrinsic value is calculated as the difference between the exercise price of the underlying options and the fair market value of the common stock for the options that had exercise prices lower than the estimated fair value of the Company’s common stock at December 31, 2023 and December 31, 2022.</w:t>
      </w:r>
    </w:p>
    <w:p>
      <w:pPr>
        <w:spacing w:after="0" w:line="69" w:lineRule="exact"/>
        <w:rPr>
          <w:sz w:val="20"/>
          <w:szCs w:val="20"/>
          <w:color w:val="auto"/>
        </w:rPr>
      </w:pPr>
    </w:p>
    <w:p>
      <w:pPr>
        <w:jc w:val="both"/>
        <w:ind w:right="60" w:firstLine="509"/>
        <w:spacing w:after="0" w:line="281" w:lineRule="auto"/>
        <w:rPr>
          <w:sz w:val="20"/>
          <w:szCs w:val="20"/>
          <w:color w:val="auto"/>
        </w:rPr>
      </w:pPr>
      <w:r>
        <w:rPr>
          <w:rFonts w:ascii="Times New Roman" w:cs="Times New Roman" w:eastAsia="Times New Roman" w:hAnsi="Times New Roman"/>
          <w:sz w:val="18"/>
          <w:szCs w:val="18"/>
          <w:color w:val="auto"/>
        </w:rPr>
        <w:t>The total intrinsic value of stock options exercised during the year ended December 31, 2023 and 2022 was $0.8 million and $1.0 million, respectively.</w:t>
      </w:r>
    </w:p>
    <w:p>
      <w:pPr>
        <w:spacing w:after="0" w:line="16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00" w:right="279" w:bottom="1440" w:gutter="0" w:footer="0" w:header="0"/>
        </w:sectPr>
      </w:pPr>
    </w:p>
    <w:bookmarkStart w:id="150" w:name="page151"/>
    <w:bookmarkEnd w:id="150"/>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Early Exercise of Stock Options into Restricted Stock</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Company’s restricted stock activity during the year ended December 31, 2023 was solely due to shares of restricted common stock issued pursuant to the permitted early exercise of stock options as permitted under the 2020 Plan prior to amendments to the 2020 Plan. The 2021 Plan does not permit early exercise of stock options. Shares of common stock issued upon exercise of unvested stock options are restricted and continue to vest in accordance with the original vesting schedule applicable to the associated stock option award. The Company has the right to repurchase any unvested shares of restricted common stock, at the original purchase price, upon any voluntary or involuntary termination of the service relationship during the vesting period.</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 summary of the Company’s unvested common stock from option early exercises that is subject to repurchase by the Company is as follows: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tcPr>
          <w:p>
            <w:pPr>
              <w:spacing w:after="0"/>
              <w:rPr>
                <w:sz w:val="13"/>
                <w:szCs w:val="13"/>
                <w:color w:val="auto"/>
              </w:rPr>
            </w:pPr>
          </w:p>
        </w:tc>
        <w:tc>
          <w:tcPr>
            <w:tcW w:w="204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187"/>
        </w:trPr>
        <w:tc>
          <w:tcPr>
            <w:tcW w:w="9200" w:type="dxa"/>
            <w:vAlign w:val="bottom"/>
          </w:tcPr>
          <w:p>
            <w:pPr>
              <w:spacing w:after="0"/>
              <w:rPr>
                <w:sz w:val="16"/>
                <w:szCs w:val="16"/>
                <w:color w:val="auto"/>
              </w:rPr>
            </w:pPr>
          </w:p>
        </w:tc>
        <w:tc>
          <w:tcPr>
            <w:tcW w:w="204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of Shares</w:t>
            </w:r>
          </w:p>
        </w:tc>
      </w:tr>
      <w:tr>
        <w:trPr>
          <w:trHeight w:val="236"/>
        </w:trPr>
        <w:tc>
          <w:tcPr>
            <w:tcW w:w="9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restricted stock at December 31, 2022</w:t>
            </w:r>
          </w:p>
        </w:tc>
        <w:tc>
          <w:tcPr>
            <w:tcW w:w="1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360,333</w:t>
            </w:r>
          </w:p>
        </w:tc>
        <w:tc>
          <w:tcPr>
            <w:tcW w:w="100" w:type="dxa"/>
            <w:vAlign w:val="bottom"/>
            <w:shd w:val="clear" w:color="auto" w:fill="CFF0FC"/>
          </w:tcPr>
          <w:p>
            <w:pPr>
              <w:spacing w:after="0"/>
              <w:rPr>
                <w:sz w:val="20"/>
                <w:szCs w:val="20"/>
                <w:color w:val="auto"/>
              </w:rPr>
            </w:pPr>
          </w:p>
        </w:tc>
      </w:tr>
      <w:tr>
        <w:trPr>
          <w:trHeight w:val="238"/>
        </w:trPr>
        <w:tc>
          <w:tcPr>
            <w:tcW w:w="9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2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9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2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(75,166 )</w:t>
            </w:r>
          </w:p>
        </w:tc>
      </w:tr>
      <w:tr>
        <w:trPr>
          <w:trHeight w:val="238"/>
        </w:trPr>
        <w:tc>
          <w:tcPr>
            <w:tcW w:w="9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Repurchased</w:t>
            </w:r>
          </w:p>
        </w:tc>
        <w:tc>
          <w:tcPr>
            <w:tcW w:w="2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(285,167 )</w:t>
            </w:r>
          </w:p>
        </w:tc>
      </w:tr>
      <w:tr>
        <w:trPr>
          <w:trHeight w:val="276"/>
        </w:trPr>
        <w:tc>
          <w:tcPr>
            <w:tcW w:w="9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restricted stock at December 31, 2023</w:t>
            </w:r>
          </w:p>
        </w:tc>
        <w:tc>
          <w:tcPr>
            <w:tcW w:w="1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Proceeds from the early exercise of stock options are recorded as an early-exercise liability on the consolidated balance sheets. The liability for unvested common stock subject to repurchase is then reclassified to common stock and additional paid-in capital as the Company’s repurchase right lapses. Shares issued pursuant to the early exercise of stock options are not considered to be outstanding for accounting purposes until the shares vest. As of December 31, 2023, there were no unvested shares of restricted stock remaining and therefore the liability related to the payments was $0. As of December 31, 2022, the liability related to the payments for unvested shares from early-exercised options was less than $0.1 million.</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jc w:val="both"/>
        <w:ind w:right="20" w:firstLine="509"/>
        <w:spacing w:after="0" w:line="281" w:lineRule="auto"/>
        <w:rPr>
          <w:sz w:val="20"/>
          <w:szCs w:val="20"/>
          <w:color w:val="auto"/>
        </w:rPr>
      </w:pPr>
      <w:r>
        <w:rPr>
          <w:rFonts w:ascii="Times New Roman" w:cs="Times New Roman" w:eastAsia="Times New Roman" w:hAnsi="Times New Roman"/>
          <w:sz w:val="18"/>
          <w:szCs w:val="18"/>
          <w:color w:val="auto"/>
        </w:rPr>
        <w:t>The Company recorded stock-based compensation expense in the following expense categories of its consolidated statements of operations and comprehensive loss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5532120</wp:posOffset>
            </wp:positionH>
            <wp:positionV relativeFrom="paragraph">
              <wp:posOffset>119380</wp:posOffset>
            </wp:positionV>
            <wp:extent cx="93980" cy="15367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0">
                      <a:extLst>
                        <a:ext uri="{28A0092B-C50C-407E-A947-70E740481C1C}"/>
                      </a:extLst>
                    </a:blip>
                    <a:srcRect/>
                    <a:stretch>
                      <a:fillRect/>
                    </a:stretch>
                  </pic:blipFill>
                  <pic:spPr bwMode="auto">
                    <a:xfrm>
                      <a:off x="0" y="0"/>
                      <a:ext cx="93980" cy="15367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119380</wp:posOffset>
            </wp:positionV>
            <wp:extent cx="93980" cy="15367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1">
                      <a:extLst>
                        <a:ext uri="{28A0092B-C50C-407E-A947-70E740481C1C}"/>
                      </a:extLst>
                    </a:blip>
                    <a:srcRect/>
                    <a:stretch>
                      <a:fillRect/>
                    </a:stretch>
                  </pic:blipFill>
                  <pic:spPr bwMode="auto">
                    <a:xfrm>
                      <a:off x="0" y="0"/>
                      <a:ext cx="93980" cy="153670"/>
                    </a:xfrm>
                    <a:prstGeom prst="rect">
                      <a:avLst/>
                    </a:prstGeom>
                    <a:noFill/>
                  </pic:spPr>
                </pic:pic>
              </a:graphicData>
            </a:graphic>
          </wp:anchor>
        </w:drawing>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20" w:type="dxa"/>
            <w:vAlign w:val="bottom"/>
          </w:tcPr>
          <w:p>
            <w:pPr>
              <w:spacing w:after="0"/>
              <w:rPr>
                <w:sz w:val="16"/>
                <w:szCs w:val="16"/>
                <w:color w:val="auto"/>
              </w:rPr>
            </w:pPr>
          </w:p>
        </w:tc>
        <w:tc>
          <w:tcPr>
            <w:tcW w:w="132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tcBorders>
              <w:top w:val="single" w:sz="8" w:color="auto"/>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1540" w:type="dxa"/>
            <w:vAlign w:val="bottom"/>
            <w:tcBorders>
              <w:top w:val="single" w:sz="8" w:color="auto"/>
              <w:bottom w:val="single" w:sz="8" w:color="auto"/>
            </w:tcBorders>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36"/>
        </w:trPr>
        <w:tc>
          <w:tcPr>
            <w:tcW w:w="6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20" w:type="dxa"/>
            <w:vAlign w:val="bottom"/>
            <w:shd w:val="clear" w:color="auto" w:fill="CFF0FC"/>
          </w:tcPr>
          <w:p>
            <w:pPr>
              <w:jc w:val="right"/>
              <w:ind w:right="113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6,240</w:t>
            </w:r>
          </w:p>
        </w:tc>
        <w:tc>
          <w:tcPr>
            <w:tcW w:w="860" w:type="dxa"/>
            <w:vAlign w:val="bottom"/>
            <w:gridSpan w:val="2"/>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12,800</w:t>
            </w:r>
          </w:p>
        </w:tc>
        <w:tc>
          <w:tcPr>
            <w:tcW w:w="100" w:type="dxa"/>
            <w:vAlign w:val="bottom"/>
            <w:shd w:val="clear" w:color="auto" w:fill="CFF0FC"/>
          </w:tcPr>
          <w:p>
            <w:pPr>
              <w:spacing w:after="0"/>
              <w:rPr>
                <w:sz w:val="20"/>
                <w:szCs w:val="20"/>
                <w:color w:val="auto"/>
              </w:rPr>
            </w:pPr>
          </w:p>
        </w:tc>
      </w:tr>
      <w:tr>
        <w:trPr>
          <w:trHeight w:val="23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3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12,445</w:t>
            </w:r>
          </w:p>
        </w:tc>
        <w:tc>
          <w:tcPr>
            <w:tcW w:w="3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8,848</w:t>
            </w:r>
          </w:p>
        </w:tc>
        <w:tc>
          <w:tcPr>
            <w:tcW w:w="100" w:type="dxa"/>
            <w:vAlign w:val="bottom"/>
          </w:tcPr>
          <w:p>
            <w:pPr>
              <w:spacing w:after="0"/>
              <w:rPr>
                <w:sz w:val="20"/>
                <w:szCs w:val="20"/>
                <w:color w:val="auto"/>
              </w:rPr>
            </w:pPr>
          </w:p>
        </w:tc>
      </w:tr>
      <w:tr>
        <w:trPr>
          <w:trHeight w:val="276"/>
        </w:trPr>
        <w:tc>
          <w:tcPr>
            <w:tcW w:w="672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auto"/>
            </w:tcBorders>
            <w:shd w:val="clear" w:color="auto" w:fill="CFF0FC"/>
          </w:tcPr>
          <w:p>
            <w:pPr>
              <w:jc w:val="right"/>
              <w:ind w:right="113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18,685</w:t>
            </w:r>
          </w:p>
        </w:tc>
        <w:tc>
          <w:tcPr>
            <w:tcW w:w="38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21,648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5544820</wp:posOffset>
            </wp:positionH>
            <wp:positionV relativeFrom="paragraph">
              <wp:posOffset>-24765</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-7620</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As of December 31, 2023, total unrecognized stock-based compensation expense related to unvested stock-based awards was $37.6 million, which is expected to be recognized over a weighted-average period of 2.5 years.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2021 Employee Stock Purchase Plan</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July 2021, the Company’s board of directors adopted, and its stockholders approved, the 2021 Employee Stock Purchase Plan (the “2021 ESPP”), which became effective immediately prior to and contingent upon the execution of the underwriting agreement related to the Company’s IPO. A total of 1,342,773 shares of common stock were initially reserved for issuance under the 2021 ESPP. There were 290,996 shares issued under the 2021 ESPP as of December 31, 2023. The number of shares of common stock that may be issued under the 2021 ESPP will automatically increase on the first day of each calendar year, pursuant to the evergreen provision thereof, beginning on January 1, 2022 and continuing through January 1, 2031, by an amount equal to the lesser of (i) 1% of the shares of common stock outstanding on the last day of the calendar month before the date of each automatic increase, (ii) 2,685,546 shares and (iii) an amount determined by the Company’s board of directors. The number of shares to be issued under the 2021 ESPP did not increase on January 1, 2024 or January 1, 2023, pursuant to the evergreen provision thereof, as determined by the Company’s board of directors. The first offering under the 2021 ESPP was June 6, 2022. As of December 31, 2023, 1,051,777 shares remained available for issuance under the 2021 ESPP. During the year ended December 31, 2023, the Company recognized $0.1 million in related stock-based compensation expense.</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51" w:name="page152"/>
    <w:bookmarkEnd w:id="151"/>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Warrant Expense</w:t>
      </w:r>
    </w:p>
    <w:p>
      <w:pPr>
        <w:spacing w:after="0" w:line="121" w:lineRule="exact"/>
        <w:rPr>
          <w:sz w:val="20"/>
          <w:szCs w:val="20"/>
          <w:color w:val="auto"/>
        </w:rPr>
      </w:pPr>
    </w:p>
    <w:p>
      <w:pPr>
        <w:jc w:val="both"/>
        <w:ind w:right="100" w:firstLine="509"/>
        <w:spacing w:after="0" w:line="256" w:lineRule="auto"/>
        <w:rPr>
          <w:sz w:val="20"/>
          <w:szCs w:val="20"/>
          <w:color w:val="auto"/>
        </w:rPr>
      </w:pPr>
      <w:r>
        <w:rPr>
          <w:rFonts w:ascii="Times New Roman" w:cs="Times New Roman" w:eastAsia="Times New Roman" w:hAnsi="Times New Roman"/>
          <w:sz w:val="18"/>
          <w:szCs w:val="18"/>
          <w:color w:val="auto"/>
        </w:rPr>
        <w:t>In November 2022, the Company entered into the PHP MSA, the PHP Work Order and a warrant agreement with respect to the PHP Warrant. To compensate for the services and deliverables provided by PHP, the Company issued 6,824,712 equity-classified warrants to PHP. Each warrant shall give the right to acquire common stock of the Company at a purchase price of $3.48 per share. Per the agreement, the PHP Warrant is exercisable upon either the achievement of corresponding market capitalization targets or a consummation of a fundamental transaction (as defined in the PHP Warrant); as such, there are no other requirements, including any continuous service requirements, in order for PHP to be entitled to the PHP Warrant, if and when any portion of it vests.</w:t>
      </w:r>
    </w:p>
    <w:p>
      <w:pPr>
        <w:spacing w:after="0" w:line="78" w:lineRule="exact"/>
        <w:rPr>
          <w:sz w:val="20"/>
          <w:szCs w:val="20"/>
          <w:color w:val="auto"/>
        </w:rPr>
      </w:pPr>
    </w:p>
    <w:p>
      <w:pPr>
        <w:jc w:val="both"/>
        <w:ind w:right="100" w:firstLine="509"/>
        <w:spacing w:after="0" w:line="281" w:lineRule="auto"/>
        <w:rPr>
          <w:sz w:val="20"/>
          <w:szCs w:val="20"/>
          <w:color w:val="auto"/>
        </w:rPr>
      </w:pPr>
      <w:r>
        <w:rPr>
          <w:rFonts w:ascii="Times New Roman" w:cs="Times New Roman" w:eastAsia="Times New Roman" w:hAnsi="Times New Roman"/>
          <w:sz w:val="18"/>
          <w:szCs w:val="18"/>
          <w:color w:val="auto"/>
        </w:rPr>
        <w:t>There were no warrants issued during the year ended December 31, 2023. As of December 31, 2023, there were 6,824,712 warrants outstanding at a weighted average exercise price of $3.48, with a weighted-average remaining contractual term of 8.88 years.</w:t>
      </w:r>
    </w:p>
    <w:p>
      <w:pPr>
        <w:spacing w:after="0" w:line="55" w:lineRule="exact"/>
        <w:rPr>
          <w:sz w:val="20"/>
          <w:szCs w:val="20"/>
          <w:color w:val="auto"/>
        </w:rPr>
      </w:pPr>
    </w:p>
    <w:p>
      <w:pPr>
        <w:jc w:val="both"/>
        <w:ind w:right="100" w:firstLine="509"/>
        <w:spacing w:after="0" w:line="281" w:lineRule="auto"/>
        <w:rPr>
          <w:sz w:val="20"/>
          <w:szCs w:val="20"/>
          <w:color w:val="auto"/>
        </w:rPr>
      </w:pPr>
      <w:r>
        <w:rPr>
          <w:rFonts w:ascii="Times New Roman" w:cs="Times New Roman" w:eastAsia="Times New Roman" w:hAnsi="Times New Roman"/>
          <w:sz w:val="18"/>
          <w:szCs w:val="18"/>
          <w:color w:val="auto"/>
        </w:rPr>
        <w:t>Assumptions used to determine the fair value of PHP Warrant using the simulation model based on Geometric Brownian Motion in a risk-neutral framework are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6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868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2200" w:type="dxa"/>
            <w:vAlign w:val="bottom"/>
            <w:tcBorders>
              <w:top w:val="single" w:sz="8" w:color="auto"/>
              <w:bottom w:val="single" w:sz="8" w:color="auto"/>
            </w:tcBorders>
          </w:tcPr>
          <w:p>
            <w:pPr>
              <w:jc w:val="right"/>
              <w:ind w:right="10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6"/>
        </w:trPr>
        <w:tc>
          <w:tcPr>
            <w:tcW w:w="8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grant date fair value per warrant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260" w:type="dxa"/>
            <w:vAlign w:val="bottom"/>
          </w:tcPr>
          <w:p>
            <w:pPr>
              <w:spacing w:after="0"/>
              <w:rPr>
                <w:sz w:val="20"/>
                <w:szCs w:val="20"/>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60" w:type="dxa"/>
            <w:vAlign w:val="bottom"/>
          </w:tcPr>
          <w:p>
            <w:pPr>
              <w:spacing w:after="0"/>
              <w:rPr>
                <w:sz w:val="20"/>
                <w:szCs w:val="20"/>
                <w:color w:val="auto"/>
              </w:rPr>
            </w:pPr>
          </w:p>
        </w:tc>
        <w:tc>
          <w:tcPr>
            <w:tcW w:w="2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70.0 %</w:t>
            </w:r>
          </w:p>
        </w:tc>
      </w:tr>
      <w:tr>
        <w:trPr>
          <w:trHeight w:val="243"/>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60" w:type="dxa"/>
            <w:vAlign w:val="bottom"/>
          </w:tcPr>
          <w:p>
            <w:pPr>
              <w:spacing w:after="0"/>
              <w:rPr>
                <w:sz w:val="21"/>
                <w:szCs w:val="21"/>
                <w:color w:val="auto"/>
              </w:rPr>
            </w:pPr>
          </w:p>
        </w:tc>
        <w:tc>
          <w:tcPr>
            <w:tcW w:w="2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43"/>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60" w:type="dxa"/>
            <w:vAlign w:val="bottom"/>
          </w:tcPr>
          <w:p>
            <w:pPr>
              <w:spacing w:after="0"/>
              <w:rPr>
                <w:sz w:val="21"/>
                <w:szCs w:val="21"/>
                <w:color w:val="auto"/>
              </w:rPr>
            </w:pPr>
          </w:p>
        </w:tc>
        <w:tc>
          <w:tcPr>
            <w:tcW w:w="2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shares outstanding</w:t>
            </w:r>
          </w:p>
        </w:tc>
        <w:tc>
          <w:tcPr>
            <w:tcW w:w="260" w:type="dxa"/>
            <w:vAlign w:val="bottom"/>
          </w:tcPr>
          <w:p>
            <w:pPr>
              <w:spacing w:after="0"/>
              <w:rPr>
                <w:sz w:val="21"/>
                <w:szCs w:val="21"/>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108,982,401</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-607060</wp:posOffset>
            </wp:positionV>
            <wp:extent cx="7132320" cy="15430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aggregate grant date fair value of the PHP Warrant was $17.4 million, which was recognized as warrant expense on the grant date in November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21" w:lineRule="exact"/>
        <w:rPr>
          <w:sz w:val="20"/>
          <w:szCs w:val="20"/>
          <w:color w:val="auto"/>
        </w:rPr>
      </w:pPr>
    </w:p>
    <w:p>
      <w:pPr>
        <w:jc w:val="both"/>
        <w:ind w:right="100" w:firstLine="509"/>
        <w:spacing w:after="0" w:line="265" w:lineRule="auto"/>
        <w:rPr>
          <w:sz w:val="20"/>
          <w:szCs w:val="20"/>
          <w:color w:val="auto"/>
        </w:rPr>
      </w:pPr>
      <w:r>
        <w:rPr>
          <w:rFonts w:ascii="Times New Roman" w:cs="Times New Roman" w:eastAsia="Times New Roman" w:hAnsi="Times New Roman"/>
          <w:sz w:val="18"/>
          <w:szCs w:val="18"/>
          <w:color w:val="auto"/>
        </w:rPr>
        <w:t>During the years ended December 31, 2023 and 2022, the Company did not record income tax benefits for the net operating losses (“NOLs”) incurred or for the research and development tax credits generated in each period, due to its uncertainty of realizing a benefit from those items. All of the Company’s operating losses since inception have been generated in the U.S.</w:t>
      </w:r>
    </w:p>
    <w:p>
      <w:pPr>
        <w:spacing w:after="0" w:line="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of the U.S. federal statutory income tax rate to the Company’s effective income tax rate is as follows:</w:t>
      </w:r>
    </w:p>
    <w:p>
      <w:pPr>
        <w:spacing w:after="0" w:line="339"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6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620" w:type="dxa"/>
            <w:vAlign w:val="bottom"/>
            <w:tcBorders>
              <w:top w:val="single" w:sz="8" w:color="auto"/>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8"/>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Federal statutory income tax rate</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45"/>
        </w:trPr>
        <w:tc>
          <w:tcPr>
            <w:tcW w:w="8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(11.0 )</w:t>
            </w:r>
          </w:p>
        </w:tc>
        <w:tc>
          <w:tcPr>
            <w:tcW w:w="120" w:type="dxa"/>
            <w:vAlign w:val="bottom"/>
          </w:tcPr>
          <w:p>
            <w:pPr>
              <w:spacing w:after="0"/>
              <w:rPr>
                <w:sz w:val="21"/>
                <w:szCs w:val="21"/>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tcPr>
          <w:p>
            <w:pPr>
              <w:spacing w:after="0"/>
              <w:rPr>
                <w:sz w:val="21"/>
                <w:szCs w:val="21"/>
                <w:color w:val="auto"/>
              </w:rPr>
            </w:pPr>
          </w:p>
        </w:tc>
      </w:tr>
      <w:tr>
        <w:trPr>
          <w:trHeight w:val="249"/>
        </w:trPr>
        <w:tc>
          <w:tcPr>
            <w:tcW w:w="87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Federal research and development tax credits</w:t>
            </w:r>
          </w:p>
        </w:tc>
        <w:tc>
          <w:tcPr>
            <w:tcW w:w="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(3.0 )</w:t>
            </w:r>
          </w:p>
        </w:tc>
        <w:tc>
          <w:tcPr>
            <w:tcW w:w="120" w:type="dxa"/>
            <w:vAlign w:val="bottom"/>
            <w:shd w:val="clear" w:color="auto" w:fill="CFF0FC"/>
          </w:tcPr>
          <w:p>
            <w:pPr>
              <w:spacing w:after="0"/>
              <w:rPr>
                <w:sz w:val="21"/>
                <w:szCs w:val="21"/>
                <w:color w:val="auto"/>
              </w:rPr>
            </w:pP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tcPr>
          <w:p>
            <w:pPr>
              <w:spacing w:after="0"/>
              <w:rPr>
                <w:sz w:val="21"/>
                <w:szCs w:val="21"/>
                <w:color w:val="auto"/>
              </w:rPr>
            </w:pPr>
          </w:p>
        </w:tc>
      </w:tr>
      <w:tr>
        <w:trPr>
          <w:trHeight w:val="238"/>
        </w:trPr>
        <w:tc>
          <w:tcPr>
            <w:tcW w:w="8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87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deferred tax asset valuation allowance</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tcPr>
          <w:p>
            <w:pPr>
              <w:spacing w:after="0"/>
              <w:rPr>
                <w:sz w:val="20"/>
                <w:szCs w:val="20"/>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0"/>
        </w:trPr>
        <w:tc>
          <w:tcPr>
            <w:tcW w:w="76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100" w:type="dxa"/>
            <w:vAlign w:val="bottom"/>
          </w:tcPr>
          <w:p>
            <w:pPr>
              <w:spacing w:after="0"/>
              <w:rPr>
                <w:sz w:val="20"/>
                <w:szCs w:val="20"/>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76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32"/>
        </w:trPr>
        <w:tc>
          <w:tcPr>
            <w:tcW w:w="8760" w:type="dxa"/>
            <w:vAlign w:val="bottom"/>
            <w:gridSpan w:val="2"/>
          </w:tcPr>
          <w:p>
            <w:pPr>
              <w:ind w:left="5460"/>
              <w:spacing w:after="0"/>
              <w:rPr>
                <w:sz w:val="20"/>
                <w:szCs w:val="20"/>
                <w:color w:val="auto"/>
              </w:rPr>
            </w:pPr>
            <w:r>
              <w:rPr>
                <w:rFonts w:ascii="Times New Roman" w:cs="Times New Roman" w:eastAsia="Times New Roman" w:hAnsi="Times New Roman"/>
                <w:sz w:val="18"/>
                <w:szCs w:val="18"/>
                <w:color w:val="auto"/>
              </w:rPr>
              <w:t>F-28</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2"/>
        </w:trPr>
        <w:tc>
          <w:tcPr>
            <w:tcW w:w="76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-2019935</wp:posOffset>
            </wp:positionV>
            <wp:extent cx="7132320" cy="15430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-1086485</wp:posOffset>
            </wp:positionV>
            <wp:extent cx="7132320" cy="17970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1412" w:right="239" w:bottom="1440" w:gutter="0" w:footer="0" w:header="0"/>
        </w:sectPr>
      </w:pPr>
    </w:p>
    <w:bookmarkStart w:id="152" w:name="page153"/>
    <w:bookmarkEnd w:id="152"/>
    <w:p>
      <w:pPr>
        <w:ind w:left="520"/>
        <w:spacing w:after="0"/>
        <w:rPr>
          <w:sz w:val="20"/>
          <w:szCs w:val="20"/>
          <w:color w:val="auto"/>
        </w:rPr>
      </w:pPr>
      <w:r>
        <w:rPr>
          <w:rFonts w:ascii="Times New Roman" w:cs="Times New Roman" w:eastAsia="Times New Roman" w:hAnsi="Times New Roman"/>
          <w:sz w:val="18"/>
          <w:szCs w:val="18"/>
          <w:color w:val="auto"/>
        </w:rPr>
        <w:t>The Company’s net deferred tax assets consisted of the following (in thousands):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40" w:type="dxa"/>
            <w:vAlign w:val="bottom"/>
            <w:gridSpan w:val="6"/>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7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76,441</w:t>
            </w:r>
          </w:p>
        </w:tc>
        <w:tc>
          <w:tcPr>
            <w:tcW w:w="100" w:type="dxa"/>
            <w:vAlign w:val="bottom"/>
          </w:tcPr>
          <w:p>
            <w:pPr>
              <w:spacing w:after="0"/>
              <w:rPr>
                <w:sz w:val="20"/>
                <w:szCs w:val="20"/>
                <w:color w:val="auto"/>
              </w:rPr>
            </w:pPr>
          </w:p>
        </w:tc>
        <w:tc>
          <w:tcPr>
            <w:tcW w:w="5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61,653</w:t>
            </w:r>
          </w:p>
        </w:tc>
        <w:tc>
          <w:tcPr>
            <w:tcW w:w="100" w:type="dxa"/>
            <w:vAlign w:val="bottom"/>
          </w:tcPr>
          <w:p>
            <w:pPr>
              <w:spacing w:after="0"/>
              <w:rPr>
                <w:sz w:val="20"/>
                <w:szCs w:val="20"/>
                <w:color w:val="auto"/>
              </w:rPr>
            </w:pPr>
          </w:p>
        </w:tc>
      </w:tr>
      <w:tr>
        <w:trPr>
          <w:trHeight w:val="247"/>
        </w:trPr>
        <w:tc>
          <w:tcPr>
            <w:tcW w:w="77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74,115</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36,550</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Research and development tax credit carryforwards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16,901</w:t>
            </w:r>
          </w:p>
        </w:tc>
        <w:tc>
          <w:tcPr>
            <w:tcW w:w="100" w:type="dxa"/>
            <w:vAlign w:val="bottom"/>
          </w:tcPr>
          <w:p>
            <w:pPr>
              <w:spacing w:after="0"/>
              <w:rPr>
                <w:sz w:val="20"/>
                <w:szCs w:val="20"/>
                <w:color w:val="auto"/>
              </w:rPr>
            </w:pPr>
          </w:p>
        </w:tc>
      </w:tr>
      <w:tr>
        <w:trPr>
          <w:trHeight w:val="247"/>
        </w:trPr>
        <w:tc>
          <w:tcPr>
            <w:tcW w:w="77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13,921</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8,308</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Warrant expense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4,066</w:t>
            </w:r>
          </w:p>
        </w:tc>
        <w:tc>
          <w:tcPr>
            <w:tcW w:w="100" w:type="dxa"/>
            <w:vAlign w:val="bottom"/>
          </w:tcPr>
          <w:p>
            <w:pPr>
              <w:spacing w:after="0"/>
              <w:rPr>
                <w:sz w:val="20"/>
                <w:szCs w:val="20"/>
                <w:color w:val="auto"/>
              </w:rPr>
            </w:pPr>
          </w:p>
        </w:tc>
      </w:tr>
      <w:tr>
        <w:trPr>
          <w:trHeight w:val="247"/>
        </w:trPr>
        <w:tc>
          <w:tcPr>
            <w:tcW w:w="77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Intangibles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4,217</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201,084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132,220</w:t>
            </w:r>
          </w:p>
        </w:tc>
        <w:tc>
          <w:tcPr>
            <w:tcW w:w="100" w:type="dxa"/>
            <w:vAlign w:val="bottom"/>
          </w:tcPr>
          <w:p>
            <w:pPr>
              <w:spacing w:after="0"/>
              <w:rPr>
                <w:sz w:val="20"/>
                <w:szCs w:val="20"/>
                <w:color w:val="auto"/>
              </w:rPr>
            </w:pPr>
          </w:p>
        </w:tc>
      </w:tr>
      <w:tr>
        <w:trPr>
          <w:trHeight w:val="236"/>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(200,385 )</w:t>
            </w: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(131,325 )</w:t>
            </w:r>
          </w:p>
        </w:tc>
      </w:tr>
      <w:tr>
        <w:trPr>
          <w:trHeight w:val="236"/>
        </w:trPr>
        <w:tc>
          <w:tcPr>
            <w:tcW w:w="7740" w:type="dxa"/>
            <w:vAlign w:val="bottom"/>
            <w:tcBorders>
              <w:top w:val="single" w:sz="8" w:color="CFF0FC"/>
            </w:tcBorders>
            <w:gridSpan w:val="2"/>
          </w:tcPr>
          <w:p>
            <w:pPr>
              <w:ind w:left="38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tcBorders>
              <w:top w:val="single" w:sz="8" w:color="CFF0FC"/>
            </w:tcBorders>
          </w:tcPr>
          <w:p>
            <w:pPr>
              <w:spacing w:after="0"/>
              <w:rPr>
                <w:sz w:val="20"/>
                <w:szCs w:val="20"/>
                <w:color w:val="auto"/>
              </w:rPr>
            </w:pPr>
          </w:p>
        </w:tc>
      </w:tr>
      <w:tr>
        <w:trPr>
          <w:trHeight w:val="20"/>
        </w:trPr>
        <w:tc>
          <w:tcPr>
            <w:tcW w:w="7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7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(585 )</w:t>
            </w:r>
          </w:p>
        </w:tc>
        <w:tc>
          <w:tcPr>
            <w:tcW w:w="5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(884 )</w:t>
            </w:r>
          </w:p>
        </w:tc>
      </w:tr>
      <w:tr>
        <w:trPr>
          <w:trHeight w:val="243"/>
        </w:trPr>
        <w:tc>
          <w:tcPr>
            <w:tcW w:w="77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expense</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(114 )</w:t>
            </w: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(11 )</w:t>
            </w:r>
          </w:p>
        </w:tc>
      </w:tr>
      <w:tr>
        <w:trPr>
          <w:trHeight w:val="20"/>
        </w:trPr>
        <w:tc>
          <w:tcPr>
            <w:tcW w:w="754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47"/>
        </w:trPr>
        <w:tc>
          <w:tcPr>
            <w:tcW w:w="7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60" w:type="dxa"/>
            <w:vAlign w:val="bottom"/>
          </w:tcPr>
          <w:p>
            <w:pPr>
              <w:spacing w:after="0"/>
              <w:rPr>
                <w:sz w:val="21"/>
                <w:szCs w:val="21"/>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(699 )</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(895 )</w:t>
            </w:r>
          </w:p>
        </w:tc>
      </w:tr>
      <w:tr>
        <w:trPr>
          <w:trHeight w:val="278"/>
        </w:trPr>
        <w:tc>
          <w:tcPr>
            <w:tcW w:w="75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net deferred tax assets</w:t>
            </w:r>
          </w:p>
        </w:tc>
        <w:tc>
          <w:tcPr>
            <w:tcW w:w="200" w:type="dxa"/>
            <w:vAlign w:val="bottom"/>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-1335405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-1335405</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-1009650</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-1009650</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-358775</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-358775</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2023 and 2022, the Company had U.S. federal NOL carryforwards of $318.6 million and $263.7 million, respectively, which may be available to reduce future taxable income. All of the U.S. federal NOL carryforwards have an indefinite carryforward period but are limited in their usage to 80% of annual taxable income. In addition, as of December 31, 2023, the Company had state NOL carryforwards of $153.8 million, which may be available to reduce future taxable income, of which $9.6 million have an indefinite carryforward period while the remaining $144.2 million begin to expire in 2032. As of December 31, 2023, the Company also had U.S. federal and state research and development tax credit carryforwards of $19.3 million and $6.4 million, respectively, which may be available to reduce future tax liabilities and expire at various dates beginning in 2041 and 2036, respectively.</w:t>
      </w:r>
    </w:p>
    <w:p>
      <w:pPr>
        <w:spacing w:after="0" w:line="7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Utilization of the U.S. federal and state NOL carryforwards and research and development tax credit carryforwards may be subject to a substantial annual limitation under Sections 382 and 383 of the Internal Revenue Code of 1986, as amended, and corresponding provisions of state law, due to ownership changes that have occurred previously or that could occur in the future. These ownership changes may limit the amount of carryforwards that can be utilized annually to offset future taxable income or tax liabilities. In general, an ownership change, as defined by Section 382, results from transactions increasing the ownership of certain stockholders or public groups in the stock of a corporation by more than 50% over a three-year period. The Company has not conducted a study to assess whether a change of control has occurred or whether there have been multiple changes of control since inception due to the significant complexity and cost associated with such a study. If the Company has experienced a change of control, as defined by Section 382, at any time since inception, utilization of the NOL carryforwards or research and development tax credit carryforwards would be subject to an annual limitation under Section 382, which is determined by first multiplying the value of the Company’s stock at the time of the ownership change by the applicable long-term tax-exempt rate, and then could be subject to additional adjustments, as required. If a change in ownership were to have occurred during that period and resulted in the restriction of NOL or credit carryforwards, the reduction in the related deferred tax asset would be offset with a corresponding reduction in the valuation allowance.</w:t>
      </w:r>
    </w:p>
    <w:p>
      <w:pPr>
        <w:spacing w:after="0" w:line="7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has evaluated the positive and negative evidence bearing upon its ability to realize the deferred tax assets. Management has considered the Company’s history of cumulative losses since inception, expectation of future losses and lack of other positive evidence and has concluded that it is more likely than not that the Company will not realize the benefits of the deferred tax assets. Accordingly, a full valuation allowance has been established against the net deferred tax assets as of December 31, 2023 and 2022. Management reevaluates the positive and negative evidence at each reporting period. During the years ended December 31, 2023 and 2022, the Company increased its valuation allowance by $69.1 million and $68.3 million, respectively, with such increase recognized as income tax expense, in order to maintain a full valuation allowance against its deferred tax assets, and there were no changes recorded to the allowance during the period.</w:t>
      </w:r>
    </w:p>
    <w:p>
      <w:pPr>
        <w:spacing w:after="0" w:line="79"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The Company assesses uncertain tax positions in accordance with the guidance for accounting for uncertain tax positions. This pronouncement prescribes a recognition threshold and measurement methodology for recording within the consolidated financial statements uncertain tax positions taken, or expected to be taken, in the Company’s income tax returns. To the extent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5" w:right="339" w:bottom="1440" w:gutter="0" w:footer="0" w:header="0"/>
        </w:sectPr>
      </w:pPr>
    </w:p>
    <w:bookmarkStart w:id="153" w:name="page154"/>
    <w:bookmarkEnd w:id="153"/>
    <w:p>
      <w:pPr>
        <w:jc w:val="both"/>
        <w:spacing w:after="0" w:line="260" w:lineRule="auto"/>
        <w:rPr>
          <w:sz w:val="20"/>
          <w:szCs w:val="20"/>
          <w:color w:val="auto"/>
        </w:rPr>
      </w:pPr>
      <w:r>
        <w:rPr>
          <w:rFonts w:ascii="Times New Roman" w:cs="Times New Roman" w:eastAsia="Times New Roman" w:hAnsi="Times New Roman"/>
          <w:sz w:val="18"/>
          <w:szCs w:val="18"/>
          <w:color w:val="auto"/>
        </w:rPr>
        <w:t>the uncertain tax positions do not meet the “more likely than not” threshold, the Company derecognizes such positions. For tax positions meeting the “more likely than not" threshold, the Company measures and records the highest probable benefit, and establishes appropriate reserves for benefits that exceed the amount likely to be sustained upon examination. As of December 31, 2023 and 2022, the Company has not recorded any uncertain tax positions or related interest and penalties.</w:t>
      </w:r>
    </w:p>
    <w:p>
      <w:pPr>
        <w:spacing w:after="0" w:line="74"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The Company files income tax returns in the U.S. federal and various state jurisdictions and is not currently under examination by any taxing authority for any open tax year. Due to NOL carryforwards, all years remain open for income tax examination. To the extent the Company has tax attribute carryforwards, the tax years in which the attribute was generated may still be adjusted upon examination by the federal or state tax authorities to the extent utilized in a future period. No federal or state tax audits are currently in process.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Defined Contribution Plan</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maintains a 401(k) Plan (the “401(k) Plan”) for the benefit of eligible employees. The 401(k) Plan is a defined contribution plan under Section 401(k) of the Internal Revenue Code of 1986, as amended, that covers all employees who meet defined minimum age and service requirements and allows participants to defer a portion of their annual compensation on a pre-tax basis. Pursuant to the terms of the 401(k) Plan, the Company is required to make non-elective contributions of 3% of eligible participants’ compensation. For both the years ended December 31, 2023 and 2022, the Company contributed $0.8 million to the 401(k) Plan.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Net Loss per Share</w:t>
      </w:r>
    </w:p>
    <w:p>
      <w:pPr>
        <w:spacing w:after="0" w:line="121"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was calculated as follows (in thousands, except share and per share amounts):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8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(198,643 )</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(241,317 )</w:t>
            </w:r>
          </w:p>
        </w:tc>
      </w:tr>
      <w:tr>
        <w:trPr>
          <w:trHeight w:val="20"/>
        </w:trPr>
        <w:tc>
          <w:tcPr>
            <w:tcW w:w="77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109,526,053</w:t>
            </w:r>
          </w:p>
        </w:tc>
        <w:tc>
          <w:tcPr>
            <w:tcW w:w="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108,268,289</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(1.81 )</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(2.23 )</w:t>
            </w: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-24765</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-7620</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Shares of unvested restricted common stock are not considered outstanding for accounting purposes until vested and were excluded from the calculations of basic net loss per share attributable to common stockholders for all periods presented.</w:t>
      </w:r>
    </w:p>
    <w:p>
      <w:pPr>
        <w:spacing w:after="0" w:line="5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Company’s potential dilutive securities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320" w:type="dxa"/>
            <w:vAlign w:val="bottom"/>
          </w:tcPr>
          <w:p>
            <w:pPr>
              <w:spacing w:after="0"/>
              <w:rPr>
                <w:sz w:val="16"/>
                <w:szCs w:val="16"/>
                <w:color w:val="auto"/>
              </w:rPr>
            </w:pPr>
          </w:p>
        </w:tc>
        <w:tc>
          <w:tcPr>
            <w:tcW w:w="12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13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36"/>
        </w:trPr>
        <w:tc>
          <w:tcPr>
            <w:tcW w:w="8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23,065,514</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23,239,391</w:t>
            </w:r>
          </w:p>
        </w:tc>
        <w:tc>
          <w:tcPr>
            <w:tcW w:w="100" w:type="dxa"/>
            <w:vAlign w:val="bottom"/>
            <w:shd w:val="clear" w:color="auto" w:fill="CFF0FC"/>
          </w:tcPr>
          <w:p>
            <w:pPr>
              <w:spacing w:after="0"/>
              <w:rPr>
                <w:sz w:val="20"/>
                <w:szCs w:val="20"/>
                <w:color w:val="auto"/>
              </w:rPr>
            </w:pPr>
          </w:p>
        </w:tc>
      </w:tr>
      <w:tr>
        <w:trPr>
          <w:trHeight w:val="238"/>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restricted common stock</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360,333</w:t>
            </w:r>
          </w:p>
        </w:tc>
        <w:tc>
          <w:tcPr>
            <w:tcW w:w="100" w:type="dxa"/>
            <w:vAlign w:val="bottom"/>
          </w:tcPr>
          <w:p>
            <w:pPr>
              <w:spacing w:after="0"/>
              <w:rPr>
                <w:sz w:val="20"/>
                <w:szCs w:val="20"/>
                <w:color w:val="auto"/>
              </w:rPr>
            </w:pPr>
          </w:p>
        </w:tc>
      </w:tr>
      <w:tr>
        <w:trPr>
          <w:trHeight w:val="243"/>
        </w:trPr>
        <w:tc>
          <w:tcPr>
            <w:tcW w:w="8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6,824,712</w:t>
            </w:r>
          </w:p>
        </w:tc>
        <w:tc>
          <w:tcPr>
            <w:tcW w:w="2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6,824,712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8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29,890,226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30,424,436</w:t>
            </w:r>
          </w:p>
        </w:tc>
        <w:tc>
          <w:tcPr>
            <w:tcW w:w="100" w:type="dxa"/>
            <w:vAlign w:val="bottom"/>
          </w:tcPr>
          <w:p>
            <w:pPr>
              <w:spacing w:after="0"/>
              <w:rPr>
                <w:sz w:val="20"/>
                <w:szCs w:val="20"/>
                <w:color w:val="auto"/>
              </w:rPr>
            </w:pPr>
          </w:p>
        </w:tc>
      </w:tr>
      <w:tr>
        <w:trPr>
          <w:trHeight w:val="20"/>
        </w:trPr>
        <w:tc>
          <w:tcPr>
            <w:tcW w:w="83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6075680</wp:posOffset>
            </wp:positionH>
            <wp:positionV relativeFrom="paragraph">
              <wp:posOffset>-187960</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Related Party Transactions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2023 and December 31, 2022, an aggregate of $0.7 million and $0.3 million, respectively, was due to Adimab under the Adimab Assignment Agreement, the Adimab Collaboration Agreement, the Adimab Platform Transfer Agreement and the Adimab DNA Sequencing Services Agreement (as defined below) by the Company. As of December 31, 2023 and 2022, no amounts were due to the Company from Adimab under the Adimab Assignment Agreement, the Adimab Collaboration Agreement, the Adimab Platform Transfer Agreement or the Adimab DNA Sequencing Services Agreement.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i w:val="1"/>
          <w:iCs w:val="1"/>
          <w:color w:val="auto"/>
        </w:rPr>
        <w:t>Adimab Assignment Agreement</w:t>
      </w:r>
    </w:p>
    <w:p>
      <w:pPr>
        <w:spacing w:after="0" w:line="121"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Under the Adimab Assignment Agreement, Adimab, a principal stockholder of the Company, is entitled to receive milestone and royalty payments upon specified conditions, and receives payments from the Company for providing ongoing services under the agreement (see Note 7).</w:t>
      </w:r>
    </w:p>
    <w:p>
      <w:pPr>
        <w:spacing w:after="0" w:line="55"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During the year ended December 31, 2023, the Company recognized $3.6 million as IPR&amp;D expense with respect to milestones payable under the Adimab Assignment Agreement. During the year ended December 31, 2022, the Company did not recognize any IPR&amp;D expense with respect to milestones payable under the Adimab Assignment Agreement.</w:t>
      </w:r>
    </w:p>
    <w:p>
      <w:pPr>
        <w:spacing w:after="0" w:line="69"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During the year ended December 31, 2023, the Company did not recognize any research and development expense with respect to services performed by Adimab on the Company’s behalf under the Adimab Assignment Agreement. During the year ended December 31, 2022, the Company recognized $0.6 million of research and development expense with respect to services performed by Adimab on the Company’s behalf under the Adimab Assignment Agreement.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Adimab Collaboration Agreement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Under the Adimab Collaboration Agreement, the Company is obligated to pay Adimab for certain fees, milestones and royalty payments (see Note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w:t>
      </w:r>
    </w:p>
    <w:p>
      <w:pPr>
        <w:spacing w:after="0" w:line="98" w:lineRule="exact"/>
        <w:rPr>
          <w:sz w:val="20"/>
          <w:szCs w:val="20"/>
          <w:color w:val="auto"/>
        </w:rPr>
      </w:pPr>
    </w:p>
    <w:p>
      <w:pPr>
        <w:jc w:val="both"/>
        <w:ind w:right="20" w:firstLine="509"/>
        <w:spacing w:after="0" w:line="281" w:lineRule="auto"/>
        <w:rPr>
          <w:sz w:val="20"/>
          <w:szCs w:val="20"/>
          <w:color w:val="auto"/>
        </w:rPr>
      </w:pPr>
      <w:r>
        <w:rPr>
          <w:rFonts w:ascii="Times New Roman" w:cs="Times New Roman" w:eastAsia="Times New Roman" w:hAnsi="Times New Roman"/>
          <w:sz w:val="18"/>
          <w:szCs w:val="18"/>
          <w:color w:val="auto"/>
        </w:rPr>
        <w:t>During both the years ended December 31, 2023 and 2022, the Company recognized $5.2 million of research and development expense related to the quarterly fee under the Adimab Collaboration Agreement.</w:t>
      </w:r>
    </w:p>
    <w:p>
      <w:pPr>
        <w:spacing w:after="0" w:line="55" w:lineRule="exact"/>
        <w:rPr>
          <w:sz w:val="20"/>
          <w:szCs w:val="20"/>
          <w:color w:val="auto"/>
        </w:rPr>
      </w:pPr>
    </w:p>
    <w:p>
      <w:pPr>
        <w:jc w:val="both"/>
        <w:ind w:right="20" w:firstLine="509"/>
        <w:spacing w:after="0" w:line="281" w:lineRule="auto"/>
        <w:rPr>
          <w:sz w:val="20"/>
          <w:szCs w:val="20"/>
          <w:color w:val="auto"/>
        </w:rPr>
      </w:pPr>
      <w:r>
        <w:rPr>
          <w:rFonts w:ascii="Times New Roman" w:cs="Times New Roman" w:eastAsia="Times New Roman" w:hAnsi="Times New Roman"/>
          <w:sz w:val="18"/>
          <w:szCs w:val="18"/>
          <w:color w:val="auto"/>
        </w:rPr>
        <w:t>During the years ended December 31, 2023 and 2022, the Company recognized $0.5 million and $1.7 million, respectively, of research and development expense with respect to services performed by Adimab on the Company’s behalf under the Adimab Collaboration Agreement.</w:t>
      </w:r>
    </w:p>
    <w:p>
      <w:pPr>
        <w:spacing w:after="0" w:line="55" w:lineRule="exact"/>
        <w:rPr>
          <w:sz w:val="20"/>
          <w:szCs w:val="20"/>
          <w:color w:val="auto"/>
        </w:rPr>
      </w:pPr>
    </w:p>
    <w:p>
      <w:pPr>
        <w:jc w:val="both"/>
        <w:ind w:right="20" w:firstLine="509"/>
        <w:spacing w:after="0" w:line="281" w:lineRule="auto"/>
        <w:rPr>
          <w:sz w:val="20"/>
          <w:szCs w:val="20"/>
          <w:color w:val="auto"/>
        </w:rPr>
      </w:pPr>
      <w:r>
        <w:rPr>
          <w:rFonts w:ascii="Times New Roman" w:cs="Times New Roman" w:eastAsia="Times New Roman" w:hAnsi="Times New Roman"/>
          <w:sz w:val="18"/>
          <w:szCs w:val="18"/>
          <w:color w:val="auto"/>
        </w:rPr>
        <w:t>During both the years ended December 31, 2023 and 2022, the Company recognized $1.0 million of IPR&amp;D expense related to an option exercise fee under the Adimab Collaboration Agreement.</w:t>
      </w:r>
    </w:p>
    <w:p>
      <w:pPr>
        <w:spacing w:after="0" w:line="55" w:lineRule="exact"/>
        <w:rPr>
          <w:sz w:val="20"/>
          <w:szCs w:val="20"/>
          <w:color w:val="auto"/>
        </w:rPr>
      </w:pPr>
    </w:p>
    <w:p>
      <w:pPr>
        <w:jc w:val="both"/>
        <w:ind w:right="20" w:firstLine="509"/>
        <w:spacing w:after="0" w:line="281" w:lineRule="auto"/>
        <w:rPr>
          <w:sz w:val="20"/>
          <w:szCs w:val="20"/>
          <w:color w:val="auto"/>
        </w:rPr>
      </w:pPr>
      <w:r>
        <w:rPr>
          <w:rFonts w:ascii="Times New Roman" w:cs="Times New Roman" w:eastAsia="Times New Roman" w:hAnsi="Times New Roman"/>
          <w:sz w:val="18"/>
          <w:szCs w:val="18"/>
          <w:color w:val="auto"/>
        </w:rPr>
        <w:t>During the years ended December 31, 2023 and 2022, the Company recognized $0.2 million and $0.4 million, respectively, of IPR&amp;D expense related to drug delivery fees under the Adimab Collaboration Agreement.</w:t>
      </w:r>
    </w:p>
    <w:p>
      <w:pPr>
        <w:spacing w:after="0" w:line="55"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During the year ended December 31, 2023, the Company recognized $0.2 million of IPR&amp;D expense related to an optimization completion fee under the Adimab Collaboration Agreement. During the year ended December 31, 2022, the Company did not recognize any IPR&amp;D expense related to an optimization completion fee under the Adimab Collaboration Agreement.</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Adimab Platform Transfer Agreement</w:t>
      </w:r>
    </w:p>
    <w:p>
      <w:pPr>
        <w:spacing w:after="0" w:line="121" w:lineRule="exact"/>
        <w:rPr>
          <w:sz w:val="20"/>
          <w:szCs w:val="20"/>
          <w:color w:val="auto"/>
        </w:rPr>
      </w:pPr>
    </w:p>
    <w:p>
      <w:pPr>
        <w:jc w:val="both"/>
        <w:ind w:right="20" w:firstLine="509"/>
        <w:spacing w:after="0" w:line="281" w:lineRule="auto"/>
        <w:rPr>
          <w:sz w:val="20"/>
          <w:szCs w:val="20"/>
          <w:color w:val="auto"/>
        </w:rPr>
      </w:pPr>
      <w:r>
        <w:rPr>
          <w:rFonts w:ascii="Times New Roman" w:cs="Times New Roman" w:eastAsia="Times New Roman" w:hAnsi="Times New Roman"/>
          <w:sz w:val="18"/>
          <w:szCs w:val="18"/>
          <w:color w:val="auto"/>
        </w:rPr>
        <w:t>Under the Adimab Platform Transfer Agreement, the Company is obligated to pay Adimab for certain fees, milestones and royalty payments (see Note 7).</w:t>
      </w:r>
    </w:p>
    <w:p>
      <w:pPr>
        <w:spacing w:after="0" w:line="55"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During the year ended December 31, 2023, the Company recognized a portion of the first annual fee as research and development expense under the Adimab Platform Transfer Agreement.</w:t>
      </w:r>
    </w:p>
    <w:p>
      <w:pPr>
        <w:spacing w:after="0" w:line="55"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During the year ended December 31, 2022, the Company recognized $3.0 million of IPR&amp;D expense in connection with the upfront consideration payable for the rights assigned under the Adimab Platform Transfer Agreement.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Adimab DNA Sequencing Services Agreement</w:t>
      </w:r>
    </w:p>
    <w:p>
      <w:pPr>
        <w:spacing w:after="0" w:line="121"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In May 2023, as amended in January 2024, the Company entered into a Services Agreement with Adimab for Adimab to perform DNA sequencing on yeast samples provided by the Company, and the delivery of the resulting data and information to the Company (the “Adimab DNA Sequencing Services Agreement”). In exchange for the services performed, the Company will pay Adimab a fee for each yeast-derived DNA template sample present in the well within the sequencer plate.</w:t>
      </w:r>
    </w:p>
    <w:p>
      <w:pPr>
        <w:spacing w:after="0" w:line="74"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During the year ended December 31, 2023, the Company recognized less than $0.1 million of research and development expense with respect to services performed by Adimab on the Company’s behalf under the Adimab DNA Sequencing Services Agreement.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i w:val="1"/>
          <w:iCs w:val="1"/>
          <w:color w:val="auto"/>
        </w:rPr>
        <w:t>Mithril Group</w:t>
      </w:r>
    </w:p>
    <w:p>
      <w:pPr>
        <w:spacing w:after="0" w:line="121"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In March 2022, a group of stockholders, including, among others, Adimab; Mithril II LP; M28 Capital Management LP; Polaris Venture Partners V, L.P.; and Population Health Equity Partners III, L.P., which are collectively referred to as the Mithril Group, submitted a notice of intent to nominate three directors to the Company’s board of directors at the 2022 annual meeting of stockholders. In April 2022, the Mithril Group filed definitive proxy materials with the SEC seeking election of three directors to the Company’s board of directors and adoption of a non-binding resolution for director declassification.</w:t>
      </w:r>
    </w:p>
    <w:p>
      <w:pPr>
        <w:spacing w:after="0" w:line="74"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Subsequently, during the year ended December 31, 2022, Mithril II LP requested that the Company reimburse it for costs associated with legal expenses, corporate governance matters and stockholder proposals incurred as a result of the aforementioned matters in connection with the Company’s 2022 annual meeting of stockholders. The Company made such reimbursement payment to Mithril II LP in the amount of $1.4 million, which the Company recognized as a selling, general and administrative expense.</w:t>
      </w:r>
    </w:p>
    <w:p>
      <w:pPr>
        <w:spacing w:after="0" w:line="74"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During the year ended December 31, 2023, the Company did not recognize any expense related to the Mithril Group. As of December 31, 2023, no amounts were due to any member of the Mithril Group by the Company, and no amounts were due from any member of the Mithril Group to the Company.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Population Health Partners, L.P.</w:t>
      </w:r>
    </w:p>
    <w:p>
      <w:pPr>
        <w:spacing w:after="0" w:line="121"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Under the PHP MSA and PHP Work Order, the Company was obligated to pay cash compensation for services and deliverables (see Note 8). Clive Meanwell, M.D. and Tamsin Berry, members of the Company’s board of directors, are Managing Partner and Limited Partner of PHP, respectively.</w:t>
      </w:r>
    </w:p>
    <w:p>
      <w:pPr>
        <w:spacing w:after="0" w:line="55"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8"/>
          <w:szCs w:val="18"/>
          <w:color w:val="auto"/>
        </w:rPr>
        <w:t>During the years ended December 31, 2023 and 2022, the Company recognized $2.2 million and $0.8 million, respectively, of research and development expense related to services performed by PHP in connection with the PHP Work Order, which terminated in accordance with its terms in May 2023.</w:t>
      </w:r>
    </w:p>
    <w:p>
      <w:pPr>
        <w:spacing w:after="0" w:line="69"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During the year ended December 31, 2023, the Company did not recognize any warrant expense. During the year ended December 31, 2022, the Company recognized $17.4 million of warrant expense related to warrants issued to PHP in connection with the PHP Warrant.</w:t>
      </w:r>
    </w:p>
    <w:p>
      <w:pPr>
        <w:spacing w:after="0" w:line="55"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8"/>
          <w:szCs w:val="18"/>
          <w:color w:val="auto"/>
        </w:rPr>
        <w:t>As of December 31, 2023, no amounts were due to PHP by the Company, and no amounts were due from PHP to the Company. As of December 31, 2022, $0.8 million was due to PHP by the Company, and no amounts were due from PHP to the Company.</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22"/>
          <w:szCs w:val="22"/>
          <w:b w:val="1"/>
          <w:bCs w:val="1"/>
          <w:color w:val="auto"/>
        </w:rPr>
        <w:t>Exhibit 4.2</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DESCRIPTION OF THE REGISTRANT’S SECURITIES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REGISTERED PURSUANT TO SECTION 12 OF THE</w:t>
      </w: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EXCHANGE ACT OF 1934</w:t>
      </w:r>
    </w:p>
    <w:p>
      <w:pPr>
        <w:spacing w:after="0" w:line="222" w:lineRule="exact"/>
        <w:rPr>
          <w:sz w:val="20"/>
          <w:szCs w:val="20"/>
          <w:color w:val="auto"/>
        </w:rPr>
      </w:pPr>
    </w:p>
    <w:p>
      <w:pPr>
        <w:jc w:val="both"/>
        <w:spacing w:after="0" w:line="314" w:lineRule="auto"/>
        <w:rPr>
          <w:sz w:val="20"/>
          <w:szCs w:val="20"/>
          <w:color w:val="auto"/>
        </w:rPr>
      </w:pPr>
      <w:r>
        <w:rPr>
          <w:rFonts w:ascii="Times New Roman" w:cs="Times New Roman" w:eastAsia="Times New Roman" w:hAnsi="Times New Roman"/>
          <w:sz w:val="17"/>
          <w:szCs w:val="17"/>
          <w:i w:val="1"/>
          <w:iCs w:val="1"/>
          <w:color w:val="auto"/>
        </w:rPr>
        <w:t>As of the date of the Annual Report on Form 10-K of which this exhibit forms a part, the only class of securities of Invivyd, Inc. (the “Company”) registered under Section 12 of the Securities Exchange Act of 1934, as amended (the “Exchange Act”), is the Company’s common stock, par value $0.0001 per share.</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description of the common stock of the Company and certain provisions of the Company’s amended and restated certificate of incorporation, as amended (the “Certificate of Incorporation”), and the Company’s amended and restated bylaws, as amended (the “Bylaws”), are summaries. These summaries are qualified in their entirety by reference to (i) the complete texts of the Certificate of Incorporation and the Bylaws, which are incorporated by reference as exhibits to the Annual Report on Form 10-K of which this exhibit forms a part, and (ii) the provisions of the General Corporation Law of the State of Delaware (the “DGCL”).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authorized to issue up to 1,010,000,000 shares, of which 1,000,000,000 have been designated common stock, par value $0.0001 per share.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Each holder of the Company’s common stock is entitled to one vote for each share on all matters submitted to a vote of the stockholders, including the election of directors.</w:t>
      </w:r>
    </w:p>
    <w:p>
      <w:pPr>
        <w:spacing w:after="0" w:line="16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Except as otherwise provided by statute or by applicable stock exchange rules, or by the Certificate of Incorporation or the Bylaws, in all matters other than the election of directors, the affirmative vote of the majority of shares present in person, by remote communication, if applicable, or represented by proxy at the meeting and entitled to vote generally on the subject matter shall be the act of the stockholders. Except as otherwise provided by statute, the Certificate of Incorporation or the Bylaws, directors are elected by a plurality of the votes of the shares present in person, by remote communication, if applicable, or represented by proxy at the meeting and entitled to vote generally on the election of directors. Where a separate vote by a class or classes or series is required, except where otherwise provided by the statute or by the Certificate of Incorporation or the Bylaws, a majority of the outstanding shares of such class or classes or series, present in person, by remote communication, if applicable, or represented by proxy duly authorized, shall constitute a quorum entitled to take action with respect to that vote on that matter. Except where otherwise provided by statute or by the Certificate of Incorporation or the Bylaws, the affirmative vote of the majority (plurality, in the case of the election of directors) of shares of such class or classes or series present in person, by remote communication, if applicable, or represented by proxy at the meeting shall be the act of such class or classes or series.</w:t>
      </w:r>
    </w:p>
    <w:p>
      <w:pPr>
        <w:spacing w:after="0" w:line="19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affirmative vote of holders of at least sixty-six and two-thirds percent (66 2/3%) of the voting power of all of the then-outstanding shares of capital stock entitled to vote in generally in the election of directors, voting as a single class, is required to alter, amend or repeal certain provisions of the Certificate of Incorporation, including provisions relating to amending the Bylaws, the size of the Company’s board of directors, removal of directors, director liability, vacancies on the Company’s board of directors, special meetings, stockholder notices, actions by written consent and exclusive forum.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1552575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Subject to preferences that may be applicable to any then-outstanding preferred stock, holders of common stock are entitled to receive ratably those dividends, if any, as may be declared from time to time by the board of directors out of legally available funds.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22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the event of the Company’s liquidation, dissolution or winding up, holders of common stock will be entitled to share ratably in the net assets legally available for distribution to stockholders after the payment of all of the Company’s debts and other liabilities and the satisfaction of any liquidation preference granted to the holders of any then-outstanding shares of preferred stock.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and Preferences</w:t>
      </w:r>
    </w:p>
    <w:p>
      <w:pPr>
        <w:spacing w:after="0" w:line="22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Holders of common stock have no preemptive, conversion or subscription rights and there are no redemption or sinking fund provisions applicable to the common stock. The rights, preferences and privileges of the holders of common stock are subject to, and may be adversely affected by, the right of the holders of shares of any series of preferred stock that the Company’s board of directors may designate in the future.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9"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The Company and certain holders of its common stock have entered into a second amended and restated investors’ rights agreement (the “Investors’ Rights Agreement”). The registration rights provisions of this agreement provide those holders with demand, piggyback and Form S-3 registration rights with respect to the shares of common stock currently held by them. These shares are collectively referred to herein as “Registrable Securities.”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Demand Registration Rights</w:t>
      </w:r>
    </w:p>
    <w:p>
      <w:pPr>
        <w:spacing w:after="0" w:line="229"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The holders of a majority of Registrable Securities then outstanding have the right to demand that the Company file a registration statement covering at least thirty percent (30%) of the Registrable Securities then outstanding. These registration rights are subject to specified conditions and limitations, including the right of the underwriters, if any, to limit the number of shares included in any such registration under specified circumstances. Upon such a request, the Company is required to effect the registration pursuant to the terms of the Investors’ Rights Agreement.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Piggyback Registration Rights</w:t>
      </w:r>
    </w:p>
    <w:p>
      <w:pPr>
        <w:spacing w:after="0" w:line="229"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If the Company proposes to register any of its securities under the Securities Act of 1933, as amended “the “Securities Act”), either for its own account or for the account of other stockholders, the holders of Registrable Securities will each be entitled to notice of the registration and will be entitled to include their shares of common stock in the registration statement. These piggyback registration rights are subject to specified conditions and limitations, including the right of the underwriters to limit the number of shares included in any such registration under specified circumstances.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on Form S-3</w:t>
      </w:r>
    </w:p>
    <w:p>
      <w:pPr>
        <w:spacing w:after="0" w:line="229"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The holders of at least thirty percent (30%) of the Registrable Securities outstanding are entitled to request to have such shares registered by the Company on a Form S-3 registration statement. These Form S-3 registration rights are subject to other specified conditions and limitations, including the condition that the anticipated aggregate offering price is at least $1.0 million. Upon receipt of this request, the holders of Registrable Securities will each be entitled to participate in this registration.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1552575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 of Registration</w:t>
      </w:r>
    </w:p>
    <w:p>
      <w:pPr>
        <w:spacing w:after="0" w:line="229"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The Company is required to pay all expenses, including fees and expenses of one counsel to represent the selling stockholders, relating to any demand, piggyback or Form S-3 registration, other than underwriting discounts and commissions, stock transfer taxes and any additional fees of counsel for the selling stockholders, subject to specified conditions and limitations. The Company is not required to pay registration expenses if a demand registration request is withdrawn at the request of a majority of holders of Registrable Securities to be registered, unless holders of a majority of the Registrable Securities agree to forfeit their right to one demand registration.</w:t>
      </w:r>
    </w:p>
    <w:p>
      <w:pPr>
        <w:spacing w:after="0" w:line="182"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The Investors’ Rights Agreement contains customary cross-indemnification provisions, pursuant to which the Company is obligated to indemnify the selling stockholders in the event of material misstatements or omissions in the applicable registration statement attributable to the Company, and the selling stockholders are obligated to indemnify the Company for material misstatements or omissions in the registration statement attributable to them, subject to certain limitations.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 of Registration Rights</w:t>
      </w:r>
    </w:p>
    <w:p>
      <w:pPr>
        <w:spacing w:after="0" w:line="229"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The registration rights granted under the Investors’ Rights Agreement will terminate with respect to any particular stockholder upon the earliest of (a) the closing of a deemed liquidation event, as defined in the Certificate of Incorporation, (b) with respect to each stockholder, at such time such stockholder is able to sell all of its shares pursuant to Rule 144 or another similar exemption under the Securities Act during a three-month period without registration and (c) the fifth anniversary of the closing of the Company’s initial public offering.</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2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The Company is subject to Section 203 of the DGCL,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163" w:lineRule="exact"/>
        <w:rPr>
          <w:sz w:val="20"/>
          <w:szCs w:val="20"/>
          <w:color w:val="auto"/>
        </w:rPr>
      </w:pPr>
    </w:p>
    <w:p>
      <w:pPr>
        <w:ind w:left="760" w:hanging="378"/>
        <w:spacing w:after="0" w:line="281" w:lineRule="auto"/>
        <w:tabs>
          <w:tab w:leader="none" w:pos="7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such date, the board of directors of the corporation approved either the business combination or the transaction that resulted in the stockholder becoming an interested stockholder;</w:t>
      </w:r>
    </w:p>
    <w:p>
      <w:pPr>
        <w:spacing w:after="0" w:line="54"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transaction that resulted in the stockholder becoming an interested stockholder, the interested stockholder owned at least eighty-five percent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74" w:lineRule="exact"/>
        <w:rPr>
          <w:rFonts w:ascii="Times New Roman" w:cs="Times New Roman" w:eastAsia="Times New Roman" w:hAnsi="Times New Roman"/>
          <w:sz w:val="18"/>
          <w:szCs w:val="18"/>
          <w:color w:val="auto"/>
        </w:rPr>
      </w:pPr>
    </w:p>
    <w:p>
      <w:pPr>
        <w:jc w:val="both"/>
        <w:ind w:left="760" w:hanging="378"/>
        <w:spacing w:after="0" w:line="265" w:lineRule="auto"/>
        <w:tabs>
          <w:tab w:leader="none" w:pos="7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such date, the business combination is approved by the board of directors and authorized at an annual or special meeting of the stockholders, and not by written consent, by the affirmative vote of at least sixty-six and two-thirds percent (66 2/3%) of the outstanding voting stock that is not owned by the interested stockholder.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general, Section 203 defines a “business combination” to include the following:</w:t>
      </w:r>
    </w:p>
    <w:p>
      <w:pPr>
        <w:spacing w:after="0" w:line="225" w:lineRule="exact"/>
        <w:rPr>
          <w:sz w:val="20"/>
          <w:szCs w:val="20"/>
          <w:color w:val="auto"/>
        </w:rPr>
      </w:pPr>
    </w:p>
    <w:p>
      <w:pPr>
        <w:ind w:left="760" w:hanging="378"/>
        <w:spacing w:after="0" w:line="281" w:lineRule="auto"/>
        <w:tabs>
          <w:tab w:leader="none" w:pos="7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or any direct or indirect majority-owned subsidiary of the corporation and the interested stockholder;</w:t>
      </w:r>
    </w:p>
    <w:p>
      <w:pPr>
        <w:spacing w:after="0" w:line="54" w:lineRule="exact"/>
        <w:rPr>
          <w:rFonts w:ascii="Times New Roman" w:cs="Times New Roman" w:eastAsia="Times New Roman" w:hAnsi="Times New Roman"/>
          <w:sz w:val="18"/>
          <w:szCs w:val="18"/>
          <w:color w:val="auto"/>
        </w:rPr>
      </w:pPr>
    </w:p>
    <w:p>
      <w:pPr>
        <w:ind w:left="760" w:hanging="378"/>
        <w:spacing w:after="0" w:line="281" w:lineRule="auto"/>
        <w:tabs>
          <w:tab w:leader="none" w:pos="7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lease, exchange, mortgage, pledge, transfer or other disposition of ten percent (10%) or more of the assets of the corporation or of any direct or indirect majority-owned subsidiary involving the interested stockholder (in one transaction or a series of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923925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59" w:name="page160"/>
    <w:bookmarkEnd w:id="159"/>
    <w:p>
      <w:pPr>
        <w:ind w:left="760" w:hanging="378"/>
        <w:spacing w:after="0" w:line="281" w:lineRule="auto"/>
        <w:tabs>
          <w:tab w:leader="none" w:pos="7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any transaction that results in the issuance or transfer by the corporation or by any direct or indirect majority-owned subsidiary of the corporation of any stock of the corporation or of such subsidiary to the interested stockholder;</w:t>
      </w:r>
    </w:p>
    <w:p>
      <w:pPr>
        <w:spacing w:after="0" w:line="54" w:lineRule="exact"/>
        <w:rPr>
          <w:rFonts w:ascii="Times New Roman" w:cs="Times New Roman" w:eastAsia="Times New Roman" w:hAnsi="Times New Roman"/>
          <w:sz w:val="18"/>
          <w:szCs w:val="18"/>
          <w:color w:val="auto"/>
        </w:rPr>
      </w:pPr>
    </w:p>
    <w:p>
      <w:pPr>
        <w:jc w:val="both"/>
        <w:ind w:left="760" w:hanging="378"/>
        <w:spacing w:after="0" w:line="265" w:lineRule="auto"/>
        <w:tabs>
          <w:tab w:leader="none" w:pos="7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or any direct or indirect majority-owned subsidiary of the corporation that has the effect of increasing the proportionate share of the stock or any class or series of the corporation or any such subsidiary beneficially owned by the interested stockholder; or</w:t>
      </w:r>
    </w:p>
    <w:p>
      <w:pPr>
        <w:spacing w:after="0" w:line="69" w:lineRule="exact"/>
        <w:rPr>
          <w:rFonts w:ascii="Times New Roman" w:cs="Times New Roman" w:eastAsia="Times New Roman" w:hAnsi="Times New Roman"/>
          <w:sz w:val="18"/>
          <w:szCs w:val="18"/>
          <w:color w:val="auto"/>
        </w:rPr>
      </w:pPr>
    </w:p>
    <w:p>
      <w:pPr>
        <w:ind w:left="760" w:hanging="378"/>
        <w:spacing w:after="0" w:line="281" w:lineRule="auto"/>
        <w:tabs>
          <w:tab w:leader="none" w:pos="7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by or through the corporation.</w:t>
      </w:r>
    </w:p>
    <w:p>
      <w:pPr>
        <w:spacing w:after="0" w:line="16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fifteen percent (15%) or more of the outstanding voting stock of the corporation.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Certificate of Incorporation and Amended and Restated Bylaws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Because the Company’s stockholders do not have cumulative voting rights, stockholders holding a majority of the shares of common stock outstanding are able to elect all of the Company’s directors. The Certificate of Incorporation provides that any individual director or directors may be removed with or without cause by the affirmative vote of the holders of at least a majority of the voting power of all then-outstanding shares of capital stock of the Company entitled to vote generally at an election of directors. Furthermore, the authorized number of directors may be changed only by resolution of the board of directors, and vacancies and newly created directorships on the board of directors may, except as otherwise required by law or determined by the board of directors and subject to the rights of any series of then-outstanding preferred stock, only be filled by a majority vote of the directors then serving on the board, even though less than a quorum.</w:t>
      </w:r>
    </w:p>
    <w:p>
      <w:pPr>
        <w:spacing w:after="0" w:line="18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Certificate of Incorporation and the Bylaws also provide that all stockholder actions must be effected at a duly called meeting of stockholders and eliminate the right of stockholders to act by written consent without a meeting. The Bylaws provide that only the chairman of the board of directors, the chief executive officer or the board of directors pursuant to a resolution adopted by a majority of the total number of authorized directors may call a special meeting of stockholders.</w:t>
      </w:r>
    </w:p>
    <w:p>
      <w:pPr>
        <w:spacing w:after="0" w:line="18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Bylaws also provide that stockholders seeking to present proposals before a meeting of stockholders to nominate candidates for election as directors at a meeting of stockholders must provide timely advance notice in writing and specify requirements as to the form and content of a stockholder’s notice.</w:t>
      </w:r>
    </w:p>
    <w:p>
      <w:pPr>
        <w:spacing w:after="0" w:line="16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Certificate of Incorporation and the Bylaws provide that the stockholders cannot amend many of the provisions described above except by a vote of at least sixty-six and two-thirds percent (66 2/3%) of the voting power of all of the then-outstanding shares of capital stock entitled to vote generally at an election of directors.</w:t>
      </w:r>
    </w:p>
    <w:p>
      <w:pPr>
        <w:spacing w:after="0" w:line="17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Certificate of Incorporation gives the Company’s board of directors the authority, without further action by the Company’s stockholders, to issue up to 10,000,000 shares of preferred stock in one or more series, with any rights, preferences and privileges as they may designate, including the right to approve an acquisition or other change in control.</w:t>
      </w:r>
    </w:p>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combination of these provisions makes it more difficult for the Company’s existing stockholders to replace the Company’s board of directors as well as for another party to obtain control of the Company by replacing the Company’s board of directors. Since the Company’s board of directors has the power to retain and discharge the Company’s officers, these provisions could also make it more difficult for existing stockholders or another party to effect a change in management. In addition, the authorization of undesignated preferred stock makes it possible for the Company’s board of directors to issue preferred stock with voting or other rights or preferences that could impede the success of any attempt to change control of the Company.</w:t>
      </w:r>
    </w:p>
    <w:p>
      <w:pPr>
        <w:spacing w:after="0" w:line="182"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These provisions are intended to enhance the likelihood of continued stability in the composition of the Company’s board of directors and its policies and to discourage coercive takeover practices and inadequate takeover bids. These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992505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160" w:name="page161"/>
    <w:bookmarkEnd w:id="160"/>
    <w:p>
      <w:pPr>
        <w:jc w:val="both"/>
        <w:spacing w:after="0" w:line="255" w:lineRule="auto"/>
        <w:rPr>
          <w:sz w:val="20"/>
          <w:szCs w:val="20"/>
          <w:color w:val="auto"/>
        </w:rPr>
      </w:pPr>
      <w:r>
        <w:rPr>
          <w:rFonts w:ascii="Times New Roman" w:cs="Times New Roman" w:eastAsia="Times New Roman" w:hAnsi="Times New Roman"/>
          <w:sz w:val="18"/>
          <w:szCs w:val="18"/>
          <w:color w:val="auto"/>
        </w:rPr>
        <w:t>provisions are also designed to reduce the Company’s vulnerability to hostile takeovers and to discourage certain tactics that may be used in proxy fights. However, such provisions could have the effect of discouraging others from making tender offers for the Company’s shares and may have the effect of delaying changes in the Company’s control or management. As a consequence, these provisions may also inhibit fluctuations in the market price of the Company’s stock that could result from actual or rumored takeover attempts. The Company believes that the benefits of these provisions, including increased protection of the Company’s potential ability to negotiate with the proponent of an unfriendly or unsolicited proposal to acquire or restructure the Company, outweigh the disadvantages of discouraging takeover proposals, because negotiation of takeover proposals could result in an improvement of their terms.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Choice of Forum</w:t>
      </w:r>
    </w:p>
    <w:p>
      <w:pPr>
        <w:spacing w:after="0" w:line="229"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The Certificate of Incorporation provides that the Court of Chancery of the State of Delaware will be the exclusive forum for the following types of actions or proceedings under Delaware statutory or common law:</w:t>
      </w:r>
    </w:p>
    <w:p>
      <w:pPr>
        <w:spacing w:after="0" w:line="82" w:lineRule="exact"/>
        <w:rPr>
          <w:sz w:val="20"/>
          <w:szCs w:val="20"/>
          <w:color w:val="auto"/>
        </w:rPr>
      </w:pPr>
    </w:p>
    <w:p>
      <w:pPr>
        <w:ind w:left="1040" w:hanging="452"/>
        <w:spacing w:after="0"/>
        <w:tabs>
          <w:tab w:leader="none" w:pos="10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behalf of the Company;</w:t>
      </w:r>
    </w:p>
    <w:p>
      <w:pPr>
        <w:spacing w:after="0" w:line="157" w:lineRule="exact"/>
        <w:rPr>
          <w:rFonts w:ascii="Times New Roman" w:cs="Times New Roman" w:eastAsia="Times New Roman" w:hAnsi="Times New Roman"/>
          <w:sz w:val="18"/>
          <w:szCs w:val="18"/>
          <w:color w:val="auto"/>
        </w:rPr>
      </w:pPr>
    </w:p>
    <w:p>
      <w:pPr>
        <w:ind w:left="1040" w:hanging="452"/>
        <w:spacing w:after="0"/>
        <w:tabs>
          <w:tab w:leader="none" w:pos="10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breach of fiduciary duty;</w:t>
      </w:r>
    </w:p>
    <w:p>
      <w:pPr>
        <w:spacing w:after="0" w:line="157" w:lineRule="exact"/>
        <w:rPr>
          <w:rFonts w:ascii="Times New Roman" w:cs="Times New Roman" w:eastAsia="Times New Roman" w:hAnsi="Times New Roman"/>
          <w:sz w:val="18"/>
          <w:szCs w:val="18"/>
          <w:color w:val="auto"/>
        </w:rPr>
      </w:pPr>
    </w:p>
    <w:p>
      <w:pPr>
        <w:ind w:left="1040" w:hanging="452"/>
        <w:spacing w:after="0"/>
        <w:tabs>
          <w:tab w:leader="none" w:pos="10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the Company arising pursuant to the DGCL, the Restated Certificate, or the Company’s Bylaws;</w:t>
      </w:r>
    </w:p>
    <w:p>
      <w:pPr>
        <w:spacing w:after="0" w:line="157" w:lineRule="exact"/>
        <w:rPr>
          <w:rFonts w:ascii="Times New Roman" w:cs="Times New Roman" w:eastAsia="Times New Roman" w:hAnsi="Times New Roman"/>
          <w:sz w:val="18"/>
          <w:szCs w:val="18"/>
          <w:color w:val="auto"/>
        </w:rPr>
      </w:pPr>
    </w:p>
    <w:p>
      <w:pPr>
        <w:ind w:left="1040" w:hanging="452"/>
        <w:spacing w:after="0"/>
        <w:tabs>
          <w:tab w:leader="none" w:pos="10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seeking to interpret, apply, enforce or determine the validity of the Restated Certificate or the Bylaws;</w:t>
      </w:r>
    </w:p>
    <w:p>
      <w:pPr>
        <w:spacing w:after="0" w:line="157" w:lineRule="exact"/>
        <w:rPr>
          <w:rFonts w:ascii="Times New Roman" w:cs="Times New Roman" w:eastAsia="Times New Roman" w:hAnsi="Times New Roman"/>
          <w:sz w:val="18"/>
          <w:szCs w:val="18"/>
          <w:color w:val="auto"/>
        </w:rPr>
      </w:pPr>
    </w:p>
    <w:p>
      <w:pPr>
        <w:ind w:left="1040" w:hanging="452"/>
        <w:spacing w:after="0"/>
        <w:tabs>
          <w:tab w:leader="none" w:pos="10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as to which the DGCL confers jurisdiction on the Court of Chancery of the State of Delaware; or</w:t>
      </w:r>
    </w:p>
    <w:p>
      <w:pPr>
        <w:spacing w:after="0" w:line="157" w:lineRule="exact"/>
        <w:rPr>
          <w:rFonts w:ascii="Times New Roman" w:cs="Times New Roman" w:eastAsia="Times New Roman" w:hAnsi="Times New Roman"/>
          <w:sz w:val="18"/>
          <w:szCs w:val="18"/>
          <w:color w:val="auto"/>
        </w:rPr>
      </w:pPr>
    </w:p>
    <w:p>
      <w:pPr>
        <w:ind w:left="1040" w:hanging="452"/>
        <w:spacing w:after="0"/>
        <w:tabs>
          <w:tab w:leader="none" w:pos="10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the Company that is governed by the internal affairs doctrine.</w:t>
      </w:r>
    </w:p>
    <w:p>
      <w:pPr>
        <w:spacing w:after="0" w:line="23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the Certificate of Incorporation also provides that unless the Company consents in writing to the selection of an alternative forum, the federal district courts of the United States of America shall be the exclusive forum for the resolution of any complaint asserting a cause of action arising under the Securities Act.</w:t>
      </w:r>
    </w:p>
    <w:p>
      <w:pPr>
        <w:spacing w:after="0" w:line="186"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While the Delaware courts have determined that such choice of forum provisions are facially valid, a stockholder may nevertheless seek to bring a claim in a venue other than those designated in the exclusive forum provisions. In such instance, the Company would expect to vigorously assert the validity and enforceability of the exclusive forum provisions of the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8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These exclusive forum provisions may result in increased costs for investors to bring a claim. Further, these exclusive forum provisions may limit a stockholder’s ability to bring a claim in a judicial forum that it finds favorable for disputes with the Company or its directors, officers, or other employees, which may discourage lawsuits against the Company and its directors, officers and other employees. If a court were to find either exclusive-forum provision in the Certificate of Incorporation to be inapplicable or unenforceable in an action, the Company may incur further significant additional costs associated with resolving the dispute in other jurisdictions, all of which could seriously harm its business.</w:t>
      </w:r>
    </w:p>
    <w:p>
      <w:pPr>
        <w:spacing w:after="0" w:line="182" w:lineRule="exact"/>
        <w:rPr>
          <w:sz w:val="20"/>
          <w:szCs w:val="20"/>
          <w:color w:val="auto"/>
        </w:rPr>
      </w:pPr>
    </w:p>
    <w:p>
      <w:pPr>
        <w:ind w:right="300"/>
        <w:spacing w:after="0" w:line="265" w:lineRule="auto"/>
        <w:rPr>
          <w:sz w:val="20"/>
          <w:szCs w:val="20"/>
          <w:color w:val="auto"/>
        </w:rPr>
      </w:pPr>
      <w:r>
        <w:rPr>
          <w:rFonts w:ascii="Times New Roman" w:cs="Times New Roman" w:eastAsia="Times New Roman" w:hAnsi="Times New Roman"/>
          <w:sz w:val="18"/>
          <w:szCs w:val="18"/>
          <w:color w:val="auto"/>
        </w:rPr>
        <w:t>The Certificate of Incorporation provides that the federal district courts of the United States of America will be the exclusive forum for resolving any complaint asserting a cause of action arising under the Securities Act, subject to and contingent upon a final adjudication in the State of Delaware of the enforceability of such exclusive forum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161" w:name="page162"/>
    <w:bookmarkEnd w:id="161"/>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The transfer agent and registrar for the Company’s common stock is Equiniti Trust Company, LLC. The transfer agent’s address is 6201 15th Avenue, Brooklyn, New York 11219.</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common stock is listed on the Nasdaq Global Market under the trading symbol “IVVD.”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1126490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1440" w:right="79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7"/>
          <w:szCs w:val="17"/>
          <w:b w:val="1"/>
          <w:bCs w:val="1"/>
          <w:color w:val="auto"/>
        </w:rPr>
        <w:t>NVIVYD,</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7"/>
          <w:szCs w:val="17"/>
          <w:b w:val="1"/>
          <w:bCs w:val="1"/>
          <w:color w:val="auto"/>
        </w:rPr>
        <w:t>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2021 E</w:t>
      </w:r>
      <w:r>
        <w:rPr>
          <w:rFonts w:ascii="Times New Roman" w:cs="Times New Roman" w:eastAsia="Times New Roman" w:hAnsi="Times New Roman"/>
          <w:sz w:val="13"/>
          <w:szCs w:val="13"/>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3"/>
          <w:szCs w:val="13"/>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3"/>
          <w:szCs w:val="13"/>
          <w:b w:val="1"/>
          <w:bCs w:val="1"/>
          <w:color w:val="auto"/>
        </w:rPr>
        <w:t>LAN</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3"/>
          <w:szCs w:val="13"/>
          <w:b w:val="1"/>
          <w:bCs w:val="1"/>
          <w:color w:val="auto"/>
        </w:rPr>
        <w:t>DOPTED BY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3"/>
          <w:szCs w:val="13"/>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3"/>
          <w:szCs w:val="13"/>
          <w:b w:val="1"/>
          <w:bCs w:val="1"/>
          <w:color w:val="auto"/>
        </w:rPr>
        <w:t>IRECTORS</w:t>
      </w:r>
      <w:r>
        <w:rPr>
          <w:rFonts w:ascii="Times New Roman" w:cs="Times New Roman" w:eastAsia="Times New Roman" w:hAnsi="Times New Roman"/>
          <w:sz w:val="18"/>
          <w:szCs w:val="18"/>
          <w:b w:val="1"/>
          <w:bCs w:val="1"/>
          <w:color w:val="auto"/>
        </w:rPr>
        <w:t>: J</w:t>
      </w:r>
      <w:r>
        <w:rPr>
          <w:rFonts w:ascii="Times New Roman" w:cs="Times New Roman" w:eastAsia="Times New Roman" w:hAnsi="Times New Roman"/>
          <w:sz w:val="13"/>
          <w:szCs w:val="13"/>
          <w:b w:val="1"/>
          <w:bCs w:val="1"/>
          <w:color w:val="auto"/>
        </w:rPr>
        <w:t>ULY</w:t>
      </w:r>
      <w:r>
        <w:rPr>
          <w:rFonts w:ascii="Times New Roman" w:cs="Times New Roman" w:eastAsia="Times New Roman" w:hAnsi="Times New Roman"/>
          <w:sz w:val="18"/>
          <w:szCs w:val="18"/>
          <w:b w:val="1"/>
          <w:bCs w:val="1"/>
          <w:color w:val="auto"/>
        </w:rPr>
        <w:t xml:space="preserve"> 27, 2021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3"/>
          <w:szCs w:val="13"/>
          <w:b w:val="1"/>
          <w:bCs w:val="1"/>
          <w:color w:val="auto"/>
        </w:rPr>
        <w:t>PPROVED BY 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3"/>
          <w:szCs w:val="13"/>
          <w:b w:val="1"/>
          <w:bCs w:val="1"/>
          <w:color w:val="auto"/>
        </w:rPr>
        <w:t>TOCKHOLDERS</w:t>
      </w:r>
      <w:r>
        <w:rPr>
          <w:rFonts w:ascii="Times New Roman" w:cs="Times New Roman" w:eastAsia="Times New Roman" w:hAnsi="Times New Roman"/>
          <w:sz w:val="18"/>
          <w:szCs w:val="18"/>
          <w:b w:val="1"/>
          <w:bCs w:val="1"/>
          <w:color w:val="auto"/>
        </w:rPr>
        <w:t>: J</w:t>
      </w:r>
      <w:r>
        <w:rPr>
          <w:rFonts w:ascii="Times New Roman" w:cs="Times New Roman" w:eastAsia="Times New Roman" w:hAnsi="Times New Roman"/>
          <w:sz w:val="13"/>
          <w:szCs w:val="13"/>
          <w:b w:val="1"/>
          <w:bCs w:val="1"/>
          <w:color w:val="auto"/>
        </w:rPr>
        <w:t>ULY</w:t>
      </w:r>
      <w:r>
        <w:rPr>
          <w:rFonts w:ascii="Times New Roman" w:cs="Times New Roman" w:eastAsia="Times New Roman" w:hAnsi="Times New Roman"/>
          <w:sz w:val="18"/>
          <w:szCs w:val="18"/>
          <w:b w:val="1"/>
          <w:bCs w:val="1"/>
          <w:color w:val="auto"/>
        </w:rPr>
        <w:t xml:space="preserve"> 29, 2021</w:t>
      </w:r>
    </w:p>
    <w:p>
      <w:pPr>
        <w:spacing w:after="0" w:line="243" w:lineRule="exact"/>
        <w:rPr>
          <w:sz w:val="20"/>
          <w:szCs w:val="20"/>
          <w:color w:val="auto"/>
        </w:rPr>
      </w:pPr>
    </w:p>
    <w:p>
      <w:pPr>
        <w:ind w:left="480" w:hanging="459"/>
        <w:spacing w:after="0"/>
        <w:tabs>
          <w:tab w:leader="none" w:pos="48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3"/>
          <w:szCs w:val="13"/>
          <w:b w:val="1"/>
          <w:bCs w:val="1"/>
          <w:color w:val="auto"/>
        </w:rPr>
        <w:t>ENERAL</w:t>
      </w:r>
      <w:r>
        <w:rPr>
          <w:rFonts w:ascii="Times New Roman" w:cs="Times New Roman" w:eastAsia="Times New Roman" w:hAnsi="Times New Roman"/>
          <w:sz w:val="18"/>
          <w:szCs w:val="18"/>
          <w:b w:val="1"/>
          <w:bCs w:val="1"/>
          <w:color w:val="auto"/>
        </w:rPr>
        <w:t>.</w:t>
      </w:r>
    </w:p>
    <w:p>
      <w:pPr>
        <w:spacing w:after="0" w:line="130" w:lineRule="exact"/>
        <w:rPr>
          <w:rFonts w:ascii="Times New Roman" w:cs="Times New Roman" w:eastAsia="Times New Roman" w:hAnsi="Times New Roman"/>
          <w:sz w:val="18"/>
          <w:szCs w:val="18"/>
          <w:b w:val="1"/>
          <w:bCs w:val="1"/>
          <w:color w:val="auto"/>
        </w:rPr>
      </w:pPr>
    </w:p>
    <w:p>
      <w:pPr>
        <w:ind w:right="40" w:firstLine="517"/>
        <w:spacing w:after="0" w:line="259" w:lineRule="auto"/>
        <w:tabs>
          <w:tab w:leader="none" w:pos="763" w:val="left"/>
        </w:tabs>
        <w:numPr>
          <w:ilvl w:val="1"/>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Successor to and Continuation of Prior Plan</w:t>
      </w:r>
      <w:r>
        <w:rPr>
          <w:rFonts w:ascii="Times New Roman" w:cs="Times New Roman" w:eastAsia="Times New Roman" w:hAnsi="Times New Roman"/>
          <w:sz w:val="18"/>
          <w:szCs w:val="18"/>
          <w:color w:val="auto"/>
        </w:rPr>
        <w:t>. The Plan is the successor to and continuation of the Prior Plan. As of the Effective Date, (i)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additional awards may be granted under the Prior Plan; (ii) the Prior Plan’s Available Reserve plus any Returning Shares will become available for issuance pursuant to Awards granted under this Plan; and (iii) all outstanding awards granted under the Prior Plan will remain subject to the terms of the Prior Plan (except to the extent such outstanding awards result in Returning Shares that become available for issuance pursuant to Awards granted under this Plan). All Awards granted under this Plan will be subject to the terms of this Plan.</w:t>
      </w:r>
    </w:p>
    <w:p>
      <w:pPr>
        <w:spacing w:after="0" w:line="69" w:lineRule="exact"/>
        <w:rPr>
          <w:rFonts w:ascii="Times New Roman" w:cs="Times New Roman" w:eastAsia="Times New Roman" w:hAnsi="Times New Roman"/>
          <w:sz w:val="18"/>
          <w:szCs w:val="18"/>
          <w:b w:val="1"/>
          <w:bCs w:val="1"/>
          <w:color w:val="auto"/>
        </w:rPr>
      </w:pPr>
    </w:p>
    <w:p>
      <w:pPr>
        <w:jc w:val="both"/>
        <w:ind w:right="100" w:firstLine="517"/>
        <w:spacing w:after="0" w:line="268" w:lineRule="auto"/>
        <w:tabs>
          <w:tab w:leader="none" w:pos="774" w:val="left"/>
        </w:tabs>
        <w:numPr>
          <w:ilvl w:val="1"/>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Plan Purpose. </w:t>
      </w:r>
      <w:r>
        <w:rPr>
          <w:rFonts w:ascii="Times New Roman" w:cs="Times New Roman" w:eastAsia="Times New Roman" w:hAnsi="Times New Roman"/>
          <w:sz w:val="18"/>
          <w:szCs w:val="18"/>
          <w:color w:val="auto"/>
        </w:rPr>
        <w:t>The Company, by means of the Plan, seeks to secure and retain the services of Employees, Directors and Consultants, to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incentives for such persons to exert maximum efforts for the success of the Company and any Affiliate and to provide a means by which such persons may be given an opportunity to benefit from increases in value of the Common Stock through the granting of Awards.</w:t>
      </w:r>
    </w:p>
    <w:p>
      <w:pPr>
        <w:spacing w:after="0" w:line="61" w:lineRule="exact"/>
        <w:rPr>
          <w:rFonts w:ascii="Times New Roman" w:cs="Times New Roman" w:eastAsia="Times New Roman" w:hAnsi="Times New Roman"/>
          <w:sz w:val="18"/>
          <w:szCs w:val="18"/>
          <w:b w:val="1"/>
          <w:bCs w:val="1"/>
          <w:color w:val="auto"/>
        </w:rPr>
      </w:pPr>
    </w:p>
    <w:p>
      <w:pPr>
        <w:ind w:right="240" w:firstLine="517"/>
        <w:spacing w:after="0" w:line="286" w:lineRule="auto"/>
        <w:tabs>
          <w:tab w:leader="none" w:pos="753" w:val="left"/>
        </w:tabs>
        <w:numPr>
          <w:ilvl w:val="1"/>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Available Awards. </w:t>
      </w:r>
      <w:r>
        <w:rPr>
          <w:rFonts w:ascii="Times New Roman" w:cs="Times New Roman" w:eastAsia="Times New Roman" w:hAnsi="Times New Roman"/>
          <w:sz w:val="18"/>
          <w:szCs w:val="18"/>
          <w:color w:val="auto"/>
        </w:rPr>
        <w:t>The Plan provides for the grant of the following Awards: (i) Incentive Stock Options; (ii) Nonstatutory Stock Options; (iii)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SARs; (iv) Restricted Stock Awards; (v) RSU Awards; (vi) Performance Awards; and (vii) Other Awards.</w:t>
      </w:r>
    </w:p>
    <w:p>
      <w:pPr>
        <w:spacing w:after="0" w:line="46" w:lineRule="exact"/>
        <w:rPr>
          <w:rFonts w:ascii="Times New Roman" w:cs="Times New Roman" w:eastAsia="Times New Roman" w:hAnsi="Times New Roman"/>
          <w:sz w:val="18"/>
          <w:szCs w:val="18"/>
          <w:b w:val="1"/>
          <w:bCs w:val="1"/>
          <w:color w:val="auto"/>
        </w:rPr>
      </w:pPr>
    </w:p>
    <w:p>
      <w:pPr>
        <w:ind w:left="780" w:hanging="263"/>
        <w:spacing w:after="0"/>
        <w:tabs>
          <w:tab w:leader="none" w:pos="780" w:val="left"/>
        </w:tabs>
        <w:numPr>
          <w:ilvl w:val="1"/>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Adoption Date; Effective Date. </w:t>
      </w:r>
      <w:r>
        <w:rPr>
          <w:rFonts w:ascii="Times New Roman" w:cs="Times New Roman" w:eastAsia="Times New Roman" w:hAnsi="Times New Roman"/>
          <w:sz w:val="18"/>
          <w:szCs w:val="18"/>
          <w:color w:val="auto"/>
        </w:rPr>
        <w:t>The Plan will come into existence on the Adoption Date, but no Award may be granted prior to the Effective</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Date.</w:t>
      </w:r>
    </w:p>
    <w:p>
      <w:pPr>
        <w:spacing w:after="0" w:line="242" w:lineRule="exact"/>
        <w:rPr>
          <w:rFonts w:ascii="Times New Roman" w:cs="Times New Roman" w:eastAsia="Times New Roman" w:hAnsi="Times New Roman"/>
          <w:sz w:val="18"/>
          <w:szCs w:val="18"/>
          <w:b w:val="1"/>
          <w:bCs w:val="1"/>
          <w:color w:val="auto"/>
        </w:rPr>
      </w:pPr>
    </w:p>
    <w:p>
      <w:pPr>
        <w:ind w:left="480" w:hanging="459"/>
        <w:spacing w:after="0"/>
        <w:tabs>
          <w:tab w:leader="none" w:pos="48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3"/>
          <w:szCs w:val="13"/>
          <w:b w:val="1"/>
          <w:bCs w:val="1"/>
          <w:color w:val="auto"/>
        </w:rPr>
        <w:t>HARES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3"/>
          <w:szCs w:val="13"/>
          <w:b w:val="1"/>
          <w:bCs w:val="1"/>
          <w:color w:val="auto"/>
        </w:rPr>
        <w:t>UBJECT TO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3"/>
          <w:szCs w:val="13"/>
          <w:b w:val="1"/>
          <w:bCs w:val="1"/>
          <w:color w:val="auto"/>
        </w:rPr>
        <w:t>LAN</w:t>
      </w:r>
      <w:r>
        <w:rPr>
          <w:rFonts w:ascii="Times New Roman" w:cs="Times New Roman" w:eastAsia="Times New Roman" w:hAnsi="Times New Roman"/>
          <w:sz w:val="18"/>
          <w:szCs w:val="18"/>
          <w:b w:val="1"/>
          <w:bCs w:val="1"/>
          <w:color w:val="auto"/>
        </w:rPr>
        <w:t>.</w:t>
      </w:r>
    </w:p>
    <w:p>
      <w:pPr>
        <w:spacing w:after="0" w:line="130" w:lineRule="exact"/>
        <w:rPr>
          <w:rFonts w:ascii="Times New Roman" w:cs="Times New Roman" w:eastAsia="Times New Roman" w:hAnsi="Times New Roman"/>
          <w:sz w:val="18"/>
          <w:szCs w:val="18"/>
          <w:b w:val="1"/>
          <w:bCs w:val="1"/>
          <w:color w:val="auto"/>
        </w:rPr>
      </w:pPr>
    </w:p>
    <w:p>
      <w:pPr>
        <w:ind w:right="40" w:firstLine="517"/>
        <w:spacing w:after="0" w:line="251" w:lineRule="auto"/>
        <w:tabs>
          <w:tab w:leader="none" w:pos="763" w:val="left"/>
        </w:tabs>
        <w:numPr>
          <w:ilvl w:val="1"/>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 Reserve. </w:t>
      </w:r>
      <w:r>
        <w:rPr>
          <w:rFonts w:ascii="Times New Roman" w:cs="Times New Roman" w:eastAsia="Times New Roman" w:hAnsi="Times New Roman"/>
          <w:sz w:val="18"/>
          <w:szCs w:val="18"/>
          <w:color w:val="auto"/>
        </w:rPr>
        <w:t>Subject to adjustment in accordance with Section 2(c) and any adjustments as necessary to implement any Capitalization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Adjustments, the aggregate number of shares of Common Stock that may be issued pursuant to Awards will not exceed 35,075,122 shares (the “</w:t>
      </w:r>
      <w:r>
        <w:rPr>
          <w:rFonts w:ascii="Times New Roman" w:cs="Times New Roman" w:eastAsia="Times New Roman" w:hAnsi="Times New Roman"/>
          <w:sz w:val="18"/>
          <w:szCs w:val="18"/>
          <w:b w:val="1"/>
          <w:bCs w:val="1"/>
          <w:i w:val="1"/>
          <w:iCs w:val="1"/>
          <w:color w:val="auto"/>
        </w:rPr>
        <w:t>Initial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Reserve</w:t>
      </w:r>
      <w:r>
        <w:rPr>
          <w:rFonts w:ascii="Times New Roman" w:cs="Times New Roman" w:eastAsia="Times New Roman" w:hAnsi="Times New Roman"/>
          <w:sz w:val="18"/>
          <w:szCs w:val="18"/>
          <w:color w:val="auto"/>
        </w:rPr>
        <w:t>”), which is the sum of: (i) 11,413,572 new shares, plus (ii) the number of shares of Common Stock (not to exceed 23,661,550 shares of Common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which represents (A) the Prior Plan’s Available Reserve plus (B) the number of Returning Shares, if any, as such shares become available from time to time. In addition, subject to any adjustments as necessary to implement any Capitalization Adjustments, such aggregate number of shares of Common Stock will automatically increase on January 1 of each year for a period of ten years commencing on January 1, 2022 and ending on (and including) January 1, 2031, in an amount equal to five percent (5%) of the total number of shares of Common Stock outstanding on December 31 of the preceding year; provided, however, that the Board may act prior to January 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8"/>
          <w:szCs w:val="18"/>
          <w:color w:val="auto"/>
        </w:rPr>
        <w:t xml:space="preserve"> of a given year to provide that the increase for such year will be a lesser number of shares of Common Stock (such increase, the “</w:t>
      </w:r>
      <w:r>
        <w:rPr>
          <w:rFonts w:ascii="Times New Roman" w:cs="Times New Roman" w:eastAsia="Times New Roman" w:hAnsi="Times New Roman"/>
          <w:sz w:val="18"/>
          <w:szCs w:val="18"/>
          <w:b w:val="1"/>
          <w:bCs w:val="1"/>
          <w:i w:val="1"/>
          <w:iCs w:val="1"/>
          <w:color w:val="auto"/>
        </w:rPr>
        <w:t>Annual Increase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b w:val="1"/>
          <w:bCs w:val="1"/>
          <w:color w:val="auto"/>
        </w:rPr>
      </w:pPr>
    </w:p>
    <w:p>
      <w:pPr>
        <w:ind w:right="40" w:firstLine="517"/>
        <w:spacing w:after="0" w:line="253" w:lineRule="auto"/>
        <w:tabs>
          <w:tab w:leader="none" w:pos="774" w:val="left"/>
        </w:tabs>
        <w:numPr>
          <w:ilvl w:val="1"/>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Incentive Stock Option Limit. </w:t>
      </w:r>
      <w:r>
        <w:rPr>
          <w:rFonts w:ascii="Times New Roman" w:cs="Times New Roman" w:eastAsia="Times New Roman" w:hAnsi="Times New Roman"/>
          <w:sz w:val="18"/>
          <w:szCs w:val="18"/>
          <w:color w:val="auto"/>
        </w:rPr>
        <w:t>Notwithstanding anything to the contrary in Section 2(a) and subject to any adjustments as necessary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implement any Capitalization Adjustments, the aggregate maximum number of shares of Common Stock that may be issued pursuant to the exercise of Incentive Stock Options shall not exceed the Initial Reserve cumulatively increased on January 1, 2022 and each January 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8"/>
          <w:szCs w:val="18"/>
          <w:color w:val="auto"/>
        </w:rPr>
        <w:t xml:space="preserve"> thereafter by the lesser of (i) the Annual Increase for such year or (ii) 23,827,144 shares of Common Stock.</w:t>
      </w:r>
    </w:p>
    <w:p>
      <w:pPr>
        <w:spacing w:after="0" w:line="73" w:lineRule="exact"/>
        <w:rPr>
          <w:rFonts w:ascii="Times New Roman" w:cs="Times New Roman" w:eastAsia="Times New Roman" w:hAnsi="Times New Roman"/>
          <w:sz w:val="18"/>
          <w:szCs w:val="18"/>
          <w:b w:val="1"/>
          <w:bCs w:val="1"/>
          <w:color w:val="auto"/>
        </w:rPr>
      </w:pPr>
    </w:p>
    <w:p>
      <w:pPr>
        <w:ind w:left="760" w:hanging="243"/>
        <w:spacing w:after="0"/>
        <w:tabs>
          <w:tab w:leader="none" w:pos="760" w:val="left"/>
        </w:tabs>
        <w:numPr>
          <w:ilvl w:val="1"/>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Reserve Operation.</w:t>
      </w:r>
    </w:p>
    <w:p>
      <w:pPr>
        <w:spacing w:after="0" w:line="116" w:lineRule="exact"/>
        <w:rPr>
          <w:rFonts w:ascii="Times New Roman" w:cs="Times New Roman" w:eastAsia="Times New Roman" w:hAnsi="Times New Roman"/>
          <w:sz w:val="18"/>
          <w:szCs w:val="18"/>
          <w:b w:val="1"/>
          <w:bCs w:val="1"/>
          <w:color w:val="auto"/>
        </w:rPr>
      </w:pPr>
    </w:p>
    <w:p>
      <w:pPr>
        <w:ind w:right="140" w:firstLine="1153"/>
        <w:spacing w:after="0" w:line="262" w:lineRule="auto"/>
        <w:tabs>
          <w:tab w:leader="none" w:pos="1360" w:val="left"/>
        </w:tabs>
        <w:numPr>
          <w:ilvl w:val="2"/>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 Applies to Common Stock Issued Pursuant to Awards. </w:t>
      </w:r>
      <w:r>
        <w:rPr>
          <w:rFonts w:ascii="Times New Roman" w:cs="Times New Roman" w:eastAsia="Times New Roman" w:hAnsi="Times New Roman"/>
          <w:sz w:val="18"/>
          <w:szCs w:val="18"/>
          <w:color w:val="auto"/>
        </w:rPr>
        <w:t>For clarity, the Share Reserve is a limit on the number of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that may be issued pursuant to Awards and does not limit the granting of Awards, except that the Company will keep available at all times the number of shares of Common Stock reasonably required to satisfy its obligations to issue shares pursuant to such Awards. Shares may be issued in connection with a merger or acquisition as permitted by, as applicable, Nasdaq Listing Rule 5635(c), NYSE Listed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866140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163" w:name="page164"/>
    <w:bookmarkEnd w:id="163"/>
    <w:p>
      <w:pPr>
        <w:spacing w:after="0" w:line="84"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Company Manual Section 303A.08, NYSE American Company Guide Section 711 or other applicable rule, and such issuance will not reduce the number of shares available for issuance under the Plan.</w:t>
      </w:r>
    </w:p>
    <w:p>
      <w:pPr>
        <w:spacing w:after="0" w:line="51" w:lineRule="exact"/>
        <w:rPr>
          <w:sz w:val="20"/>
          <w:szCs w:val="20"/>
          <w:color w:val="auto"/>
        </w:rPr>
      </w:pPr>
    </w:p>
    <w:p>
      <w:pPr>
        <w:ind w:right="20" w:firstLine="1153"/>
        <w:spacing w:after="0" w:line="257" w:lineRule="auto"/>
        <w:tabs>
          <w:tab w:leader="none" w:pos="1410" w:val="left"/>
        </w:tabs>
        <w:numPr>
          <w:ilvl w:val="1"/>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Actions that Do Not Constitute Issuance of Common Stock and Do Not Reduce Share Reserve. </w:t>
      </w:r>
      <w:r>
        <w:rPr>
          <w:rFonts w:ascii="Times New Roman" w:cs="Times New Roman" w:eastAsia="Times New Roman" w:hAnsi="Times New Roman"/>
          <w:sz w:val="18"/>
          <w:szCs w:val="18"/>
          <w:color w:val="auto"/>
        </w:rPr>
        <w:t>The following actions do not result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an issuance of shares under the Plan and accordingly do not reduce the number of shares subject to the Share Reserve and available for issuance under the Plan: (1) the expiration or termination of any portion of an Award without the shares covered by such portion of the Award having been issued; (2) the settlement of any portion of an Award in cash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Participant receives cash rather than Common Stock); (3) the withholding of shares that would otherwise be issued by the Company to satisfy the exercise, strike or purchase price of an Award; or (4) the withholding of shares that would otherwise be issued by the Company to satisfy a tax withholding obligation in connection with an Award.</w:t>
      </w:r>
    </w:p>
    <w:p>
      <w:pPr>
        <w:spacing w:after="0" w:line="72" w:lineRule="exact"/>
        <w:rPr>
          <w:rFonts w:ascii="Times New Roman" w:cs="Times New Roman" w:eastAsia="Times New Roman" w:hAnsi="Times New Roman"/>
          <w:sz w:val="18"/>
          <w:szCs w:val="18"/>
          <w:b w:val="1"/>
          <w:bCs w:val="1"/>
          <w:color w:val="auto"/>
        </w:rPr>
      </w:pPr>
    </w:p>
    <w:p>
      <w:pPr>
        <w:ind w:firstLine="1153"/>
        <w:spacing w:after="0" w:line="271" w:lineRule="auto"/>
        <w:tabs>
          <w:tab w:leader="none" w:pos="1460" w:val="left"/>
        </w:tabs>
        <w:numPr>
          <w:ilvl w:val="1"/>
          <w:numId w:val="8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Reversion of Previously Issued Shares of Common Stock to Share Reserve. </w:t>
      </w:r>
      <w:r>
        <w:rPr>
          <w:rFonts w:ascii="Times New Roman" w:cs="Times New Roman" w:eastAsia="Times New Roman" w:hAnsi="Times New Roman"/>
          <w:sz w:val="17"/>
          <w:szCs w:val="17"/>
          <w:color w:val="auto"/>
        </w:rPr>
        <w:t>The following shares of Common Stock previously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issued pursuant to an Award and accordingly initially deducted from the Share Reserve will be added back to the Share Reserve and again become available for issuance under the Plan: (1) any shares that are forfeited back to or repurchased by the Company because of a failure to meet a contingency or condition required for the vesting of such shares; (2) any shares that are reacquired by the Company to satisfy the exercise, strike or purchase price of an Award; and</w:t>
      </w:r>
    </w:p>
    <w:p>
      <w:pPr>
        <w:spacing w:after="0" w:line="2" w:lineRule="exact"/>
        <w:rPr>
          <w:rFonts w:ascii="Times New Roman" w:cs="Times New Roman" w:eastAsia="Times New Roman" w:hAnsi="Times New Roman"/>
          <w:sz w:val="17"/>
          <w:szCs w:val="17"/>
          <w:b w:val="1"/>
          <w:bCs w:val="1"/>
          <w:color w:val="auto"/>
        </w:rPr>
      </w:pPr>
    </w:p>
    <w:p>
      <w:pPr>
        <w:ind w:left="260" w:hanging="252"/>
        <w:spacing w:after="0"/>
        <w:tabs>
          <w:tab w:leader="none" w:pos="2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that are reacquired by the Company to satisfy a tax withholding obligation in connection with an Award.</w:t>
      </w:r>
    </w:p>
    <w:p>
      <w:pPr>
        <w:spacing w:after="0" w:line="243" w:lineRule="exact"/>
        <w:rPr>
          <w:sz w:val="20"/>
          <w:szCs w:val="20"/>
          <w:color w:val="auto"/>
        </w:rPr>
      </w:pPr>
    </w:p>
    <w:p>
      <w:pPr>
        <w:ind w:left="480" w:hanging="459"/>
        <w:spacing w:after="0"/>
        <w:tabs>
          <w:tab w:leader="none" w:pos="48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3"/>
          <w:szCs w:val="13"/>
          <w:b w:val="1"/>
          <w:bCs w:val="1"/>
          <w:color w:val="auto"/>
        </w:rPr>
        <w:t>LIGIBILITY AND</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3"/>
          <w:szCs w:val="13"/>
          <w:b w:val="1"/>
          <w:bCs w:val="1"/>
          <w:color w:val="auto"/>
        </w:rPr>
        <w:t>IMITATIONS</w:t>
      </w:r>
      <w:r>
        <w:rPr>
          <w:rFonts w:ascii="Times New Roman" w:cs="Times New Roman" w:eastAsia="Times New Roman" w:hAnsi="Times New Roman"/>
          <w:sz w:val="18"/>
          <w:szCs w:val="18"/>
          <w:b w:val="1"/>
          <w:bCs w:val="1"/>
          <w:color w:val="auto"/>
        </w:rPr>
        <w:t>.</w:t>
      </w:r>
    </w:p>
    <w:p>
      <w:pPr>
        <w:spacing w:after="0" w:line="130" w:lineRule="exact"/>
        <w:rPr>
          <w:rFonts w:ascii="Times New Roman" w:cs="Times New Roman" w:eastAsia="Times New Roman" w:hAnsi="Times New Roman"/>
          <w:sz w:val="18"/>
          <w:szCs w:val="18"/>
          <w:b w:val="1"/>
          <w:bCs w:val="1"/>
          <w:color w:val="auto"/>
        </w:rPr>
      </w:pPr>
    </w:p>
    <w:p>
      <w:pPr>
        <w:ind w:left="780" w:hanging="263"/>
        <w:spacing w:after="0"/>
        <w:tabs>
          <w:tab w:leader="none" w:pos="780" w:val="left"/>
        </w:tabs>
        <w:numPr>
          <w:ilvl w:val="1"/>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Eligible Award Recipients. </w:t>
      </w:r>
      <w:r>
        <w:rPr>
          <w:rFonts w:ascii="Times New Roman" w:cs="Times New Roman" w:eastAsia="Times New Roman" w:hAnsi="Times New Roman"/>
          <w:sz w:val="18"/>
          <w:szCs w:val="18"/>
          <w:color w:val="auto"/>
        </w:rPr>
        <w:t>Subject to the terms of the Plan, Employees, Directors and Consultants are eligible to receive Awards.</w:t>
      </w:r>
    </w:p>
    <w:p>
      <w:pPr>
        <w:spacing w:after="0" w:line="116" w:lineRule="exact"/>
        <w:rPr>
          <w:rFonts w:ascii="Times New Roman" w:cs="Times New Roman" w:eastAsia="Times New Roman" w:hAnsi="Times New Roman"/>
          <w:sz w:val="18"/>
          <w:szCs w:val="18"/>
          <w:b w:val="1"/>
          <w:bCs w:val="1"/>
          <w:color w:val="auto"/>
        </w:rPr>
      </w:pPr>
    </w:p>
    <w:p>
      <w:pPr>
        <w:ind w:left="780" w:hanging="263"/>
        <w:spacing w:after="0"/>
        <w:tabs>
          <w:tab w:leader="none" w:pos="780" w:val="left"/>
        </w:tabs>
        <w:numPr>
          <w:ilvl w:val="1"/>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Specific Award Limitations.</w:t>
      </w:r>
    </w:p>
    <w:p>
      <w:pPr>
        <w:spacing w:after="0" w:line="116" w:lineRule="exact"/>
        <w:rPr>
          <w:rFonts w:ascii="Times New Roman" w:cs="Times New Roman" w:eastAsia="Times New Roman" w:hAnsi="Times New Roman"/>
          <w:sz w:val="18"/>
          <w:szCs w:val="18"/>
          <w:b w:val="1"/>
          <w:bCs w:val="1"/>
          <w:color w:val="auto"/>
        </w:rPr>
      </w:pPr>
    </w:p>
    <w:p>
      <w:pPr>
        <w:ind w:right="180" w:firstLine="1153"/>
        <w:spacing w:after="0" w:line="286" w:lineRule="auto"/>
        <w:tabs>
          <w:tab w:leader="none" w:pos="1360" w:val="left"/>
        </w:tabs>
        <w:numPr>
          <w:ilvl w:val="2"/>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Limitations on Incentive Stock Option Recipients. </w:t>
      </w:r>
      <w:r>
        <w:rPr>
          <w:rFonts w:ascii="Times New Roman" w:cs="Times New Roman" w:eastAsia="Times New Roman" w:hAnsi="Times New Roman"/>
          <w:sz w:val="18"/>
          <w:szCs w:val="18"/>
          <w:color w:val="auto"/>
        </w:rPr>
        <w:t>Incentive Stock Options may be granted only to Employees of the Company 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“parent corporation” or “subsidiary corporation” thereof (as such terms are defined in Sections 424(e) and (f) of the Code).</w:t>
      </w:r>
    </w:p>
    <w:p>
      <w:pPr>
        <w:spacing w:after="0" w:line="86" w:lineRule="exact"/>
        <w:rPr>
          <w:rFonts w:ascii="Times New Roman" w:cs="Times New Roman" w:eastAsia="Times New Roman" w:hAnsi="Times New Roman"/>
          <w:sz w:val="18"/>
          <w:szCs w:val="18"/>
          <w:b w:val="1"/>
          <w:bCs w:val="1"/>
          <w:color w:val="auto"/>
        </w:rPr>
      </w:pPr>
    </w:p>
    <w:p>
      <w:pPr>
        <w:ind w:right="100" w:firstLine="1153"/>
        <w:spacing w:after="0" w:line="257" w:lineRule="auto"/>
        <w:tabs>
          <w:tab w:leader="none" w:pos="1410" w:val="left"/>
        </w:tabs>
        <w:numPr>
          <w:ilvl w:val="2"/>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Incentive Stock Option $100,000 Limitation. </w:t>
      </w:r>
      <w:r>
        <w:rPr>
          <w:rFonts w:ascii="Times New Roman" w:cs="Times New Roman" w:eastAsia="Times New Roman" w:hAnsi="Times New Roman"/>
          <w:sz w:val="18"/>
          <w:szCs w:val="18"/>
          <w:color w:val="auto"/>
        </w:rPr>
        <w:t>To the extent that the aggregate Fair Market Value (determined at the time of grant)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spacing w:after="0" w:line="72" w:lineRule="exact"/>
        <w:rPr>
          <w:rFonts w:ascii="Times New Roman" w:cs="Times New Roman" w:eastAsia="Times New Roman" w:hAnsi="Times New Roman"/>
          <w:sz w:val="18"/>
          <w:szCs w:val="18"/>
          <w:b w:val="1"/>
          <w:bCs w:val="1"/>
          <w:color w:val="auto"/>
        </w:rPr>
      </w:pPr>
    </w:p>
    <w:p>
      <w:pPr>
        <w:ind w:right="20" w:firstLine="1153"/>
        <w:spacing w:after="0" w:line="268" w:lineRule="auto"/>
        <w:tabs>
          <w:tab w:leader="none" w:pos="1460" w:val="left"/>
        </w:tabs>
        <w:numPr>
          <w:ilvl w:val="2"/>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Limitations on Incentive Stock Options Granted to Ten Percent Stockholders. </w:t>
      </w:r>
      <w:r>
        <w:rPr>
          <w:rFonts w:ascii="Times New Roman" w:cs="Times New Roman" w:eastAsia="Times New Roman" w:hAnsi="Times New Roman"/>
          <w:sz w:val="18"/>
          <w:szCs w:val="18"/>
          <w:color w:val="auto"/>
        </w:rPr>
        <w:t>A Ten Percent Stockholder may not be granted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Incentive Stock Option unless (1) the exercise price of such Option is at least 110% of the Fair Market Value on the date of grant of such Option and (2) the Option is not exercisable after the expiration of five years from the date of grant of such Option.</w:t>
      </w:r>
    </w:p>
    <w:p>
      <w:pPr>
        <w:spacing w:after="0" w:line="61" w:lineRule="exact"/>
        <w:rPr>
          <w:rFonts w:ascii="Times New Roman" w:cs="Times New Roman" w:eastAsia="Times New Roman" w:hAnsi="Times New Roman"/>
          <w:sz w:val="18"/>
          <w:szCs w:val="18"/>
          <w:b w:val="1"/>
          <w:bCs w:val="1"/>
          <w:color w:val="auto"/>
        </w:rPr>
      </w:pPr>
    </w:p>
    <w:p>
      <w:pPr>
        <w:ind w:right="280" w:firstLine="1153"/>
        <w:spacing w:after="0" w:line="268" w:lineRule="auto"/>
        <w:tabs>
          <w:tab w:leader="none" w:pos="1450" w:val="left"/>
        </w:tabs>
        <w:numPr>
          <w:ilvl w:val="2"/>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Limitations on Nonstatutory Stock Options and SARs. </w:t>
      </w:r>
      <w:r>
        <w:rPr>
          <w:rFonts w:ascii="Times New Roman" w:cs="Times New Roman" w:eastAsia="Times New Roman" w:hAnsi="Times New Roman"/>
          <w:sz w:val="18"/>
          <w:szCs w:val="18"/>
          <w:color w:val="auto"/>
        </w:rPr>
        <w:t>Nonstatutory Stock Options and SARs may not be granted to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and Consultants unless the stock underlying such Awards is treated as “service recipient stock” under Section 409A or unless such Awards otherwise comply with the requirements of Section 409A.</w:t>
      </w:r>
    </w:p>
    <w:p>
      <w:pPr>
        <w:spacing w:after="0" w:line="61" w:lineRule="exact"/>
        <w:rPr>
          <w:rFonts w:ascii="Times New Roman" w:cs="Times New Roman" w:eastAsia="Times New Roman" w:hAnsi="Times New Roman"/>
          <w:sz w:val="18"/>
          <w:szCs w:val="18"/>
          <w:b w:val="1"/>
          <w:bCs w:val="1"/>
          <w:color w:val="auto"/>
        </w:rPr>
      </w:pPr>
    </w:p>
    <w:p>
      <w:pPr>
        <w:ind w:right="360" w:firstLine="517"/>
        <w:spacing w:after="0" w:line="286" w:lineRule="auto"/>
        <w:tabs>
          <w:tab w:leader="none" w:pos="753" w:val="left"/>
        </w:tabs>
        <w:numPr>
          <w:ilvl w:val="1"/>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Incentive Stock Option Limit. </w:t>
      </w:r>
      <w:r>
        <w:rPr>
          <w:rFonts w:ascii="Times New Roman" w:cs="Times New Roman" w:eastAsia="Times New Roman" w:hAnsi="Times New Roman"/>
          <w:sz w:val="18"/>
          <w:szCs w:val="18"/>
          <w:color w:val="auto"/>
        </w:rPr>
        <w:t>The aggregate maximum number of shares of Common Stock that may be issued pursuant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of Incentive Stock Options is the number of shares specified in Section 2(b).</w:t>
      </w:r>
    </w:p>
    <w:p>
      <w:pPr>
        <w:spacing w:after="0" w:line="46" w:lineRule="exact"/>
        <w:rPr>
          <w:rFonts w:ascii="Times New Roman" w:cs="Times New Roman" w:eastAsia="Times New Roman" w:hAnsi="Times New Roman"/>
          <w:sz w:val="18"/>
          <w:szCs w:val="18"/>
          <w:b w:val="1"/>
          <w:bCs w:val="1"/>
          <w:color w:val="auto"/>
        </w:rPr>
      </w:pPr>
    </w:p>
    <w:p>
      <w:pPr>
        <w:ind w:right="180" w:firstLine="517"/>
        <w:spacing w:after="0" w:line="259" w:lineRule="auto"/>
        <w:tabs>
          <w:tab w:leader="none" w:pos="774" w:val="left"/>
        </w:tabs>
        <w:numPr>
          <w:ilvl w:val="1"/>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Non-Employee Director Compensation Limit. </w:t>
      </w:r>
      <w:r>
        <w:rPr>
          <w:rFonts w:ascii="Times New Roman" w:cs="Times New Roman" w:eastAsia="Times New Roman" w:hAnsi="Times New Roman"/>
          <w:sz w:val="18"/>
          <w:szCs w:val="18"/>
          <w:color w:val="auto"/>
        </w:rPr>
        <w:t>The aggregate value of all compensation granted or paid, as applicable, to any individual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 as a Non-Employee Director with respect to any calendar year, including Awards granted and cash fees paid by the Company to such Non-Employee Director, will not exceed $1,500,000 in total value, calculating the value of any equity awards based on the grant date fair value of such equity awards for financial reporting purposes. The limitations in this Section 3(d) shall apply commencing with the first calendar year that begins following the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64" w:name="page165"/>
    <w:bookmarkEnd w:id="164"/>
    <w:p>
      <w:pPr>
        <w:ind w:left="480" w:hanging="459"/>
        <w:spacing w:after="0"/>
        <w:tabs>
          <w:tab w:leader="none" w:pos="48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3"/>
          <w:szCs w:val="13"/>
          <w:b w:val="1"/>
          <w:bCs w:val="1"/>
          <w:color w:val="auto"/>
        </w:rPr>
        <w:t>PTIONS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3"/>
          <w:szCs w:val="13"/>
          <w:b w:val="1"/>
          <w:bCs w:val="1"/>
          <w:color w:val="auto"/>
        </w:rPr>
        <w:t>PPRECIATION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3"/>
          <w:szCs w:val="13"/>
          <w:b w:val="1"/>
          <w:bCs w:val="1"/>
          <w:color w:val="auto"/>
        </w:rPr>
        <w:t>IGHTS</w:t>
      </w:r>
      <w:r>
        <w:rPr>
          <w:rFonts w:ascii="Times New Roman" w:cs="Times New Roman" w:eastAsia="Times New Roman" w:hAnsi="Times New Roman"/>
          <w:sz w:val="18"/>
          <w:szCs w:val="18"/>
          <w:b w:val="1"/>
          <w:bCs w:val="1"/>
          <w:color w:val="auto"/>
        </w:rPr>
        <w:t>.</w:t>
      </w:r>
    </w:p>
    <w:p>
      <w:pPr>
        <w:spacing w:after="0" w:line="134"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Each Option and SAR will have such terms and conditions as determined by the Board. Each Option will be designated in writing as an Incentive Stock Option or Nonstatutory Stock Option at the time of grant; provided, however, that if an Option is not so designated or if an Option designated as an Incentive Stock Option fails to qualify as an Incentive Stock Option, then such Option will be a Nonstatutory Stock Option, and the shares purchased upon exercise of each type of Option will be separately accounted for. Each SAR will be denominated in shares of Common Stock equivalents. The terms and conditions of separate Options and SARs need not be identical; provided, however, that each Option Agreement and SAR Agreement will conform (through incorporation of provisions hereof by reference in the Award Agreement or otherwise) to the substance of each of the following provisions:</w:t>
      </w:r>
    </w:p>
    <w:p>
      <w:pPr>
        <w:spacing w:after="0" w:line="114" w:lineRule="exact"/>
        <w:rPr>
          <w:sz w:val="20"/>
          <w:szCs w:val="20"/>
          <w:color w:val="auto"/>
        </w:rPr>
      </w:pPr>
    </w:p>
    <w:p>
      <w:pPr>
        <w:ind w:right="220" w:firstLine="517"/>
        <w:spacing w:after="0" w:line="286" w:lineRule="auto"/>
        <w:tabs>
          <w:tab w:leader="none" w:pos="763"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 </w:t>
      </w:r>
      <w:r>
        <w:rPr>
          <w:rFonts w:ascii="Times New Roman" w:cs="Times New Roman" w:eastAsia="Times New Roman" w:hAnsi="Times New Roman"/>
          <w:sz w:val="18"/>
          <w:szCs w:val="18"/>
          <w:color w:val="auto"/>
        </w:rPr>
        <w:t>Subject to Section 3(b) regarding Ten Percent Stockholders, no Option or SAR will be exercisable after the expiration of ten years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date of grant of such Award or such shorter period specified in the Award Agreement.</w:t>
      </w:r>
    </w:p>
    <w:p>
      <w:pPr>
        <w:spacing w:after="0" w:line="46" w:lineRule="exact"/>
        <w:rPr>
          <w:rFonts w:ascii="Times New Roman" w:cs="Times New Roman" w:eastAsia="Times New Roman" w:hAnsi="Times New Roman"/>
          <w:sz w:val="18"/>
          <w:szCs w:val="18"/>
          <w:b w:val="1"/>
          <w:bCs w:val="1"/>
          <w:color w:val="auto"/>
        </w:rPr>
      </w:pPr>
    </w:p>
    <w:p>
      <w:pPr>
        <w:ind w:right="60" w:firstLine="517"/>
        <w:spacing w:after="0" w:line="259" w:lineRule="auto"/>
        <w:tabs>
          <w:tab w:leader="none" w:pos="774"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Exercise or Strike Price. </w:t>
      </w:r>
      <w:r>
        <w:rPr>
          <w:rFonts w:ascii="Times New Roman" w:cs="Times New Roman" w:eastAsia="Times New Roman" w:hAnsi="Times New Roman"/>
          <w:sz w:val="18"/>
          <w:szCs w:val="18"/>
          <w:color w:val="auto"/>
        </w:rPr>
        <w:t>Subject to Section 3(b) regarding Ten Percent Stockholders, the exercise or strike price of each Option or SAR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be less than 100% of the Fair Market Value on the date of grant of such Award. Notwithstanding the foregoing, an Option or SAR may be granted with an exercise or strike price lower than 100% of the Fair Market Value on the date of grant of such Award if such Award is granted pursuant to an assumption of or substitution for another option or stock appreciation right pursuant to a Corporate Transaction and in a manner consistent with the provisions of Sections 409A and, if applicable, 424(a) of the Code.</w:t>
      </w:r>
    </w:p>
    <w:p>
      <w:pPr>
        <w:spacing w:after="0" w:line="69" w:lineRule="exact"/>
        <w:rPr>
          <w:rFonts w:ascii="Times New Roman" w:cs="Times New Roman" w:eastAsia="Times New Roman" w:hAnsi="Times New Roman"/>
          <w:sz w:val="18"/>
          <w:szCs w:val="18"/>
          <w:b w:val="1"/>
          <w:bCs w:val="1"/>
          <w:color w:val="auto"/>
        </w:rPr>
      </w:pPr>
    </w:p>
    <w:p>
      <w:pPr>
        <w:ind w:firstLine="517"/>
        <w:spacing w:after="0" w:line="257" w:lineRule="auto"/>
        <w:tabs>
          <w:tab w:leader="none" w:pos="753"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Exercise Procedure and Payment of Exercise Price for Options. </w:t>
      </w:r>
      <w:r>
        <w:rPr>
          <w:rFonts w:ascii="Times New Roman" w:cs="Times New Roman" w:eastAsia="Times New Roman" w:hAnsi="Times New Roman"/>
          <w:sz w:val="18"/>
          <w:szCs w:val="18"/>
          <w:color w:val="auto"/>
        </w:rPr>
        <w:t>In order to exercise an Option, the Participant must provide notice of exercise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Plan Administrator in accordance with the procedures specified in the Option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determined by the Board, by one or more of the following methods of payment to the extent set forth in the Option Agreement:</w:t>
      </w:r>
    </w:p>
    <w:p>
      <w:pPr>
        <w:spacing w:after="0" w:line="76" w:lineRule="exact"/>
        <w:rPr>
          <w:rFonts w:ascii="Times New Roman" w:cs="Times New Roman" w:eastAsia="Times New Roman" w:hAnsi="Times New Roman"/>
          <w:sz w:val="18"/>
          <w:szCs w:val="18"/>
          <w:b w:val="1"/>
          <w:bCs w:val="1"/>
          <w:color w:val="auto"/>
        </w:rPr>
      </w:pPr>
    </w:p>
    <w:p>
      <w:pPr>
        <w:ind w:left="1360" w:hanging="207"/>
        <w:spacing w:after="0"/>
        <w:tabs>
          <w:tab w:leader="none" w:pos="1360" w:val="left"/>
        </w:tabs>
        <w:numPr>
          <w:ilvl w:val="1"/>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cash or check, bank draft or money order payable to the Company;</w:t>
      </w:r>
    </w:p>
    <w:p>
      <w:pPr>
        <w:spacing w:after="0" w:line="116" w:lineRule="exact"/>
        <w:rPr>
          <w:rFonts w:ascii="Times New Roman" w:cs="Times New Roman" w:eastAsia="Times New Roman" w:hAnsi="Times New Roman"/>
          <w:sz w:val="18"/>
          <w:szCs w:val="18"/>
          <w:b w:val="1"/>
          <w:bCs w:val="1"/>
          <w:color w:val="auto"/>
        </w:rPr>
      </w:pPr>
    </w:p>
    <w:p>
      <w:pPr>
        <w:ind w:right="60" w:firstLine="1153"/>
        <w:spacing w:after="0" w:line="265" w:lineRule="auto"/>
        <w:tabs>
          <w:tab w:leader="none" w:pos="1410" w:val="left"/>
        </w:tabs>
        <w:numPr>
          <w:ilvl w:val="1"/>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a “cashless exercise” program developed under Regulation T as promulgated by the Federal Reserve Board that, prior to the issuance of the Common Stock subject to the Option, results in either the receipt of cash (or check) by the Company or the receipt of irrevocable instructions to pay the exercise price to the Company from the sales proceeds;</w:t>
      </w:r>
    </w:p>
    <w:p>
      <w:pPr>
        <w:spacing w:after="0" w:line="69" w:lineRule="exact"/>
        <w:rPr>
          <w:rFonts w:ascii="Times New Roman" w:cs="Times New Roman" w:eastAsia="Times New Roman" w:hAnsi="Times New Roman"/>
          <w:sz w:val="18"/>
          <w:szCs w:val="18"/>
          <w:b w:val="1"/>
          <w:bCs w:val="1"/>
          <w:color w:val="auto"/>
        </w:rPr>
      </w:pPr>
    </w:p>
    <w:p>
      <w:pPr>
        <w:ind w:right="100" w:firstLine="1153"/>
        <w:spacing w:after="0" w:line="255" w:lineRule="auto"/>
        <w:tabs>
          <w:tab w:leader="none" w:pos="1460" w:val="left"/>
        </w:tabs>
        <w:numPr>
          <w:ilvl w:val="1"/>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delivery to the Company (either by actual delivery or attestation) of shares of Common Stock that are already owned by the Participant free and clear of any liens, claims, encumbrances or security interests, with a Fair Market Value on the date of exercise that does not exceed the exercise price, provided that (1) at the time of exercise the Common Stock is publicly traded, (2) any remaining balance of the exercise price not satisfied by such delivery is paid by the Participant in cash or other permitted form of payment, (3) such delivery would not violate any Applicable Law or agreement restricting the redemption of the Common Stock, (4) any certificated shares are endorsed or accompanied by an executed assignment separate from certificate, and (5) such shares have been held by the Participant for any minimum period necessary to avoid adverse accounting treatment as a result of such delivery;</w:t>
      </w:r>
    </w:p>
    <w:p>
      <w:pPr>
        <w:spacing w:after="0" w:line="78" w:lineRule="exact"/>
        <w:rPr>
          <w:rFonts w:ascii="Times New Roman" w:cs="Times New Roman" w:eastAsia="Times New Roman" w:hAnsi="Times New Roman"/>
          <w:sz w:val="18"/>
          <w:szCs w:val="18"/>
          <w:b w:val="1"/>
          <w:bCs w:val="1"/>
          <w:color w:val="auto"/>
        </w:rPr>
      </w:pPr>
    </w:p>
    <w:p>
      <w:pPr>
        <w:ind w:firstLine="1153"/>
        <w:spacing w:after="0" w:line="260" w:lineRule="auto"/>
        <w:tabs>
          <w:tab w:leader="none" w:pos="1450" w:val="left"/>
        </w:tabs>
        <w:numPr>
          <w:ilvl w:val="1"/>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Option is a Nonstatutory Stock Option, by a “net exercise” arrangement pursuant to which the Company will reduce the number of shares of Common Stock issuable upon exercise by the largest whole number of shares with a Fair Market Value on the date of exercise that does not exceed the exercise price, provided that (1) such shares used to pay the exercise price will not be exercisable thereafter and (2) any remaining balance of the exercise price not satisfied by such net exercise is paid by the Participant in cash or other permitted form of payment; or</w:t>
      </w:r>
    </w:p>
    <w:p>
      <w:pPr>
        <w:spacing w:after="0" w:line="114" w:lineRule="exact"/>
        <w:rPr>
          <w:rFonts w:ascii="Times New Roman" w:cs="Times New Roman" w:eastAsia="Times New Roman" w:hAnsi="Times New Roman"/>
          <w:sz w:val="18"/>
          <w:szCs w:val="18"/>
          <w:b w:val="1"/>
          <w:bCs w:val="1"/>
          <w:color w:val="auto"/>
        </w:rPr>
      </w:pPr>
    </w:p>
    <w:p>
      <w:pPr>
        <w:ind w:left="1400" w:hanging="247"/>
        <w:spacing w:after="0"/>
        <w:tabs>
          <w:tab w:leader="none" w:pos="1400" w:val="left"/>
        </w:tabs>
        <w:numPr>
          <w:ilvl w:val="1"/>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any other form of consideration that may be acceptable to the Board and permissible under Applicable Law.</w:t>
      </w:r>
    </w:p>
    <w:p>
      <w:pPr>
        <w:spacing w:after="0" w:line="112" w:lineRule="exact"/>
        <w:rPr>
          <w:rFonts w:ascii="Times New Roman" w:cs="Times New Roman" w:eastAsia="Times New Roman" w:hAnsi="Times New Roman"/>
          <w:sz w:val="18"/>
          <w:szCs w:val="18"/>
          <w:b w:val="1"/>
          <w:bCs w:val="1"/>
          <w:color w:val="auto"/>
        </w:rPr>
      </w:pPr>
    </w:p>
    <w:p>
      <w:pPr>
        <w:ind w:right="160" w:firstLine="517"/>
        <w:spacing w:after="0" w:line="286" w:lineRule="auto"/>
        <w:tabs>
          <w:tab w:leader="none" w:pos="774"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Exercise Procedure and Payment of Appreciation Distribution for SARs. </w:t>
      </w:r>
      <w:r>
        <w:rPr>
          <w:rFonts w:ascii="Times New Roman" w:cs="Times New Roman" w:eastAsia="Times New Roman" w:hAnsi="Times New Roman"/>
          <w:sz w:val="18"/>
          <w:szCs w:val="18"/>
          <w:color w:val="auto"/>
        </w:rPr>
        <w:t>In order to exercise any SAR, the Participant must provide 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exercise to the Plan Administrator in accordance with the SAR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852805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5" w:right="339" w:bottom="1440" w:gutter="0" w:footer="0" w:header="0"/>
        </w:sectPr>
      </w:pPr>
    </w:p>
    <w:bookmarkStart w:id="165" w:name="page166"/>
    <w:bookmarkEnd w:id="165"/>
    <w:p>
      <w:pPr>
        <w:spacing w:after="0" w:line="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Agreement. The appreciation distribution payable to a Participant upon the exercise of a SAR will not be greater than an amount equal to the excess of (i) the aggregate Fair Market Value on the date of exercise of a number of shares of Common Stock equal to the number of Common Stock equivalents that are vested and being exercised under such SAR, over (ii) the strike price of such SAR. Such appreciation distribution may be paid to the Participant in the form of Common Stock or cash (or any combination of Common Stock and cash) or in any other form of payment, as determined by the Board and specified in the SAR Agreement.</w:t>
      </w:r>
    </w:p>
    <w:p>
      <w:pPr>
        <w:spacing w:after="0" w:line="70" w:lineRule="exact"/>
        <w:rPr>
          <w:sz w:val="20"/>
          <w:szCs w:val="20"/>
          <w:color w:val="auto"/>
        </w:rPr>
      </w:pPr>
    </w:p>
    <w:p>
      <w:pPr>
        <w:ind w:right="80" w:firstLine="517"/>
        <w:spacing w:after="0" w:line="259" w:lineRule="auto"/>
        <w:tabs>
          <w:tab w:leader="none" w:pos="753"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Transferability. </w:t>
      </w:r>
      <w:r>
        <w:rPr>
          <w:rFonts w:ascii="Times New Roman" w:cs="Times New Roman" w:eastAsia="Times New Roman" w:hAnsi="Times New Roman"/>
          <w:sz w:val="18"/>
          <w:szCs w:val="18"/>
          <w:color w:val="auto"/>
        </w:rPr>
        <w:t>Options and SARs may not be transferred to third party financial institutions for value. The Board may impose such additional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limitations on the transferability of an Option or SAR as it determines. In the absence of any such determination by the Board, the following restrictions on the transferability of Options and SARs will apply, provided that except as explicitly provided herein, neither an Option nor a SAR may be transferred for consideration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if an Option is an Incentive Stock Option, such Option may be deemed to be a Nonstatutory Stock Option as a result of such transfer:</w:t>
      </w:r>
    </w:p>
    <w:p>
      <w:pPr>
        <w:spacing w:after="0" w:line="69" w:lineRule="exact"/>
        <w:rPr>
          <w:rFonts w:ascii="Times New Roman" w:cs="Times New Roman" w:eastAsia="Times New Roman" w:hAnsi="Times New Roman"/>
          <w:sz w:val="18"/>
          <w:szCs w:val="18"/>
          <w:b w:val="1"/>
          <w:bCs w:val="1"/>
          <w:color w:val="auto"/>
        </w:rPr>
      </w:pPr>
    </w:p>
    <w:p>
      <w:pPr>
        <w:ind w:firstLine="1153"/>
        <w:spacing w:after="0" w:line="259" w:lineRule="auto"/>
        <w:tabs>
          <w:tab w:leader="none" w:pos="1360" w:val="left"/>
        </w:tabs>
        <w:numPr>
          <w:ilvl w:val="1"/>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Restrictions on Transfer. </w:t>
      </w:r>
      <w:r>
        <w:rPr>
          <w:rFonts w:ascii="Times New Roman" w:cs="Times New Roman" w:eastAsia="Times New Roman" w:hAnsi="Times New Roman"/>
          <w:sz w:val="18"/>
          <w:szCs w:val="18"/>
          <w:color w:val="auto"/>
        </w:rPr>
        <w:t>An Option or SAR will not be transferable, except by will or by the laws of descent and distribution, and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exercisable during the lifetime of the Participant only by the Participant; provided, however, that the Board may permit transfer of an Option or SAR in a manner that is not prohibited by applicable tax and securities laws upon the Participant’s request, including to a trust if the Participant is considered to be the sole beneficial owner of such trust (as determined under Section 671 of the Code and applicable state law) while such Option or SAR is held in such trust, provided that the Participant and the trustee enter into a transfer and other agreements required by the Company.</w:t>
      </w:r>
    </w:p>
    <w:p>
      <w:pPr>
        <w:spacing w:after="0" w:line="69" w:lineRule="exact"/>
        <w:rPr>
          <w:rFonts w:ascii="Times New Roman" w:cs="Times New Roman" w:eastAsia="Times New Roman" w:hAnsi="Times New Roman"/>
          <w:sz w:val="18"/>
          <w:szCs w:val="18"/>
          <w:b w:val="1"/>
          <w:bCs w:val="1"/>
          <w:color w:val="auto"/>
        </w:rPr>
      </w:pPr>
    </w:p>
    <w:p>
      <w:pPr>
        <w:ind w:firstLine="1153"/>
        <w:spacing w:after="0" w:line="268" w:lineRule="auto"/>
        <w:tabs>
          <w:tab w:leader="none" w:pos="1410" w:val="left"/>
        </w:tabs>
        <w:numPr>
          <w:ilvl w:val="1"/>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Domestic Relations Orders. </w:t>
      </w:r>
      <w:r>
        <w:rPr>
          <w:rFonts w:ascii="Times New Roman" w:cs="Times New Roman" w:eastAsia="Times New Roman" w:hAnsi="Times New Roman"/>
          <w:sz w:val="18"/>
          <w:szCs w:val="18"/>
          <w:color w:val="auto"/>
        </w:rPr>
        <w:t>Notwithstanding the foregoing, subject to the execution of transfer documentation in a format acceptable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Company and subject to the approval of the Board or a duly authorized Officer, an Option or SAR may be transferred pursuant to a domestic relations order.</w:t>
      </w:r>
    </w:p>
    <w:p>
      <w:pPr>
        <w:spacing w:after="0" w:line="61" w:lineRule="exact"/>
        <w:rPr>
          <w:rFonts w:ascii="Times New Roman" w:cs="Times New Roman" w:eastAsia="Times New Roman" w:hAnsi="Times New Roman"/>
          <w:sz w:val="18"/>
          <w:szCs w:val="18"/>
          <w:b w:val="1"/>
          <w:bCs w:val="1"/>
          <w:color w:val="auto"/>
        </w:rPr>
      </w:pPr>
    </w:p>
    <w:p>
      <w:pPr>
        <w:ind w:right="40" w:firstLine="517"/>
        <w:spacing w:after="0" w:line="268" w:lineRule="auto"/>
        <w:tabs>
          <w:tab w:leader="none" w:pos="733"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The Board may impose such restrictions on or conditions to the vesting and/or exercisability of an Option or SAR as determined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Except as otherwise provided in the Award Agreement or other written agreement between a Participant and the Company or an Affiliate, vesting of Options and SARs will cease upon termination of the Participant’s Continuous Service.</w:t>
      </w:r>
    </w:p>
    <w:p>
      <w:pPr>
        <w:spacing w:after="0" w:line="102" w:lineRule="exact"/>
        <w:rPr>
          <w:rFonts w:ascii="Times New Roman" w:cs="Times New Roman" w:eastAsia="Times New Roman" w:hAnsi="Times New Roman"/>
          <w:sz w:val="18"/>
          <w:szCs w:val="18"/>
          <w:b w:val="1"/>
          <w:bCs w:val="1"/>
          <w:color w:val="auto"/>
        </w:rPr>
      </w:pPr>
    </w:p>
    <w:p>
      <w:pPr>
        <w:ind w:right="240" w:firstLine="517"/>
        <w:spacing w:after="0" w:line="257" w:lineRule="auto"/>
        <w:tabs>
          <w:tab w:leader="none" w:pos="763"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of Continuous Service for Cause. </w:t>
      </w:r>
      <w:r>
        <w:rPr>
          <w:rFonts w:ascii="Times New Roman" w:cs="Times New Roman" w:eastAsia="Times New Roman" w:hAnsi="Times New Roman"/>
          <w:sz w:val="18"/>
          <w:szCs w:val="18"/>
          <w:color w:val="auto"/>
        </w:rPr>
        <w:t>Except as explicitly otherwise provided in the Award Agreement or other written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a Participant and the Company or an Affiliate, if a Participant’s Continuous Service is terminated for Cause, the Participant’s Options and SARs will terminate and be forfeited immediately 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of Common Stock subject to the forfeited Award, or any consideration in respect of the forfeited Award.</w:t>
      </w:r>
    </w:p>
    <w:p>
      <w:pPr>
        <w:spacing w:after="0" w:line="72" w:lineRule="exact"/>
        <w:rPr>
          <w:rFonts w:ascii="Times New Roman" w:cs="Times New Roman" w:eastAsia="Times New Roman" w:hAnsi="Times New Roman"/>
          <w:sz w:val="18"/>
          <w:szCs w:val="18"/>
          <w:b w:val="1"/>
          <w:bCs w:val="1"/>
          <w:color w:val="auto"/>
        </w:rPr>
      </w:pPr>
    </w:p>
    <w:p>
      <w:pPr>
        <w:ind w:right="80" w:firstLine="517"/>
        <w:spacing w:after="0" w:line="259" w:lineRule="auto"/>
        <w:tabs>
          <w:tab w:leader="none" w:pos="774"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Post-Termination Exercise Period Following Termination of Continuous Service for Reasons Other than Cause. </w:t>
      </w:r>
      <w:r>
        <w:rPr>
          <w:rFonts w:ascii="Times New Roman" w:cs="Times New Roman" w:eastAsia="Times New Roman" w:hAnsi="Times New Roman"/>
          <w:sz w:val="18"/>
          <w:szCs w:val="18"/>
          <w:color w:val="auto"/>
        </w:rPr>
        <w:t>Subject to Section 4(i),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Participant’s Continuous Service terminates for any reason other than for Cause, the Participant may exercise his or her Option or SAR to the extent vested, but only within the following period of time or, if applicable, such other period of time provided in the Award Agreement or other written agreement between a Participant and the Company or an Affiliate; provided, however, that in no event may such Award be exercised after the expiration of its maximum term (as set forth in Section 4(a)):</w:t>
      </w:r>
    </w:p>
    <w:p>
      <w:pPr>
        <w:spacing w:after="0" w:line="73" w:lineRule="exact"/>
        <w:rPr>
          <w:rFonts w:ascii="Times New Roman" w:cs="Times New Roman" w:eastAsia="Times New Roman" w:hAnsi="Times New Roman"/>
          <w:sz w:val="18"/>
          <w:szCs w:val="18"/>
          <w:b w:val="1"/>
          <w:bCs w:val="1"/>
          <w:color w:val="auto"/>
        </w:rPr>
      </w:pPr>
    </w:p>
    <w:p>
      <w:pPr>
        <w:ind w:firstLine="1153"/>
        <w:spacing w:after="0" w:line="281" w:lineRule="auto"/>
        <w:tabs>
          <w:tab w:leader="none" w:pos="1360" w:val="left"/>
        </w:tabs>
        <w:numPr>
          <w:ilvl w:val="1"/>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three months following the date of such termination if such termination is a termination without Cause (other than any termination due to the Participant’s Disability or death);</w:t>
      </w:r>
    </w:p>
    <w:p>
      <w:pPr>
        <w:spacing w:after="0" w:line="54" w:lineRule="exact"/>
        <w:rPr>
          <w:rFonts w:ascii="Times New Roman" w:cs="Times New Roman" w:eastAsia="Times New Roman" w:hAnsi="Times New Roman"/>
          <w:sz w:val="18"/>
          <w:szCs w:val="18"/>
          <w:b w:val="1"/>
          <w:bCs w:val="1"/>
          <w:color w:val="auto"/>
        </w:rPr>
      </w:pPr>
    </w:p>
    <w:p>
      <w:pPr>
        <w:ind w:left="1420" w:hanging="267"/>
        <w:spacing w:after="0"/>
        <w:tabs>
          <w:tab w:leader="none" w:pos="1420" w:val="left"/>
        </w:tabs>
        <w:numPr>
          <w:ilvl w:val="1"/>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 months following the date of such termination if such termination is due to the Participant’s Disability;</w:t>
      </w:r>
    </w:p>
    <w:p>
      <w:pPr>
        <w:spacing w:after="0" w:line="116" w:lineRule="exact"/>
        <w:rPr>
          <w:rFonts w:ascii="Times New Roman" w:cs="Times New Roman" w:eastAsia="Times New Roman" w:hAnsi="Times New Roman"/>
          <w:sz w:val="18"/>
          <w:szCs w:val="18"/>
          <w:b w:val="1"/>
          <w:bCs w:val="1"/>
          <w:color w:val="auto"/>
        </w:rPr>
      </w:pPr>
    </w:p>
    <w:p>
      <w:pPr>
        <w:ind w:left="1460" w:hanging="307"/>
        <w:spacing w:after="0"/>
        <w:tabs>
          <w:tab w:leader="none" w:pos="1460" w:val="left"/>
        </w:tabs>
        <w:numPr>
          <w:ilvl w:val="1"/>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18 months following the date of such termination if such termination is due to the Participant’s death; or</w:t>
      </w:r>
    </w:p>
    <w:p>
      <w:pPr>
        <w:spacing w:after="0" w:line="116" w:lineRule="exact"/>
        <w:rPr>
          <w:rFonts w:ascii="Times New Roman" w:cs="Times New Roman" w:eastAsia="Times New Roman" w:hAnsi="Times New Roman"/>
          <w:sz w:val="18"/>
          <w:szCs w:val="18"/>
          <w:b w:val="1"/>
          <w:bCs w:val="1"/>
          <w:color w:val="auto"/>
        </w:rPr>
      </w:pPr>
    </w:p>
    <w:p>
      <w:pPr>
        <w:ind w:firstLine="1153"/>
        <w:spacing w:after="0" w:line="281" w:lineRule="auto"/>
        <w:tabs>
          <w:tab w:leader="none" w:pos="1450" w:val="left"/>
        </w:tabs>
        <w:numPr>
          <w:ilvl w:val="1"/>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18 months following the date of the Participant’s death if such death occurs following the date of such termination but during the period such Award is otherwise exercisable (as provided in (i) or (ii) above).</w:t>
      </w:r>
    </w:p>
    <w:p>
      <w:pPr>
        <w:spacing w:after="0" w:line="163"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Following the date of such termination, to the extent the Participant does not exercise such Award within the applicable Post-Termination Exercise Period (or, if earlier, prior to the expiration of the maximum term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855345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192"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8"/>
          <w:szCs w:val="18"/>
          <w:color w:val="auto"/>
        </w:rPr>
        <w:t>Award), such unexercised portion of the Award will terminate, and the Participant will have no further right, title or interest in the terminated Award, the shares of Common Stock subject to the terminated Award, or any consideration in respect of the terminated Award.</w:t>
      </w:r>
    </w:p>
    <w:p>
      <w:pPr>
        <w:spacing w:after="0" w:line="51" w:lineRule="exact"/>
        <w:rPr>
          <w:sz w:val="20"/>
          <w:szCs w:val="20"/>
          <w:color w:val="auto"/>
        </w:rPr>
      </w:pPr>
    </w:p>
    <w:p>
      <w:pPr>
        <w:ind w:firstLine="517"/>
        <w:spacing w:after="0" w:line="254" w:lineRule="auto"/>
        <w:tabs>
          <w:tab w:leader="none" w:pos="724" w:val="left"/>
        </w:tabs>
        <w:numPr>
          <w:ilvl w:val="1"/>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Restrictions on Exercise; Extension of Exercisability. </w:t>
      </w:r>
      <w:r>
        <w:rPr>
          <w:rFonts w:ascii="Times New Roman" w:cs="Times New Roman" w:eastAsia="Times New Roman" w:hAnsi="Times New Roman"/>
          <w:sz w:val="18"/>
          <w:szCs w:val="18"/>
          <w:color w:val="auto"/>
        </w:rPr>
        <w:t>A Participant may not exercise an Option or SAR at any time that the issuance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Common Stock upon such exercise would violate Applicable Law. Except as otherwise provided in the Award Agreement or other written agreement between a Participant and the Company or an Affiliate, if a Participant’s Continuous Service terminates for any reason other than for Cause and, at any time during the last thirty days of the applicable Post-Termination Exercise Period: (i) the exercise of the Participant’s Option or SAR would be prohibited solely because the issuance of shares of Common Stock upon such exercise would violate Applicable Law, or (ii) the immediate sale of any shares of Common Stock issued upon such exercise would violate the Company’s Trading Policy, then the applicable 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Award be exercised after the expiration of its maximum term (as set forth in Section 4(a)).</w:t>
      </w:r>
    </w:p>
    <w:p>
      <w:pPr>
        <w:spacing w:after="0" w:line="74" w:lineRule="exact"/>
        <w:rPr>
          <w:rFonts w:ascii="Times New Roman" w:cs="Times New Roman" w:eastAsia="Times New Roman" w:hAnsi="Times New Roman"/>
          <w:sz w:val="18"/>
          <w:szCs w:val="18"/>
          <w:b w:val="1"/>
          <w:bCs w:val="1"/>
          <w:color w:val="auto"/>
        </w:rPr>
      </w:pPr>
    </w:p>
    <w:p>
      <w:pPr>
        <w:ind w:right="40" w:firstLine="517"/>
        <w:spacing w:after="0" w:line="255" w:lineRule="auto"/>
        <w:tabs>
          <w:tab w:leader="none" w:pos="733" w:val="left"/>
        </w:tabs>
        <w:numPr>
          <w:ilvl w:val="1"/>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Non-Exempt Employees. </w:t>
      </w:r>
      <w:r>
        <w:rPr>
          <w:rFonts w:ascii="Times New Roman" w:cs="Times New Roman" w:eastAsia="Times New Roman" w:hAnsi="Times New Roman"/>
          <w:sz w:val="18"/>
          <w:szCs w:val="18"/>
          <w:color w:val="auto"/>
        </w:rPr>
        <w:t>No Option or SAR, whether or not vested, granted to an Employee who is a non-exempt employee for purposes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Fair Labor Standards Act of 1938, as amended, will be first exercisable for any shares of Common Stock until at least six months following the date of grant of such Award. Notwithstanding the foregoing, in accordance with the provisions of the Worker Economic Opportunity Act, any vested portion of such Award may be exercised earlier than six months following the date of grant of such Award in the event of (i) such Participant’s death or Disability, (ii) a Corporate Transaction in which such Award is not assumed, continued or substituted, (iii) a Change in Control, or (iv) such Participant’s retirement (as such term may be defined in the Award Agreement or another applicable agreement or, in the absence of any such definition, in accordance with the Company’s then current employment policies and guidelines). This Section 4(j) is intended to operate so that any income derived by a non-exempt employee in connection with the exercise or vesting of an Option or SAR will be exempt from his or her regular rate of pay.</w:t>
      </w:r>
    </w:p>
    <w:p>
      <w:pPr>
        <w:spacing w:after="0" w:line="74" w:lineRule="exact"/>
        <w:rPr>
          <w:rFonts w:ascii="Times New Roman" w:cs="Times New Roman" w:eastAsia="Times New Roman" w:hAnsi="Times New Roman"/>
          <w:sz w:val="18"/>
          <w:szCs w:val="18"/>
          <w:b w:val="1"/>
          <w:bCs w:val="1"/>
          <w:color w:val="auto"/>
        </w:rPr>
      </w:pPr>
    </w:p>
    <w:p>
      <w:pPr>
        <w:ind w:left="780" w:hanging="263"/>
        <w:spacing w:after="0"/>
        <w:tabs>
          <w:tab w:leader="none" w:pos="780" w:val="left"/>
        </w:tabs>
        <w:numPr>
          <w:ilvl w:val="1"/>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Whole Shares. </w:t>
      </w:r>
      <w:r>
        <w:rPr>
          <w:rFonts w:ascii="Times New Roman" w:cs="Times New Roman" w:eastAsia="Times New Roman" w:hAnsi="Times New Roman"/>
          <w:sz w:val="18"/>
          <w:szCs w:val="18"/>
          <w:color w:val="auto"/>
        </w:rPr>
        <w:t>Options and SARs may be exercised only with respect to whole shares of Common Stock or their equivalents.</w:t>
      </w:r>
    </w:p>
    <w:p>
      <w:pPr>
        <w:spacing w:after="0" w:line="264" w:lineRule="exact"/>
        <w:rPr>
          <w:rFonts w:ascii="Times New Roman" w:cs="Times New Roman" w:eastAsia="Times New Roman" w:hAnsi="Times New Roman"/>
          <w:sz w:val="18"/>
          <w:szCs w:val="18"/>
          <w:b w:val="1"/>
          <w:bCs w:val="1"/>
          <w:color w:val="auto"/>
        </w:rPr>
      </w:pPr>
    </w:p>
    <w:p>
      <w:pPr>
        <w:ind w:left="480" w:hanging="459"/>
        <w:spacing w:after="0"/>
        <w:tabs>
          <w:tab w:leader="none" w:pos="48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3"/>
          <w:szCs w:val="13"/>
          <w:b w:val="1"/>
          <w:bCs w:val="1"/>
          <w:color w:val="auto"/>
        </w:rPr>
        <w:t>WARDS</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3"/>
          <w:szCs w:val="13"/>
          <w:b w:val="1"/>
          <w:bCs w:val="1"/>
          <w:color w:val="auto"/>
        </w:rPr>
        <w:t>THER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3"/>
          <w:szCs w:val="13"/>
          <w:b w:val="1"/>
          <w:bCs w:val="1"/>
          <w:color w:val="auto"/>
        </w:rPr>
        <w:t>HAN</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3"/>
          <w:szCs w:val="13"/>
          <w:b w:val="1"/>
          <w:bCs w:val="1"/>
          <w:color w:val="auto"/>
        </w:rPr>
        <w:t>PTIONS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3"/>
          <w:szCs w:val="13"/>
          <w:b w:val="1"/>
          <w:bCs w:val="1"/>
          <w:color w:val="auto"/>
        </w:rPr>
        <w:t>PPRECIATION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3"/>
          <w:szCs w:val="13"/>
          <w:b w:val="1"/>
          <w:bCs w:val="1"/>
          <w:color w:val="auto"/>
        </w:rPr>
        <w:t>IGHTS</w:t>
      </w:r>
      <w:r>
        <w:rPr>
          <w:rFonts w:ascii="Times New Roman" w:cs="Times New Roman" w:eastAsia="Times New Roman" w:hAnsi="Times New Roman"/>
          <w:sz w:val="18"/>
          <w:szCs w:val="18"/>
          <w:b w:val="1"/>
          <w:bCs w:val="1"/>
          <w:color w:val="auto"/>
        </w:rPr>
        <w:t>.</w:t>
      </w:r>
    </w:p>
    <w:p>
      <w:pPr>
        <w:spacing w:after="0" w:line="130" w:lineRule="exact"/>
        <w:rPr>
          <w:rFonts w:ascii="Times New Roman" w:cs="Times New Roman" w:eastAsia="Times New Roman" w:hAnsi="Times New Roman"/>
          <w:sz w:val="18"/>
          <w:szCs w:val="18"/>
          <w:b w:val="1"/>
          <w:bCs w:val="1"/>
          <w:color w:val="auto"/>
        </w:rPr>
      </w:pPr>
    </w:p>
    <w:p>
      <w:pPr>
        <w:ind w:right="100" w:firstLine="517"/>
        <w:spacing w:after="0" w:line="268" w:lineRule="auto"/>
        <w:tabs>
          <w:tab w:leader="none" w:pos="763" w:val="left"/>
        </w:tabs>
        <w:numPr>
          <w:ilvl w:val="1"/>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Restricted Stock Awards and RSU Awards. </w:t>
      </w:r>
      <w:r>
        <w:rPr>
          <w:rFonts w:ascii="Times New Roman" w:cs="Times New Roman" w:eastAsia="Times New Roman" w:hAnsi="Times New Roman"/>
          <w:sz w:val="18"/>
          <w:szCs w:val="18"/>
          <w:color w:val="auto"/>
        </w:rPr>
        <w:t>Each Restricted Stock Award and RSU Award will have such terms and conditions as determined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Board; provided, however, that each Restricted Stock Award Agreement and RSU Award Agreement will conform (through incorporation of the provisions hereof by reference in the Award Agreement or otherwise) to the substance of each of the following provisions:</w:t>
      </w:r>
    </w:p>
    <w:p>
      <w:pPr>
        <w:spacing w:after="0" w:line="61" w:lineRule="exact"/>
        <w:rPr>
          <w:rFonts w:ascii="Times New Roman" w:cs="Times New Roman" w:eastAsia="Times New Roman" w:hAnsi="Times New Roman"/>
          <w:sz w:val="18"/>
          <w:szCs w:val="18"/>
          <w:b w:val="1"/>
          <w:bCs w:val="1"/>
          <w:color w:val="auto"/>
        </w:rPr>
      </w:pPr>
    </w:p>
    <w:p>
      <w:pPr>
        <w:ind w:left="1360" w:hanging="207"/>
        <w:spacing w:after="0"/>
        <w:tabs>
          <w:tab w:leader="none" w:pos="1360" w:val="left"/>
        </w:tabs>
        <w:numPr>
          <w:ilvl w:val="2"/>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Form of Award.</w:t>
      </w:r>
    </w:p>
    <w:p>
      <w:pPr>
        <w:spacing w:after="0" w:line="120" w:lineRule="exact"/>
        <w:rPr>
          <w:rFonts w:ascii="Times New Roman" w:cs="Times New Roman" w:eastAsia="Times New Roman" w:hAnsi="Times New Roman"/>
          <w:sz w:val="18"/>
          <w:szCs w:val="18"/>
          <w:b w:val="1"/>
          <w:bCs w:val="1"/>
          <w:color w:val="auto"/>
        </w:rPr>
      </w:pPr>
    </w:p>
    <w:p>
      <w:pPr>
        <w:ind w:right="20" w:firstLine="1663"/>
        <w:spacing w:after="0" w:line="258" w:lineRule="auto"/>
        <w:tabs>
          <w:tab w:leader="none" w:pos="1909" w:val="left"/>
        </w:tabs>
        <w:numPr>
          <w:ilvl w:val="3"/>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Restricted Stock Awards: To the extent consistent with the Company’s Bylaws, at the Board’s election, shares of Common Stock subject to a Restricted Stock Award may be (A) held in book entry form subject to the Company’s instructions until such shares become vested or any other restrictions lapse, or (B) evidenced by a certificate, which certificate will be held in such form and manner as determined by the Board. Unless otherwise determined by the Board, a Participant will have voting and other rights as a stockholder of the Company with respect to any shares subject to a Restricted Stock Award.</w:t>
      </w:r>
    </w:p>
    <w:p>
      <w:pPr>
        <w:spacing w:after="0" w:line="74" w:lineRule="exact"/>
        <w:rPr>
          <w:rFonts w:ascii="Times New Roman" w:cs="Times New Roman" w:eastAsia="Times New Roman" w:hAnsi="Times New Roman"/>
          <w:sz w:val="18"/>
          <w:szCs w:val="18"/>
          <w:b w:val="1"/>
          <w:bCs w:val="1"/>
          <w:color w:val="auto"/>
        </w:rPr>
      </w:pPr>
    </w:p>
    <w:p>
      <w:pPr>
        <w:ind w:right="20" w:firstLine="1663"/>
        <w:spacing w:after="0" w:line="256" w:lineRule="auto"/>
        <w:tabs>
          <w:tab w:leader="none" w:pos="1909" w:val="left"/>
        </w:tabs>
        <w:numPr>
          <w:ilvl w:val="3"/>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RSU Awards: An RSU Award represents a Participant’s right to be issued on a future date the number of shares of Common Stock that is equal to the number of restricted stock units subject to the RSU Award. As a holder of an RSU Award, a Participant is an unsecured creditor of the Company with respect to the Company’s unfunded obligation, if any, to issue shares of Common Stock in settlement of such Award and nothing contained in the Plan or any RSU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any RSU Award (unless and until shares are actually issued in settlement of a vested RSU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1075690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67" w:name="page168"/>
    <w:bookmarkEnd w:id="167"/>
    <w:p>
      <w:pPr>
        <w:spacing w:after="0" w:line="80" w:lineRule="exact"/>
        <w:rPr>
          <w:sz w:val="20"/>
          <w:szCs w:val="20"/>
          <w:color w:val="auto"/>
        </w:rPr>
      </w:pPr>
    </w:p>
    <w:p>
      <w:pPr>
        <w:ind w:left="1399" w:hanging="267"/>
        <w:spacing w:after="0"/>
        <w:tabs>
          <w:tab w:leader="none" w:pos="1399" w:val="left"/>
        </w:tabs>
        <w:numPr>
          <w:ilvl w:val="2"/>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Consideration.</w:t>
      </w:r>
    </w:p>
    <w:p>
      <w:pPr>
        <w:spacing w:after="0" w:line="120" w:lineRule="exact"/>
        <w:rPr>
          <w:rFonts w:ascii="Times New Roman" w:cs="Times New Roman" w:eastAsia="Times New Roman" w:hAnsi="Times New Roman"/>
          <w:sz w:val="18"/>
          <w:szCs w:val="18"/>
          <w:b w:val="1"/>
          <w:bCs w:val="1"/>
          <w:color w:val="auto"/>
        </w:rPr>
      </w:pPr>
    </w:p>
    <w:p>
      <w:pPr>
        <w:ind w:left="-21" w:right="100" w:firstLine="1663"/>
        <w:spacing w:after="0" w:line="265" w:lineRule="auto"/>
        <w:tabs>
          <w:tab w:leader="none" w:pos="1888" w:val="left"/>
        </w:tabs>
        <w:numPr>
          <w:ilvl w:val="3"/>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Restricted Stock Awards: A Restricted Stock Award may be granted in consideration for (A) cash or check, bank draft or money order payable to the Company, (B) services to the Company or an Affiliate, or (C) any other form of consideration as the Board may determine and permissible under Applicable Law.</w:t>
      </w:r>
    </w:p>
    <w:p>
      <w:pPr>
        <w:spacing w:after="0" w:line="69" w:lineRule="exact"/>
        <w:rPr>
          <w:rFonts w:ascii="Times New Roman" w:cs="Times New Roman" w:eastAsia="Times New Roman" w:hAnsi="Times New Roman"/>
          <w:sz w:val="18"/>
          <w:szCs w:val="18"/>
          <w:b w:val="1"/>
          <w:bCs w:val="1"/>
          <w:color w:val="auto"/>
        </w:rPr>
      </w:pPr>
    </w:p>
    <w:p>
      <w:pPr>
        <w:ind w:left="-21" w:right="20" w:firstLine="1663"/>
        <w:spacing w:after="0" w:line="256" w:lineRule="auto"/>
        <w:tabs>
          <w:tab w:leader="none" w:pos="1888" w:val="left"/>
        </w:tabs>
        <w:numPr>
          <w:ilvl w:val="3"/>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RSU Awards: Unless otherwise determined by the Board at the time of grant, an RSU Award will be granted in consideration for the Participant’s services to the Company or an Affiliate, such that the Participant will not be required to make any payment to the Company (other than such services) with respect to the grant or vesting of the RSU Award, or the issuance of any shares of Common Stock pursuant to the RSU Award. If, at the time of grant, the Board determines that any consideration must be paid by the Participant (in a form other than the Participant’s services to the Company or an Affiliate) upon the issuance of any shares of Common Stock in settlement of the RSU Award, such consideration may be paid in any form of consideration as the Board may determine and permissible under Applicable Law.</w:t>
      </w:r>
    </w:p>
    <w:p>
      <w:pPr>
        <w:spacing w:after="0" w:line="73" w:lineRule="exact"/>
        <w:rPr>
          <w:rFonts w:ascii="Times New Roman" w:cs="Times New Roman" w:eastAsia="Times New Roman" w:hAnsi="Times New Roman"/>
          <w:sz w:val="18"/>
          <w:szCs w:val="18"/>
          <w:b w:val="1"/>
          <w:bCs w:val="1"/>
          <w:color w:val="auto"/>
        </w:rPr>
      </w:pPr>
    </w:p>
    <w:p>
      <w:pPr>
        <w:ind w:left="-21" w:right="180" w:firstLine="517"/>
        <w:spacing w:after="0" w:line="268" w:lineRule="auto"/>
        <w:tabs>
          <w:tab w:leader="none" w:pos="802"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The Board may impose such restrictions on or conditions to the vesting of a Restricted Stock Award or RSU Award as determined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Except as otherwise provided in the Award Agreement or other written agreement between a Participant and the Company or an Affiliate, vesting of Restricted Stock Awards and RSU Awards will cease upon termination of the Participant’s Continuous Service.</w:t>
      </w:r>
    </w:p>
    <w:p>
      <w:pPr>
        <w:spacing w:after="0" w:line="61" w:lineRule="exact"/>
        <w:rPr>
          <w:rFonts w:ascii="Times New Roman" w:cs="Times New Roman" w:eastAsia="Times New Roman" w:hAnsi="Times New Roman"/>
          <w:sz w:val="18"/>
          <w:szCs w:val="18"/>
          <w:b w:val="1"/>
          <w:bCs w:val="1"/>
          <w:color w:val="auto"/>
        </w:rPr>
      </w:pPr>
    </w:p>
    <w:p>
      <w:pPr>
        <w:ind w:left="-21" w:right="80" w:firstLine="517"/>
        <w:spacing w:after="0" w:line="255" w:lineRule="auto"/>
        <w:tabs>
          <w:tab w:leader="none" w:pos="792"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of Continuous Service. </w:t>
      </w:r>
      <w:r>
        <w:rPr>
          <w:rFonts w:ascii="Times New Roman" w:cs="Times New Roman" w:eastAsia="Times New Roman" w:hAnsi="Times New Roman"/>
          <w:sz w:val="18"/>
          <w:szCs w:val="18"/>
          <w:color w:val="auto"/>
        </w:rPr>
        <w:t>Except as otherwise provided in the Award Agreement or other written agreement between a Participant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Company or an Affiliate, if a Participant’s Continuous Service terminates for any reason, (1) the Company may receive through a forfeiture condition or a repurchase right any or all of the shares of Common Stock held by the Participant under his or her Restricted Stock Award that have not vested as of the date of such termination as set forth in the Restricted Stock Award Agreement and the Participant will have no further right, title or interest in the Restricted Stock Award, the shares of Common Stock subject to the Restricted Stock Award, or any consideration in respect of the Restricted Stock Award and (2) any portion of his or her RSU Award that has not vested will be forfeited upon such termination and the Participant will have no further right, title or interest in the RSU Award, the shares of Common Stock issuable pursuant to the RSU Award, or any consideration in respect of the RSU Award.</w:t>
      </w:r>
    </w:p>
    <w:p>
      <w:pPr>
        <w:spacing w:after="0" w:line="74" w:lineRule="exact"/>
        <w:rPr>
          <w:rFonts w:ascii="Times New Roman" w:cs="Times New Roman" w:eastAsia="Times New Roman" w:hAnsi="Times New Roman"/>
          <w:sz w:val="18"/>
          <w:szCs w:val="18"/>
          <w:b w:val="1"/>
          <w:bCs w:val="1"/>
          <w:color w:val="auto"/>
        </w:rPr>
      </w:pPr>
    </w:p>
    <w:p>
      <w:pPr>
        <w:ind w:left="-21" w:right="200" w:firstLine="517"/>
        <w:spacing w:after="0" w:line="286" w:lineRule="auto"/>
        <w:tabs>
          <w:tab w:leader="none" w:pos="742"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Dividends and Dividend Equivalents. </w:t>
      </w:r>
      <w:r>
        <w:rPr>
          <w:rFonts w:ascii="Times New Roman" w:cs="Times New Roman" w:eastAsia="Times New Roman" w:hAnsi="Times New Roman"/>
          <w:sz w:val="18"/>
          <w:szCs w:val="18"/>
          <w:color w:val="auto"/>
        </w:rPr>
        <w:t>Dividends or dividend equivalents may be paid or credited, as applicable, with respect to any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subject to a Restricted Stock Award or RSU Award, as determined by the Board and specified in the Award Agreement.</w:t>
      </w:r>
    </w:p>
    <w:p>
      <w:pPr>
        <w:spacing w:after="0" w:line="86" w:lineRule="exact"/>
        <w:rPr>
          <w:rFonts w:ascii="Times New Roman" w:cs="Times New Roman" w:eastAsia="Times New Roman" w:hAnsi="Times New Roman"/>
          <w:sz w:val="18"/>
          <w:szCs w:val="18"/>
          <w:b w:val="1"/>
          <w:bCs w:val="1"/>
          <w:color w:val="auto"/>
        </w:rPr>
      </w:pPr>
    </w:p>
    <w:p>
      <w:pPr>
        <w:ind w:left="-21" w:right="380" w:firstLine="757"/>
        <w:spacing w:after="0" w:line="268" w:lineRule="auto"/>
        <w:tabs>
          <w:tab w:leader="none" w:pos="1032" w:val="left"/>
        </w:tabs>
        <w:numPr>
          <w:ilvl w:val="1"/>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Settlement of RSU Awards</w:t>
      </w:r>
      <w:r>
        <w:rPr>
          <w:rFonts w:ascii="Times New Roman" w:cs="Times New Roman" w:eastAsia="Times New Roman" w:hAnsi="Times New Roman"/>
          <w:sz w:val="18"/>
          <w:szCs w:val="18"/>
          <w:color w:val="auto"/>
        </w:rPr>
        <w:t>. An RSU Award may be settled by the issuance of shares of Common Stock or cash (or any combination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thereof) or in any other form of payment, as determined by the Board and specified in the RSU Award Agreement. At the time of grant, the Board may determine to impose such restrictions or conditions that delay such delivery to a date following the vesting of the RSU Award.</w:t>
      </w:r>
    </w:p>
    <w:p>
      <w:pPr>
        <w:spacing w:after="0" w:line="62" w:lineRule="exact"/>
        <w:rPr>
          <w:sz w:val="20"/>
          <w:szCs w:val="20"/>
          <w:color w:val="auto"/>
        </w:rPr>
      </w:pPr>
    </w:p>
    <w:p>
      <w:pPr>
        <w:ind w:left="-21" w:firstLine="517"/>
        <w:spacing w:after="0" w:line="268" w:lineRule="auto"/>
        <w:tabs>
          <w:tab w:leader="none" w:pos="752" w:val="left"/>
        </w:tabs>
        <w:numPr>
          <w:ilvl w:val="1"/>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Performance Awards</w:t>
      </w:r>
      <w:r>
        <w:rPr>
          <w:rFonts w:ascii="Times New Roman" w:cs="Times New Roman" w:eastAsia="Times New Roman" w:hAnsi="Times New Roman"/>
          <w:sz w:val="18"/>
          <w:szCs w:val="18"/>
          <w:color w:val="auto"/>
        </w:rPr>
        <w:t>. With respect to any Performance Award, the length of any Performance Period, the Performance Goals to be achieved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Performance Period, the other terms and conditions of such Award, and the measure of whether and to what degree such Performance Goals have been attained will be determined by the Board.</w:t>
      </w:r>
    </w:p>
    <w:p>
      <w:pPr>
        <w:spacing w:after="0" w:line="61" w:lineRule="exact"/>
        <w:rPr>
          <w:rFonts w:ascii="Times New Roman" w:cs="Times New Roman" w:eastAsia="Times New Roman" w:hAnsi="Times New Roman"/>
          <w:sz w:val="18"/>
          <w:szCs w:val="18"/>
          <w:b w:val="1"/>
          <w:bCs w:val="1"/>
          <w:color w:val="auto"/>
        </w:rPr>
      </w:pPr>
    </w:p>
    <w:p>
      <w:pPr>
        <w:ind w:left="-21" w:right="40" w:firstLine="517"/>
        <w:spacing w:after="0" w:line="259" w:lineRule="auto"/>
        <w:tabs>
          <w:tab w:leader="none" w:pos="732" w:val="left"/>
        </w:tabs>
        <w:numPr>
          <w:ilvl w:val="1"/>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Awards</w:t>
      </w:r>
      <w:r>
        <w:rPr>
          <w:rFonts w:ascii="Times New Roman" w:cs="Times New Roman" w:eastAsia="Times New Roman" w:hAnsi="Times New Roman"/>
          <w:sz w:val="18"/>
          <w:szCs w:val="18"/>
          <w:color w:val="auto"/>
        </w:rPr>
        <w:t>. Other forms of Awards valued in whole or in part by reference to, or otherwise based on, Common Stock, including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appreciation in value thereof, may be granted either alone or in addition to Awards provided for under Section 4 and the preceding provisions of this Section 5. Subject to the provisions of the Plan, the Board will have sole and complete discretion to determine the persons to whom and the time or times at which such Other Awards will be granted, the number of shares of Common Stock (or the cash equivalent thereof) to be granted pursuant to such Other Awards and all other terms and conditions of such Other Awards.</w:t>
      </w:r>
    </w:p>
    <w:p>
      <w:pPr>
        <w:spacing w:after="0" w:line="218" w:lineRule="exact"/>
        <w:rPr>
          <w:rFonts w:ascii="Times New Roman" w:cs="Times New Roman" w:eastAsia="Times New Roman" w:hAnsi="Times New Roman"/>
          <w:sz w:val="18"/>
          <w:szCs w:val="18"/>
          <w:b w:val="1"/>
          <w:bCs w:val="1"/>
          <w:color w:val="auto"/>
        </w:rPr>
      </w:pPr>
    </w:p>
    <w:p>
      <w:pPr>
        <w:ind w:left="459" w:hanging="459"/>
        <w:spacing w:after="0"/>
        <w:tabs>
          <w:tab w:leader="none" w:pos="459"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3"/>
          <w:szCs w:val="13"/>
          <w:b w:val="1"/>
          <w:bCs w:val="1"/>
          <w:color w:val="auto"/>
        </w:rPr>
        <w:t>DJUSTMENTS</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3"/>
          <w:szCs w:val="13"/>
          <w:b w:val="1"/>
          <w:bCs w:val="1"/>
          <w:color w:val="auto"/>
        </w:rPr>
        <w:t>PON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3"/>
          <w:szCs w:val="13"/>
          <w:b w:val="1"/>
          <w:bCs w:val="1"/>
          <w:color w:val="auto"/>
        </w:rPr>
        <w:t>HANGES IN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3"/>
          <w:szCs w:val="13"/>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18"/>
          <w:szCs w:val="18"/>
          <w:b w:val="1"/>
          <w:bCs w:val="1"/>
          <w:color w:val="auto"/>
        </w:rPr>
        <w:t>; O</w:t>
      </w:r>
      <w:r>
        <w:rPr>
          <w:rFonts w:ascii="Times New Roman" w:cs="Times New Roman" w:eastAsia="Times New Roman" w:hAnsi="Times New Roman"/>
          <w:sz w:val="13"/>
          <w:szCs w:val="13"/>
          <w:b w:val="1"/>
          <w:bCs w:val="1"/>
          <w:color w:val="auto"/>
        </w:rPr>
        <w:t>THER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3"/>
          <w:szCs w:val="13"/>
          <w:b w:val="1"/>
          <w:bCs w:val="1"/>
          <w:color w:val="auto"/>
        </w:rPr>
        <w:t>ORPORATE</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3"/>
          <w:szCs w:val="13"/>
          <w:b w:val="1"/>
          <w:bCs w:val="1"/>
          <w:color w:val="auto"/>
        </w:rPr>
        <w:t>VENTS</w:t>
      </w:r>
      <w:r>
        <w:rPr>
          <w:rFonts w:ascii="Times New Roman" w:cs="Times New Roman" w:eastAsia="Times New Roman" w:hAnsi="Times New Roman"/>
          <w:sz w:val="18"/>
          <w:szCs w:val="18"/>
          <w:b w:val="1"/>
          <w:bCs w:val="1"/>
          <w:color w:val="auto"/>
        </w:rPr>
        <w:t>.</w:t>
      </w:r>
    </w:p>
    <w:p>
      <w:pPr>
        <w:spacing w:after="0" w:line="130" w:lineRule="exact"/>
        <w:rPr>
          <w:rFonts w:ascii="Times New Roman" w:cs="Times New Roman" w:eastAsia="Times New Roman" w:hAnsi="Times New Roman"/>
          <w:sz w:val="18"/>
          <w:szCs w:val="18"/>
          <w:b w:val="1"/>
          <w:bCs w:val="1"/>
          <w:color w:val="auto"/>
        </w:rPr>
      </w:pPr>
    </w:p>
    <w:p>
      <w:pPr>
        <w:ind w:left="-21" w:right="40" w:firstLine="517"/>
        <w:spacing w:after="0" w:line="259" w:lineRule="auto"/>
        <w:tabs>
          <w:tab w:leader="none" w:pos="742" w:val="left"/>
        </w:tabs>
        <w:numPr>
          <w:ilvl w:val="1"/>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Capitalization Adjustments</w:t>
      </w:r>
      <w:r>
        <w:rPr>
          <w:rFonts w:ascii="Times New Roman" w:cs="Times New Roman" w:eastAsia="Times New Roman" w:hAnsi="Times New Roman"/>
          <w:sz w:val="18"/>
          <w:szCs w:val="18"/>
          <w:color w:val="auto"/>
        </w:rPr>
        <w:t>. In the event of a Capitalization Adjustment, the Board shall appropriately and proportionately adjust: (i)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class(es) and maximum number of shares of Common Stock subject to the Plan and the maximum number of shares by which the Share Reserve may annually increase pursuant to Section 2(a); (ii) the class(es) and maximum number of shares that may be issued pursuant to the exercise of Incentive Stock Options pursuant to Section 2(b); and (iii) the class(es) and number of securities and exercise price, strike price or purchase price of Common Stock subject to outstanding Awards. The Board shall make such adjustments, and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868045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9"/>
          </w:cols>
          <w:pgMar w:left="341" w:top="1440" w:right="339" w:bottom="1440" w:gutter="0" w:footer="0" w:header="0"/>
        </w:sectPr>
      </w:pPr>
    </w:p>
    <w:bookmarkStart w:id="168" w:name="page169"/>
    <w:bookmarkEnd w:id="168"/>
    <w:p>
      <w:pPr>
        <w:spacing w:after="0" w:line="8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determination shall be final, binding and conclusive. Notwithstanding the foregoing, no fractional shares or rights for fractional shares of Common Stock shall be created in order to implement any Capitalization Adjustment. The Board shall determine an appropriate equivalent benefit, if any, for any fractional shares or rights to fractional shares that might be created by the adjustments referred to in the preceding provisions of this Section.</w:t>
      </w:r>
    </w:p>
    <w:p>
      <w:pPr>
        <w:spacing w:after="0" w:line="65" w:lineRule="exact"/>
        <w:rPr>
          <w:sz w:val="20"/>
          <w:szCs w:val="20"/>
          <w:color w:val="auto"/>
        </w:rPr>
      </w:pPr>
    </w:p>
    <w:p>
      <w:pPr>
        <w:ind w:right="60" w:firstLine="517"/>
        <w:spacing w:after="0" w:line="256" w:lineRule="auto"/>
        <w:tabs>
          <w:tab w:leader="none" w:pos="774"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Dissolution or Liquidation. </w:t>
      </w:r>
      <w:r>
        <w:rPr>
          <w:rFonts w:ascii="Times New Roman" w:cs="Times New Roman" w:eastAsia="Times New Roman" w:hAnsi="Times New Roman"/>
          <w:sz w:val="18"/>
          <w:szCs w:val="18"/>
          <w:color w:val="auto"/>
        </w:rPr>
        <w:t>Except as otherwise provided in the Award Agreement, in the event of a dissolution or liquidation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outstanding Awards (other than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Award is providing Continuous Service, provided, however, that the Board may determine to cause some or all Awards to become fully vested, exercisable and/or no longer subject to repurchase or forfeiture (to the extent such Awards have not previously expired or terminated) before the dissolution or liquidation is completed but contingent on its completion.</w:t>
      </w:r>
    </w:p>
    <w:p>
      <w:pPr>
        <w:spacing w:after="0" w:line="113" w:lineRule="exact"/>
        <w:rPr>
          <w:rFonts w:ascii="Times New Roman" w:cs="Times New Roman" w:eastAsia="Times New Roman" w:hAnsi="Times New Roman"/>
          <w:sz w:val="18"/>
          <w:szCs w:val="18"/>
          <w:b w:val="1"/>
          <w:bCs w:val="1"/>
          <w:color w:val="auto"/>
        </w:rPr>
      </w:pPr>
    </w:p>
    <w:p>
      <w:pPr>
        <w:ind w:right="240" w:firstLine="517"/>
        <w:spacing w:after="0" w:line="268" w:lineRule="auto"/>
        <w:tabs>
          <w:tab w:leader="none" w:pos="753"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Corporate Transaction. </w:t>
      </w:r>
      <w:r>
        <w:rPr>
          <w:rFonts w:ascii="Times New Roman" w:cs="Times New Roman" w:eastAsia="Times New Roman" w:hAnsi="Times New Roman"/>
          <w:sz w:val="18"/>
          <w:szCs w:val="18"/>
          <w:color w:val="auto"/>
        </w:rPr>
        <w:t>The following provisions will apply to Awards in the event of a Corporate Transaction, except as set forth in Section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11, unless otherwise provided in the instrument evidencing the Award or any other written agreement between the Company or any Affiliate and the Participant or unless otherwise expressly provided by the Board at the time of grant of an Award.</w:t>
      </w:r>
    </w:p>
    <w:p>
      <w:pPr>
        <w:spacing w:after="0" w:line="61" w:lineRule="exact"/>
        <w:rPr>
          <w:rFonts w:ascii="Times New Roman" w:cs="Times New Roman" w:eastAsia="Times New Roman" w:hAnsi="Times New Roman"/>
          <w:sz w:val="18"/>
          <w:szCs w:val="18"/>
          <w:b w:val="1"/>
          <w:bCs w:val="1"/>
          <w:color w:val="auto"/>
        </w:rPr>
      </w:pPr>
    </w:p>
    <w:p>
      <w:pPr>
        <w:ind w:firstLine="1153"/>
        <w:spacing w:after="0" w:line="255" w:lineRule="auto"/>
        <w:tabs>
          <w:tab w:leader="none" w:pos="1360" w:val="left"/>
        </w:tabs>
        <w:numPr>
          <w:ilvl w:val="1"/>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Awards May Be Assumed. </w:t>
      </w:r>
      <w:r>
        <w:rPr>
          <w:rFonts w:ascii="Times New Roman" w:cs="Times New Roman" w:eastAsia="Times New Roman" w:hAnsi="Times New Roman"/>
          <w:sz w:val="18"/>
          <w:szCs w:val="18"/>
          <w:color w:val="auto"/>
        </w:rPr>
        <w:t>In the event of a Corporate Transaction, any surviving corporation or acquiring corporation (or the surviving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acquiring corporation’s parent company) may assume or continue any or all Awards outstanding under the Plan or may substitute similar awards for Awards outstanding under the Plan (including but not limited to, awards to acquire the same consideration paid to the stockholders of the Company pursuant to the Corporate Transaction), and any reacquisition or repurchase rights held by the Company in respect of Common Stock issued pursuant to Awards may be assigned by the Company to the successor of the Company (or the successor’s parent company, if any), in connection with such Corporate Transaction. A surviving corporation or acquiring corporation (or its parent) may choose to assume or continue only a portion of an Award or substitute a similar award for only a portion of an Award, or may choose to assume or continue the Awards held by some, but not all Participants. The terms of any assumption, continuation or substitution will be set by the Board.</w:t>
      </w:r>
    </w:p>
    <w:p>
      <w:pPr>
        <w:spacing w:after="0" w:line="74" w:lineRule="exact"/>
        <w:rPr>
          <w:rFonts w:ascii="Times New Roman" w:cs="Times New Roman" w:eastAsia="Times New Roman" w:hAnsi="Times New Roman"/>
          <w:sz w:val="18"/>
          <w:szCs w:val="18"/>
          <w:b w:val="1"/>
          <w:bCs w:val="1"/>
          <w:color w:val="auto"/>
        </w:rPr>
      </w:pPr>
    </w:p>
    <w:p>
      <w:pPr>
        <w:ind w:firstLine="1153"/>
        <w:spacing w:after="0" w:line="252" w:lineRule="auto"/>
        <w:tabs>
          <w:tab w:leader="none" w:pos="1410" w:val="left"/>
        </w:tabs>
        <w:numPr>
          <w:ilvl w:val="1"/>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Awards Held by Current Participants. </w:t>
      </w:r>
      <w:r>
        <w:rPr>
          <w:rFonts w:ascii="Times New Roman" w:cs="Times New Roman" w:eastAsia="Times New Roman" w:hAnsi="Times New Roman"/>
          <w:sz w:val="18"/>
          <w:szCs w:val="18"/>
          <w:color w:val="auto"/>
        </w:rPr>
        <w:t>In the event of a Corporate Transaction in which the surviving corporation or acquiring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(or its parent company) does not assume or continue such outstanding Awards or substitute similar awards for such outstanding Awards, then with respect to Awards that have not been assumed, continued or substituted and that are held by Participants whose Continuous Service has not terminated prior to the effective time of the Corporate Transaction (referred to as the “</w:t>
      </w:r>
      <w:r>
        <w:rPr>
          <w:rFonts w:ascii="Times New Roman" w:cs="Times New Roman" w:eastAsia="Times New Roman" w:hAnsi="Times New Roman"/>
          <w:sz w:val="18"/>
          <w:szCs w:val="18"/>
          <w:b w:val="1"/>
          <w:bCs w:val="1"/>
          <w:i w:val="1"/>
          <w:iCs w:val="1"/>
          <w:color w:val="auto"/>
        </w:rPr>
        <w:t>Current Participants</w:t>
      </w:r>
      <w:r>
        <w:rPr>
          <w:rFonts w:ascii="Times New Roman" w:cs="Times New Roman" w:eastAsia="Times New Roman" w:hAnsi="Times New Roman"/>
          <w:sz w:val="18"/>
          <w:szCs w:val="18"/>
          <w:color w:val="auto"/>
        </w:rPr>
        <w:t>”), the vesting of such Awards (and, with respect to Options and Stock Appreciation Rights, the time when such Awards may be exercised) will be accelerated in full to a date prior to the effective time of such Corporate Transaction (contingent upon the effectiveness of the Corporate Transaction) as the Board determines (or, if the Board does not determine such a date, to the date that is five days prior to the effective time of the Corporate Transaction), and such Awards will terminate if not exercised (if applicable) at or prior to the effective time of the Corporate Transaction, and any reacquisition or repurchase rights held by the Company with respect to such Awards will lapse (contingent upon the effectiveness of the Corporate Transaction). With respect to the vesting of Performance Awards that will accelerate upon the occurrence of a Corporate Transaction pursuant to this subsection (ii) and that have multiple vesting levels depending on the level of performance, unless otherwise provided in the Award Agreement, the vesting of such Performance Awards will accelerate at 100% of the target level upon the occurrence of the Corporate Transaction in which the Awards are not assumed, continued or substituted in accordance with Section 6(c)(i). With respect to the vesting of Awards that will accelerate upon the occurrence of a Corporate Transaction pursuant to this subsection (ii) and are settled in the form of a cash payment, such cash payment will be made no later than 30 days following the occurrence of the Corporate Transaction or such later date as required to comply with Section 409A of the Code.</w:t>
      </w:r>
    </w:p>
    <w:p>
      <w:pPr>
        <w:spacing w:after="0" w:line="124" w:lineRule="exact"/>
        <w:rPr>
          <w:rFonts w:ascii="Times New Roman" w:cs="Times New Roman" w:eastAsia="Times New Roman" w:hAnsi="Times New Roman"/>
          <w:sz w:val="18"/>
          <w:szCs w:val="18"/>
          <w:b w:val="1"/>
          <w:bCs w:val="1"/>
          <w:color w:val="auto"/>
        </w:rPr>
      </w:pPr>
    </w:p>
    <w:p>
      <w:pPr>
        <w:ind w:right="180" w:firstLine="1153"/>
        <w:spacing w:after="0" w:line="257" w:lineRule="auto"/>
        <w:tabs>
          <w:tab w:leader="none" w:pos="1460" w:val="left"/>
        </w:tabs>
        <w:numPr>
          <w:ilvl w:val="1"/>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Awards Held by Persons other than Current Participants. </w:t>
      </w:r>
      <w:r>
        <w:rPr>
          <w:rFonts w:ascii="Times New Roman" w:cs="Times New Roman" w:eastAsia="Times New Roman" w:hAnsi="Times New Roman"/>
          <w:sz w:val="18"/>
          <w:szCs w:val="18"/>
          <w:color w:val="auto"/>
        </w:rPr>
        <w:t>In the event of a Corporate Transaction in which the surviving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or 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 such Awards will terminate if not exercised (if applicable) prior to the occurrence of the Corporate Transaction; provided, however, that any reacquisition or repurchase rights held by the Company with respect to such Awards will not terminate and may continue to be exercised notwithstanding the Corporate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869315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69" w:name="page170"/>
    <w:bookmarkEnd w:id="169"/>
    <w:p>
      <w:pPr>
        <w:spacing w:after="0" w:line="80" w:lineRule="exact"/>
        <w:rPr>
          <w:sz w:val="20"/>
          <w:szCs w:val="20"/>
          <w:color w:val="auto"/>
        </w:rPr>
      </w:pPr>
    </w:p>
    <w:p>
      <w:pPr>
        <w:ind w:left="-21" w:right="160" w:firstLine="1153"/>
        <w:spacing w:after="0" w:line="259" w:lineRule="auto"/>
        <w:tabs>
          <w:tab w:leader="none" w:pos="1428" w:val="left"/>
        </w:tabs>
        <w:numPr>
          <w:ilvl w:val="2"/>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Payment for Awards in Lieu of Exercise. </w:t>
      </w:r>
      <w:r>
        <w:rPr>
          <w:rFonts w:ascii="Times New Roman" w:cs="Times New Roman" w:eastAsia="Times New Roman" w:hAnsi="Times New Roman"/>
          <w:sz w:val="18"/>
          <w:szCs w:val="18"/>
          <w:color w:val="auto"/>
        </w:rPr>
        <w:t>Notwithstanding the foregoing, in the event an Award will terminate if not exercised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effective time of a Corporate Transaction, the Board may provide, in its sole discretion, that the holder of such Award may not exercise such Award but will receive a payment, in such form as may be determined by the Board, equal in value, at the effective time, to the excess, if any, of (1) the value of the property the Participant would have received upon the exercise of the Award (including, at the discretion of the Board, any unvested portion of such Award), over (2) any exercise price payable by such holder in connection with such exercise.</w:t>
      </w:r>
    </w:p>
    <w:p>
      <w:pPr>
        <w:spacing w:after="0" w:line="69" w:lineRule="exact"/>
        <w:rPr>
          <w:rFonts w:ascii="Times New Roman" w:cs="Times New Roman" w:eastAsia="Times New Roman" w:hAnsi="Times New Roman"/>
          <w:sz w:val="18"/>
          <w:szCs w:val="18"/>
          <w:b w:val="1"/>
          <w:bCs w:val="1"/>
          <w:color w:val="auto"/>
        </w:rPr>
      </w:pPr>
    </w:p>
    <w:p>
      <w:pPr>
        <w:ind w:left="-21" w:right="180" w:firstLine="517"/>
        <w:spacing w:after="0" w:line="262" w:lineRule="auto"/>
        <w:tabs>
          <w:tab w:leader="none" w:pos="752" w:val="left"/>
        </w:tabs>
        <w:numPr>
          <w:ilvl w:val="1"/>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Appointment of Stockholder Representative. </w:t>
      </w:r>
      <w:r>
        <w:rPr>
          <w:rFonts w:ascii="Times New Roman" w:cs="Times New Roman" w:eastAsia="Times New Roman" w:hAnsi="Times New Roman"/>
          <w:sz w:val="18"/>
          <w:szCs w:val="18"/>
          <w:color w:val="auto"/>
        </w:rPr>
        <w:t>As a condition to the receipt of an Award under this Plan, a Participant will be deemed to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agreed that the Award will be subject to the terms of any agreement governing a Corporate Transaction involving the Company, including, without limitation, a provision for the appointment of a stockholder representative that is authorized to act on the Participant’s behalf with respect to any escrow, indemnities and any contingent consideration.</w:t>
      </w:r>
    </w:p>
    <w:p>
      <w:pPr>
        <w:spacing w:after="0" w:line="67" w:lineRule="exact"/>
        <w:rPr>
          <w:rFonts w:ascii="Times New Roman" w:cs="Times New Roman" w:eastAsia="Times New Roman" w:hAnsi="Times New Roman"/>
          <w:sz w:val="18"/>
          <w:szCs w:val="18"/>
          <w:b w:val="1"/>
          <w:bCs w:val="1"/>
          <w:color w:val="auto"/>
        </w:rPr>
      </w:pPr>
    </w:p>
    <w:p>
      <w:pPr>
        <w:ind w:left="-21" w:firstLine="517"/>
        <w:spacing w:after="0" w:line="275" w:lineRule="auto"/>
        <w:tabs>
          <w:tab w:leader="none" w:pos="732" w:val="left"/>
        </w:tabs>
        <w:numPr>
          <w:ilvl w:val="1"/>
          <w:numId w:val="9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No Restriction on Right to Undertake Transactions. </w:t>
      </w:r>
      <w:r>
        <w:rPr>
          <w:rFonts w:ascii="Times New Roman" w:cs="Times New Roman" w:eastAsia="Times New Roman" w:hAnsi="Times New Roman"/>
          <w:sz w:val="17"/>
          <w:szCs w:val="17"/>
          <w:color w:val="auto"/>
        </w:rPr>
        <w:t>The grant of any Award under the Plan and the issuance of shares pursuant to any Award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does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206" w:lineRule="exact"/>
        <w:rPr>
          <w:rFonts w:ascii="Times New Roman" w:cs="Times New Roman" w:eastAsia="Times New Roman" w:hAnsi="Times New Roman"/>
          <w:sz w:val="17"/>
          <w:szCs w:val="17"/>
          <w:b w:val="1"/>
          <w:bCs w:val="1"/>
          <w:color w:val="auto"/>
        </w:rPr>
      </w:pPr>
    </w:p>
    <w:p>
      <w:pPr>
        <w:ind w:left="459" w:hanging="459"/>
        <w:spacing w:after="0"/>
        <w:tabs>
          <w:tab w:leader="none" w:pos="459"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3"/>
          <w:szCs w:val="13"/>
          <w:b w:val="1"/>
          <w:bCs w:val="1"/>
          <w:color w:val="auto"/>
        </w:rPr>
        <w:t>DMINISTRATION</w:t>
      </w:r>
      <w:r>
        <w:rPr>
          <w:rFonts w:ascii="Times New Roman" w:cs="Times New Roman" w:eastAsia="Times New Roman" w:hAnsi="Times New Roman"/>
          <w:sz w:val="18"/>
          <w:szCs w:val="18"/>
          <w:b w:val="1"/>
          <w:bCs w:val="1"/>
          <w:color w:val="auto"/>
        </w:rPr>
        <w:t>.</w:t>
      </w:r>
    </w:p>
    <w:p>
      <w:pPr>
        <w:spacing w:after="0" w:line="130" w:lineRule="exact"/>
        <w:rPr>
          <w:rFonts w:ascii="Times New Roman" w:cs="Times New Roman" w:eastAsia="Times New Roman" w:hAnsi="Times New Roman"/>
          <w:sz w:val="18"/>
          <w:szCs w:val="18"/>
          <w:b w:val="1"/>
          <w:bCs w:val="1"/>
          <w:color w:val="auto"/>
        </w:rPr>
      </w:pPr>
    </w:p>
    <w:p>
      <w:pPr>
        <w:ind w:left="-21" w:right="20" w:firstLine="517"/>
        <w:spacing w:after="0" w:line="286" w:lineRule="auto"/>
        <w:tabs>
          <w:tab w:leader="none" w:pos="742" w:val="left"/>
        </w:tabs>
        <w:numPr>
          <w:ilvl w:val="1"/>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Administration by Board. </w:t>
      </w:r>
      <w:r>
        <w:rPr>
          <w:rFonts w:ascii="Times New Roman" w:cs="Times New Roman" w:eastAsia="Times New Roman" w:hAnsi="Times New Roman"/>
          <w:sz w:val="18"/>
          <w:szCs w:val="18"/>
          <w:color w:val="auto"/>
        </w:rPr>
        <w:t>The Board will administer the Plan unless and until the Board delegates administration of the Plan to a Committee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Committees, as provided in subsection (c) below.</w:t>
      </w:r>
    </w:p>
    <w:p>
      <w:pPr>
        <w:spacing w:after="0" w:line="46" w:lineRule="exact"/>
        <w:rPr>
          <w:rFonts w:ascii="Times New Roman" w:cs="Times New Roman" w:eastAsia="Times New Roman" w:hAnsi="Times New Roman"/>
          <w:sz w:val="18"/>
          <w:szCs w:val="18"/>
          <w:b w:val="1"/>
          <w:bCs w:val="1"/>
          <w:color w:val="auto"/>
        </w:rPr>
      </w:pPr>
    </w:p>
    <w:p>
      <w:pPr>
        <w:ind w:left="759" w:hanging="263"/>
        <w:spacing w:after="0"/>
        <w:tabs>
          <w:tab w:leader="none" w:pos="759" w:val="left"/>
        </w:tabs>
        <w:numPr>
          <w:ilvl w:val="1"/>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Powers of Board. </w:t>
      </w:r>
      <w:r>
        <w:rPr>
          <w:rFonts w:ascii="Times New Roman" w:cs="Times New Roman" w:eastAsia="Times New Roman" w:hAnsi="Times New Roman"/>
          <w:sz w:val="18"/>
          <w:szCs w:val="18"/>
          <w:color w:val="auto"/>
        </w:rPr>
        <w:t>The Board will have the power, subject to, and within the limitations of, the express provisions of the Plan:</w:t>
      </w:r>
    </w:p>
    <w:p>
      <w:pPr>
        <w:spacing w:after="0" w:line="120" w:lineRule="exact"/>
        <w:rPr>
          <w:rFonts w:ascii="Times New Roman" w:cs="Times New Roman" w:eastAsia="Times New Roman" w:hAnsi="Times New Roman"/>
          <w:sz w:val="18"/>
          <w:szCs w:val="18"/>
          <w:b w:val="1"/>
          <w:bCs w:val="1"/>
          <w:color w:val="auto"/>
        </w:rPr>
      </w:pPr>
    </w:p>
    <w:p>
      <w:pPr>
        <w:ind w:left="-21" w:right="140" w:firstLine="1153"/>
        <w:spacing w:after="0" w:line="256" w:lineRule="auto"/>
        <w:tabs>
          <w:tab w:leader="none" w:pos="1339" w:val="left"/>
        </w:tabs>
        <w:numPr>
          <w:ilvl w:val="2"/>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determine from time to time (1) which of the persons eligible under the Plan will be granted Awards; (2) when and how each Award will be granted; (3) what type or combination of types of Award will be granted; (4) the provisions of each Award granted (which need not be identical), including the time or times when a person will be permitted to receive an issuance of Common Stock or other payment pursuant to an Award; (5) the number of shares of Common Stock or cash equivalent with respect to which an Award will be granted to each such person; (6) the Fair Market Value applicable to an Award; and (7) the terms of any Performance Award that is not valued in whole or in part by reference to, or otherwise based on, the Common Stock, including the amount of cash payment or other property that may be earned and the timing of payment.</w:t>
      </w:r>
    </w:p>
    <w:p>
      <w:pPr>
        <w:spacing w:after="0" w:line="77" w:lineRule="exact"/>
        <w:rPr>
          <w:rFonts w:ascii="Times New Roman" w:cs="Times New Roman" w:eastAsia="Times New Roman" w:hAnsi="Times New Roman"/>
          <w:sz w:val="18"/>
          <w:szCs w:val="18"/>
          <w:b w:val="1"/>
          <w:bCs w:val="1"/>
          <w:color w:val="auto"/>
        </w:rPr>
      </w:pPr>
    </w:p>
    <w:p>
      <w:pPr>
        <w:ind w:left="-21" w:right="300" w:firstLine="1153"/>
        <w:spacing w:after="0" w:line="265" w:lineRule="auto"/>
        <w:tabs>
          <w:tab w:leader="none" w:pos="1389" w:val="left"/>
        </w:tabs>
        <w:numPr>
          <w:ilvl w:val="2"/>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construe and interpret the Plan and Awards granted under it, and to establish, amend and revoke rules and regulations for its administration. The Board, in the exercise of this power, may correct any defect, omission or inconsistency in the Plan or in any Award Agreement, in a manner and to the extent it deems necessary or expedient to make the Plan or Award fully effective.</w:t>
      </w:r>
    </w:p>
    <w:p>
      <w:pPr>
        <w:spacing w:after="0" w:line="69" w:lineRule="exact"/>
        <w:rPr>
          <w:rFonts w:ascii="Times New Roman" w:cs="Times New Roman" w:eastAsia="Times New Roman" w:hAnsi="Times New Roman"/>
          <w:sz w:val="18"/>
          <w:szCs w:val="18"/>
          <w:b w:val="1"/>
          <w:bCs w:val="1"/>
          <w:color w:val="auto"/>
        </w:rPr>
      </w:pPr>
    </w:p>
    <w:p>
      <w:pPr>
        <w:ind w:left="1439" w:hanging="307"/>
        <w:spacing w:after="0"/>
        <w:tabs>
          <w:tab w:leader="none" w:pos="1439" w:val="left"/>
        </w:tabs>
        <w:numPr>
          <w:ilvl w:val="2"/>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settle all controversies regarding the Plan and Awards granted under it.</w:t>
      </w:r>
    </w:p>
    <w:p>
      <w:pPr>
        <w:spacing w:after="0" w:line="116" w:lineRule="exact"/>
        <w:rPr>
          <w:rFonts w:ascii="Times New Roman" w:cs="Times New Roman" w:eastAsia="Times New Roman" w:hAnsi="Times New Roman"/>
          <w:sz w:val="18"/>
          <w:szCs w:val="18"/>
          <w:b w:val="1"/>
          <w:bCs w:val="1"/>
          <w:color w:val="auto"/>
        </w:rPr>
      </w:pPr>
    </w:p>
    <w:p>
      <w:pPr>
        <w:ind w:left="-21" w:right="540" w:firstLine="1153"/>
        <w:spacing w:after="0" w:line="312" w:lineRule="auto"/>
        <w:tabs>
          <w:tab w:leader="none" w:pos="1428" w:val="left"/>
        </w:tabs>
        <w:numPr>
          <w:ilvl w:val="2"/>
          <w:numId w:val="9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 accelerate the time at which an Award may first be exercised or the time during which an Award or any part thereof will vest, notwithstanding the provisions in the Award Agreement stating the time at which it may first be exercised or the time during which it will vest.</w:t>
      </w:r>
    </w:p>
    <w:p>
      <w:pPr>
        <w:spacing w:after="0" w:line="31" w:lineRule="exact"/>
        <w:rPr>
          <w:rFonts w:ascii="Times New Roman" w:cs="Times New Roman" w:eastAsia="Times New Roman" w:hAnsi="Times New Roman"/>
          <w:sz w:val="17"/>
          <w:szCs w:val="17"/>
          <w:b w:val="1"/>
          <w:bCs w:val="1"/>
          <w:color w:val="auto"/>
        </w:rPr>
      </w:pPr>
    </w:p>
    <w:p>
      <w:pPr>
        <w:jc w:val="both"/>
        <w:ind w:left="-21" w:right="140" w:firstLine="1153"/>
        <w:spacing w:after="0" w:line="260" w:lineRule="auto"/>
        <w:tabs>
          <w:tab w:leader="none" w:pos="1379" w:val="left"/>
        </w:tabs>
        <w:numPr>
          <w:ilvl w:val="2"/>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any Corporate Transaction, for reasons of administrative convenience.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868045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9"/>
          </w:cols>
          <w:pgMar w:left="341" w:top="1440" w:right="359" w:bottom="1440" w:gutter="0" w:footer="0" w:header="0"/>
        </w:sectPr>
      </w:pPr>
    </w:p>
    <w:bookmarkStart w:id="170" w:name="page171"/>
    <w:bookmarkEnd w:id="170"/>
    <w:p>
      <w:pPr>
        <w:spacing w:after="0" w:line="84" w:lineRule="exact"/>
        <w:rPr>
          <w:sz w:val="20"/>
          <w:szCs w:val="20"/>
          <w:color w:val="auto"/>
        </w:rPr>
      </w:pPr>
    </w:p>
    <w:p>
      <w:pPr>
        <w:ind w:left="-517" w:right="240" w:firstLine="1153"/>
        <w:spacing w:after="0" w:line="281" w:lineRule="auto"/>
        <w:tabs>
          <w:tab w:leader="none" w:pos="933" w:val="left"/>
        </w:tabs>
        <w:numPr>
          <w:ilvl w:val="1"/>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suspend or terminate the Plan at any time. Suspension or termination of the Plan will not Materially Impair rights and obligations under any Award granted while the Plan is in effect except with the written consent of the affected Participant.</w:t>
      </w:r>
    </w:p>
    <w:p>
      <w:pPr>
        <w:spacing w:after="0" w:line="52" w:lineRule="exact"/>
        <w:rPr>
          <w:rFonts w:ascii="Times New Roman" w:cs="Times New Roman" w:eastAsia="Times New Roman" w:hAnsi="Times New Roman"/>
          <w:sz w:val="18"/>
          <w:szCs w:val="18"/>
          <w:b w:val="1"/>
          <w:bCs w:val="1"/>
          <w:color w:val="auto"/>
        </w:rPr>
      </w:pPr>
    </w:p>
    <w:p>
      <w:pPr>
        <w:ind w:left="-517" w:right="40" w:firstLine="1153"/>
        <w:spacing w:after="0" w:line="261" w:lineRule="auto"/>
        <w:tabs>
          <w:tab w:leader="none" w:pos="983" w:val="left"/>
        </w:tabs>
        <w:numPr>
          <w:ilvl w:val="1"/>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amend the Plan in any respect the Board deems necessary or advisable; provided, 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stockholder approval will be required for any amendment to the extent required by Applicable Law. Except as provided above, rights under any Award granted before amendment of the Plan will not be Materially Impaired by any amendment of the Plan unless (1) the Company requests the consent of the affected Participant, and (2) such Participant consents in writing.</w:t>
      </w:r>
    </w:p>
    <w:p>
      <w:pPr>
        <w:spacing w:after="0" w:line="72" w:lineRule="exact"/>
        <w:rPr>
          <w:rFonts w:ascii="Times New Roman" w:cs="Times New Roman" w:eastAsia="Times New Roman" w:hAnsi="Times New Roman"/>
          <w:sz w:val="18"/>
          <w:szCs w:val="18"/>
          <w:b w:val="1"/>
          <w:bCs w:val="1"/>
          <w:color w:val="auto"/>
        </w:rPr>
      </w:pPr>
    </w:p>
    <w:p>
      <w:pPr>
        <w:ind w:left="1043" w:hanging="407"/>
        <w:spacing w:after="0"/>
        <w:tabs>
          <w:tab w:leader="none" w:pos="1043" w:val="left"/>
        </w:tabs>
        <w:numPr>
          <w:ilvl w:val="1"/>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submit any amendment to the Plan for stockholder approval.</w:t>
      </w:r>
    </w:p>
    <w:p>
      <w:pPr>
        <w:spacing w:after="0" w:line="116" w:lineRule="exact"/>
        <w:rPr>
          <w:rFonts w:ascii="Times New Roman" w:cs="Times New Roman" w:eastAsia="Times New Roman" w:hAnsi="Times New Roman"/>
          <w:sz w:val="18"/>
          <w:szCs w:val="18"/>
          <w:b w:val="1"/>
          <w:bCs w:val="1"/>
          <w:color w:val="auto"/>
        </w:rPr>
      </w:pPr>
    </w:p>
    <w:p>
      <w:pPr>
        <w:ind w:left="-517" w:firstLine="1153"/>
        <w:spacing w:after="0" w:line="260" w:lineRule="auto"/>
        <w:tabs>
          <w:tab w:leader="none" w:pos="933" w:val="left"/>
        </w:tabs>
        <w:numPr>
          <w:ilvl w:val="1"/>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Participant’s rights under any Award will not be Materially Impaired by any such amendment unless (1) the Company requests the consent of the affected Participant, and (2) such Participant consents in writing.</w:t>
      </w:r>
    </w:p>
    <w:p>
      <w:pPr>
        <w:spacing w:after="0" w:line="114" w:lineRule="exact"/>
        <w:rPr>
          <w:rFonts w:ascii="Times New Roman" w:cs="Times New Roman" w:eastAsia="Times New Roman" w:hAnsi="Times New Roman"/>
          <w:sz w:val="18"/>
          <w:szCs w:val="18"/>
          <w:b w:val="1"/>
          <w:bCs w:val="1"/>
          <w:color w:val="auto"/>
        </w:rPr>
      </w:pPr>
    </w:p>
    <w:p>
      <w:pPr>
        <w:ind w:left="-517" w:right="100" w:firstLine="1153"/>
        <w:spacing w:after="0" w:line="281" w:lineRule="auto"/>
        <w:tabs>
          <w:tab w:leader="none" w:pos="883" w:val="left"/>
        </w:tabs>
        <w:numPr>
          <w:ilvl w:val="1"/>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Generally, to exercise such powers and to perform such acts as the Board deems necessary or expedient to promote the best interests of the Company and that are not in conflict with the provisions of the Plan or Awards.</w:t>
      </w:r>
    </w:p>
    <w:p>
      <w:pPr>
        <w:spacing w:after="0" w:line="54" w:lineRule="exact"/>
        <w:rPr>
          <w:rFonts w:ascii="Times New Roman" w:cs="Times New Roman" w:eastAsia="Times New Roman" w:hAnsi="Times New Roman"/>
          <w:sz w:val="18"/>
          <w:szCs w:val="18"/>
          <w:b w:val="1"/>
          <w:bCs w:val="1"/>
          <w:color w:val="auto"/>
        </w:rPr>
      </w:pPr>
    </w:p>
    <w:p>
      <w:pPr>
        <w:ind w:left="-517" w:right="160" w:firstLine="1153"/>
        <w:spacing w:after="0" w:line="260" w:lineRule="auto"/>
        <w:tabs>
          <w:tab w:leader="none" w:pos="933" w:val="left"/>
        </w:tabs>
        <w:numPr>
          <w:ilvl w:val="1"/>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adopt such procedures and sub-plans as are necessary or appropriate to permit and facilitate participation in the Plan by, or take advantage of specific tax treatment for Awards granted to, Employees, Directors or Consultants who are foreign nationals or employed outside the United States (provided that Board approval will not be necessary for immaterial modifications to the Plan or any Award Agreement to ensure or facilitate compliance with the laws of the relevant foreign jurisdiction).</w:t>
      </w:r>
    </w:p>
    <w:p>
      <w:pPr>
        <w:spacing w:after="0" w:line="73" w:lineRule="exact"/>
        <w:rPr>
          <w:rFonts w:ascii="Times New Roman" w:cs="Times New Roman" w:eastAsia="Times New Roman" w:hAnsi="Times New Roman"/>
          <w:sz w:val="18"/>
          <w:szCs w:val="18"/>
          <w:b w:val="1"/>
          <w:bCs w:val="1"/>
          <w:color w:val="auto"/>
        </w:rPr>
      </w:pPr>
    </w:p>
    <w:p>
      <w:pPr>
        <w:ind w:left="-517" w:firstLine="1153"/>
        <w:spacing w:after="0" w:line="258" w:lineRule="auto"/>
        <w:tabs>
          <w:tab w:leader="none" w:pos="983" w:val="left"/>
        </w:tabs>
        <w:numPr>
          <w:ilvl w:val="1"/>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effect, at any time and from time to time, subject to the consent of any Participant whose Award is Materially Impaired by such action, (1) the reduction of the exercise price (or strike price) of any outstanding Option or SAR; (2) the cancellation of any outstanding Option or SAR and the grant in substitution therefor of (A) a new Option, SAR, Restricted Stock Award, RSU Award or Other Award, under the Plan or another equity plan of the Company, covering the same or a different number of shares of Common Stock, (B) cash and/or (C) other valuable consideration (as determined by the Board); or (3) any other action that is treated as a repricing under generally accepted accounting principles.</w:t>
      </w:r>
    </w:p>
    <w:p>
      <w:pPr>
        <w:spacing w:after="0" w:line="70" w:lineRule="exact"/>
        <w:rPr>
          <w:rFonts w:ascii="Times New Roman" w:cs="Times New Roman" w:eastAsia="Times New Roman" w:hAnsi="Times New Roman"/>
          <w:sz w:val="18"/>
          <w:szCs w:val="18"/>
          <w:b w:val="1"/>
          <w:bCs w:val="1"/>
          <w:color w:val="auto"/>
        </w:rPr>
      </w:pPr>
    </w:p>
    <w:p>
      <w:pPr>
        <w:ind w:left="243" w:hanging="243"/>
        <w:spacing w:after="0"/>
        <w:tabs>
          <w:tab w:leader="none" w:pos="243"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Delegation to Committee.</w:t>
      </w:r>
    </w:p>
    <w:p>
      <w:pPr>
        <w:spacing w:after="0" w:line="116" w:lineRule="exact"/>
        <w:rPr>
          <w:rFonts w:ascii="Times New Roman" w:cs="Times New Roman" w:eastAsia="Times New Roman" w:hAnsi="Times New Roman"/>
          <w:sz w:val="18"/>
          <w:szCs w:val="18"/>
          <w:b w:val="1"/>
          <w:bCs w:val="1"/>
          <w:color w:val="auto"/>
        </w:rPr>
      </w:pPr>
    </w:p>
    <w:p>
      <w:pPr>
        <w:ind w:left="-517" w:right="160" w:firstLine="1153"/>
        <w:spacing w:after="0" w:line="255" w:lineRule="auto"/>
        <w:tabs>
          <w:tab w:leader="none" w:pos="843" w:val="left"/>
        </w:tabs>
        <w:numPr>
          <w:ilvl w:val="1"/>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General. </w:t>
      </w:r>
      <w:r>
        <w:rPr>
          <w:rFonts w:ascii="Times New Roman" w:cs="Times New Roman" w:eastAsia="Times New Roman" w:hAnsi="Times New Roman"/>
          <w:sz w:val="18"/>
          <w:szCs w:val="18"/>
          <w:color w:val="auto"/>
        </w:rPr>
        <w:t>The Board may delegate some or all of the administration of the Plan to a Committee or Committees. If administration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is delegated to a Committee, the Committee will have, in connection with the administration of the Plan, the powers theretofore possessed by the Board that have been delegated to the Committee, including the power to delegate to another Committee or a subcommittee of the 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Each Committee may retain the authority to concurrently administer the Plan with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w:t>
      </w:r>
    </w:p>
    <w:p>
      <w:pPr>
        <w:spacing w:after="0" w:line="74" w:lineRule="exact"/>
        <w:rPr>
          <w:rFonts w:ascii="Times New Roman" w:cs="Times New Roman" w:eastAsia="Times New Roman" w:hAnsi="Times New Roman"/>
          <w:sz w:val="18"/>
          <w:szCs w:val="18"/>
          <w:b w:val="1"/>
          <w:bCs w:val="1"/>
          <w:color w:val="auto"/>
        </w:rPr>
      </w:pPr>
    </w:p>
    <w:p>
      <w:pPr>
        <w:ind w:left="-517" w:right="40" w:firstLine="1153"/>
        <w:spacing w:after="0" w:line="262" w:lineRule="auto"/>
        <w:tabs>
          <w:tab w:leader="none" w:pos="893" w:val="left"/>
        </w:tabs>
        <w:numPr>
          <w:ilvl w:val="1"/>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Rule 16b-3 Compliance. </w:t>
      </w:r>
      <w:r>
        <w:rPr>
          <w:rFonts w:ascii="Times New Roman" w:cs="Times New Roman" w:eastAsia="Times New Roman" w:hAnsi="Times New Roman"/>
          <w:sz w:val="18"/>
          <w:szCs w:val="18"/>
          <w:color w:val="auto"/>
        </w:rPr>
        <w:t>To the extent an Award is intended to qualify for the exemption from Section 16(b) of the Exchange Act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available under Rule 16b-3 of the Exchange Act, the Award will be granted by the Board or a Committee that consists solely of two or more Non-Employee Directors, as determined under Rule 16b-3(b)(3) of the Exchange Act and thereafter any action establishing or modifying the terms of the Award will be approved by the Board or a Committee meeting such requirements to the extent necessary for such exemption to remain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866140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440" w:right="359" w:bottom="1440" w:gutter="0" w:footer="0" w:header="0"/>
        </w:sectPr>
      </w:pPr>
    </w:p>
    <w:bookmarkStart w:id="171" w:name="page172"/>
    <w:bookmarkEnd w:id="171"/>
    <w:p>
      <w:pPr>
        <w:spacing w:after="0" w:line="80" w:lineRule="exact"/>
        <w:rPr>
          <w:sz w:val="20"/>
          <w:szCs w:val="20"/>
          <w:color w:val="auto"/>
        </w:rPr>
      </w:pPr>
    </w:p>
    <w:p>
      <w:pPr>
        <w:ind w:left="-21" w:right="60" w:firstLine="517"/>
        <w:spacing w:after="0" w:line="286" w:lineRule="auto"/>
        <w:tabs>
          <w:tab w:leader="none" w:pos="752" w:val="left"/>
        </w:tabs>
        <w:numPr>
          <w:ilvl w:val="1"/>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Effect of Board’s Decision. </w:t>
      </w:r>
      <w:r>
        <w:rPr>
          <w:rFonts w:ascii="Times New Roman" w:cs="Times New Roman" w:eastAsia="Times New Roman" w:hAnsi="Times New Roman"/>
          <w:sz w:val="18"/>
          <w:szCs w:val="18"/>
          <w:color w:val="auto"/>
        </w:rPr>
        <w:t>All determinations, interpretations and constructions made by the Board or any Committee in good faith will not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review by any person and will be final, binding and conclusive on all persons.</w:t>
      </w:r>
    </w:p>
    <w:p>
      <w:pPr>
        <w:spacing w:after="0" w:line="86" w:lineRule="exact"/>
        <w:rPr>
          <w:rFonts w:ascii="Times New Roman" w:cs="Times New Roman" w:eastAsia="Times New Roman" w:hAnsi="Times New Roman"/>
          <w:sz w:val="18"/>
          <w:szCs w:val="18"/>
          <w:b w:val="1"/>
          <w:bCs w:val="1"/>
          <w:color w:val="auto"/>
        </w:rPr>
      </w:pPr>
    </w:p>
    <w:p>
      <w:pPr>
        <w:ind w:left="-21" w:firstLine="517"/>
        <w:spacing w:after="0" w:line="254" w:lineRule="auto"/>
        <w:tabs>
          <w:tab w:leader="none" w:pos="732" w:val="left"/>
        </w:tabs>
        <w:numPr>
          <w:ilvl w:val="1"/>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Delegation to an Officer. </w:t>
      </w:r>
      <w:r>
        <w:rPr>
          <w:rFonts w:ascii="Times New Roman" w:cs="Times New Roman" w:eastAsia="Times New Roman" w:hAnsi="Times New Roman"/>
          <w:sz w:val="18"/>
          <w:szCs w:val="18"/>
          <w:color w:val="auto"/>
        </w:rPr>
        <w:t>The Board or any Committee may delegate to one or more Officers the authority to do one or both of the following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designate Employees who are not Officers to be recipients of Options and SARs (and, to the extent permitted by Applicable Law, other types of Awards) and, to the extent permitted by Applicable Law, the terms thereof, and (ii) determine the number of shares of Common Stock to be subject to such Awards granted to such Employees; provided, however, that the resolutions or charter adopted by the Board or any Committee evidencing such delegation will specify the total number of shares of Common Stock that may be subject to the Awards granted by such Officer and that such Officer may not grant an Award to himself or herself. Any such Awards will be granted on the applicable form of Award Agreement most recently approved for use by the Board or the Committee, unless otherwise provided in the resolutions approving the delegation authority. Notwithstanding anything to the contrary herein, neither the Board nor any Committee may delegate to an Officer who is acting solely in the capacity of an Officer (and not also as a Director) the authority to determine the Fair Market Value.</w:t>
      </w:r>
    </w:p>
    <w:p>
      <w:pPr>
        <w:spacing w:after="0" w:line="226" w:lineRule="exact"/>
        <w:rPr>
          <w:rFonts w:ascii="Times New Roman" w:cs="Times New Roman" w:eastAsia="Times New Roman" w:hAnsi="Times New Roman"/>
          <w:sz w:val="18"/>
          <w:szCs w:val="18"/>
          <w:b w:val="1"/>
          <w:bCs w:val="1"/>
          <w:color w:val="auto"/>
        </w:rPr>
      </w:pPr>
    </w:p>
    <w:p>
      <w:pPr>
        <w:ind w:left="459" w:hanging="459"/>
        <w:spacing w:after="0"/>
        <w:tabs>
          <w:tab w:leader="none" w:pos="459"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3"/>
          <w:szCs w:val="13"/>
          <w:b w:val="1"/>
          <w:bCs w:val="1"/>
          <w:color w:val="auto"/>
        </w:rPr>
        <w:t>AX</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3"/>
          <w:szCs w:val="13"/>
          <w:b w:val="1"/>
          <w:bCs w:val="1"/>
          <w:color w:val="auto"/>
        </w:rPr>
        <w:t>ITHHOLDING</w:t>
      </w:r>
    </w:p>
    <w:p>
      <w:pPr>
        <w:spacing w:after="0" w:line="130" w:lineRule="exact"/>
        <w:rPr>
          <w:rFonts w:ascii="Times New Roman" w:cs="Times New Roman" w:eastAsia="Times New Roman" w:hAnsi="Times New Roman"/>
          <w:sz w:val="18"/>
          <w:szCs w:val="18"/>
          <w:b w:val="1"/>
          <w:bCs w:val="1"/>
          <w:color w:val="auto"/>
        </w:rPr>
      </w:pPr>
    </w:p>
    <w:p>
      <w:pPr>
        <w:ind w:left="-21" w:right="180" w:firstLine="517"/>
        <w:spacing w:after="0" w:line="257" w:lineRule="auto"/>
        <w:tabs>
          <w:tab w:leader="none" w:pos="742" w:val="left"/>
        </w:tabs>
        <w:numPr>
          <w:ilvl w:val="1"/>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Withholding Authorization. </w:t>
      </w:r>
      <w:r>
        <w:rPr>
          <w:rFonts w:ascii="Times New Roman" w:cs="Times New Roman" w:eastAsia="Times New Roman" w:hAnsi="Times New Roman"/>
          <w:sz w:val="18"/>
          <w:szCs w:val="18"/>
          <w:color w:val="auto"/>
        </w:rPr>
        <w:t>As a condition to acceptance of any Award under the Plan, a Participant authorizes withholding from payroll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other amounts payable to such Participant, and otherwise agrees to make adequate provision for (including), any sums required to satisfy any U.S. federal, state, local and/or foreign tax or social insurance contribution withholding obligations of the Company or an Affiliate, if any, which arise in connection with the exercise, vesting or settlement of such Award, as applicable. Accordingly, a Participant may not be able to exercise an Award even though the Award is vested, and the Company shall have no obligation to issue shares of Common Stock subject to an Award, unless and until such obligations are satisfied.</w:t>
      </w:r>
    </w:p>
    <w:p>
      <w:pPr>
        <w:spacing w:after="0" w:line="72" w:lineRule="exact"/>
        <w:rPr>
          <w:rFonts w:ascii="Times New Roman" w:cs="Times New Roman" w:eastAsia="Times New Roman" w:hAnsi="Times New Roman"/>
          <w:sz w:val="18"/>
          <w:szCs w:val="18"/>
          <w:b w:val="1"/>
          <w:bCs w:val="1"/>
          <w:color w:val="auto"/>
        </w:rPr>
      </w:pPr>
    </w:p>
    <w:p>
      <w:pPr>
        <w:ind w:left="-21" w:right="60" w:firstLine="517"/>
        <w:spacing w:after="0" w:line="275" w:lineRule="auto"/>
        <w:tabs>
          <w:tab w:leader="none" w:pos="752" w:val="left"/>
        </w:tabs>
        <w:numPr>
          <w:ilvl w:val="1"/>
          <w:numId w:val="10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Satisfaction of Withholding Obligation. </w:t>
      </w:r>
      <w:r>
        <w:rPr>
          <w:rFonts w:ascii="Times New Roman" w:cs="Times New Roman" w:eastAsia="Times New Roman" w:hAnsi="Times New Roman"/>
          <w:sz w:val="17"/>
          <w:szCs w:val="17"/>
          <w:color w:val="auto"/>
        </w:rPr>
        <w:t>To the extent permitted by the terms of an Award Agreement, the Company may, in its sole discretion,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satisfy any U.S. federal, state, local and/or foreign tax or social insurance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developed under Regulation T as promulgated by the Federal Reserve Board; or (vi) by such other method as may be set forth in the Award Agreement.</w:t>
      </w:r>
    </w:p>
    <w:p>
      <w:pPr>
        <w:spacing w:after="0" w:line="58" w:lineRule="exact"/>
        <w:rPr>
          <w:rFonts w:ascii="Times New Roman" w:cs="Times New Roman" w:eastAsia="Times New Roman" w:hAnsi="Times New Roman"/>
          <w:sz w:val="17"/>
          <w:szCs w:val="17"/>
          <w:b w:val="1"/>
          <w:bCs w:val="1"/>
          <w:color w:val="auto"/>
        </w:rPr>
      </w:pPr>
    </w:p>
    <w:p>
      <w:pPr>
        <w:ind w:left="-21" w:right="20" w:firstLine="517"/>
        <w:spacing w:after="0" w:line="252" w:lineRule="auto"/>
        <w:tabs>
          <w:tab w:leader="none" w:pos="732" w:val="left"/>
        </w:tabs>
        <w:numPr>
          <w:ilvl w:val="1"/>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Obligation to Notify or Minimize Taxes; No Liability to Claims. </w:t>
      </w:r>
      <w:r>
        <w:rPr>
          <w:rFonts w:ascii="Times New Roman" w:cs="Times New Roman" w:eastAsia="Times New Roman" w:hAnsi="Times New Roman"/>
          <w:sz w:val="18"/>
          <w:szCs w:val="18"/>
          <w:color w:val="auto"/>
        </w:rPr>
        <w:t>Except as required by Applicable Law the Company has no duty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 to any Participant to advise such holder as to the time or manner of exercising such Award. Furthermore, the Company has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As a condition to accepting an Award under the Plan, each Participant (i) agrees to not make any claim against the Company, or any of its Officers, Directors, Employees or Affiliates related to tax liabilities arising from such Award or other Company compensation and (ii) acknowledges that such Participant was advised to consult with his or her own personal tax, financial and other legal advisors regarding the tax consequences of the Award and has either done so or knowingly and voluntarily declined to do so. Additionally, each Participant acknowledges any Option or SAR granted under the Plan is exempt from Section 409A only if the exercise or strike price is at least equal to the “fair market value” of the Common Stock on the date of grant as determined by the Internal Revenue Service and there is no other impermissible deferral of compensation associated with the Award. Additionally, as a condition to accepting an Option or SAR granted under the Plan, each Participant agrees not make any claim against the Company, or any of its Officers, Directors, Employees or Affiliates in the event that the Internal Revenue Service asserts that such exercise price or strike price is less than the “fair market value” of the Common Stock on the date of grant as subsequently determined by the Internal Revenue Service.</w:t>
      </w:r>
    </w:p>
    <w:p>
      <w:pPr>
        <w:spacing w:after="0" w:line="85" w:lineRule="exact"/>
        <w:rPr>
          <w:rFonts w:ascii="Times New Roman" w:cs="Times New Roman" w:eastAsia="Times New Roman" w:hAnsi="Times New Roman"/>
          <w:sz w:val="18"/>
          <w:szCs w:val="18"/>
          <w:b w:val="1"/>
          <w:bCs w:val="1"/>
          <w:color w:val="auto"/>
        </w:rPr>
      </w:pPr>
    </w:p>
    <w:p>
      <w:pPr>
        <w:ind w:left="-21" w:right="100" w:firstLine="517"/>
        <w:spacing w:after="0" w:line="268" w:lineRule="auto"/>
        <w:tabs>
          <w:tab w:leader="none" w:pos="752" w:val="left"/>
        </w:tabs>
        <w:numPr>
          <w:ilvl w:val="1"/>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Withholding Indemnification. </w:t>
      </w:r>
      <w:r>
        <w:rPr>
          <w:rFonts w:ascii="Times New Roman" w:cs="Times New Roman" w:eastAsia="Times New Roman" w:hAnsi="Times New Roman"/>
          <w:sz w:val="18"/>
          <w:szCs w:val="18"/>
          <w:color w:val="auto"/>
        </w:rPr>
        <w:t>As a condition to accepting an Award under the Plan, in the event that the amount of the Company’s and/or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Affiliate’s withholding obligation in connection with such Award was greater than the amount actually withheld by the Company and/or its Affiliates, each Participant agrees to indemnify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862965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9"/>
          </w:cols>
          <w:pgMar w:left="341" w:top="1440" w:right="339" w:bottom="1440" w:gutter="0" w:footer="0" w:header="0"/>
        </w:sectPr>
      </w:pPr>
    </w:p>
    <w:bookmarkStart w:id="172" w:name="page173"/>
    <w:bookmarkEnd w:id="172"/>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 the Company and/or its Affiliates harmless from any failure by the Company and/or its Affiliates to withhold the proper amount.</w:t>
      </w:r>
    </w:p>
    <w:p>
      <w:pPr>
        <w:spacing w:after="0" w:line="261" w:lineRule="exact"/>
        <w:rPr>
          <w:sz w:val="20"/>
          <w:szCs w:val="20"/>
          <w:color w:val="auto"/>
        </w:rPr>
      </w:pPr>
    </w:p>
    <w:p>
      <w:pPr>
        <w:ind w:left="480" w:hanging="459"/>
        <w:spacing w:after="0"/>
        <w:tabs>
          <w:tab w:leader="none" w:pos="48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3"/>
          <w:szCs w:val="13"/>
          <w:b w:val="1"/>
          <w:bCs w:val="1"/>
          <w:color w:val="auto"/>
        </w:rPr>
        <w:t>ISCELLANEOUS</w:t>
      </w:r>
      <w:r>
        <w:rPr>
          <w:rFonts w:ascii="Times New Roman" w:cs="Times New Roman" w:eastAsia="Times New Roman" w:hAnsi="Times New Roman"/>
          <w:sz w:val="18"/>
          <w:szCs w:val="18"/>
          <w:b w:val="1"/>
          <w:bCs w:val="1"/>
          <w:color w:val="auto"/>
        </w:rPr>
        <w:t>.</w:t>
      </w:r>
    </w:p>
    <w:p>
      <w:pPr>
        <w:spacing w:after="0" w:line="130" w:lineRule="exact"/>
        <w:rPr>
          <w:rFonts w:ascii="Times New Roman" w:cs="Times New Roman" w:eastAsia="Times New Roman" w:hAnsi="Times New Roman"/>
          <w:sz w:val="18"/>
          <w:szCs w:val="18"/>
          <w:b w:val="1"/>
          <w:bCs w:val="1"/>
          <w:color w:val="auto"/>
        </w:rPr>
      </w:pPr>
    </w:p>
    <w:p>
      <w:pPr>
        <w:ind w:right="280" w:firstLine="517"/>
        <w:spacing w:after="0" w:line="286" w:lineRule="auto"/>
        <w:tabs>
          <w:tab w:leader="none" w:pos="763" w:val="left"/>
        </w:tabs>
        <w:numPr>
          <w:ilvl w:val="1"/>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Shares. </w:t>
      </w:r>
      <w:r>
        <w:rPr>
          <w:rFonts w:ascii="Times New Roman" w:cs="Times New Roman" w:eastAsia="Times New Roman" w:hAnsi="Times New Roman"/>
          <w:sz w:val="18"/>
          <w:szCs w:val="18"/>
          <w:color w:val="auto"/>
        </w:rPr>
        <w:t>The stock issuable under the Plan will be shares of authorized but unissued or reacquired Common Stock, including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repurchased by the Company on the open market or otherwise.</w:t>
      </w:r>
    </w:p>
    <w:p>
      <w:pPr>
        <w:spacing w:after="0" w:line="46" w:lineRule="exact"/>
        <w:rPr>
          <w:rFonts w:ascii="Times New Roman" w:cs="Times New Roman" w:eastAsia="Times New Roman" w:hAnsi="Times New Roman"/>
          <w:sz w:val="18"/>
          <w:szCs w:val="18"/>
          <w:b w:val="1"/>
          <w:bCs w:val="1"/>
          <w:color w:val="auto"/>
        </w:rPr>
      </w:pPr>
    </w:p>
    <w:p>
      <w:pPr>
        <w:ind w:right="120" w:firstLine="517"/>
        <w:spacing w:after="0" w:line="286" w:lineRule="auto"/>
        <w:tabs>
          <w:tab w:leader="none" w:pos="774" w:val="left"/>
        </w:tabs>
        <w:numPr>
          <w:ilvl w:val="1"/>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Use of Proceeds from Sales of Common Stock. </w:t>
      </w:r>
      <w:r>
        <w:rPr>
          <w:rFonts w:ascii="Times New Roman" w:cs="Times New Roman" w:eastAsia="Times New Roman" w:hAnsi="Times New Roman"/>
          <w:sz w:val="18"/>
          <w:szCs w:val="18"/>
          <w:color w:val="auto"/>
        </w:rPr>
        <w:t>Proceeds from the sale of shares of Common Stock pursuant to Awards will constitute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funds of the Company.</w:t>
      </w:r>
    </w:p>
    <w:p>
      <w:pPr>
        <w:spacing w:after="0" w:line="46" w:lineRule="exact"/>
        <w:rPr>
          <w:rFonts w:ascii="Times New Roman" w:cs="Times New Roman" w:eastAsia="Times New Roman" w:hAnsi="Times New Roman"/>
          <w:sz w:val="18"/>
          <w:szCs w:val="18"/>
          <w:b w:val="1"/>
          <w:bCs w:val="1"/>
          <w:color w:val="auto"/>
        </w:rPr>
      </w:pPr>
    </w:p>
    <w:p>
      <w:pPr>
        <w:ind w:firstLine="517"/>
        <w:spacing w:after="0" w:line="256" w:lineRule="auto"/>
        <w:tabs>
          <w:tab w:leader="none" w:pos="753" w:val="left"/>
        </w:tabs>
        <w:numPr>
          <w:ilvl w:val="1"/>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Corporate Action Constituting Grant of Awards. </w:t>
      </w:r>
      <w:r>
        <w:rPr>
          <w:rFonts w:ascii="Times New Roman" w:cs="Times New Roman" w:eastAsia="Times New Roman" w:hAnsi="Times New Roman"/>
          <w:sz w:val="18"/>
          <w:szCs w:val="18"/>
          <w:color w:val="auto"/>
        </w:rPr>
        <w:t>Corporate action constituting a grant by the Company of an Award to any Participant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w:t>
      </w:r>
    </w:p>
    <w:p>
      <w:pPr>
        <w:spacing w:after="0" w:line="72" w:lineRule="exact"/>
        <w:rPr>
          <w:rFonts w:ascii="Times New Roman" w:cs="Times New Roman" w:eastAsia="Times New Roman" w:hAnsi="Times New Roman"/>
          <w:sz w:val="18"/>
          <w:szCs w:val="18"/>
          <w:b w:val="1"/>
          <w:bCs w:val="1"/>
          <w:color w:val="auto"/>
        </w:rPr>
      </w:pPr>
    </w:p>
    <w:p>
      <w:pPr>
        <w:ind w:right="180" w:firstLine="517"/>
        <w:spacing w:after="0" w:line="268" w:lineRule="auto"/>
        <w:tabs>
          <w:tab w:leader="none" w:pos="774" w:val="left"/>
        </w:tabs>
        <w:numPr>
          <w:ilvl w:val="1"/>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Stockholder Rights. </w:t>
      </w:r>
      <w:r>
        <w:rPr>
          <w:rFonts w:ascii="Times New Roman" w:cs="Times New Roman" w:eastAsia="Times New Roman" w:hAnsi="Times New Roman"/>
          <w:sz w:val="18"/>
          <w:szCs w:val="18"/>
          <w:color w:val="auto"/>
        </w:rPr>
        <w:t>No Participant will be deemed to be the holder of, or to have any of the rights of a holder with respect to, any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subject to such Award unless and until (i) such Participant has satisfied all requirements for exercise of the Award pursuant to its terms, if applicable, and (ii) the issuance of the Common Stock subject to such Award is reflected in the records of the Company.</w:t>
      </w:r>
    </w:p>
    <w:p>
      <w:pPr>
        <w:spacing w:after="0" w:line="102" w:lineRule="exact"/>
        <w:rPr>
          <w:rFonts w:ascii="Times New Roman" w:cs="Times New Roman" w:eastAsia="Times New Roman" w:hAnsi="Times New Roman"/>
          <w:sz w:val="18"/>
          <w:szCs w:val="18"/>
          <w:b w:val="1"/>
          <w:bCs w:val="1"/>
          <w:color w:val="auto"/>
        </w:rPr>
      </w:pPr>
    </w:p>
    <w:p>
      <w:pPr>
        <w:ind w:right="180" w:firstLine="517"/>
        <w:spacing w:after="0" w:line="270" w:lineRule="auto"/>
        <w:tabs>
          <w:tab w:leader="none" w:pos="753" w:val="left"/>
        </w:tabs>
        <w:numPr>
          <w:ilvl w:val="1"/>
          <w:numId w:val="10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No Employment or Other Service Rights. </w:t>
      </w:r>
      <w:r>
        <w:rPr>
          <w:rFonts w:ascii="Times New Roman" w:cs="Times New Roman" w:eastAsia="Times New Roman" w:hAnsi="Times New Roman"/>
          <w:sz w:val="17"/>
          <w:szCs w:val="17"/>
          <w:color w:val="auto"/>
        </w:rPr>
        <w:t>Nothing in the Plan, any Award Agreement or any other instrument executed thereunder or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connection with any Award granted pursuant thereto will confer upon any Participant any right to continue to serve the Company or an Affiliate in the capacity in effect at the time the Award was granted or affect the right of the Company or an Affiliate to terminate at will and without regard to any future vesting opportunity that a Participant may have with respect to any Award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or foreign jurisdiction in which the Company or the Affiliate is 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w:t>
      </w:r>
    </w:p>
    <w:p>
      <w:pPr>
        <w:spacing w:after="0" w:line="66" w:lineRule="exact"/>
        <w:rPr>
          <w:rFonts w:ascii="Times New Roman" w:cs="Times New Roman" w:eastAsia="Times New Roman" w:hAnsi="Times New Roman"/>
          <w:sz w:val="17"/>
          <w:szCs w:val="17"/>
          <w:b w:val="1"/>
          <w:bCs w:val="1"/>
          <w:color w:val="auto"/>
        </w:rPr>
      </w:pPr>
    </w:p>
    <w:p>
      <w:pPr>
        <w:ind w:right="120" w:firstLine="517"/>
        <w:spacing w:after="0" w:line="256" w:lineRule="auto"/>
        <w:tabs>
          <w:tab w:leader="none" w:pos="733" w:val="left"/>
        </w:tabs>
        <w:numPr>
          <w:ilvl w:val="1"/>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Change in Time Commitment. </w:t>
      </w:r>
      <w:r>
        <w:rPr>
          <w:rFonts w:ascii="Times New Roman" w:cs="Times New Roman" w:eastAsia="Times New Roman" w:hAnsi="Times New Roman"/>
          <w:sz w:val="18"/>
          <w:szCs w:val="18"/>
          <w:color w:val="auto"/>
        </w:rPr>
        <w:t>In the event a Participant’s regular level of time commitment in the performance of his or her services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72" w:lineRule="exact"/>
        <w:rPr>
          <w:rFonts w:ascii="Times New Roman" w:cs="Times New Roman" w:eastAsia="Times New Roman" w:hAnsi="Times New Roman"/>
          <w:sz w:val="18"/>
          <w:szCs w:val="18"/>
          <w:b w:val="1"/>
          <w:bCs w:val="1"/>
          <w:color w:val="auto"/>
        </w:rPr>
      </w:pPr>
    </w:p>
    <w:p>
      <w:pPr>
        <w:ind w:right="40" w:firstLine="517"/>
        <w:spacing w:after="0" w:line="268" w:lineRule="auto"/>
        <w:tabs>
          <w:tab w:leader="none" w:pos="763" w:val="left"/>
        </w:tabs>
        <w:numPr>
          <w:ilvl w:val="1"/>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Execution of Additional Documents. </w:t>
      </w:r>
      <w:r>
        <w:rPr>
          <w:rFonts w:ascii="Times New Roman" w:cs="Times New Roman" w:eastAsia="Times New Roman" w:hAnsi="Times New Roman"/>
          <w:sz w:val="18"/>
          <w:szCs w:val="18"/>
          <w:color w:val="auto"/>
        </w:rPr>
        <w:t>As a condition to accepting an Award under the Plan, the Participant agrees to execute any additional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or instruments necessary or desirable, as determined in the Plan Administrator’s sole discretion, to carry out the purposes or intent of the Award, or facilitate compliance with securities and/or other regulatory requirements, in each case at the Plan Administrator’s request.</w:t>
      </w:r>
    </w:p>
    <w:p>
      <w:pPr>
        <w:spacing w:after="0" w:line="61" w:lineRule="exact"/>
        <w:rPr>
          <w:rFonts w:ascii="Times New Roman" w:cs="Times New Roman" w:eastAsia="Times New Roman" w:hAnsi="Times New Roman"/>
          <w:sz w:val="18"/>
          <w:szCs w:val="18"/>
          <w:b w:val="1"/>
          <w:bCs w:val="1"/>
          <w:color w:val="auto"/>
        </w:rPr>
      </w:pPr>
    </w:p>
    <w:p>
      <w:pPr>
        <w:ind w:right="60" w:firstLine="517"/>
        <w:spacing w:after="0" w:line="268" w:lineRule="auto"/>
        <w:tabs>
          <w:tab w:leader="none" w:pos="774" w:val="left"/>
        </w:tabs>
        <w:numPr>
          <w:ilvl w:val="1"/>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Electronic Delivery and Participation. </w:t>
      </w:r>
      <w:r>
        <w:rPr>
          <w:rFonts w:ascii="Times New Roman" w:cs="Times New Roman" w:eastAsia="Times New Roman" w:hAnsi="Times New Roman"/>
          <w:sz w:val="18"/>
          <w:szCs w:val="18"/>
          <w:color w:val="auto"/>
        </w:rPr>
        <w:t>Any reference herein or in an Award Agreement to a “written” agreement or document will include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document delivered electronically, filed publicly at www.sec.gov (or any successor website thereto) or posted on the Company’s intranet (or other shared electronic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862965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84"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8"/>
          <w:szCs w:val="18"/>
          <w:color w:val="auto"/>
        </w:rPr>
        <w:t>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Common Stock (e.g., a stock certificate or electronic entry evidencing such shares) shall be determined by the Company.</w:t>
      </w:r>
    </w:p>
    <w:p>
      <w:pPr>
        <w:spacing w:after="0" w:line="110" w:lineRule="exact"/>
        <w:rPr>
          <w:sz w:val="20"/>
          <w:szCs w:val="20"/>
          <w:color w:val="auto"/>
        </w:rPr>
      </w:pPr>
    </w:p>
    <w:p>
      <w:pPr>
        <w:ind w:right="20" w:firstLine="517"/>
        <w:spacing w:after="0" w:line="255" w:lineRule="auto"/>
        <w:tabs>
          <w:tab w:leader="none" w:pos="724"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Clawback/Recovery. </w:t>
      </w:r>
      <w:r>
        <w:rPr>
          <w:rFonts w:ascii="Times New Roman" w:cs="Times New Roman" w:eastAsia="Times New Roman" w:hAnsi="Times New Roman"/>
          <w:sz w:val="18"/>
          <w:szCs w:val="18"/>
          <w:color w:val="auto"/>
        </w:rPr>
        <w:t>All Awards granted under the Plan will be subject to recoupment in accordance with any clawback policy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voluntarily terminate employment upon a “resignation for good reason,” or for a “constructive termination” or any similar term under any plan of or agreement with the Company.</w:t>
      </w:r>
    </w:p>
    <w:p>
      <w:pPr>
        <w:spacing w:after="0" w:line="74" w:lineRule="exact"/>
        <w:rPr>
          <w:rFonts w:ascii="Times New Roman" w:cs="Times New Roman" w:eastAsia="Times New Roman" w:hAnsi="Times New Roman"/>
          <w:sz w:val="18"/>
          <w:szCs w:val="18"/>
          <w:b w:val="1"/>
          <w:bCs w:val="1"/>
          <w:color w:val="auto"/>
        </w:rPr>
      </w:pPr>
    </w:p>
    <w:p>
      <w:pPr>
        <w:jc w:val="both"/>
        <w:ind w:right="180" w:firstLine="517"/>
        <w:spacing w:after="0" w:line="262" w:lineRule="auto"/>
        <w:tabs>
          <w:tab w:leader="none" w:pos="733"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Securities Law Compliance. </w:t>
      </w:r>
      <w:r>
        <w:rPr>
          <w:rFonts w:ascii="Times New Roman" w:cs="Times New Roman" w:eastAsia="Times New Roman" w:hAnsi="Times New Roman"/>
          <w:sz w:val="18"/>
          <w:szCs w:val="18"/>
          <w:color w:val="auto"/>
        </w:rPr>
        <w:t>A Participant will not be issued any shares in respect of an Award unless either (i) the shares are registered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Securities Act; or (ii) the Company has determined that such issuance would be exempt from the registration requirements of the Securities Act. Each Award also must comply with other Applicable Law governing the Award, and a Participant will not receive such shares if the Company determines that such receipt would not be in material compliance with Applicable Law.</w:t>
      </w:r>
    </w:p>
    <w:p>
      <w:pPr>
        <w:spacing w:after="0" w:line="67" w:lineRule="exact"/>
        <w:rPr>
          <w:rFonts w:ascii="Times New Roman" w:cs="Times New Roman" w:eastAsia="Times New Roman" w:hAnsi="Times New Roman"/>
          <w:sz w:val="18"/>
          <w:szCs w:val="18"/>
          <w:b w:val="1"/>
          <w:bCs w:val="1"/>
          <w:color w:val="auto"/>
        </w:rPr>
      </w:pPr>
    </w:p>
    <w:p>
      <w:pPr>
        <w:ind w:firstLine="517"/>
        <w:spacing w:after="0" w:line="259" w:lineRule="auto"/>
        <w:tabs>
          <w:tab w:leader="none" w:pos="774"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 or Assignment of Awards; Issued Shares. </w:t>
      </w:r>
      <w:r>
        <w:rPr>
          <w:rFonts w:ascii="Times New Roman" w:cs="Times New Roman" w:eastAsia="Times New Roman" w:hAnsi="Times New Roman"/>
          <w:sz w:val="18"/>
          <w:szCs w:val="18"/>
          <w:color w:val="auto"/>
        </w:rPr>
        <w:t>Except as expressly provided in the Plan or the form of Award Agreement, Awards granted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Plan may not be transferred or assigned by the Participant. After the vested shares subject to an Award have been issued, or in the case of Restricted Stock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w:t>
      </w:r>
    </w:p>
    <w:p>
      <w:pPr>
        <w:spacing w:after="0" w:line="69" w:lineRule="exact"/>
        <w:rPr>
          <w:rFonts w:ascii="Times New Roman" w:cs="Times New Roman" w:eastAsia="Times New Roman" w:hAnsi="Times New Roman"/>
          <w:sz w:val="18"/>
          <w:szCs w:val="18"/>
          <w:b w:val="1"/>
          <w:bCs w:val="1"/>
          <w:color w:val="auto"/>
        </w:rPr>
      </w:pPr>
    </w:p>
    <w:p>
      <w:pPr>
        <w:jc w:val="both"/>
        <w:ind w:firstLine="517"/>
        <w:spacing w:after="0" w:line="262" w:lineRule="auto"/>
        <w:tabs>
          <w:tab w:leader="none" w:pos="724"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Effect on Other Employee Benefit Plans. </w:t>
      </w:r>
      <w:r>
        <w:rPr>
          <w:rFonts w:ascii="Times New Roman" w:cs="Times New Roman" w:eastAsia="Times New Roman" w:hAnsi="Times New Roman"/>
          <w:sz w:val="18"/>
          <w:szCs w:val="18"/>
          <w:color w:val="auto"/>
        </w:rPr>
        <w:t>The value of any Award granted under the Plan, as determined upon grant, vesting or settlement,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67" w:lineRule="exact"/>
        <w:rPr>
          <w:rFonts w:ascii="Times New Roman" w:cs="Times New Roman" w:eastAsia="Times New Roman" w:hAnsi="Times New Roman"/>
          <w:sz w:val="18"/>
          <w:szCs w:val="18"/>
          <w:b w:val="1"/>
          <w:bCs w:val="1"/>
          <w:color w:val="auto"/>
        </w:rPr>
      </w:pPr>
    </w:p>
    <w:p>
      <w:pPr>
        <w:ind w:right="240" w:firstLine="517"/>
        <w:spacing w:after="0" w:line="268" w:lineRule="auto"/>
        <w:tabs>
          <w:tab w:leader="none" w:pos="823"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Deferrals. </w:t>
      </w:r>
      <w:r>
        <w:rPr>
          <w:rFonts w:ascii="Times New Roman" w:cs="Times New Roman" w:eastAsia="Times New Roman" w:hAnsi="Times New Roman"/>
          <w:sz w:val="18"/>
          <w:szCs w:val="18"/>
          <w:color w:val="auto"/>
        </w:rPr>
        <w:t>To the extent permitted by Applicable Law, the Board, in its sole discretion, may determine that the delivery of Common Stock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payment of cash, upon the exercise, vesting or settlement of all or a portion of any Award may be deferred and may also establish programs and procedures for deferral elections to be made by Participants. Deferrals will be made in accordance with the requirements of Section 409A.</w:t>
      </w:r>
    </w:p>
    <w:p>
      <w:pPr>
        <w:spacing w:after="0" w:line="61" w:lineRule="exact"/>
        <w:rPr>
          <w:rFonts w:ascii="Times New Roman" w:cs="Times New Roman" w:eastAsia="Times New Roman" w:hAnsi="Times New Roman"/>
          <w:sz w:val="18"/>
          <w:szCs w:val="18"/>
          <w:b w:val="1"/>
          <w:bCs w:val="1"/>
          <w:color w:val="auto"/>
        </w:rPr>
      </w:pPr>
    </w:p>
    <w:p>
      <w:pPr>
        <w:ind w:right="80" w:firstLine="517"/>
        <w:spacing w:after="0" w:line="253" w:lineRule="auto"/>
        <w:tabs>
          <w:tab w:leader="none" w:pos="774"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Section 409A. </w:t>
      </w:r>
      <w:r>
        <w:rPr>
          <w:rFonts w:ascii="Times New Roman" w:cs="Times New Roman" w:eastAsia="Times New Roman" w:hAnsi="Times New Roman"/>
          <w:sz w:val="18"/>
          <w:szCs w:val="18"/>
          <w:color w:val="auto"/>
        </w:rPr>
        <w:t>Unless otherwise expressly provided for in an Award Agreement, the Plan and Award Agreements will be interpreted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 Section 409A,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such Participant’s “separation from service” or, if earlier, the date of the Participant’s death, unless such distribution or payment can be made in a manner that complies with Section 409A, and any amounts so deferred will be paid in a lump sum on the day after such six month period elapses, with the balance paid thereafter on the original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4" w:name="page175"/>
    <w:bookmarkEnd w:id="174"/>
    <w:p>
      <w:pPr>
        <w:spacing w:after="0" w:line="80" w:lineRule="exact"/>
        <w:rPr>
          <w:sz w:val="20"/>
          <w:szCs w:val="20"/>
          <w:color w:val="auto"/>
        </w:rPr>
      </w:pPr>
    </w:p>
    <w:p>
      <w:pPr>
        <w:ind w:right="20" w:firstLine="517"/>
        <w:spacing w:after="0" w:line="268" w:lineRule="auto"/>
        <w:tabs>
          <w:tab w:leader="none" w:pos="763" w:val="left"/>
        </w:tabs>
        <w:numPr>
          <w:ilvl w:val="1"/>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3"/>
          <w:szCs w:val="13"/>
          <w:b w:val="1"/>
          <w:bCs w:val="1"/>
          <w:color w:val="auto"/>
        </w:rPr>
        <w:t>HOICE OF</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3"/>
          <w:szCs w:val="13"/>
          <w:b w:val="1"/>
          <w:bCs w:val="1"/>
          <w:color w:val="auto"/>
        </w:rPr>
        <w:t>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Plan and any controversy arising out of or relating to this Plan shall be governed by, and construed in accordance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internal laws of the State of Delaware, without regard to conflict of law principles that would result in any application of any law other than the law of the State of Delaware.</w:t>
      </w:r>
    </w:p>
    <w:p>
      <w:pPr>
        <w:spacing w:after="0" w:line="210" w:lineRule="exact"/>
        <w:rPr>
          <w:rFonts w:ascii="Times New Roman" w:cs="Times New Roman" w:eastAsia="Times New Roman" w:hAnsi="Times New Roman"/>
          <w:sz w:val="18"/>
          <w:szCs w:val="18"/>
          <w:b w:val="1"/>
          <w:bCs w:val="1"/>
          <w:color w:val="auto"/>
        </w:rPr>
      </w:pPr>
    </w:p>
    <w:p>
      <w:pPr>
        <w:ind w:left="480" w:hanging="459"/>
        <w:spacing w:after="0"/>
        <w:tabs>
          <w:tab w:leader="none" w:pos="48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3"/>
          <w:szCs w:val="13"/>
          <w:b w:val="1"/>
          <w:bCs w:val="1"/>
          <w:color w:val="auto"/>
        </w:rPr>
        <w:t>OVENANTS OF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3"/>
          <w:szCs w:val="13"/>
          <w:b w:val="1"/>
          <w:bCs w:val="1"/>
          <w:color w:val="auto"/>
        </w:rPr>
        <w:t>OMPANY</w:t>
      </w:r>
      <w:r>
        <w:rPr>
          <w:rFonts w:ascii="Times New Roman" w:cs="Times New Roman" w:eastAsia="Times New Roman" w:hAnsi="Times New Roman"/>
          <w:sz w:val="18"/>
          <w:szCs w:val="18"/>
          <w:b w:val="1"/>
          <w:bCs w:val="1"/>
          <w:color w:val="auto"/>
        </w:rPr>
        <w:t>.</w:t>
      </w:r>
    </w:p>
    <w:p>
      <w:pPr>
        <w:spacing w:after="0" w:line="134"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The Company will seek to obtain from each regulatory commission or agency, as may be deemed to be necessary, having jurisdiction over the Plan such authority as may be required to grant Awards and to issue and sell shares of Common Stock upon exercise or vesting of the Awards; provided, however, that this undertaking will not require the Company to register under the Securities Act the Plan, any Award or any Common Stock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Awards unless and until such authority is obtained. A Participant is not eligible for the grant of an Award or the subsequent issuance of Common Stock pursuant to the Award if such grant or issuance would be in violation of any Applicable Law.</w:t>
      </w:r>
    </w:p>
    <w:p>
      <w:pPr>
        <w:spacing w:after="0" w:line="226" w:lineRule="exact"/>
        <w:rPr>
          <w:sz w:val="20"/>
          <w:szCs w:val="20"/>
          <w:color w:val="auto"/>
        </w:rPr>
      </w:pPr>
    </w:p>
    <w:p>
      <w:pPr>
        <w:ind w:left="480" w:hanging="459"/>
        <w:spacing w:after="0"/>
        <w:tabs>
          <w:tab w:leader="none" w:pos="48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3"/>
          <w:szCs w:val="13"/>
          <w:b w:val="1"/>
          <w:bCs w:val="1"/>
          <w:color w:val="auto"/>
        </w:rPr>
        <w:t>DDITIONAL</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3"/>
          <w:szCs w:val="13"/>
          <w:b w:val="1"/>
          <w:bCs w:val="1"/>
          <w:color w:val="auto"/>
        </w:rPr>
        <w:t>ULES FOR</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3"/>
          <w:szCs w:val="13"/>
          <w:b w:val="1"/>
          <w:bCs w:val="1"/>
          <w:color w:val="auto"/>
        </w:rPr>
        <w:t>WARDS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3"/>
          <w:szCs w:val="13"/>
          <w:b w:val="1"/>
          <w:bCs w:val="1"/>
          <w:color w:val="auto"/>
        </w:rPr>
        <w:t>UBJECT TO</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3"/>
          <w:szCs w:val="13"/>
          <w:b w:val="1"/>
          <w:bCs w:val="1"/>
          <w:color w:val="auto"/>
        </w:rPr>
        <w:t>ECTION</w:t>
      </w:r>
      <w:r>
        <w:rPr>
          <w:rFonts w:ascii="Times New Roman" w:cs="Times New Roman" w:eastAsia="Times New Roman" w:hAnsi="Times New Roman"/>
          <w:sz w:val="18"/>
          <w:szCs w:val="18"/>
          <w:b w:val="1"/>
          <w:bCs w:val="1"/>
          <w:color w:val="auto"/>
        </w:rPr>
        <w:t xml:space="preserve"> 409</w:t>
      </w:r>
      <w:r>
        <w:rPr>
          <w:rFonts w:ascii="Times New Roman" w:cs="Times New Roman" w:eastAsia="Times New Roman" w:hAnsi="Times New Roman"/>
          <w:sz w:val="13"/>
          <w:szCs w:val="13"/>
          <w:b w:val="1"/>
          <w:bCs w:val="1"/>
          <w:color w:val="auto"/>
        </w:rPr>
        <w:t>A</w:t>
      </w:r>
      <w:r>
        <w:rPr>
          <w:rFonts w:ascii="Times New Roman" w:cs="Times New Roman" w:eastAsia="Times New Roman" w:hAnsi="Times New Roman"/>
          <w:sz w:val="18"/>
          <w:szCs w:val="18"/>
          <w:b w:val="1"/>
          <w:bCs w:val="1"/>
          <w:color w:val="auto"/>
        </w:rPr>
        <w:t>.</w:t>
      </w:r>
    </w:p>
    <w:p>
      <w:pPr>
        <w:spacing w:after="0" w:line="130" w:lineRule="exact"/>
        <w:rPr>
          <w:rFonts w:ascii="Times New Roman" w:cs="Times New Roman" w:eastAsia="Times New Roman" w:hAnsi="Times New Roman"/>
          <w:sz w:val="18"/>
          <w:szCs w:val="18"/>
          <w:b w:val="1"/>
          <w:bCs w:val="1"/>
          <w:color w:val="auto"/>
        </w:rPr>
      </w:pPr>
    </w:p>
    <w:p>
      <w:pPr>
        <w:ind w:right="200" w:firstLine="517"/>
        <w:spacing w:after="0" w:line="286" w:lineRule="auto"/>
        <w:tabs>
          <w:tab w:leader="none" w:pos="763" w:val="left"/>
        </w:tabs>
        <w:numPr>
          <w:ilvl w:val="1"/>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Application. </w:t>
      </w:r>
      <w:r>
        <w:rPr>
          <w:rFonts w:ascii="Times New Roman" w:cs="Times New Roman" w:eastAsia="Times New Roman" w:hAnsi="Times New Roman"/>
          <w:sz w:val="18"/>
          <w:szCs w:val="18"/>
          <w:color w:val="auto"/>
        </w:rPr>
        <w:t>Unless the provisions of this Section of the Plan are expressly superseded by the provisions in the form of Award Agreement,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 this Section shall apply and shall supersede anything to the contrary set forth in the Award Agreement for a Non- Exempt Award.</w:t>
      </w:r>
    </w:p>
    <w:p>
      <w:pPr>
        <w:spacing w:after="0" w:line="46" w:lineRule="exact"/>
        <w:rPr>
          <w:rFonts w:ascii="Times New Roman" w:cs="Times New Roman" w:eastAsia="Times New Roman" w:hAnsi="Times New Roman"/>
          <w:sz w:val="18"/>
          <w:szCs w:val="18"/>
          <w:b w:val="1"/>
          <w:bCs w:val="1"/>
          <w:color w:val="auto"/>
        </w:rPr>
      </w:pPr>
    </w:p>
    <w:p>
      <w:pPr>
        <w:ind w:right="160" w:firstLine="517"/>
        <w:spacing w:after="0" w:line="286" w:lineRule="auto"/>
        <w:tabs>
          <w:tab w:leader="none" w:pos="774" w:val="left"/>
        </w:tabs>
        <w:numPr>
          <w:ilvl w:val="1"/>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Non-Exempt Awards Subject to Non-Exempt Severance Arrangements. </w:t>
      </w:r>
      <w:r>
        <w:rPr>
          <w:rFonts w:ascii="Times New Roman" w:cs="Times New Roman" w:eastAsia="Times New Roman" w:hAnsi="Times New Roman"/>
          <w:sz w:val="18"/>
          <w:szCs w:val="18"/>
          <w:color w:val="auto"/>
        </w:rPr>
        <w:t>To the extent a Non-Exempt Award is subject to Section 409A due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application of a Non-Exempt Severance Arrangement, the following provisions of this subsection (b) apply.</w:t>
      </w:r>
    </w:p>
    <w:p>
      <w:pPr>
        <w:spacing w:after="0" w:line="50" w:lineRule="exact"/>
        <w:rPr>
          <w:rFonts w:ascii="Times New Roman" w:cs="Times New Roman" w:eastAsia="Times New Roman" w:hAnsi="Times New Roman"/>
          <w:sz w:val="18"/>
          <w:szCs w:val="18"/>
          <w:b w:val="1"/>
          <w:bCs w:val="1"/>
          <w:color w:val="auto"/>
        </w:rPr>
      </w:pPr>
    </w:p>
    <w:p>
      <w:pPr>
        <w:ind w:right="60" w:firstLine="1153"/>
        <w:spacing w:after="0" w:line="259" w:lineRule="auto"/>
        <w:tabs>
          <w:tab w:leader="none" w:pos="1360" w:val="left"/>
        </w:tabs>
        <w:numPr>
          <w:ilvl w:val="2"/>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Non-Exempt Award vests in the ordinary course during the Participant’s Continuous Service in accordance with the vesting schedule set forth in the Award Agreement, and does not accelerate vesting under the terms of a Non-Exempt Severance Arrangement, in no event will the shares be issued in respect of such Non-Exempt Award any later than the later of: (i) December 31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8"/>
          <w:szCs w:val="18"/>
          <w:color w:val="auto"/>
        </w:rPr>
        <w:t xml:space="preserve"> of the calendar year that includes the applicable vesting date, or (ii) the 60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that follows the applicable vesting date.</w:t>
      </w:r>
    </w:p>
    <w:p>
      <w:pPr>
        <w:spacing w:after="0" w:line="68" w:lineRule="exact"/>
        <w:rPr>
          <w:rFonts w:ascii="Times New Roman" w:cs="Times New Roman" w:eastAsia="Times New Roman" w:hAnsi="Times New Roman"/>
          <w:sz w:val="18"/>
          <w:szCs w:val="18"/>
          <w:b w:val="1"/>
          <w:bCs w:val="1"/>
          <w:color w:val="auto"/>
        </w:rPr>
      </w:pPr>
    </w:p>
    <w:p>
      <w:pPr>
        <w:ind w:firstLine="1153"/>
        <w:spacing w:after="0" w:line="250" w:lineRule="auto"/>
        <w:tabs>
          <w:tab w:leader="none" w:pos="1410" w:val="left"/>
        </w:tabs>
        <w:numPr>
          <w:ilvl w:val="2"/>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vesting of the Non-Exempt Award accelerates under the terms of a Non- Exempt Severance Arrangement in connection with the Participant’s Separation from Service, and such vesting acceleration provisions were in effect as of the date of grant of the Non-Exempt Award and, therefore, are part of the terms of such Non-Exempt Award as of the date of grant, then the shares will be earlier issued in settlement of such Non-Exempt Award upon the Participant’s Separation from Service in accordance with the terms of the Non-Exempt Severance Arrangement, but in no event later than the 60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that follows the date of the Participant’s Separation from Service. However, if at the time the shares would otherwise be issued the Participant is subject to the distribution limitations contained in Section 409A applicable to “specified employees,” as defined in Section 409A(a)(2)(B)(i) of the Code, such shares shall not be issued before the date that is six months following the date of such Participant’s Separation from Service, or, if earlier, the date of the Participant’s death that occurs within such six month period.</w:t>
      </w:r>
    </w:p>
    <w:p>
      <w:pPr>
        <w:spacing w:after="0" w:line="85" w:lineRule="exact"/>
        <w:rPr>
          <w:rFonts w:ascii="Times New Roman" w:cs="Times New Roman" w:eastAsia="Times New Roman" w:hAnsi="Times New Roman"/>
          <w:sz w:val="18"/>
          <w:szCs w:val="18"/>
          <w:b w:val="1"/>
          <w:bCs w:val="1"/>
          <w:color w:val="auto"/>
        </w:rPr>
      </w:pPr>
    </w:p>
    <w:p>
      <w:pPr>
        <w:ind w:right="40" w:firstLine="1153"/>
        <w:spacing w:after="0" w:line="255" w:lineRule="auto"/>
        <w:tabs>
          <w:tab w:leader="none" w:pos="1460" w:val="left"/>
        </w:tabs>
        <w:numPr>
          <w:ilvl w:val="2"/>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vesting of a Non-Exempt Award accelerates under the terms of a Non- Exempt Severance Arrangement in connection with a Participant’s Separation from Service, and such vesting acceleration provisions were not in effect as of the date of grant of the Non-Exempt Award and, therefore, are not a part of the terms of such Non-Exempt Award on the date of grant, then such acceleration of vesting of the Non-Exempt Award shall not accelerate the issuance date of the shares, but the shares shall instead be issued on the same schedule as set forth in the Grant Notice as if they had vested in the ordinary course during the Participant’s Continuous Service, notwithstanding the vesting acceleration of the Non-Exempt Award. Such issuance schedule is intended to satisfy the requirements of payment on a specified date or pursuant to a fixed schedule, as provided under Treasury Regulations Section 1.409A-3(a)(4).</w:t>
      </w:r>
    </w:p>
    <w:p>
      <w:pPr>
        <w:spacing w:after="0" w:line="74" w:lineRule="exact"/>
        <w:rPr>
          <w:rFonts w:ascii="Times New Roman" w:cs="Times New Roman" w:eastAsia="Times New Roman" w:hAnsi="Times New Roman"/>
          <w:sz w:val="18"/>
          <w:szCs w:val="18"/>
          <w:b w:val="1"/>
          <w:bCs w:val="1"/>
          <w:color w:val="auto"/>
        </w:rPr>
      </w:pPr>
    </w:p>
    <w:p>
      <w:pPr>
        <w:ind w:right="260" w:firstLine="517"/>
        <w:spacing w:after="0" w:line="262" w:lineRule="auto"/>
        <w:tabs>
          <w:tab w:leader="none" w:pos="753" w:val="left"/>
        </w:tabs>
        <w:numPr>
          <w:ilvl w:val="1"/>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Treatment of Non-Exempt Awards Upon a Corporate Transaction for Employees and Consultants. </w:t>
      </w:r>
      <w:r>
        <w:rPr>
          <w:rFonts w:ascii="Times New Roman" w:cs="Times New Roman" w:eastAsia="Times New Roman" w:hAnsi="Times New Roman"/>
          <w:sz w:val="18"/>
          <w:szCs w:val="18"/>
          <w:color w:val="auto"/>
        </w:rPr>
        <w:t>The provisions of this subsection (c)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apply and shall supersede anything to the contrary set forth in the Plan with respect to the permitted treatment of any Non- Exempt Award in connection with a Corporate Transaction if the Participant was either an Employee or Consultant upon the applicable date of grant of the Non-Exempt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866140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80" w:lineRule="exact"/>
        <w:rPr>
          <w:sz w:val="20"/>
          <w:szCs w:val="20"/>
          <w:color w:val="auto"/>
        </w:rPr>
      </w:pPr>
    </w:p>
    <w:p>
      <w:pPr>
        <w:ind w:left="1360" w:hanging="207"/>
        <w:spacing w:after="0"/>
        <w:tabs>
          <w:tab w:leader="none" w:pos="136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Vested Non-Exempt Awards. </w:t>
      </w:r>
      <w:r>
        <w:rPr>
          <w:rFonts w:ascii="Times New Roman" w:cs="Times New Roman" w:eastAsia="Times New Roman" w:hAnsi="Times New Roman"/>
          <w:sz w:val="18"/>
          <w:szCs w:val="18"/>
          <w:color w:val="auto"/>
        </w:rPr>
        <w:t>The following provisions shall apply to any Vested Non-Exempt Award in connection with a Corporate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w:t>
      </w:r>
    </w:p>
    <w:p>
      <w:pPr>
        <w:spacing w:after="0" w:line="98" w:lineRule="exact"/>
        <w:rPr>
          <w:sz w:val="20"/>
          <w:szCs w:val="20"/>
          <w:color w:val="auto"/>
        </w:rPr>
      </w:pPr>
    </w:p>
    <w:p>
      <w:pPr>
        <w:ind w:firstLine="1663"/>
        <w:spacing w:after="0" w:line="258" w:lineRule="auto"/>
        <w:tabs>
          <w:tab w:leader="none" w:pos="1909" w:val="left"/>
        </w:tabs>
        <w:numPr>
          <w:ilvl w:val="2"/>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Corporate Transaction is also a Section 409A Change in Control then the Acquiring Entity may not assume, continue or substitute the Vested Non-Exempt Award. Upon the Section 409A Change in Control the settlement of the Vested Non-Exempt Award will automatically be accelerated and the shares will be immediately issued in respect of the Vested Non-Exempt Award. Alternatively, the Company may instead provide that the Participant will receive a cash settlement equal to the Fair Market Value of the shares that would otherwise be issued to the Participant upon the Section 409A Change in Control.</w:t>
      </w:r>
    </w:p>
    <w:p>
      <w:pPr>
        <w:spacing w:after="0" w:line="114" w:lineRule="exact"/>
        <w:rPr>
          <w:rFonts w:ascii="Times New Roman" w:cs="Times New Roman" w:eastAsia="Times New Roman" w:hAnsi="Times New Roman"/>
          <w:sz w:val="18"/>
          <w:szCs w:val="18"/>
          <w:b w:val="1"/>
          <w:bCs w:val="1"/>
          <w:color w:val="auto"/>
        </w:rPr>
      </w:pPr>
    </w:p>
    <w:p>
      <w:pPr>
        <w:ind w:right="360" w:firstLine="1663"/>
        <w:spacing w:after="0" w:line="256" w:lineRule="auto"/>
        <w:tabs>
          <w:tab w:leader="none" w:pos="1909" w:val="left"/>
        </w:tabs>
        <w:numPr>
          <w:ilvl w:val="2"/>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Corporate Transaction is not also a Section 409A Change in Control, then the Acquiring Entity must either assume, continue or substitute each Vested Non- Exempt Award. The shares to be issued in respect of the 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the Fair Market Value of the shares made on the date of the Corporate Transaction.</w:t>
      </w:r>
    </w:p>
    <w:p>
      <w:pPr>
        <w:spacing w:after="0" w:line="73" w:lineRule="exact"/>
        <w:rPr>
          <w:rFonts w:ascii="Times New Roman" w:cs="Times New Roman" w:eastAsia="Times New Roman" w:hAnsi="Times New Roman"/>
          <w:sz w:val="18"/>
          <w:szCs w:val="18"/>
          <w:b w:val="1"/>
          <w:bCs w:val="1"/>
          <w:color w:val="auto"/>
        </w:rPr>
      </w:pPr>
    </w:p>
    <w:p>
      <w:pPr>
        <w:ind w:right="760" w:firstLine="1153"/>
        <w:spacing w:after="0" w:line="286" w:lineRule="auto"/>
        <w:tabs>
          <w:tab w:leader="none" w:pos="1410" w:val="left"/>
        </w:tabs>
        <w:numPr>
          <w:ilvl w:val="1"/>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Unvested Non-Exempt Awards. </w:t>
      </w:r>
      <w:r>
        <w:rPr>
          <w:rFonts w:ascii="Times New Roman" w:cs="Times New Roman" w:eastAsia="Times New Roman" w:hAnsi="Times New Roman"/>
          <w:sz w:val="18"/>
          <w:szCs w:val="18"/>
          <w:color w:val="auto"/>
        </w:rPr>
        <w:t>The following provisions shall apply to any Unvested Non-Exempt Award unless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by the Board pursuant to subsection (e) of this Section.</w:t>
      </w:r>
    </w:p>
    <w:p>
      <w:pPr>
        <w:spacing w:after="0" w:line="50" w:lineRule="exact"/>
        <w:rPr>
          <w:rFonts w:ascii="Times New Roman" w:cs="Times New Roman" w:eastAsia="Times New Roman" w:hAnsi="Times New Roman"/>
          <w:sz w:val="18"/>
          <w:szCs w:val="18"/>
          <w:b w:val="1"/>
          <w:bCs w:val="1"/>
          <w:color w:val="auto"/>
        </w:rPr>
      </w:pPr>
    </w:p>
    <w:p>
      <w:pPr>
        <w:ind w:firstLine="1663"/>
        <w:spacing w:after="0" w:line="255" w:lineRule="auto"/>
        <w:tabs>
          <w:tab w:leader="none" w:pos="1909" w:val="left"/>
        </w:tabs>
        <w:numPr>
          <w:ilvl w:val="2"/>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of a Corporate Transaction, the Acquiring Entity shall assume, continue or substitute any Unvested Non-Exempt Award. Unless otherwise determined by the Board, any Unvested Non-Exempt Award will remain subject to the same vesting and forfeiture restrictions that were applicable to the Award prior to the Corporate Transaction. The shares to be issued in respect of any Unvested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of the shares made on the date of the Corporate Transaction.</w:t>
      </w:r>
    </w:p>
    <w:p>
      <w:pPr>
        <w:spacing w:after="0" w:line="78" w:lineRule="exact"/>
        <w:rPr>
          <w:rFonts w:ascii="Times New Roman" w:cs="Times New Roman" w:eastAsia="Times New Roman" w:hAnsi="Times New Roman"/>
          <w:sz w:val="18"/>
          <w:szCs w:val="18"/>
          <w:b w:val="1"/>
          <w:bCs w:val="1"/>
          <w:color w:val="auto"/>
        </w:rPr>
      </w:pPr>
    </w:p>
    <w:p>
      <w:pPr>
        <w:ind w:firstLine="1663"/>
        <w:spacing w:after="0" w:line="254" w:lineRule="auto"/>
        <w:tabs>
          <w:tab w:leader="none" w:pos="1909" w:val="left"/>
        </w:tabs>
        <w:numPr>
          <w:ilvl w:val="2"/>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Acquiring Entity will not assume, substitute or continue any Unvested Non-Exempt Award in connection with a Corporate Transaction, then such Award shall automatically terminate and be forfeited upon the Corporate Transaction with no consideration payable to any Participant in respect of such forfeited Unvested Non-Exempt Award. Notwithstanding the foregoing, to the extent permitted and in compliance with the requirements of Section 409A, the Board may in its discretion determine to elect to accelerate the vesting and settlement of the Unvested Non-Exempt Award upon the Corporate Transaction, or instead substitute a cash payment equal to the Fair Market Value of such shares that would otherwise be issued to the Participant, as further provided in subsection (e)(ii) below. In the absence of such discretionary election by the Board, any Unvested Non-Exempt Award shall be forfeited without payment of any consideration to the affected Participants if the Acquiring Entity will not assume, substitute or continue the Unvested Non-Exempt Awards in connection with the Corporate Transaction.</w:t>
      </w:r>
    </w:p>
    <w:p>
      <w:pPr>
        <w:spacing w:after="0" w:line="81" w:lineRule="exact"/>
        <w:rPr>
          <w:rFonts w:ascii="Times New Roman" w:cs="Times New Roman" w:eastAsia="Times New Roman" w:hAnsi="Times New Roman"/>
          <w:sz w:val="18"/>
          <w:szCs w:val="18"/>
          <w:b w:val="1"/>
          <w:bCs w:val="1"/>
          <w:color w:val="auto"/>
        </w:rPr>
      </w:pPr>
    </w:p>
    <w:p>
      <w:pPr>
        <w:ind w:right="400" w:firstLine="1663"/>
        <w:spacing w:after="0" w:line="281" w:lineRule="auto"/>
        <w:tabs>
          <w:tab w:leader="none" w:pos="1909" w:val="left"/>
        </w:tabs>
        <w:numPr>
          <w:ilvl w:val="2"/>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foregoing treatment shall apply with respect to all Unvested Non-Exempt Awards upon any Corporate Transaction, and regardless of whether or not such Corporate Transaction is also a Section 409A Change in Control.</w:t>
      </w:r>
    </w:p>
    <w:p>
      <w:pPr>
        <w:spacing w:after="0" w:line="50" w:lineRule="exact"/>
        <w:rPr>
          <w:rFonts w:ascii="Times New Roman" w:cs="Times New Roman" w:eastAsia="Times New Roman" w:hAnsi="Times New Roman"/>
          <w:sz w:val="18"/>
          <w:szCs w:val="18"/>
          <w:b w:val="1"/>
          <w:bCs w:val="1"/>
          <w:color w:val="auto"/>
        </w:rPr>
      </w:pPr>
    </w:p>
    <w:p>
      <w:pPr>
        <w:ind w:right="260" w:firstLine="517"/>
        <w:spacing w:after="0" w:line="268" w:lineRule="auto"/>
        <w:tabs>
          <w:tab w:leader="none" w:pos="774"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Treatment of Non-Exempt Awards Upon a Corporate Transaction for Non-Employee Directors. </w:t>
      </w:r>
      <w:r>
        <w:rPr>
          <w:rFonts w:ascii="Times New Roman" w:cs="Times New Roman" w:eastAsia="Times New Roman" w:hAnsi="Times New Roman"/>
          <w:sz w:val="18"/>
          <w:szCs w:val="18"/>
          <w:color w:val="auto"/>
        </w:rPr>
        <w:t>The following provisions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subsection (d) shall apply and shall supersede anything to the contrary that may be set forth in the Plan with respect to the permitted treatment of a Non-Exempt Director Award in connection with a Corporate Transaction.</w:t>
      </w:r>
    </w:p>
    <w:p>
      <w:pPr>
        <w:spacing w:after="0" w:line="106" w:lineRule="exact"/>
        <w:rPr>
          <w:rFonts w:ascii="Times New Roman" w:cs="Times New Roman" w:eastAsia="Times New Roman" w:hAnsi="Times New Roman"/>
          <w:sz w:val="18"/>
          <w:szCs w:val="18"/>
          <w:b w:val="1"/>
          <w:bCs w:val="1"/>
          <w:color w:val="auto"/>
        </w:rPr>
      </w:pPr>
    </w:p>
    <w:p>
      <w:pPr>
        <w:ind w:right="80" w:firstLine="1153"/>
        <w:spacing w:after="0" w:line="260" w:lineRule="auto"/>
        <w:tabs>
          <w:tab w:leader="none" w:pos="1360" w:val="left"/>
        </w:tabs>
        <w:numPr>
          <w:ilvl w:val="1"/>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Corporate Transaction is also a Section 409A Change in Control then the Acquiring Entity may not assume, continue or substitute the Non-Exempt Director Award. Upon the Section 409A Change in Control the vesting and settlement of any Non-Exempt Director Award will automatically be accelerated and the shares will be immediately issued to the Participant in respect of the Non-Exempt Director Award. Alternatively, the Company may provide that the Participant will instead receive a cash settlement equal to the Fair Market Value of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868045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color w:val="auto"/>
        </w:rPr>
        <w:t>that would otherwise be issued to the Participant upon the Section 409A Change in Control pursuant to the preceding provision.</w:t>
      </w:r>
    </w:p>
    <w:p>
      <w:pPr>
        <w:spacing w:after="0" w:line="117" w:lineRule="exact"/>
        <w:rPr>
          <w:sz w:val="20"/>
          <w:szCs w:val="20"/>
          <w:color w:val="auto"/>
        </w:rPr>
      </w:pPr>
    </w:p>
    <w:p>
      <w:pPr>
        <w:ind w:right="240" w:firstLine="1153"/>
        <w:spacing w:after="0" w:line="255" w:lineRule="auto"/>
        <w:tabs>
          <w:tab w:leader="none" w:pos="1410" w:val="left"/>
        </w:tabs>
        <w:numPr>
          <w:ilvl w:val="1"/>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Corporate Transaction is not also a Section 409A Change in Control, then the Acquiring Entity must either assume, continue or substitute the Non-Exempt Director Award. Unless otherwise determined by the Board, the Non-Exempt Director Award will remain subject to the same vesting and forfeiture restrictions that were applicable to the Award prior to the Corporate Transaction. The shares to be issued in respect of the Non-Exempt Director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made on the date of the Corporate Transaction.</w:t>
      </w:r>
    </w:p>
    <w:p>
      <w:pPr>
        <w:spacing w:after="0" w:line="78" w:lineRule="exact"/>
        <w:rPr>
          <w:rFonts w:ascii="Times New Roman" w:cs="Times New Roman" w:eastAsia="Times New Roman" w:hAnsi="Times New Roman"/>
          <w:sz w:val="18"/>
          <w:szCs w:val="18"/>
          <w:b w:val="1"/>
          <w:bCs w:val="1"/>
          <w:color w:val="auto"/>
        </w:rPr>
      </w:pPr>
    </w:p>
    <w:p>
      <w:pPr>
        <w:ind w:right="140" w:firstLine="517"/>
        <w:spacing w:after="0" w:line="281" w:lineRule="auto"/>
        <w:tabs>
          <w:tab w:leader="none" w:pos="753"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RSU Award is a Non-Exempt Award, then the provisions in this Section 11(e) shall apply and supersede anything to the contrary that may be set forth in the Plan or the Award Agreement with respect to the permitted treatment of such Non-Exempt Award:</w:t>
      </w:r>
    </w:p>
    <w:p>
      <w:pPr>
        <w:spacing w:after="0" w:line="54" w:lineRule="exact"/>
        <w:rPr>
          <w:rFonts w:ascii="Times New Roman" w:cs="Times New Roman" w:eastAsia="Times New Roman" w:hAnsi="Times New Roman"/>
          <w:sz w:val="18"/>
          <w:szCs w:val="18"/>
          <w:b w:val="1"/>
          <w:bCs w:val="1"/>
          <w:color w:val="auto"/>
        </w:rPr>
      </w:pPr>
    </w:p>
    <w:p>
      <w:pPr>
        <w:ind w:firstLine="1153"/>
        <w:spacing w:after="0" w:line="265" w:lineRule="auto"/>
        <w:tabs>
          <w:tab w:leader="none" w:pos="1360" w:val="left"/>
        </w:tabs>
        <w:numPr>
          <w:ilvl w:val="1"/>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exercise by the Board of discretion to accelerate the vesting of a Non- Exempt Award shall not result in any acceleration of the scheduled issuance dates for the shares in respect of the Non-Exempt Award unless earlier issuance of the shares upon the applicable vesting dates would be in compliance with the requirements of Section 409A.</w:t>
      </w:r>
    </w:p>
    <w:p>
      <w:pPr>
        <w:spacing w:after="0" w:line="69" w:lineRule="exact"/>
        <w:rPr>
          <w:sz w:val="20"/>
          <w:szCs w:val="20"/>
          <w:color w:val="auto"/>
        </w:rPr>
      </w:pPr>
    </w:p>
    <w:p>
      <w:pPr>
        <w:ind w:right="220" w:firstLine="1153"/>
        <w:spacing w:after="0" w:line="281" w:lineRule="auto"/>
        <w:tabs>
          <w:tab w:leader="none" w:pos="141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explicitly reserves the right to earlier settle any Non-Exempt Award to the extent permitted and in compliance with the requirements of Section 409A, including pursuant to any of the exemptions available in Treasury Regulations Section 1.409A- 3(j)(4)(ix).</w:t>
      </w:r>
    </w:p>
    <w:p>
      <w:pPr>
        <w:spacing w:after="0" w:line="54" w:lineRule="exact"/>
        <w:rPr>
          <w:rFonts w:ascii="Times New Roman" w:cs="Times New Roman" w:eastAsia="Times New Roman" w:hAnsi="Times New Roman"/>
          <w:sz w:val="18"/>
          <w:szCs w:val="18"/>
          <w:b w:val="1"/>
          <w:bCs w:val="1"/>
          <w:color w:val="auto"/>
        </w:rPr>
      </w:pPr>
    </w:p>
    <w:p>
      <w:pPr>
        <w:ind w:right="60" w:firstLine="1153"/>
        <w:spacing w:after="0" w:line="254" w:lineRule="auto"/>
        <w:tabs>
          <w:tab w:leader="none" w:pos="146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the extent the terms of any Non-Exempt Award provide that it will be settled upon a Change in Control or Corporate Transaction, to the extent it is required for compliance with the requirements of Section 409A, the Change in Control or Corporate Transaction event triggering settlement must also constitute a Section 409A Change in Control. To the extent the terms of a Non-Exempt Award provides that it will be settled upon a termination of employment or termination of Continuous Service, to the extent it is required for compliance with the requirements of Section 409A, the termination event triggering settlement must also constitute a Separation From Service. However, if at the time the shares would otherwise be issued to a Participant in connection with a “separation from service” such Participant is subject to the distribution limitations contained in Section 409A applicable to “specified employees,” as defined in Section 409A(a)(2)(B)(i) of the Code, such shares shall not be issued before the date that is six months following the date of the Participant’s Separation From Service, or, if earlier, the date of the Participant’s death that occurs within such six month period.</w:t>
      </w:r>
    </w:p>
    <w:p>
      <w:pPr>
        <w:spacing w:after="0" w:line="81" w:lineRule="exact"/>
        <w:rPr>
          <w:rFonts w:ascii="Times New Roman" w:cs="Times New Roman" w:eastAsia="Times New Roman" w:hAnsi="Times New Roman"/>
          <w:sz w:val="18"/>
          <w:szCs w:val="18"/>
          <w:b w:val="1"/>
          <w:bCs w:val="1"/>
          <w:color w:val="auto"/>
        </w:rPr>
      </w:pPr>
    </w:p>
    <w:p>
      <w:pPr>
        <w:ind w:right="300" w:firstLine="1153"/>
        <w:spacing w:after="0" w:line="265" w:lineRule="auto"/>
        <w:tabs>
          <w:tab w:leader="none" w:pos="145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provisions in this subsection (e) for delivery of the shares in respect of the settlement of an RSU Award that is a Non-Exempt Award are intended to comply with the requirements of Section 409A so that the delivery of the shares to the Participant in respect of such Non-Exempt Award will not trigger the additional tax imposed under Section 409A, and any ambiguities herein will be so interpreted.</w:t>
      </w:r>
    </w:p>
    <w:p>
      <w:pPr>
        <w:spacing w:after="0" w:line="214" w:lineRule="exact"/>
        <w:rPr>
          <w:sz w:val="20"/>
          <w:szCs w:val="20"/>
          <w:color w:val="auto"/>
        </w:rPr>
      </w:pPr>
    </w:p>
    <w:p>
      <w:pPr>
        <w:ind w:left="480" w:hanging="459"/>
        <w:spacing w:after="0"/>
        <w:tabs>
          <w:tab w:leader="none" w:pos="48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3"/>
          <w:szCs w:val="13"/>
          <w:b w:val="1"/>
          <w:bCs w:val="1"/>
          <w:color w:val="auto"/>
        </w:rPr>
        <w:t>EVERABILITY</w:t>
      </w:r>
      <w:r>
        <w:rPr>
          <w:rFonts w:ascii="Times New Roman" w:cs="Times New Roman" w:eastAsia="Times New Roman" w:hAnsi="Times New Roman"/>
          <w:sz w:val="18"/>
          <w:szCs w:val="18"/>
          <w:b w:val="1"/>
          <w:bCs w:val="1"/>
          <w:color w:val="auto"/>
        </w:rPr>
        <w:t>.</w:t>
      </w:r>
    </w:p>
    <w:p>
      <w:pPr>
        <w:spacing w:after="0" w:line="134" w:lineRule="exact"/>
        <w:rPr>
          <w:sz w:val="20"/>
          <w:szCs w:val="20"/>
          <w:color w:val="auto"/>
        </w:rPr>
      </w:pPr>
    </w:p>
    <w:p>
      <w:pPr>
        <w:ind w:right="120" w:firstLine="509"/>
        <w:spacing w:after="0" w:line="260" w:lineRule="auto"/>
        <w:rPr>
          <w:sz w:val="20"/>
          <w:szCs w:val="20"/>
          <w:color w:val="auto"/>
        </w:rPr>
      </w:pPr>
      <w:r>
        <w:rPr>
          <w:rFonts w:ascii="Times New Roman" w:cs="Times New Roman" w:eastAsia="Times New Roman" w:hAnsi="Times New Roman"/>
          <w:sz w:val="18"/>
          <w:szCs w:val="18"/>
          <w:color w:val="auto"/>
        </w:rPr>
        <w:t>If all or any part of the Plan or any Award Agreement is declared by any court or governmental authority to be unlawful or invalid, such unlawfulness or invalidity shall not invalidate any portion of the Plan or such Award 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218" w:lineRule="exact"/>
        <w:rPr>
          <w:sz w:val="20"/>
          <w:szCs w:val="20"/>
          <w:color w:val="auto"/>
        </w:rPr>
      </w:pPr>
    </w:p>
    <w:p>
      <w:pPr>
        <w:ind w:left="480" w:hanging="459"/>
        <w:spacing w:after="0"/>
        <w:tabs>
          <w:tab w:leader="none" w:pos="48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3"/>
          <w:szCs w:val="13"/>
          <w:b w:val="1"/>
          <w:bCs w:val="1"/>
          <w:color w:val="auto"/>
        </w:rPr>
        <w:t>ERMINATION OF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3"/>
          <w:szCs w:val="13"/>
          <w:b w:val="1"/>
          <w:bCs w:val="1"/>
          <w:color w:val="auto"/>
        </w:rPr>
        <w:t>LAN</w:t>
      </w:r>
      <w:r>
        <w:rPr>
          <w:rFonts w:ascii="Times New Roman" w:cs="Times New Roman" w:eastAsia="Times New Roman" w:hAnsi="Times New Roman"/>
          <w:sz w:val="18"/>
          <w:szCs w:val="18"/>
          <w:b w:val="1"/>
          <w:bCs w:val="1"/>
          <w:color w:val="auto"/>
        </w:rPr>
        <w:t>.</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Board may suspend or terminate the Plan at any time. No Incentive Stock Options may be granted after the tenth anniversary of the earlier of:</w:t>
      </w:r>
    </w:p>
    <w:p>
      <w:pPr>
        <w:spacing w:after="0" w:line="27" w:lineRule="exact"/>
        <w:rPr>
          <w:sz w:val="20"/>
          <w:szCs w:val="20"/>
          <w:color w:val="auto"/>
        </w:rPr>
      </w:pPr>
    </w:p>
    <w:p>
      <w:pPr>
        <w:ind w:right="400" w:firstLine="8"/>
        <w:spacing w:after="0" w:line="260" w:lineRule="auto"/>
        <w:tabs>
          <w:tab w:leader="none" w:pos="21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Date, or (ii) the date the Plan is approved by the Company’s stockholders. No Awards may be granted under the Plan while the Plan is suspended or after it is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1097915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177" w:name="page178"/>
    <w:bookmarkEnd w:id="177"/>
    <w:p>
      <w:pPr>
        <w:spacing w:after="0" w:line="377" w:lineRule="exact"/>
        <w:rPr>
          <w:sz w:val="20"/>
          <w:szCs w:val="20"/>
          <w:color w:val="auto"/>
        </w:rPr>
      </w:pPr>
    </w:p>
    <w:p>
      <w:pPr>
        <w:ind w:left="480" w:hanging="459"/>
        <w:spacing w:after="0"/>
        <w:tabs>
          <w:tab w:leader="none" w:pos="48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3"/>
          <w:szCs w:val="13"/>
          <w:b w:val="1"/>
          <w:bCs w:val="1"/>
          <w:color w:val="auto"/>
        </w:rPr>
        <w:t>EFINITIONS</w:t>
      </w:r>
      <w:r>
        <w:rPr>
          <w:rFonts w:ascii="Times New Roman" w:cs="Times New Roman" w:eastAsia="Times New Roman" w:hAnsi="Times New Roman"/>
          <w:sz w:val="18"/>
          <w:szCs w:val="18"/>
          <w:b w:val="1"/>
          <w:bCs w:val="1"/>
          <w:color w:val="auto"/>
        </w:rPr>
        <w:t>.</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used in the Plan, the following definitions apply to the capitalized terms indicated below:</w:t>
      </w:r>
    </w:p>
    <w:p>
      <w:pPr>
        <w:spacing w:after="0" w:line="113" w:lineRule="exact"/>
        <w:rPr>
          <w:sz w:val="20"/>
          <w:szCs w:val="20"/>
          <w:color w:val="auto"/>
        </w:rPr>
      </w:pPr>
    </w:p>
    <w:p>
      <w:pPr>
        <w:ind w:left="780" w:hanging="263"/>
        <w:spacing w:after="0"/>
        <w:tabs>
          <w:tab w:leader="none" w:pos="78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Acquiring Entity</w:t>
      </w:r>
      <w:r>
        <w:rPr>
          <w:rFonts w:ascii="Times New Roman" w:cs="Times New Roman" w:eastAsia="Times New Roman" w:hAnsi="Times New Roman"/>
          <w:sz w:val="18"/>
          <w:szCs w:val="18"/>
          <w:color w:val="auto"/>
        </w:rPr>
        <w:t>” means the surviving or acquiring corporation (or its parent company) in connection with a Corporate Transaction.</w:t>
      </w:r>
    </w:p>
    <w:p>
      <w:pPr>
        <w:spacing w:after="0" w:line="116" w:lineRule="exact"/>
        <w:rPr>
          <w:rFonts w:ascii="Times New Roman" w:cs="Times New Roman" w:eastAsia="Times New Roman" w:hAnsi="Times New Roman"/>
          <w:sz w:val="18"/>
          <w:szCs w:val="18"/>
          <w:b w:val="1"/>
          <w:bCs w:val="1"/>
          <w:color w:val="auto"/>
        </w:rPr>
      </w:pPr>
    </w:p>
    <w:p>
      <w:pPr>
        <w:ind w:left="780" w:hanging="263"/>
        <w:spacing w:after="0"/>
        <w:tabs>
          <w:tab w:leader="none" w:pos="78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Adoption Date</w:t>
      </w:r>
      <w:r>
        <w:rPr>
          <w:rFonts w:ascii="Times New Roman" w:cs="Times New Roman" w:eastAsia="Times New Roman" w:hAnsi="Times New Roman"/>
          <w:sz w:val="18"/>
          <w:szCs w:val="18"/>
          <w:color w:val="auto"/>
        </w:rPr>
        <w:t>” means the date the Plan is first approved by the Board or Compensation Committee.</w:t>
      </w:r>
    </w:p>
    <w:p>
      <w:pPr>
        <w:spacing w:after="0" w:line="116" w:lineRule="exact"/>
        <w:rPr>
          <w:rFonts w:ascii="Times New Roman" w:cs="Times New Roman" w:eastAsia="Times New Roman" w:hAnsi="Times New Roman"/>
          <w:sz w:val="18"/>
          <w:szCs w:val="18"/>
          <w:b w:val="1"/>
          <w:bCs w:val="1"/>
          <w:color w:val="auto"/>
        </w:rPr>
      </w:pPr>
    </w:p>
    <w:p>
      <w:pPr>
        <w:jc w:val="both"/>
        <w:ind w:right="20" w:firstLine="517"/>
        <w:spacing w:after="0" w:line="317" w:lineRule="auto"/>
        <w:tabs>
          <w:tab w:leader="none" w:pos="753" w:val="left"/>
        </w:tabs>
        <w:numPr>
          <w:ilvl w:val="0"/>
          <w:numId w:val="1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Affiliate</w:t>
      </w:r>
      <w:r>
        <w:rPr>
          <w:rFonts w:ascii="Times New Roman" w:cs="Times New Roman" w:eastAsia="Times New Roman" w:hAnsi="Times New Roman"/>
          <w:sz w:val="17"/>
          <w:szCs w:val="17"/>
          <w:color w:val="auto"/>
        </w:rPr>
        <w:t>” means, at the time of determination, any “parent” or “subsidiary” of the Company as such terms are defined in Rule 405 promulgated under the Securities Act. The Board may determine the time or times at which “parent” or “subsidiary” status is determined within the foregoing definition.</w:t>
      </w:r>
    </w:p>
    <w:p>
      <w:pPr>
        <w:spacing w:after="0" w:line="22" w:lineRule="exact"/>
        <w:rPr>
          <w:rFonts w:ascii="Times New Roman" w:cs="Times New Roman" w:eastAsia="Times New Roman" w:hAnsi="Times New Roman"/>
          <w:sz w:val="17"/>
          <w:szCs w:val="17"/>
          <w:b w:val="1"/>
          <w:bCs w:val="1"/>
          <w:color w:val="auto"/>
        </w:rPr>
      </w:pPr>
    </w:p>
    <w:p>
      <w:pPr>
        <w:ind w:right="40" w:firstLine="517"/>
        <w:spacing w:after="0" w:line="262" w:lineRule="auto"/>
        <w:tabs>
          <w:tab w:leader="none" w:pos="774"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Law</w:t>
      </w:r>
      <w:r>
        <w:rPr>
          <w:rFonts w:ascii="Times New Roman" w:cs="Times New Roman" w:eastAsia="Times New Roman" w:hAnsi="Times New Roman"/>
          <w:sz w:val="18"/>
          <w:szCs w:val="18"/>
          <w:color w:val="auto"/>
        </w:rPr>
        <w:t>” means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 regulating organization such as the Nasdaq Stock Market, New York Stock Exchange, or the Financial Industry Regulatory Authority).</w:t>
      </w:r>
    </w:p>
    <w:p>
      <w:pPr>
        <w:spacing w:after="0" w:line="67" w:lineRule="exact"/>
        <w:rPr>
          <w:rFonts w:ascii="Times New Roman" w:cs="Times New Roman" w:eastAsia="Times New Roman" w:hAnsi="Times New Roman"/>
          <w:sz w:val="18"/>
          <w:szCs w:val="18"/>
          <w:b w:val="1"/>
          <w:bCs w:val="1"/>
          <w:color w:val="auto"/>
        </w:rPr>
      </w:pPr>
    </w:p>
    <w:p>
      <w:pPr>
        <w:ind w:right="500" w:firstLine="517"/>
        <w:spacing w:after="0" w:line="286" w:lineRule="auto"/>
        <w:tabs>
          <w:tab w:leader="none" w:pos="753"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means any right to receive Common Stock, cash or other property granted under the Plan (including an Incentive Stock Option, a Nonstatutory Stock Option, a Restricted Stock Award, an RSU Award, a SAR, a Performance Award or any Other Award).</w:t>
      </w:r>
    </w:p>
    <w:p>
      <w:pPr>
        <w:spacing w:after="0" w:line="46" w:lineRule="exact"/>
        <w:rPr>
          <w:rFonts w:ascii="Times New Roman" w:cs="Times New Roman" w:eastAsia="Times New Roman" w:hAnsi="Times New Roman"/>
          <w:sz w:val="18"/>
          <w:szCs w:val="18"/>
          <w:b w:val="1"/>
          <w:bCs w:val="1"/>
          <w:color w:val="auto"/>
        </w:rPr>
      </w:pPr>
    </w:p>
    <w:p>
      <w:pPr>
        <w:ind w:right="120" w:firstLine="517"/>
        <w:spacing w:after="0" w:line="268" w:lineRule="auto"/>
        <w:tabs>
          <w:tab w:leader="none" w:pos="734"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means a written or electronic agreement between the Company and a Participant evidencing the terms and conditions of an Award. The Award Agreement generally consists of the Grant Notice and the agreement containing the written summary of the general terms and conditions applicable to the Award and which is provided, including through electronic means, to a Participant along with the Grant Notice.</w:t>
      </w:r>
    </w:p>
    <w:p>
      <w:pPr>
        <w:spacing w:after="0" w:line="61" w:lineRule="exact"/>
        <w:rPr>
          <w:rFonts w:ascii="Times New Roman" w:cs="Times New Roman" w:eastAsia="Times New Roman" w:hAnsi="Times New Roman"/>
          <w:sz w:val="18"/>
          <w:szCs w:val="18"/>
          <w:b w:val="1"/>
          <w:bCs w:val="1"/>
          <w:color w:val="auto"/>
        </w:rPr>
      </w:pPr>
    </w:p>
    <w:p>
      <w:pPr>
        <w:ind w:right="20" w:firstLine="517"/>
        <w:spacing w:after="0" w:line="268" w:lineRule="auto"/>
        <w:tabs>
          <w:tab w:leader="none" w:pos="763"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 (or its designee). Any decision or determination made by the Board shall be a decision or determination that is made in the sole discretion of the Board (or its designee), and such decision or determination shall be final and binding on all Participants.</w:t>
      </w:r>
    </w:p>
    <w:p>
      <w:pPr>
        <w:spacing w:after="0" w:line="61" w:lineRule="exact"/>
        <w:rPr>
          <w:rFonts w:ascii="Times New Roman" w:cs="Times New Roman" w:eastAsia="Times New Roman" w:hAnsi="Times New Roman"/>
          <w:sz w:val="18"/>
          <w:szCs w:val="18"/>
          <w:b w:val="1"/>
          <w:bCs w:val="1"/>
          <w:color w:val="auto"/>
        </w:rPr>
      </w:pPr>
    </w:p>
    <w:p>
      <w:pPr>
        <w:jc w:val="both"/>
        <w:ind w:firstLine="517"/>
        <w:spacing w:after="0" w:line="270" w:lineRule="auto"/>
        <w:tabs>
          <w:tab w:leader="none" w:pos="774" w:val="left"/>
        </w:tabs>
        <w:numPr>
          <w:ilvl w:val="0"/>
          <w:numId w:val="1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Capitalization Adjustment</w:t>
      </w:r>
      <w:r>
        <w:rPr>
          <w:rFonts w:ascii="Times New Roman" w:cs="Times New Roman" w:eastAsia="Times New Roman" w:hAnsi="Times New Roman"/>
          <w:sz w:val="17"/>
          <w:szCs w:val="17"/>
          <w:color w:val="auto"/>
        </w:rPr>
        <w:t>” means any change that is made in, or other events that occur with respect to, the Common Stock subject to the Plan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 subject to any Award after the date the Plan is adopted by the Board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w:t>
      </w:r>
    </w:p>
    <w:p>
      <w:pPr>
        <w:spacing w:after="0" w:line="1" w:lineRule="exact"/>
        <w:rPr>
          <w:rFonts w:ascii="Times New Roman" w:cs="Times New Roman" w:eastAsia="Times New Roman" w:hAnsi="Times New Roman"/>
          <w:sz w:val="17"/>
          <w:szCs w:val="17"/>
          <w:b w:val="1"/>
          <w:bCs w:val="1"/>
          <w:color w:val="auto"/>
        </w:rPr>
      </w:pPr>
    </w:p>
    <w:p>
      <w:pPr>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Notwithstanding the foregoing, the conversion of any convertible securities of the Company will not be treated as a Capitalization Adjustment.</w:t>
      </w:r>
    </w:p>
    <w:p>
      <w:pPr>
        <w:spacing w:after="0" w:line="134" w:lineRule="exact"/>
        <w:rPr>
          <w:rFonts w:ascii="Times New Roman" w:cs="Times New Roman" w:eastAsia="Times New Roman" w:hAnsi="Times New Roman"/>
          <w:sz w:val="17"/>
          <w:szCs w:val="17"/>
          <w:b w:val="1"/>
          <w:bCs w:val="1"/>
          <w:color w:val="auto"/>
        </w:rPr>
      </w:pPr>
    </w:p>
    <w:p>
      <w:pPr>
        <w:ind w:firstLine="517"/>
        <w:spacing w:after="0" w:line="253" w:lineRule="auto"/>
        <w:tabs>
          <w:tab w:leader="none" w:pos="72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has the meaning ascribed to such term in any written agreement between a Participant and the Company defining such term and, in the absence of such agreement, such term means, with respect to a Participant, the occurrence of any of the following events: (i) the Participant’s dishonest statements or acts with respect to the Company or any Affiliate of the Company, or any current or prospective customers, suppliers, vendors or other third parties with which such entity does business; (ii) the Participant’s commission of (A) a felony or (B) any misdemeanor involving moral turpitude, deceit, dishonesty or fraud; (iii) the Participant’s failure to perform the Participant’s assigned duties and responsibilities to the reasonable satisfaction of the Company which failure continues, in the reasonable judgment of the Company, after written notice given to the Participant by the Company; (iv) the Participant’s gross negligence, willful misconduct or insubordination with respect to the Company or any Affiliate of the Company; or (v) the Participant’s material violation of any provision of any agreement(s) between the Participant and the Company relating to noncompetition, nonsolicitation, nondisclosure and/or assignment of inventions. The determination that a termination of the Participant’s Continuous Service is either for Cause or without Cause will be made by the Board with respect to Participants who are executive officers of the Company and by the Company’s Chief Executive Officer with respect to Participants who are not executive officers of the Company. Any determination by the Company that the Continuous Service of a Participant was terminated with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8" w:name="page179"/>
    <w:bookmarkEnd w:id="178"/>
    <w:p>
      <w:pPr>
        <w:spacing w:after="0" w:line="281" w:lineRule="auto"/>
        <w:rPr>
          <w:sz w:val="20"/>
          <w:szCs w:val="20"/>
          <w:color w:val="auto"/>
        </w:rPr>
      </w:pPr>
      <w:r>
        <w:rPr>
          <w:rFonts w:ascii="Times New Roman" w:cs="Times New Roman" w:eastAsia="Times New Roman" w:hAnsi="Times New Roman"/>
          <w:sz w:val="18"/>
          <w:szCs w:val="18"/>
          <w:color w:val="auto"/>
        </w:rPr>
        <w:t>without Cause for the purposes of outstanding Awards held by such Participant will have no effect upon any determination of the rights or obligations of the Company or such Participant for any other purpose.</w:t>
      </w:r>
    </w:p>
    <w:p>
      <w:pPr>
        <w:spacing w:after="0" w:line="51" w:lineRule="exact"/>
        <w:rPr>
          <w:sz w:val="20"/>
          <w:szCs w:val="20"/>
          <w:color w:val="auto"/>
        </w:rPr>
      </w:pPr>
    </w:p>
    <w:p>
      <w:pPr>
        <w:ind w:right="260" w:firstLine="517"/>
        <w:spacing w:after="0" w:line="286" w:lineRule="auto"/>
        <w:tabs>
          <w:tab w:leader="none" w:pos="734" w:val="left"/>
        </w:tabs>
        <w:numPr>
          <w:ilvl w:val="1"/>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means the occurrence, in a single transaction or in a series of related transactions, of any one or more of the following events:</w:t>
      </w:r>
    </w:p>
    <w:p>
      <w:pPr>
        <w:spacing w:after="0" w:line="50" w:lineRule="exact"/>
        <w:rPr>
          <w:rFonts w:ascii="Times New Roman" w:cs="Times New Roman" w:eastAsia="Times New Roman" w:hAnsi="Times New Roman"/>
          <w:sz w:val="18"/>
          <w:szCs w:val="18"/>
          <w:b w:val="1"/>
          <w:bCs w:val="1"/>
          <w:color w:val="auto"/>
        </w:rPr>
      </w:pPr>
    </w:p>
    <w:p>
      <w:pPr>
        <w:ind w:firstLine="1153"/>
        <w:spacing w:after="0" w:line="272" w:lineRule="auto"/>
        <w:tabs>
          <w:tab w:leader="none" w:pos="1360" w:val="left"/>
        </w:tabs>
        <w:numPr>
          <w:ilvl w:val="2"/>
          <w:numId w:val="1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w:t>
      </w:r>
    </w:p>
    <w:p>
      <w:pPr>
        <w:ind w:right="80" w:firstLine="8"/>
        <w:spacing w:after="0" w:line="251" w:lineRule="auto"/>
        <w:tabs>
          <w:tab w:leader="none" w:pos="28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 w:cs="Times New Roman" w:eastAsia="Times New Roman" w:hAnsi="Times New Roman"/>
          <w:sz w:val="18"/>
          <w:szCs w:val="18"/>
          <w:i w:val="1"/>
          <w:iCs w:val="1"/>
          <w:color w:val="auto"/>
        </w:rPr>
        <w:t>Subject Person</w:t>
      </w:r>
      <w:r>
        <w:rPr>
          <w:rFonts w:ascii="Times New Roman" w:cs="Times New Roman" w:eastAsia="Times New Roman" w:hAnsi="Times New Roman"/>
          <w:sz w:val="18"/>
          <w:szCs w:val="18"/>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spacing w:after="0" w:line="124" w:lineRule="exact"/>
        <w:rPr>
          <w:rFonts w:ascii="Times New Roman" w:cs="Times New Roman" w:eastAsia="Times New Roman" w:hAnsi="Times New Roman"/>
          <w:sz w:val="18"/>
          <w:szCs w:val="18"/>
          <w:color w:val="auto"/>
        </w:rPr>
      </w:pPr>
    </w:p>
    <w:p>
      <w:pPr>
        <w:ind w:right="160" w:firstLine="1153"/>
        <w:spacing w:after="0" w:line="256" w:lineRule="auto"/>
        <w:tabs>
          <w:tab w:leader="none" w:pos="1410" w:val="left"/>
        </w:tabs>
        <w:numPr>
          <w:ilvl w:val="2"/>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Acquiring Entity in such merger, consolidation or similar transaction or (B) more than 50% of the combined outstanding voting power of the parent of the Acquiring Entity in such merger, consolidation or similar transaction, in each case in substantially the same proportions as their Ownership of the outstanding voting securities of the Company immediately prior to such transaction;</w:t>
      </w:r>
    </w:p>
    <w:p>
      <w:pPr>
        <w:spacing w:after="0" w:line="77" w:lineRule="exact"/>
        <w:rPr>
          <w:rFonts w:ascii="Times New Roman" w:cs="Times New Roman" w:eastAsia="Times New Roman" w:hAnsi="Times New Roman"/>
          <w:sz w:val="18"/>
          <w:szCs w:val="18"/>
          <w:b w:val="1"/>
          <w:bCs w:val="1"/>
          <w:color w:val="auto"/>
        </w:rPr>
      </w:pPr>
    </w:p>
    <w:p>
      <w:pPr>
        <w:ind w:right="100" w:firstLine="1153"/>
        <w:spacing w:after="0" w:line="258" w:lineRule="auto"/>
        <w:tabs>
          <w:tab w:leader="none" w:pos="1460" w:val="left"/>
        </w:tabs>
        <w:numPr>
          <w:ilvl w:val="2"/>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spacing w:after="0" w:line="70" w:lineRule="exact"/>
        <w:rPr>
          <w:rFonts w:ascii="Times New Roman" w:cs="Times New Roman" w:eastAsia="Times New Roman" w:hAnsi="Times New Roman"/>
          <w:sz w:val="18"/>
          <w:szCs w:val="18"/>
          <w:b w:val="1"/>
          <w:bCs w:val="1"/>
          <w:color w:val="auto"/>
        </w:rPr>
      </w:pPr>
    </w:p>
    <w:p>
      <w:pPr>
        <w:jc w:val="both"/>
        <w:ind w:firstLine="1153"/>
        <w:spacing w:after="0" w:line="262" w:lineRule="auto"/>
        <w:tabs>
          <w:tab w:leader="none" w:pos="1450" w:val="left"/>
        </w:tabs>
        <w:numPr>
          <w:ilvl w:val="2"/>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individuals who, on the date the Plan is adopted by the Board, are members of the Board (the “</w:t>
      </w:r>
      <w:r>
        <w:rPr>
          <w:rFonts w:ascii="Times New Roman" w:cs="Times New Roman" w:eastAsia="Times New Roman" w:hAnsi="Times New Roman"/>
          <w:sz w:val="18"/>
          <w:szCs w:val="18"/>
          <w:b w:val="1"/>
          <w:bCs w:val="1"/>
          <w:i w:val="1"/>
          <w:iCs w:val="1"/>
          <w:color w:val="auto"/>
        </w:rPr>
        <w:t>Incumbent Board</w:t>
      </w:r>
      <w:r>
        <w:rPr>
          <w:rFonts w:ascii="Times New Roman" w:cs="Times New Roman" w:eastAsia="Times New Roman" w:hAnsi="Times New Roman"/>
          <w:sz w:val="18"/>
          <w:szCs w:val="18"/>
          <w:color w:val="auto"/>
        </w:rPr>
        <w:t>”)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w:t>
      </w:r>
    </w:p>
    <w:p>
      <w:pPr>
        <w:spacing w:after="0" w:line="7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Notwithstanding the foregoing or any other provision of this Plan, (A) the term Change in Control shall not include a sale of assets, merger or other transaction effected exclusively for the purpose of changing the domicile of the Company, (B) the definition of Change in Control (or any analogous term) in an individual written agreement between the Company or any Affiliate and the Participant shall supersede the foregoing definition with respect to Awards subject to such agreement; provided, however, that if no definition of Change in Control or any analogous term is set forth in such an individual written agreement, the foregoing definition shall apply, and (C) with respect to any nonqualified deferred compensation that becomes payable on account of the Change in Control, the transaction or event described in clause (i), (ii), (iii), or (iv) also constitutes a Section 409A Change in Control if required in order for the payment not to violate Section 409A of the Code.</w:t>
      </w:r>
    </w:p>
    <w:p>
      <w:pPr>
        <w:spacing w:after="0" w:line="75" w:lineRule="exact"/>
        <w:rPr>
          <w:sz w:val="20"/>
          <w:szCs w:val="20"/>
          <w:color w:val="auto"/>
        </w:rPr>
      </w:pPr>
    </w:p>
    <w:p>
      <w:pPr>
        <w:ind w:left="780" w:hanging="263"/>
        <w:spacing w:after="0"/>
        <w:tabs>
          <w:tab w:leader="none" w:pos="78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 including any applicable regulations and guidance thereunder.</w:t>
      </w:r>
    </w:p>
    <w:p>
      <w:pPr>
        <w:spacing w:after="0" w:line="116" w:lineRule="exact"/>
        <w:rPr>
          <w:rFonts w:ascii="Times New Roman" w:cs="Times New Roman" w:eastAsia="Times New Roman" w:hAnsi="Times New Roman"/>
          <w:sz w:val="18"/>
          <w:szCs w:val="18"/>
          <w:b w:val="1"/>
          <w:bCs w:val="1"/>
          <w:color w:val="auto"/>
        </w:rPr>
      </w:pPr>
    </w:p>
    <w:p>
      <w:pPr>
        <w:ind w:right="200" w:firstLine="517"/>
        <w:spacing w:after="0" w:line="286" w:lineRule="auto"/>
        <w:tabs>
          <w:tab w:leader="none" w:pos="724"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the Compensation Committee and any other committee of one or more Directors to whom authority has been delegated by the Board or Compensation Committee in accordance with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852805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179" w:name="page180"/>
    <w:bookmarkEnd w:id="179"/>
    <w:p>
      <w:pPr>
        <w:spacing w:after="0" w:line="80" w:lineRule="exact"/>
        <w:rPr>
          <w:sz w:val="20"/>
          <w:szCs w:val="20"/>
          <w:color w:val="auto"/>
        </w:rPr>
      </w:pPr>
    </w:p>
    <w:p>
      <w:pPr>
        <w:ind w:left="840" w:hanging="323"/>
        <w:spacing w:after="0"/>
        <w:tabs>
          <w:tab w:leader="none" w:pos="84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the common stock of the Company.</w:t>
      </w:r>
    </w:p>
    <w:p>
      <w:pPr>
        <w:spacing w:after="0" w:line="116" w:lineRule="exact"/>
        <w:rPr>
          <w:rFonts w:ascii="Times New Roman" w:cs="Times New Roman" w:eastAsia="Times New Roman" w:hAnsi="Times New Roman"/>
          <w:sz w:val="18"/>
          <w:szCs w:val="18"/>
          <w:b w:val="1"/>
          <w:bCs w:val="1"/>
          <w:color w:val="auto"/>
        </w:rPr>
      </w:pPr>
    </w:p>
    <w:p>
      <w:pPr>
        <w:ind w:left="780" w:hanging="263"/>
        <w:spacing w:after="0"/>
        <w:tabs>
          <w:tab w:leader="none" w:pos="78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Invivyd, Inc., a Delaware corporation.</w:t>
      </w:r>
    </w:p>
    <w:p>
      <w:pPr>
        <w:spacing w:after="0" w:line="157" w:lineRule="exact"/>
        <w:rPr>
          <w:rFonts w:ascii="Times New Roman" w:cs="Times New Roman" w:eastAsia="Times New Roman" w:hAnsi="Times New Roman"/>
          <w:sz w:val="18"/>
          <w:szCs w:val="18"/>
          <w:b w:val="1"/>
          <w:bCs w:val="1"/>
          <w:color w:val="auto"/>
        </w:rPr>
      </w:pPr>
    </w:p>
    <w:p>
      <w:pPr>
        <w:ind w:left="780" w:hanging="263"/>
        <w:spacing w:after="0"/>
        <w:tabs>
          <w:tab w:leader="none" w:pos="78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Compensation Committee</w:t>
      </w:r>
      <w:r>
        <w:rPr>
          <w:rFonts w:ascii="Times New Roman" w:cs="Times New Roman" w:eastAsia="Times New Roman" w:hAnsi="Times New Roman"/>
          <w:sz w:val="18"/>
          <w:szCs w:val="18"/>
          <w:color w:val="auto"/>
        </w:rPr>
        <w:t>” means the Compensation Committee of the Board.</w:t>
      </w:r>
    </w:p>
    <w:p>
      <w:pPr>
        <w:spacing w:after="0" w:line="116" w:lineRule="exact"/>
        <w:rPr>
          <w:rFonts w:ascii="Times New Roman" w:cs="Times New Roman" w:eastAsia="Times New Roman" w:hAnsi="Times New Roman"/>
          <w:sz w:val="18"/>
          <w:szCs w:val="18"/>
          <w:b w:val="1"/>
          <w:bCs w:val="1"/>
          <w:color w:val="auto"/>
        </w:rPr>
      </w:pPr>
    </w:p>
    <w:p>
      <w:pPr>
        <w:ind w:right="120" w:firstLine="517"/>
        <w:spacing w:after="0" w:line="259" w:lineRule="auto"/>
        <w:tabs>
          <w:tab w:leader="none" w:pos="774"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Consultant</w:t>
      </w:r>
      <w:r>
        <w:rPr>
          <w:rFonts w:ascii="Times New Roman" w:cs="Times New Roman" w:eastAsia="Times New Roman" w:hAnsi="Times New Roman"/>
          <w:sz w:val="18"/>
          <w:szCs w:val="18"/>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69" w:lineRule="exact"/>
        <w:rPr>
          <w:rFonts w:ascii="Times New Roman" w:cs="Times New Roman" w:eastAsia="Times New Roman" w:hAnsi="Times New Roman"/>
          <w:sz w:val="18"/>
          <w:szCs w:val="18"/>
          <w:b w:val="1"/>
          <w:bCs w:val="1"/>
          <w:color w:val="auto"/>
        </w:rPr>
      </w:pPr>
    </w:p>
    <w:p>
      <w:pPr>
        <w:ind w:firstLine="517"/>
        <w:spacing w:after="0" w:line="252" w:lineRule="auto"/>
        <w:tabs>
          <w:tab w:leader="none" w:pos="774"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Continuous Service</w:t>
      </w:r>
      <w:r>
        <w:rPr>
          <w:rFonts w:ascii="Times New Roman" w:cs="Times New Roman" w:eastAsia="Times New Roman" w:hAnsi="Times New Roman"/>
          <w:sz w:val="18"/>
          <w:szCs w:val="18"/>
          <w:color w:val="auto"/>
        </w:rPr>
        <w:t>”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provided, 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under Treasury Regulation Section 1.409A-1(h) (without regard to any alternative definition thereunder).</w:t>
      </w:r>
    </w:p>
    <w:p>
      <w:pPr>
        <w:spacing w:after="0" w:line="84" w:lineRule="exact"/>
        <w:rPr>
          <w:rFonts w:ascii="Times New Roman" w:cs="Times New Roman" w:eastAsia="Times New Roman" w:hAnsi="Times New Roman"/>
          <w:sz w:val="18"/>
          <w:szCs w:val="18"/>
          <w:b w:val="1"/>
          <w:bCs w:val="1"/>
          <w:color w:val="auto"/>
        </w:rPr>
      </w:pPr>
    </w:p>
    <w:p>
      <w:pPr>
        <w:ind w:right="600" w:firstLine="517"/>
        <w:spacing w:after="0" w:line="286" w:lineRule="auto"/>
        <w:tabs>
          <w:tab w:leader="none" w:pos="753"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Corporate Transaction</w:t>
      </w:r>
      <w:r>
        <w:rPr>
          <w:rFonts w:ascii="Times New Roman" w:cs="Times New Roman" w:eastAsia="Times New Roman" w:hAnsi="Times New Roman"/>
          <w:sz w:val="18"/>
          <w:szCs w:val="18"/>
          <w:color w:val="auto"/>
        </w:rPr>
        <w:t>” means the consummation, in a single transaction or in a series of related transactions, of any one or more of the following events:</w:t>
      </w:r>
    </w:p>
    <w:p>
      <w:pPr>
        <w:spacing w:after="0" w:line="50" w:lineRule="exact"/>
        <w:rPr>
          <w:rFonts w:ascii="Times New Roman" w:cs="Times New Roman" w:eastAsia="Times New Roman" w:hAnsi="Times New Roman"/>
          <w:sz w:val="18"/>
          <w:szCs w:val="18"/>
          <w:b w:val="1"/>
          <w:bCs w:val="1"/>
          <w:color w:val="auto"/>
        </w:rPr>
      </w:pPr>
    </w:p>
    <w:p>
      <w:pPr>
        <w:ind w:left="1360" w:hanging="207"/>
        <w:spacing w:after="0"/>
        <w:tabs>
          <w:tab w:leader="none" w:pos="1360" w:val="left"/>
        </w:tabs>
        <w:numPr>
          <w:ilvl w:val="1"/>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sale or other disposition of all or substantially all, as determined by the Board, of the consolidated assets of the Company and its</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Subsidiaries;</w:t>
      </w:r>
    </w:p>
    <w:p>
      <w:pPr>
        <w:spacing w:after="0" w:line="98" w:lineRule="exact"/>
        <w:rPr>
          <w:rFonts w:ascii="Times New Roman" w:cs="Times New Roman" w:eastAsia="Times New Roman" w:hAnsi="Times New Roman"/>
          <w:sz w:val="18"/>
          <w:szCs w:val="18"/>
          <w:b w:val="1"/>
          <w:bCs w:val="1"/>
          <w:color w:val="auto"/>
        </w:rPr>
      </w:pPr>
    </w:p>
    <w:p>
      <w:pPr>
        <w:ind w:left="1420" w:hanging="267"/>
        <w:spacing w:after="0"/>
        <w:tabs>
          <w:tab w:leader="none" w:pos="1420" w:val="left"/>
        </w:tabs>
        <w:numPr>
          <w:ilvl w:val="1"/>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sale or other disposition of at least 50% of the outstanding securities of the Company;</w:t>
      </w:r>
    </w:p>
    <w:p>
      <w:pPr>
        <w:spacing w:after="0" w:line="116" w:lineRule="exact"/>
        <w:rPr>
          <w:rFonts w:ascii="Times New Roman" w:cs="Times New Roman" w:eastAsia="Times New Roman" w:hAnsi="Times New Roman"/>
          <w:sz w:val="18"/>
          <w:szCs w:val="18"/>
          <w:b w:val="1"/>
          <w:bCs w:val="1"/>
          <w:color w:val="auto"/>
        </w:rPr>
      </w:pPr>
    </w:p>
    <w:p>
      <w:pPr>
        <w:ind w:left="1460" w:hanging="307"/>
        <w:spacing w:after="0"/>
        <w:tabs>
          <w:tab w:leader="none" w:pos="1460" w:val="left"/>
        </w:tabs>
        <w:numPr>
          <w:ilvl w:val="1"/>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merger, consolidation or similar transaction following which the Company is not the surviving corporation; or</w:t>
      </w:r>
    </w:p>
    <w:p>
      <w:pPr>
        <w:spacing w:after="0" w:line="157" w:lineRule="exact"/>
        <w:rPr>
          <w:rFonts w:ascii="Times New Roman" w:cs="Times New Roman" w:eastAsia="Times New Roman" w:hAnsi="Times New Roman"/>
          <w:sz w:val="18"/>
          <w:szCs w:val="18"/>
          <w:b w:val="1"/>
          <w:bCs w:val="1"/>
          <w:color w:val="auto"/>
        </w:rPr>
      </w:pPr>
    </w:p>
    <w:p>
      <w:pPr>
        <w:ind w:right="20" w:firstLine="1153"/>
        <w:spacing w:after="0" w:line="265" w:lineRule="auto"/>
        <w:tabs>
          <w:tab w:leader="none" w:pos="1450" w:val="left"/>
        </w:tabs>
        <w:numPr>
          <w:ilvl w:val="1"/>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77"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Notwithstanding the foregoing or any other provision of this Plan, (A) the term Corporate Transaction shall not include a sale of assets, merger or other transaction effected exclusively for the purpose of changing the domicile of the Company, (B) the definition of Corporate Transaction (or any analogous term) in an individual written agreement between the Company or any Affiliate and the Participant shall supersede the foregoing definition with respect to Awards subject to such agreement; provided, however, that if no definition of Corporate Transaction or any analogous term is set forth in such an individual written agreement, the foregoing definition shall apply, and (C) with respect to any nonqualified deferred compensation that becomes payable on account of the Corporate Transaction, the transaction or event described in clause (i), (ii), (iii), or (iv) also constitutes a Section 409A Change in Control if required in order for the payment not to violate Section 409A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870585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80" w:lineRule="exact"/>
        <w:rPr>
          <w:sz w:val="20"/>
          <w:szCs w:val="20"/>
          <w:color w:val="auto"/>
        </w:rPr>
      </w:pPr>
    </w:p>
    <w:p>
      <w:pPr>
        <w:ind w:left="760" w:hanging="243"/>
        <w:spacing w:after="0"/>
        <w:tabs>
          <w:tab w:leader="none" w:pos="76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means a member of the Board.</w:t>
      </w:r>
    </w:p>
    <w:p>
      <w:pPr>
        <w:spacing w:after="0" w:line="116" w:lineRule="exact"/>
        <w:rPr>
          <w:rFonts w:ascii="Times New Roman" w:cs="Times New Roman" w:eastAsia="Times New Roman" w:hAnsi="Times New Roman"/>
          <w:sz w:val="18"/>
          <w:szCs w:val="18"/>
          <w:b w:val="1"/>
          <w:bCs w:val="1"/>
          <w:color w:val="auto"/>
        </w:rPr>
      </w:pPr>
    </w:p>
    <w:p>
      <w:pPr>
        <w:ind w:left="740" w:hanging="223"/>
        <w:spacing w:after="0"/>
        <w:tabs>
          <w:tab w:leader="none" w:pos="74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determine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determined</w:t>
      </w:r>
      <w:r>
        <w:rPr>
          <w:rFonts w:ascii="Times New Roman" w:cs="Times New Roman" w:eastAsia="Times New Roman" w:hAnsi="Times New Roman"/>
          <w:sz w:val="18"/>
          <w:szCs w:val="18"/>
          <w:color w:val="auto"/>
        </w:rPr>
        <w:t>” means as determined by the Board or the Committee (or its designee) in its sole discretion.</w:t>
      </w:r>
    </w:p>
    <w:p>
      <w:pPr>
        <w:spacing w:after="0" w:line="116" w:lineRule="exact"/>
        <w:rPr>
          <w:rFonts w:ascii="Times New Roman" w:cs="Times New Roman" w:eastAsia="Times New Roman" w:hAnsi="Times New Roman"/>
          <w:sz w:val="18"/>
          <w:szCs w:val="18"/>
          <w:b w:val="1"/>
          <w:bCs w:val="1"/>
          <w:color w:val="auto"/>
        </w:rPr>
      </w:pPr>
    </w:p>
    <w:p>
      <w:pPr>
        <w:jc w:val="both"/>
        <w:ind w:firstLine="517"/>
        <w:spacing w:after="0" w:line="262" w:lineRule="auto"/>
        <w:tabs>
          <w:tab w:leader="none" w:pos="774"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means, with respect to a Participant, such Participant is unable to engage in any substantial gainful activity by reason of any medically determinable physical or mental impairment which can be expected to 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w:t>
      </w:r>
    </w:p>
    <w:p>
      <w:pPr>
        <w:spacing w:after="0" w:line="67" w:lineRule="exact"/>
        <w:rPr>
          <w:rFonts w:ascii="Times New Roman" w:cs="Times New Roman" w:eastAsia="Times New Roman" w:hAnsi="Times New Roman"/>
          <w:sz w:val="18"/>
          <w:szCs w:val="18"/>
          <w:b w:val="1"/>
          <w:bCs w:val="1"/>
          <w:color w:val="auto"/>
        </w:rPr>
      </w:pPr>
    </w:p>
    <w:p>
      <w:pPr>
        <w:ind w:left="780" w:hanging="263"/>
        <w:spacing w:after="0"/>
        <w:tabs>
          <w:tab w:leader="none" w:pos="78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means immediately prior to the IPO Date, provided that this Plan is approved by the Company’s stockholders prior to the IPO</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Date.</w:t>
      </w:r>
    </w:p>
    <w:p>
      <w:pPr>
        <w:spacing w:after="0" w:line="94" w:lineRule="exact"/>
        <w:rPr>
          <w:rFonts w:ascii="Times New Roman" w:cs="Times New Roman" w:eastAsia="Times New Roman" w:hAnsi="Times New Roman"/>
          <w:sz w:val="18"/>
          <w:szCs w:val="18"/>
          <w:b w:val="1"/>
          <w:bCs w:val="1"/>
          <w:color w:val="auto"/>
        </w:rPr>
      </w:pPr>
    </w:p>
    <w:p>
      <w:pPr>
        <w:ind w:right="280" w:firstLine="517"/>
        <w:spacing w:after="0" w:line="286" w:lineRule="auto"/>
        <w:tabs>
          <w:tab w:leader="none" w:pos="803"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means any person employed by the Company or an Affiliate. However, service solely as a Director, or payment of a fee for such services, will not cause a Director to be considered an “Employee” for purposes of the Plan.</w:t>
      </w:r>
    </w:p>
    <w:p>
      <w:pPr>
        <w:spacing w:after="0" w:line="46" w:lineRule="exact"/>
        <w:rPr>
          <w:rFonts w:ascii="Times New Roman" w:cs="Times New Roman" w:eastAsia="Times New Roman" w:hAnsi="Times New Roman"/>
          <w:sz w:val="18"/>
          <w:szCs w:val="18"/>
          <w:b w:val="1"/>
          <w:bCs w:val="1"/>
          <w:color w:val="auto"/>
        </w:rPr>
      </w:pPr>
    </w:p>
    <w:p>
      <w:pPr>
        <w:ind w:left="780" w:hanging="263"/>
        <w:spacing w:after="0"/>
        <w:tabs>
          <w:tab w:leader="none" w:pos="78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Employer</w:t>
      </w:r>
      <w:r>
        <w:rPr>
          <w:rFonts w:ascii="Times New Roman" w:cs="Times New Roman" w:eastAsia="Times New Roman" w:hAnsi="Times New Roman"/>
          <w:sz w:val="18"/>
          <w:szCs w:val="18"/>
          <w:color w:val="auto"/>
        </w:rPr>
        <w:t>” means the Company or the Affiliate of the Company that employs the Participant.</w:t>
      </w:r>
    </w:p>
    <w:p>
      <w:pPr>
        <w:spacing w:after="0" w:line="116" w:lineRule="exact"/>
        <w:rPr>
          <w:rFonts w:ascii="Times New Roman" w:cs="Times New Roman" w:eastAsia="Times New Roman" w:hAnsi="Times New Roman"/>
          <w:sz w:val="18"/>
          <w:szCs w:val="18"/>
          <w:b w:val="1"/>
          <w:bCs w:val="1"/>
          <w:color w:val="auto"/>
        </w:rPr>
      </w:pPr>
    </w:p>
    <w:p>
      <w:pPr>
        <w:ind w:left="780" w:hanging="263"/>
        <w:spacing w:after="0"/>
        <w:tabs>
          <w:tab w:leader="none" w:pos="78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Entity</w:t>
      </w:r>
      <w:r>
        <w:rPr>
          <w:rFonts w:ascii="Times New Roman" w:cs="Times New Roman" w:eastAsia="Times New Roman" w:hAnsi="Times New Roman"/>
          <w:sz w:val="18"/>
          <w:szCs w:val="18"/>
          <w:color w:val="auto"/>
        </w:rPr>
        <w:t>” means a corporation, partnership, limited liability company or other entity.</w:t>
      </w:r>
    </w:p>
    <w:p>
      <w:pPr>
        <w:spacing w:after="0" w:line="116" w:lineRule="exact"/>
        <w:rPr>
          <w:rFonts w:ascii="Times New Roman" w:cs="Times New Roman" w:eastAsia="Times New Roman" w:hAnsi="Times New Roman"/>
          <w:sz w:val="18"/>
          <w:szCs w:val="18"/>
          <w:b w:val="1"/>
          <w:bCs w:val="1"/>
          <w:color w:val="auto"/>
        </w:rPr>
      </w:pPr>
    </w:p>
    <w:p>
      <w:pPr>
        <w:ind w:left="760" w:hanging="243"/>
        <w:spacing w:after="0"/>
        <w:tabs>
          <w:tab w:leader="none" w:pos="76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157" w:lineRule="exact"/>
        <w:rPr>
          <w:sz w:val="20"/>
          <w:szCs w:val="20"/>
          <w:color w:val="auto"/>
        </w:rPr>
      </w:pPr>
    </w:p>
    <w:p>
      <w:pPr>
        <w:ind w:right="20" w:firstLine="517"/>
        <w:spacing w:after="0" w:line="256" w:lineRule="auto"/>
        <w:tabs>
          <w:tab w:leader="none" w:pos="853"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 Person</w:t>
      </w:r>
      <w:r>
        <w:rPr>
          <w:rFonts w:ascii="Times New Roman" w:cs="Times New Roman" w:eastAsia="Times New Roman" w:hAnsi="Times New Roman"/>
          <w:sz w:val="18"/>
          <w:szCs w:val="18"/>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spacing w:after="0" w:line="72" w:lineRule="exact"/>
        <w:rPr>
          <w:rFonts w:ascii="Times New Roman" w:cs="Times New Roman" w:eastAsia="Times New Roman" w:hAnsi="Times New Roman"/>
          <w:sz w:val="18"/>
          <w:szCs w:val="18"/>
          <w:b w:val="1"/>
          <w:bCs w:val="1"/>
          <w:color w:val="auto"/>
        </w:rPr>
      </w:pPr>
    </w:p>
    <w:p>
      <w:pPr>
        <w:ind w:right="20" w:firstLine="517"/>
        <w:spacing w:after="0" w:line="286" w:lineRule="auto"/>
        <w:tabs>
          <w:tab w:leader="none" w:pos="874"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means, as of any date, unless otherwise determined by the Board, the value of the Common Stock (as determined on a per share or aggregate basis, as applicable) determined as follows:</w:t>
      </w:r>
    </w:p>
    <w:p>
      <w:pPr>
        <w:spacing w:after="0" w:line="50" w:lineRule="exact"/>
        <w:rPr>
          <w:rFonts w:ascii="Times New Roman" w:cs="Times New Roman" w:eastAsia="Times New Roman" w:hAnsi="Times New Roman"/>
          <w:sz w:val="18"/>
          <w:szCs w:val="18"/>
          <w:b w:val="1"/>
          <w:bCs w:val="1"/>
          <w:color w:val="auto"/>
        </w:rPr>
      </w:pPr>
    </w:p>
    <w:p>
      <w:pPr>
        <w:ind w:right="120" w:firstLine="1153"/>
        <w:spacing w:after="0" w:line="265" w:lineRule="auto"/>
        <w:tabs>
          <w:tab w:leader="none" w:pos="1360" w:val="left"/>
        </w:tabs>
        <w:numPr>
          <w:ilvl w:val="1"/>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Common Stock is listed on any established stock exchange or traded on any established market, the Fair Market Value will be the closing sales price for such stock as quoted on such exchange or market (or the exchange or market with the greatest volume of trading in the Common Stock) on the date of determination, as reported in a source the Board deems reliable.</w:t>
      </w:r>
    </w:p>
    <w:p>
      <w:pPr>
        <w:spacing w:after="0" w:line="69" w:lineRule="exact"/>
        <w:rPr>
          <w:rFonts w:ascii="Times New Roman" w:cs="Times New Roman" w:eastAsia="Times New Roman" w:hAnsi="Times New Roman"/>
          <w:sz w:val="18"/>
          <w:szCs w:val="18"/>
          <w:b w:val="1"/>
          <w:bCs w:val="1"/>
          <w:color w:val="auto"/>
        </w:rPr>
      </w:pPr>
    </w:p>
    <w:p>
      <w:pPr>
        <w:ind w:right="400" w:firstLine="1153"/>
        <w:spacing w:after="0" w:line="281" w:lineRule="auto"/>
        <w:tabs>
          <w:tab w:leader="none" w:pos="1410" w:val="left"/>
        </w:tabs>
        <w:numPr>
          <w:ilvl w:val="1"/>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there is no closing sales price for the Common Stock on the date of determination, then the Fair Market Value will be the closing selling price on the last preceding date for which such quotation exists.</w:t>
      </w:r>
    </w:p>
    <w:p>
      <w:pPr>
        <w:spacing w:after="0" w:line="54" w:lineRule="exact"/>
        <w:rPr>
          <w:rFonts w:ascii="Times New Roman" w:cs="Times New Roman" w:eastAsia="Times New Roman" w:hAnsi="Times New Roman"/>
          <w:sz w:val="18"/>
          <w:szCs w:val="18"/>
          <w:b w:val="1"/>
          <w:bCs w:val="1"/>
          <w:color w:val="auto"/>
        </w:rPr>
      </w:pPr>
    </w:p>
    <w:p>
      <w:pPr>
        <w:ind w:right="700" w:firstLine="1153"/>
        <w:spacing w:after="0" w:line="281" w:lineRule="auto"/>
        <w:tabs>
          <w:tab w:leader="none" w:pos="1460" w:val="left"/>
        </w:tabs>
        <w:numPr>
          <w:ilvl w:val="1"/>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absence of such markets for the Common Stock, or if otherwise determined by the Board, the Fair Market Value will be determined by the Board in good faith and in a manner that complies with Sections 409A and 422 of the Code.</w:t>
      </w:r>
    </w:p>
    <w:p>
      <w:pPr>
        <w:spacing w:after="0" w:line="50" w:lineRule="exact"/>
        <w:rPr>
          <w:rFonts w:ascii="Times New Roman" w:cs="Times New Roman" w:eastAsia="Times New Roman" w:hAnsi="Times New Roman"/>
          <w:sz w:val="18"/>
          <w:szCs w:val="18"/>
          <w:b w:val="1"/>
          <w:bCs w:val="1"/>
          <w:color w:val="auto"/>
        </w:rPr>
      </w:pPr>
    </w:p>
    <w:p>
      <w:pPr>
        <w:ind w:right="80" w:firstLine="517"/>
        <w:spacing w:after="0" w:line="257" w:lineRule="auto"/>
        <w:tabs>
          <w:tab w:leader="none" w:pos="833"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Body</w:t>
      </w:r>
      <w:r>
        <w:rPr>
          <w:rFonts w:ascii="Times New Roman" w:cs="Times New Roman" w:eastAsia="Times New Roman" w:hAnsi="Times New Roman"/>
          <w:sz w:val="18"/>
          <w:szCs w:val="18"/>
          <w:color w:val="auto"/>
        </w:rPr>
        <w:t>” means any: (i) nation, state, commonwealth, province, territory, county, municipality, district or other jurisdiction of any nature; (ii) federal, state, local, municipal, foreign or other government; (iii) governmental or regulatory body, or quasi- 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(iv) self-regulatory organization (including the Nasdaq Stock Market, New York Stock Exchange, and the Financial Industry Regulatory Authority).</w:t>
      </w:r>
    </w:p>
    <w:p>
      <w:pPr>
        <w:spacing w:after="0" w:line="72" w:lineRule="exact"/>
        <w:rPr>
          <w:rFonts w:ascii="Times New Roman" w:cs="Times New Roman" w:eastAsia="Times New Roman" w:hAnsi="Times New Roman"/>
          <w:sz w:val="18"/>
          <w:szCs w:val="18"/>
          <w:b w:val="1"/>
          <w:bCs w:val="1"/>
          <w:color w:val="auto"/>
        </w:rPr>
      </w:pPr>
    </w:p>
    <w:p>
      <w:pPr>
        <w:ind w:right="400" w:firstLine="517"/>
        <w:spacing w:after="0" w:line="286" w:lineRule="auto"/>
        <w:tabs>
          <w:tab w:leader="none" w:pos="874"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means the notice provided to a Participant that he or she has been granted an Award under the Plan and which includes the name of the Participant, the type of Award, the date of grant of the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852805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84"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number of shares of Common Stock subject to the Award or potential cash payment right, (if any), the vesting schedule for the Award (if any) and other key terms applicable to the Award.</w:t>
      </w:r>
    </w:p>
    <w:p>
      <w:pPr>
        <w:spacing w:after="0" w:line="51" w:lineRule="exact"/>
        <w:rPr>
          <w:sz w:val="20"/>
          <w:szCs w:val="20"/>
          <w:color w:val="auto"/>
        </w:rPr>
      </w:pPr>
    </w:p>
    <w:p>
      <w:pPr>
        <w:ind w:right="120" w:firstLine="517"/>
        <w:spacing w:after="0" w:line="286" w:lineRule="auto"/>
        <w:tabs>
          <w:tab w:leader="none" w:pos="833"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Incentive Stock Option</w:t>
      </w:r>
      <w:r>
        <w:rPr>
          <w:rFonts w:ascii="Times New Roman" w:cs="Times New Roman" w:eastAsia="Times New Roman" w:hAnsi="Times New Roman"/>
          <w:sz w:val="18"/>
          <w:szCs w:val="18"/>
          <w:color w:val="auto"/>
        </w:rPr>
        <w:t>” means an option granted pursuant to Section 4 of the Plan that is intended to be, and qualifies as, an “incentive stock option” within the meaning of Section 422 of the Code.</w:t>
      </w:r>
    </w:p>
    <w:p>
      <w:pPr>
        <w:spacing w:after="0" w:line="86" w:lineRule="exact"/>
        <w:rPr>
          <w:rFonts w:ascii="Times New Roman" w:cs="Times New Roman" w:eastAsia="Times New Roman" w:hAnsi="Times New Roman"/>
          <w:sz w:val="18"/>
          <w:szCs w:val="18"/>
          <w:b w:val="1"/>
          <w:bCs w:val="1"/>
          <w:color w:val="auto"/>
        </w:rPr>
      </w:pPr>
    </w:p>
    <w:p>
      <w:pPr>
        <w:ind w:right="160" w:firstLine="517"/>
        <w:spacing w:after="0" w:line="286" w:lineRule="auto"/>
        <w:tabs>
          <w:tab w:leader="none" w:pos="793"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IPO Date</w:t>
      </w:r>
      <w:r>
        <w:rPr>
          <w:rFonts w:ascii="Times New Roman" w:cs="Times New Roman" w:eastAsia="Times New Roman" w:hAnsi="Times New Roman"/>
          <w:sz w:val="18"/>
          <w:szCs w:val="18"/>
          <w:color w:val="auto"/>
        </w:rPr>
        <w:t>” means the date of the underwriting agreement between the Company and the underwriter(s) managing the initial public offering of the Common Stock, pursuant to which the Common Stock is priced for the initial public offering.</w:t>
      </w:r>
    </w:p>
    <w:p>
      <w:pPr>
        <w:spacing w:after="0" w:line="46" w:lineRule="exact"/>
        <w:rPr>
          <w:rFonts w:ascii="Times New Roman" w:cs="Times New Roman" w:eastAsia="Times New Roman" w:hAnsi="Times New Roman"/>
          <w:sz w:val="18"/>
          <w:szCs w:val="18"/>
          <w:b w:val="1"/>
          <w:bCs w:val="1"/>
          <w:color w:val="auto"/>
        </w:rPr>
      </w:pPr>
    </w:p>
    <w:p>
      <w:pPr>
        <w:ind w:right="40" w:firstLine="517"/>
        <w:spacing w:after="0" w:line="255" w:lineRule="auto"/>
        <w:tabs>
          <w:tab w:leader="none" w:pos="853"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Materially Impair</w:t>
      </w:r>
      <w:r>
        <w:rPr>
          <w:rFonts w:ascii="Times New Roman" w:cs="Times New Roman" w:eastAsia="Times New Roman" w:hAnsi="Times New Roman"/>
          <w:sz w:val="18"/>
          <w:szCs w:val="18"/>
          <w:color w:val="auto"/>
        </w:rPr>
        <w:t>” means any amendment to the terms of the Award that materially adversely affects the Participant’s rights under the Award. A Participant’s rights under an Award will not be deemed to have been Materially Impaired by any such amendment if the Board,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or SAR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w:t>
      </w:r>
    </w:p>
    <w:p>
      <w:pPr>
        <w:spacing w:after="0" w:line="74" w:lineRule="exact"/>
        <w:rPr>
          <w:rFonts w:ascii="Times New Roman" w:cs="Times New Roman" w:eastAsia="Times New Roman" w:hAnsi="Times New Roman"/>
          <w:sz w:val="18"/>
          <w:szCs w:val="18"/>
          <w:b w:val="1"/>
          <w:bCs w:val="1"/>
          <w:color w:val="auto"/>
        </w:rPr>
      </w:pPr>
    </w:p>
    <w:p>
      <w:pPr>
        <w:ind w:firstLine="517"/>
        <w:spacing w:after="0" w:line="257" w:lineRule="auto"/>
        <w:tabs>
          <w:tab w:leader="none" w:pos="874"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Non-Employee Director</w:t>
      </w:r>
      <w:r>
        <w:rPr>
          <w:rFonts w:ascii="Times New Roman" w:cs="Times New Roman" w:eastAsia="Times New Roman" w:hAnsi="Times New Roman"/>
          <w:sz w:val="18"/>
          <w:szCs w:val="18"/>
          <w:color w:val="auto"/>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 w:cs="Times New Roman" w:eastAsia="Times New Roman" w:hAnsi="Times New Roman"/>
          <w:sz w:val="18"/>
          <w:szCs w:val="18"/>
          <w:b w:val="1"/>
          <w:bCs w:val="1"/>
          <w:i w:val="1"/>
          <w:iCs w:val="1"/>
          <w:color w:val="auto"/>
        </w:rPr>
        <w:t>Regulation S-K</w:t>
      </w:r>
      <w:r>
        <w:rPr>
          <w:rFonts w:ascii="Times New Roman" w:cs="Times New Roman" w:eastAsia="Times New Roman" w:hAnsi="Times New Roman"/>
          <w:sz w:val="18"/>
          <w:szCs w:val="18"/>
          <w:color w:val="auto"/>
        </w:rPr>
        <w:t>”)),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spacing w:after="0" w:line="72" w:lineRule="exact"/>
        <w:rPr>
          <w:rFonts w:ascii="Times New Roman" w:cs="Times New Roman" w:eastAsia="Times New Roman" w:hAnsi="Times New Roman"/>
          <w:sz w:val="18"/>
          <w:szCs w:val="18"/>
          <w:b w:val="1"/>
          <w:bCs w:val="1"/>
          <w:color w:val="auto"/>
        </w:rPr>
      </w:pPr>
    </w:p>
    <w:p>
      <w:pPr>
        <w:ind w:right="100" w:firstLine="517"/>
        <w:spacing w:after="0" w:line="268" w:lineRule="auto"/>
        <w:tabs>
          <w:tab w:leader="none" w:pos="774"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Non-Exempt Award</w:t>
      </w:r>
      <w:r>
        <w:rPr>
          <w:rFonts w:ascii="Times New Roman" w:cs="Times New Roman" w:eastAsia="Times New Roman" w:hAnsi="Times New Roman"/>
          <w:sz w:val="18"/>
          <w:szCs w:val="18"/>
          <w:color w:val="auto"/>
        </w:rPr>
        <w:t>” means any Award that is subject to, and not exempt from, Section 409A, including as the result of (i) a deferral of the issuance of the shares subject to the Award which is elected by the Participant or imposed by the Company, or (ii) the terms of any Non-Exempt Severance Agreement.</w:t>
      </w:r>
    </w:p>
    <w:p>
      <w:pPr>
        <w:spacing w:after="0" w:line="61" w:lineRule="exact"/>
        <w:rPr>
          <w:rFonts w:ascii="Times New Roman" w:cs="Times New Roman" w:eastAsia="Times New Roman" w:hAnsi="Times New Roman"/>
          <w:sz w:val="18"/>
          <w:szCs w:val="18"/>
          <w:b w:val="1"/>
          <w:bCs w:val="1"/>
          <w:color w:val="auto"/>
        </w:rPr>
      </w:pPr>
    </w:p>
    <w:p>
      <w:pPr>
        <w:ind w:left="800" w:hanging="283"/>
        <w:spacing w:after="0"/>
        <w:tabs>
          <w:tab w:leader="none" w:pos="80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Non-Exempt Director Award</w:t>
      </w:r>
      <w:r>
        <w:rPr>
          <w:rFonts w:ascii="Times New Roman" w:cs="Times New Roman" w:eastAsia="Times New Roman" w:hAnsi="Times New Roman"/>
          <w:sz w:val="18"/>
          <w:szCs w:val="18"/>
          <w:color w:val="auto"/>
        </w:rPr>
        <w:t>” means a Non-Exempt Award granted to a Participant who was a Director but not an Employee on the applicable</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grant date.</w:t>
      </w:r>
    </w:p>
    <w:p>
      <w:pPr>
        <w:spacing w:after="0" w:line="94" w:lineRule="exact"/>
        <w:rPr>
          <w:rFonts w:ascii="Times New Roman" w:cs="Times New Roman" w:eastAsia="Times New Roman" w:hAnsi="Times New Roman"/>
          <w:sz w:val="18"/>
          <w:szCs w:val="18"/>
          <w:b w:val="1"/>
          <w:bCs w:val="1"/>
          <w:color w:val="auto"/>
        </w:rPr>
      </w:pPr>
    </w:p>
    <w:p>
      <w:pPr>
        <w:ind w:right="200" w:firstLine="517"/>
        <w:spacing w:after="0" w:line="259" w:lineRule="auto"/>
        <w:tabs>
          <w:tab w:leader="none" w:pos="874"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Non-Exempt Severance Arrangement</w:t>
      </w:r>
      <w:r>
        <w:rPr>
          <w:rFonts w:ascii="Times New Roman" w:cs="Times New Roman" w:eastAsia="Times New Roman" w:hAnsi="Times New Roman"/>
          <w:sz w:val="18"/>
          <w:szCs w:val="18"/>
          <w:color w:val="auto"/>
        </w:rPr>
        <w:t>” means a severance arrangement or other agreement between the Participant and the Company that provides for acceleration of vesting of an Award and issuance of the shares in respect of such Award upon the Participant’s termination of employment or separation from service (as such term is defined in Section 409A(a)(2)(A)(i) of the Code (and without regard to any alternative definition thereunder) (“</w:t>
      </w:r>
      <w:r>
        <w:rPr>
          <w:rFonts w:ascii="Times New Roman" w:cs="Times New Roman" w:eastAsia="Times New Roman" w:hAnsi="Times New Roman"/>
          <w:sz w:val="18"/>
          <w:szCs w:val="18"/>
          <w:b w:val="1"/>
          <w:bCs w:val="1"/>
          <w:i w:val="1"/>
          <w:iCs w:val="1"/>
          <w:color w:val="auto"/>
        </w:rPr>
        <w:t>Separation from Service</w:t>
      </w:r>
      <w:r>
        <w:rPr>
          <w:rFonts w:ascii="Times New Roman" w:cs="Times New Roman" w:eastAsia="Times New Roman" w:hAnsi="Times New Roman"/>
          <w:sz w:val="18"/>
          <w:szCs w:val="18"/>
          <w:color w:val="auto"/>
        </w:rPr>
        <w:t>”) and such severance benefit does not satisfy the requirements for an exemption from application of Section 409A provided under Treasury Regulations Section 1.409A-1(b)(4), 1.409A-1(b)(9) or otherwise.</w:t>
      </w:r>
    </w:p>
    <w:p>
      <w:pPr>
        <w:spacing w:after="0" w:line="69" w:lineRule="exact"/>
        <w:rPr>
          <w:rFonts w:ascii="Times New Roman" w:cs="Times New Roman" w:eastAsia="Times New Roman" w:hAnsi="Times New Roman"/>
          <w:sz w:val="18"/>
          <w:szCs w:val="18"/>
          <w:b w:val="1"/>
          <w:bCs w:val="1"/>
          <w:color w:val="auto"/>
        </w:rPr>
      </w:pPr>
    </w:p>
    <w:p>
      <w:pPr>
        <w:ind w:left="780" w:hanging="263"/>
        <w:spacing w:after="0"/>
        <w:tabs>
          <w:tab w:leader="none" w:pos="78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Nonstatutory Stock Option</w:t>
      </w:r>
      <w:r>
        <w:rPr>
          <w:rFonts w:ascii="Times New Roman" w:cs="Times New Roman" w:eastAsia="Times New Roman" w:hAnsi="Times New Roman"/>
          <w:sz w:val="18"/>
          <w:szCs w:val="18"/>
          <w:color w:val="auto"/>
        </w:rPr>
        <w:t>” means any option granted pursuant to Section 4 of the Plan that does not qualify as an Incentive Stock Option.</w:t>
      </w:r>
    </w:p>
    <w:p>
      <w:pPr>
        <w:spacing w:after="0" w:line="157" w:lineRule="exact"/>
        <w:rPr>
          <w:rFonts w:ascii="Times New Roman" w:cs="Times New Roman" w:eastAsia="Times New Roman" w:hAnsi="Times New Roman"/>
          <w:sz w:val="18"/>
          <w:szCs w:val="18"/>
          <w:b w:val="1"/>
          <w:bCs w:val="1"/>
          <w:color w:val="auto"/>
        </w:rPr>
      </w:pPr>
    </w:p>
    <w:p>
      <w:pPr>
        <w:ind w:left="980" w:hanging="463"/>
        <w:spacing w:after="0"/>
        <w:tabs>
          <w:tab w:leader="none" w:pos="98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means a person who is an officer of the Company within the meaning of Section 16 of the Exchange Act.</w:t>
      </w:r>
    </w:p>
    <w:p>
      <w:pPr>
        <w:spacing w:after="0" w:line="116" w:lineRule="exact"/>
        <w:rPr>
          <w:rFonts w:ascii="Times New Roman" w:cs="Times New Roman" w:eastAsia="Times New Roman" w:hAnsi="Times New Roman"/>
          <w:sz w:val="18"/>
          <w:szCs w:val="18"/>
          <w:b w:val="1"/>
          <w:bCs w:val="1"/>
          <w:color w:val="auto"/>
        </w:rPr>
      </w:pPr>
    </w:p>
    <w:p>
      <w:pPr>
        <w:ind w:left="880" w:hanging="363"/>
        <w:spacing w:after="0"/>
        <w:tabs>
          <w:tab w:leader="none" w:pos="88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means an Incentive Stock Option or a Nonstatutory Stock Option to purchase shares of Common Stock granted pursuant to the Plan.</w:t>
      </w:r>
    </w:p>
    <w:p>
      <w:pPr>
        <w:spacing w:after="0" w:line="116" w:lineRule="exact"/>
        <w:rPr>
          <w:rFonts w:ascii="Times New Roman" w:cs="Times New Roman" w:eastAsia="Times New Roman" w:hAnsi="Times New Roman"/>
          <w:sz w:val="18"/>
          <w:szCs w:val="18"/>
          <w:b w:val="1"/>
          <w:bCs w:val="1"/>
          <w:color w:val="auto"/>
        </w:rPr>
      </w:pPr>
    </w:p>
    <w:p>
      <w:pPr>
        <w:ind w:right="20" w:firstLine="517"/>
        <w:spacing w:after="0" w:line="262" w:lineRule="auto"/>
        <w:tabs>
          <w:tab w:leader="none" w:pos="853"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 Agreement</w:t>
      </w:r>
      <w:r>
        <w:rPr>
          <w:rFonts w:ascii="Times New Roman" w:cs="Times New Roman" w:eastAsia="Times New Roman" w:hAnsi="Times New Roman"/>
          <w:sz w:val="18"/>
          <w:szCs w:val="18"/>
          <w:color w:val="auto"/>
        </w:rPr>
        <w:t>” means a written or electronic agreement between the Company and the Optionholder evidencing the terms and conditions of the Option grant. The Option Agreement includes the Grant Notice for the Option and the agreement containing the written summary of the general terms and conditions applicable to the Option and which is provided, including through electronic means, to a Participant along with the Grant Notice. Each Option Agreement will be subject to the terms and conditions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866140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2" w:name="page183"/>
    <w:bookmarkEnd w:id="182"/>
    <w:p>
      <w:pPr>
        <w:spacing w:after="0" w:line="80" w:lineRule="exact"/>
        <w:rPr>
          <w:sz w:val="20"/>
          <w:szCs w:val="20"/>
          <w:color w:val="auto"/>
        </w:rPr>
      </w:pPr>
    </w:p>
    <w:p>
      <w:pPr>
        <w:ind w:left="-517" w:right="860" w:firstLine="517"/>
        <w:spacing w:after="0" w:line="286" w:lineRule="auto"/>
        <w:tabs>
          <w:tab w:leader="none" w:pos="357"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Optionholder</w:t>
      </w:r>
      <w:r>
        <w:rPr>
          <w:rFonts w:ascii="Times New Roman" w:cs="Times New Roman" w:eastAsia="Times New Roman" w:hAnsi="Times New Roman"/>
          <w:sz w:val="18"/>
          <w:szCs w:val="18"/>
          <w:color w:val="auto"/>
        </w:rPr>
        <w:t>” means a person to whom an Option is granted pursuant to the Plan or, if applicable, such other person who holds an outstanding Option.</w:t>
      </w:r>
    </w:p>
    <w:p>
      <w:pPr>
        <w:spacing w:after="0" w:line="46" w:lineRule="exact"/>
        <w:rPr>
          <w:rFonts w:ascii="Times New Roman" w:cs="Times New Roman" w:eastAsia="Times New Roman" w:hAnsi="Times New Roman"/>
          <w:sz w:val="18"/>
          <w:szCs w:val="18"/>
          <w:b w:val="1"/>
          <w:bCs w:val="1"/>
          <w:color w:val="auto"/>
        </w:rPr>
      </w:pPr>
    </w:p>
    <w:p>
      <w:pPr>
        <w:ind w:left="-517" w:firstLine="517"/>
        <w:spacing w:after="0" w:line="268" w:lineRule="auto"/>
        <w:tabs>
          <w:tab w:leader="none" w:pos="357"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Award</w:t>
      </w:r>
      <w:r>
        <w:rPr>
          <w:rFonts w:ascii="Times New Roman" w:cs="Times New Roman" w:eastAsia="Times New Roman" w:hAnsi="Times New Roman"/>
          <w:sz w:val="18"/>
          <w:szCs w:val="18"/>
          <w:color w:val="auto"/>
        </w:rPr>
        <w:t>” means an award valued in whole or in part by reference to, or otherwise based on, Common Stock, including the appreciation in value thereof (e.g., options or stock rights with an exercise price or strike price less than 100% of the Fair Market Value at the time of grant) that is not an Incentive Stock Option, Nonstatutory Stock Option, SAR, Restricted Stock Award, RSU Award or Performance Award.</w:t>
      </w:r>
    </w:p>
    <w:p>
      <w:pPr>
        <w:spacing w:after="0" w:line="61" w:lineRule="exact"/>
        <w:rPr>
          <w:rFonts w:ascii="Times New Roman" w:cs="Times New Roman" w:eastAsia="Times New Roman" w:hAnsi="Times New Roman"/>
          <w:sz w:val="18"/>
          <w:szCs w:val="18"/>
          <w:b w:val="1"/>
          <w:bCs w:val="1"/>
          <w:color w:val="auto"/>
        </w:rPr>
      </w:pPr>
    </w:p>
    <w:p>
      <w:pPr>
        <w:ind w:left="-517" w:firstLine="517"/>
        <w:spacing w:after="0" w:line="286" w:lineRule="auto"/>
        <w:tabs>
          <w:tab w:leader="none" w:pos="316"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Award Agreement</w:t>
      </w:r>
      <w:r>
        <w:rPr>
          <w:rFonts w:ascii="Times New Roman" w:cs="Times New Roman" w:eastAsia="Times New Roman" w:hAnsi="Times New Roman"/>
          <w:sz w:val="18"/>
          <w:szCs w:val="18"/>
          <w:color w:val="auto"/>
        </w:rPr>
        <w:t>” means a written or electronic agreement between the Company and a holder of an Other Award evidencing the terms and conditions of an Other Award grant. Each Other Award Agreement will be subject to the terms and conditions of the Plan.</w:t>
      </w:r>
    </w:p>
    <w:p>
      <w:pPr>
        <w:spacing w:after="0" w:line="46" w:lineRule="exact"/>
        <w:rPr>
          <w:rFonts w:ascii="Times New Roman" w:cs="Times New Roman" w:eastAsia="Times New Roman" w:hAnsi="Times New Roman"/>
          <w:sz w:val="18"/>
          <w:szCs w:val="18"/>
          <w:b w:val="1"/>
          <w:bCs w:val="1"/>
          <w:color w:val="auto"/>
        </w:rPr>
      </w:pPr>
    </w:p>
    <w:p>
      <w:pPr>
        <w:ind w:left="-517" w:right="60" w:firstLine="517"/>
        <w:spacing w:after="0" w:line="268" w:lineRule="auto"/>
        <w:tabs>
          <w:tab w:leader="none" w:pos="297"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Own,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Ownership</w:t>
      </w:r>
      <w:r>
        <w:rPr>
          <w:rFonts w:ascii="Times New Roman" w:cs="Times New Roman" w:eastAsia="Times New Roman" w:hAnsi="Times New Roman"/>
          <w:sz w:val="18"/>
          <w:szCs w:val="18"/>
          <w:color w:val="auto"/>
        </w:rPr>
        <w:t>” means that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61" w:lineRule="exact"/>
        <w:rPr>
          <w:rFonts w:ascii="Times New Roman" w:cs="Times New Roman" w:eastAsia="Times New Roman" w:hAnsi="Times New Roman"/>
          <w:sz w:val="18"/>
          <w:szCs w:val="18"/>
          <w:b w:val="1"/>
          <w:bCs w:val="1"/>
          <w:color w:val="auto"/>
        </w:rPr>
      </w:pPr>
    </w:p>
    <w:p>
      <w:pPr>
        <w:ind w:left="-517" w:right="80" w:firstLine="517"/>
        <w:spacing w:after="0" w:line="286" w:lineRule="auto"/>
        <w:tabs>
          <w:tab w:leader="none" w:pos="277"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an Employee, Director or Consultant to whom an Award is granted pursuant to the Plan or, if applicable, such other person who holds an outstanding Award.</w:t>
      </w:r>
    </w:p>
    <w:p>
      <w:pPr>
        <w:spacing w:after="0" w:line="46" w:lineRule="exact"/>
        <w:rPr>
          <w:rFonts w:ascii="Times New Roman" w:cs="Times New Roman" w:eastAsia="Times New Roman" w:hAnsi="Times New Roman"/>
          <w:sz w:val="18"/>
          <w:szCs w:val="18"/>
          <w:b w:val="1"/>
          <w:bCs w:val="1"/>
          <w:color w:val="auto"/>
        </w:rPr>
      </w:pPr>
    </w:p>
    <w:p>
      <w:pPr>
        <w:ind w:left="-517" w:right="20" w:firstLine="517"/>
        <w:spacing w:after="0" w:line="259" w:lineRule="auto"/>
        <w:tabs>
          <w:tab w:leader="none" w:pos="357"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Award</w:t>
      </w:r>
      <w:r>
        <w:rPr>
          <w:rFonts w:ascii="Times New Roman" w:cs="Times New Roman" w:eastAsia="Times New Roman" w:hAnsi="Times New Roman"/>
          <w:sz w:val="18"/>
          <w:szCs w:val="18"/>
          <w:color w:val="auto"/>
        </w:rPr>
        <w:t>” means an Award that may vest or may be exercised or a cash award that may vest or become earned and paid contingent upon the attainment during a Performance Period of certain Performance Goals and which is granted under the terms and conditions of Section 5(b) pursuant to such terms as are approved by the Board. In addition, to the extent permitted by Applicable Law and set forth in the applicable Award Agreement, the Board may determine that cash or other property may be used in payment of Performance Awards. Performance Awards that are settled in cash or other property are not required to be valued in whole or in part by reference to, or otherwise based on, the Common Stock.</w:t>
      </w:r>
    </w:p>
    <w:p>
      <w:pPr>
        <w:spacing w:after="0" w:line="69" w:lineRule="exact"/>
        <w:rPr>
          <w:rFonts w:ascii="Times New Roman" w:cs="Times New Roman" w:eastAsia="Times New Roman" w:hAnsi="Times New Roman"/>
          <w:sz w:val="18"/>
          <w:szCs w:val="18"/>
          <w:b w:val="1"/>
          <w:bCs w:val="1"/>
          <w:color w:val="auto"/>
        </w:rPr>
      </w:pPr>
    </w:p>
    <w:p>
      <w:pPr>
        <w:ind w:left="-517" w:right="20" w:firstLine="517"/>
        <w:spacing w:after="0" w:line="252" w:lineRule="auto"/>
        <w:tabs>
          <w:tab w:leader="none" w:pos="337"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Criteria</w:t>
      </w:r>
      <w:r>
        <w:rPr>
          <w:rFonts w:ascii="Times New Roman" w:cs="Times New Roman" w:eastAsia="Times New Roman" w:hAnsi="Times New Roman"/>
          <w:sz w:val="18"/>
          <w:szCs w:val="18"/>
          <w:color w:val="auto"/>
        </w:rPr>
        <w:t>” means one or more criteria that the Board will select for purposes of establishing the Performance Goals for a Performance Period. The Performance Criteria that will be used to establish such Performance Goals may be based on any one of, or combination of, the following as determined by the Board: earnings (including earnings per share and net earnings); earnings before interest, taxes and depreciation; earnings before interest, taxes, depreciation and amortization; total stockholder return; return on equity or average stockholder’s equity; return on assets, investment, or capital employed; stock price; margin (including gross margin); income (before or after taxes); operating income; operating income after taxes; pre-tax profit; operating cash flow; sales or revenue targets; increases in revenue or product revenue; expenses and cost reduction goals; improvement in or attainment of working capital levels; economic value added (or an equivalent metric); market share; cash flow; cash flow per share; share price performance; debt reduction; customer satisfaction; stockholders’ equity; capital expenditures; debt levels; operating profit or net operating profit; workforce diversity; growth of net income or operating income; billings; financing; regulatory milestones; stockholder liquidity; corporate governance and compliance; intellectual property; personnel matters; progress of internal research; progress of partnered programs; partner satisfaction; budget management; partner or collaborator achievements; internal controls, including those related to the Sarbanes- Oxley Act of 2002; investor relations, analysts and communication; implementation or completion of projects or processes; employee retention; number of users, including unique users; strategic partnerships or transactions (including in-licensing and out-licensing of intellectual property); establishing relationships with respect to the marketing, distribution and sale of the Company’s products; supply chain achievements; co-development, co-marketing, profit sharing, joint venture or other similar arrangements; individual performance goals; corporate development and planning goals; and other measures of performance selected by the Board or Committee whether or not listed herein.</w:t>
      </w:r>
    </w:p>
    <w:p>
      <w:pPr>
        <w:spacing w:after="0" w:line="82" w:lineRule="exact"/>
        <w:rPr>
          <w:rFonts w:ascii="Times New Roman" w:cs="Times New Roman" w:eastAsia="Times New Roman" w:hAnsi="Times New Roman"/>
          <w:sz w:val="18"/>
          <w:szCs w:val="18"/>
          <w:b w:val="1"/>
          <w:bCs w:val="1"/>
          <w:color w:val="auto"/>
        </w:rPr>
      </w:pPr>
    </w:p>
    <w:p>
      <w:pPr>
        <w:ind w:left="-517" w:right="40" w:firstLine="517"/>
        <w:spacing w:after="0" w:line="256" w:lineRule="auto"/>
        <w:tabs>
          <w:tab w:leader="none" w:pos="416"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Goals</w:t>
      </w:r>
      <w:r>
        <w:rPr>
          <w:rFonts w:ascii="Times New Roman" w:cs="Times New Roman" w:eastAsia="Times New Roman" w:hAnsi="Times New Roman"/>
          <w:sz w:val="18"/>
          <w:szCs w:val="18"/>
          <w:color w:val="auto"/>
        </w:rPr>
        <w:t>” means, for a Performance Period,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869315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440" w:right="339" w:bottom="1440" w:gutter="0" w:footer="0" w:header="0"/>
        </w:sectPr>
      </w:pPr>
    </w:p>
    <w:bookmarkStart w:id="183" w:name="page184"/>
    <w:bookmarkEnd w:id="183"/>
    <w:p>
      <w:pPr>
        <w:spacing w:after="0" w:line="84"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 In addition, the Board may establish or provide for other adjustment items in the Award Agreement at the time the Award is granted or in such other document setting forth the Performance Goals at the time the Performance Goals are established. In addition, the Board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Cash Award.</w:t>
      </w:r>
    </w:p>
    <w:p>
      <w:pPr>
        <w:spacing w:after="0" w:line="82" w:lineRule="exact"/>
        <w:rPr>
          <w:sz w:val="20"/>
          <w:szCs w:val="20"/>
          <w:color w:val="auto"/>
        </w:rPr>
      </w:pPr>
    </w:p>
    <w:p>
      <w:pPr>
        <w:ind w:right="180" w:firstLine="517"/>
        <w:spacing w:after="0" w:line="268" w:lineRule="auto"/>
        <w:tabs>
          <w:tab w:leader="none" w:pos="853"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Period</w:t>
      </w:r>
      <w:r>
        <w:rPr>
          <w:rFonts w:ascii="Times New Roman" w:cs="Times New Roman" w:eastAsia="Times New Roman" w:hAnsi="Times New Roman"/>
          <w:sz w:val="18"/>
          <w:szCs w:val="18"/>
          <w:color w:val="auto"/>
        </w:rPr>
        <w:t>” means the period of time selected by the Board over which the attainment of one or more Performance Goals will be measured for the purpose of determining a Participant’s right to vesting or exercise of an Award. Performance Periods may be of varying and overlapping duration, at the sole discretion of the Board.</w:t>
      </w:r>
    </w:p>
    <w:p>
      <w:pPr>
        <w:spacing w:after="0" w:line="61" w:lineRule="exact"/>
        <w:rPr>
          <w:rFonts w:ascii="Times New Roman" w:cs="Times New Roman" w:eastAsia="Times New Roman" w:hAnsi="Times New Roman"/>
          <w:sz w:val="18"/>
          <w:szCs w:val="18"/>
          <w:b w:val="1"/>
          <w:bCs w:val="1"/>
          <w:color w:val="auto"/>
        </w:rPr>
      </w:pPr>
    </w:p>
    <w:p>
      <w:pPr>
        <w:ind w:left="860" w:hanging="343"/>
        <w:spacing w:after="0"/>
        <w:tabs>
          <w:tab w:leader="none" w:pos="86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this Invivyd, Inc. 2021 Equity Incentive Plan, as amended from time to time.</w:t>
      </w:r>
    </w:p>
    <w:p>
      <w:pPr>
        <w:spacing w:after="0" w:line="116" w:lineRule="exact"/>
        <w:rPr>
          <w:rFonts w:ascii="Times New Roman" w:cs="Times New Roman" w:eastAsia="Times New Roman" w:hAnsi="Times New Roman"/>
          <w:sz w:val="18"/>
          <w:szCs w:val="18"/>
          <w:b w:val="1"/>
          <w:bCs w:val="1"/>
          <w:color w:val="auto"/>
        </w:rPr>
      </w:pPr>
    </w:p>
    <w:p>
      <w:pPr>
        <w:ind w:right="420" w:firstLine="517"/>
        <w:spacing w:after="0" w:line="286" w:lineRule="auto"/>
        <w:tabs>
          <w:tab w:leader="none" w:pos="833"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 Administrator</w:t>
      </w:r>
      <w:r>
        <w:rPr>
          <w:rFonts w:ascii="Times New Roman" w:cs="Times New Roman" w:eastAsia="Times New Roman" w:hAnsi="Times New Roman"/>
          <w:sz w:val="18"/>
          <w:szCs w:val="18"/>
          <w:color w:val="auto"/>
        </w:rPr>
        <w:t>” means the person, persons, and/or third-party administrator designated by the Company to administer the day to day operations of the Plan and the Company’s other equity incentive programs.</w:t>
      </w:r>
    </w:p>
    <w:p>
      <w:pPr>
        <w:spacing w:after="0" w:line="46" w:lineRule="exact"/>
        <w:rPr>
          <w:sz w:val="20"/>
          <w:szCs w:val="20"/>
          <w:color w:val="auto"/>
        </w:rPr>
      </w:pPr>
    </w:p>
    <w:p>
      <w:pPr>
        <w:ind w:right="60" w:firstLine="517"/>
        <w:spacing w:after="0" w:line="286" w:lineRule="auto"/>
        <w:tabs>
          <w:tab w:leader="none" w:pos="943"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Post-Termination Exercise Period</w:t>
      </w:r>
      <w:r>
        <w:rPr>
          <w:rFonts w:ascii="Times New Roman" w:cs="Times New Roman" w:eastAsia="Times New Roman" w:hAnsi="Times New Roman"/>
          <w:sz w:val="18"/>
          <w:szCs w:val="18"/>
          <w:color w:val="auto"/>
        </w:rPr>
        <w:t>” means the period following termination of a Participant’s Continuous Service within which an Option or SAR is exercisable, as specified in Section 4(h).</w:t>
      </w:r>
    </w:p>
    <w:p>
      <w:pPr>
        <w:spacing w:after="0" w:line="46" w:lineRule="exact"/>
        <w:rPr>
          <w:rFonts w:ascii="Times New Roman" w:cs="Times New Roman" w:eastAsia="Times New Roman" w:hAnsi="Times New Roman"/>
          <w:sz w:val="18"/>
          <w:szCs w:val="18"/>
          <w:b w:val="1"/>
          <w:bCs w:val="1"/>
          <w:color w:val="auto"/>
        </w:rPr>
      </w:pPr>
    </w:p>
    <w:p>
      <w:pPr>
        <w:ind w:left="980" w:hanging="463"/>
        <w:spacing w:after="0"/>
        <w:tabs>
          <w:tab w:leader="none" w:pos="98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Prior Plan’s Available Reserve</w:t>
      </w:r>
      <w:r>
        <w:rPr>
          <w:rFonts w:ascii="Times New Roman" w:cs="Times New Roman" w:eastAsia="Times New Roman" w:hAnsi="Times New Roman"/>
          <w:sz w:val="18"/>
          <w:szCs w:val="18"/>
          <w:color w:val="auto"/>
        </w:rPr>
        <w:t>” means the number of shares available for the grant of new awards under the Prior Plan as of the Effective</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Date.</w:t>
      </w:r>
    </w:p>
    <w:p>
      <w:pPr>
        <w:spacing w:after="0" w:line="94" w:lineRule="exact"/>
        <w:rPr>
          <w:rFonts w:ascii="Times New Roman" w:cs="Times New Roman" w:eastAsia="Times New Roman" w:hAnsi="Times New Roman"/>
          <w:sz w:val="18"/>
          <w:szCs w:val="18"/>
          <w:b w:val="1"/>
          <w:bCs w:val="1"/>
          <w:color w:val="auto"/>
        </w:rPr>
      </w:pPr>
    </w:p>
    <w:p>
      <w:pPr>
        <w:ind w:left="920" w:hanging="403"/>
        <w:spacing w:after="0"/>
        <w:tabs>
          <w:tab w:leader="none" w:pos="92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Prior Plan</w:t>
      </w:r>
      <w:r>
        <w:rPr>
          <w:rFonts w:ascii="Times New Roman" w:cs="Times New Roman" w:eastAsia="Times New Roman" w:hAnsi="Times New Roman"/>
          <w:sz w:val="18"/>
          <w:szCs w:val="18"/>
          <w:color w:val="auto"/>
        </w:rPr>
        <w:t>” means the Invivyd, Inc. 2020 Equity Incentive Plan.</w:t>
      </w:r>
    </w:p>
    <w:p>
      <w:pPr>
        <w:spacing w:after="0" w:line="116" w:lineRule="exact"/>
        <w:rPr>
          <w:rFonts w:ascii="Times New Roman" w:cs="Times New Roman" w:eastAsia="Times New Roman" w:hAnsi="Times New Roman"/>
          <w:sz w:val="18"/>
          <w:szCs w:val="18"/>
          <w:b w:val="1"/>
          <w:bCs w:val="1"/>
          <w:color w:val="auto"/>
        </w:rPr>
      </w:pPr>
    </w:p>
    <w:p>
      <w:pPr>
        <w:ind w:left="980" w:hanging="463"/>
        <w:spacing w:after="0"/>
        <w:tabs>
          <w:tab w:leader="none" w:pos="98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Award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RSA</w:t>
      </w:r>
      <w:r>
        <w:rPr>
          <w:rFonts w:ascii="Times New Roman" w:cs="Times New Roman" w:eastAsia="Times New Roman" w:hAnsi="Times New Roman"/>
          <w:sz w:val="18"/>
          <w:szCs w:val="18"/>
          <w:color w:val="auto"/>
        </w:rPr>
        <w:t>” means an Award of shares of Common Stock which is granted pursuant to the terms and conditions of</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5(a).</w:t>
      </w:r>
    </w:p>
    <w:p>
      <w:pPr>
        <w:spacing w:after="0" w:line="94" w:lineRule="exact"/>
        <w:rPr>
          <w:rFonts w:ascii="Times New Roman" w:cs="Times New Roman" w:eastAsia="Times New Roman" w:hAnsi="Times New Roman"/>
          <w:sz w:val="18"/>
          <w:szCs w:val="18"/>
          <w:b w:val="1"/>
          <w:bCs w:val="1"/>
          <w:color w:val="auto"/>
        </w:rPr>
      </w:pPr>
    </w:p>
    <w:p>
      <w:pPr>
        <w:jc w:val="both"/>
        <w:ind w:right="20" w:firstLine="517"/>
        <w:spacing w:after="0" w:line="259" w:lineRule="auto"/>
        <w:tabs>
          <w:tab w:leader="none" w:pos="913"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Award Agreement</w:t>
      </w:r>
      <w:r>
        <w:rPr>
          <w:rFonts w:ascii="Times New Roman" w:cs="Times New Roman" w:eastAsia="Times New Roman" w:hAnsi="Times New Roman"/>
          <w:sz w:val="18"/>
          <w:szCs w:val="18"/>
          <w:color w:val="auto"/>
        </w:rPr>
        <w:t>” means a written or electronic agreement between the Company and a holder of a Restricted Stock Award evidencing the terms and conditions of a Restricted Stock Award grant. The Restricted Stock Award Agreement includes the Grant Notice for the Restricted Stock Award and the agreement containing the written summary of the general terms and conditions applicable to the Restricted Stock Award and which is provided, including by electronic means, to a Participant along with the Grant Notice. Each Restricted Stock Award Agreement will be subject to the terms and conditions of the Plan.</w:t>
      </w:r>
    </w:p>
    <w:p>
      <w:pPr>
        <w:spacing w:after="0" w:line="69" w:lineRule="exact"/>
        <w:rPr>
          <w:rFonts w:ascii="Times New Roman" w:cs="Times New Roman" w:eastAsia="Times New Roman" w:hAnsi="Times New Roman"/>
          <w:sz w:val="18"/>
          <w:szCs w:val="18"/>
          <w:b w:val="1"/>
          <w:bCs w:val="1"/>
          <w:color w:val="auto"/>
        </w:rPr>
      </w:pPr>
    </w:p>
    <w:p>
      <w:pPr>
        <w:ind w:firstLine="517"/>
        <w:spacing w:after="0" w:line="259" w:lineRule="auto"/>
        <w:tabs>
          <w:tab w:leader="none" w:pos="853"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Returning Shares</w:t>
      </w:r>
      <w:r>
        <w:rPr>
          <w:rFonts w:ascii="Times New Roman" w:cs="Times New Roman" w:eastAsia="Times New Roman" w:hAnsi="Times New Roman"/>
          <w:sz w:val="18"/>
          <w:szCs w:val="18"/>
          <w:color w:val="auto"/>
        </w:rPr>
        <w:t>” means shares subject to outstanding stock awards granted under the Prior Plan and that following the Effective Date: (A) are not issued because such stock award or any portion thereof expires or otherwise terminates without all of the shares covered by such stock award having been issued; (B) are not issued because such stock award or any portion thereof is settled in cash; (C) are forfeited back to or repurchased by the Company because of the failure to meet a contingency or condition required for the vesting of such shares; (D) are withheld or reacquired to satisfy the exercise, strike or purchase price; or (E) are withheld or reacquired to satisfy a tax withholding obligation.</w:t>
      </w:r>
    </w:p>
    <w:p>
      <w:pPr>
        <w:spacing w:after="0" w:line="110" w:lineRule="exact"/>
        <w:rPr>
          <w:rFonts w:ascii="Times New Roman" w:cs="Times New Roman" w:eastAsia="Times New Roman" w:hAnsi="Times New Roman"/>
          <w:sz w:val="18"/>
          <w:szCs w:val="18"/>
          <w:b w:val="1"/>
          <w:bCs w:val="1"/>
          <w:color w:val="auto"/>
        </w:rPr>
      </w:pPr>
    </w:p>
    <w:p>
      <w:pPr>
        <w:ind w:right="300" w:firstLine="517"/>
        <w:spacing w:after="0" w:line="286" w:lineRule="auto"/>
        <w:tabs>
          <w:tab w:leader="none" w:pos="943"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RSU Award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RSU</w:t>
      </w:r>
      <w:r>
        <w:rPr>
          <w:rFonts w:ascii="Times New Roman" w:cs="Times New Roman" w:eastAsia="Times New Roman" w:hAnsi="Times New Roman"/>
          <w:sz w:val="18"/>
          <w:szCs w:val="18"/>
          <w:color w:val="auto"/>
        </w:rPr>
        <w:t>” means an Award of restricted stock units representing the right to receive an issuance of shares of Common Stock which is granted pursuant to the terms and conditions of Section 5(a).</w:t>
      </w:r>
    </w:p>
    <w:p>
      <w:pPr>
        <w:spacing w:after="0" w:line="46" w:lineRule="exact"/>
        <w:rPr>
          <w:rFonts w:ascii="Times New Roman" w:cs="Times New Roman" w:eastAsia="Times New Roman" w:hAnsi="Times New Roman"/>
          <w:sz w:val="18"/>
          <w:szCs w:val="18"/>
          <w:b w:val="1"/>
          <w:bCs w:val="1"/>
          <w:color w:val="auto"/>
        </w:rPr>
      </w:pPr>
    </w:p>
    <w:p>
      <w:pPr>
        <w:jc w:val="both"/>
        <w:ind w:firstLine="517"/>
        <w:spacing w:after="0" w:line="268" w:lineRule="auto"/>
        <w:tabs>
          <w:tab w:leader="none" w:pos="973"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RSU Award Agreement</w:t>
      </w:r>
      <w:r>
        <w:rPr>
          <w:rFonts w:ascii="Times New Roman" w:cs="Times New Roman" w:eastAsia="Times New Roman" w:hAnsi="Times New Roman"/>
          <w:sz w:val="18"/>
          <w:szCs w:val="18"/>
          <w:color w:val="auto"/>
        </w:rPr>
        <w:t>” means a written or electronic agreement between the Company and a holder of an RSU Award evidencing the terms and conditions of an RSU Award grant. The RSU Award Agreement includes the Grant Notice for the RSU Award and the agreement containing the written summary of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862965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8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terms and conditions applicable to the RSU Award and which is provided, including by electronic means, to a Participant along with the Grant Notice. Each RSU Award Agreement will be subject to the terms and conditions of the Plan.</w:t>
      </w:r>
    </w:p>
    <w:p>
      <w:pPr>
        <w:spacing w:after="0" w:line="51" w:lineRule="exact"/>
        <w:rPr>
          <w:sz w:val="20"/>
          <w:szCs w:val="20"/>
          <w:color w:val="auto"/>
        </w:rPr>
      </w:pPr>
    </w:p>
    <w:p>
      <w:pPr>
        <w:ind w:left="840" w:hanging="323"/>
        <w:spacing w:after="0"/>
        <w:tabs>
          <w:tab w:leader="none" w:pos="84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16b-3</w:t>
      </w:r>
      <w:r>
        <w:rPr>
          <w:rFonts w:ascii="Times New Roman" w:cs="Times New Roman" w:eastAsia="Times New Roman" w:hAnsi="Times New Roman"/>
          <w:sz w:val="18"/>
          <w:szCs w:val="18"/>
          <w:color w:val="auto"/>
        </w:rPr>
        <w:t>” means Rule 16b-3 promulgated under the Exchange Act or any successor to Rule 16b-3, as in effect from time to time.</w:t>
      </w:r>
    </w:p>
    <w:p>
      <w:pPr>
        <w:spacing w:after="0" w:line="116" w:lineRule="exact"/>
        <w:rPr>
          <w:rFonts w:ascii="Times New Roman" w:cs="Times New Roman" w:eastAsia="Times New Roman" w:hAnsi="Times New Roman"/>
          <w:sz w:val="18"/>
          <w:szCs w:val="18"/>
          <w:b w:val="1"/>
          <w:bCs w:val="1"/>
          <w:color w:val="auto"/>
        </w:rPr>
      </w:pPr>
    </w:p>
    <w:p>
      <w:pPr>
        <w:ind w:left="860" w:hanging="343"/>
        <w:spacing w:after="0"/>
        <w:tabs>
          <w:tab w:leader="none" w:pos="86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405</w:t>
      </w:r>
      <w:r>
        <w:rPr>
          <w:rFonts w:ascii="Times New Roman" w:cs="Times New Roman" w:eastAsia="Times New Roman" w:hAnsi="Times New Roman"/>
          <w:sz w:val="18"/>
          <w:szCs w:val="18"/>
          <w:color w:val="auto"/>
        </w:rPr>
        <w:t>” means Rule 405 promulgated under the Securities Act.</w:t>
      </w:r>
    </w:p>
    <w:p>
      <w:pPr>
        <w:spacing w:after="0" w:line="116" w:lineRule="exact"/>
        <w:rPr>
          <w:rFonts w:ascii="Times New Roman" w:cs="Times New Roman" w:eastAsia="Times New Roman" w:hAnsi="Times New Roman"/>
          <w:sz w:val="18"/>
          <w:szCs w:val="18"/>
          <w:b w:val="1"/>
          <w:bCs w:val="1"/>
          <w:color w:val="auto"/>
        </w:rPr>
      </w:pPr>
    </w:p>
    <w:p>
      <w:pPr>
        <w:ind w:left="980" w:hanging="463"/>
        <w:spacing w:after="0"/>
        <w:tabs>
          <w:tab w:leader="none" w:pos="98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color w:val="auto"/>
        </w:rPr>
        <w:t>” means Section 409A of the Code and the regulations and other guidance thereunder.</w:t>
      </w:r>
    </w:p>
    <w:p>
      <w:pPr>
        <w:spacing w:after="0" w:line="116" w:lineRule="exact"/>
        <w:rPr>
          <w:rFonts w:ascii="Times New Roman" w:cs="Times New Roman" w:eastAsia="Times New Roman" w:hAnsi="Times New Roman"/>
          <w:sz w:val="18"/>
          <w:szCs w:val="18"/>
          <w:b w:val="1"/>
          <w:bCs w:val="1"/>
          <w:color w:val="auto"/>
        </w:rPr>
      </w:pPr>
    </w:p>
    <w:p>
      <w:pPr>
        <w:ind w:right="60" w:firstLine="517"/>
        <w:spacing w:after="0" w:line="268" w:lineRule="auto"/>
        <w:tabs>
          <w:tab w:leader="none" w:pos="823"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Section 409A Change in Control</w:t>
      </w:r>
      <w:r>
        <w:rPr>
          <w:rFonts w:ascii="Times New Roman" w:cs="Times New Roman" w:eastAsia="Times New Roman" w:hAnsi="Times New Roman"/>
          <w:sz w:val="18"/>
          <w:szCs w:val="18"/>
          <w:color w:val="auto"/>
        </w:rPr>
        <w:t>” means a change in the ownership or effective control of the Company, or in the ownership of a substantial portion of the Company’s assets, as provided in Section 409A(a)(2)(A)(v) of the Code and Treasury Regulations Section 1.409A- 3(i)(5) (without regard to any alternative definition thereunder).</w:t>
      </w:r>
    </w:p>
    <w:p>
      <w:pPr>
        <w:spacing w:after="0" w:line="61" w:lineRule="exact"/>
        <w:rPr>
          <w:rFonts w:ascii="Times New Roman" w:cs="Times New Roman" w:eastAsia="Times New Roman" w:hAnsi="Times New Roman"/>
          <w:sz w:val="18"/>
          <w:szCs w:val="18"/>
          <w:b w:val="1"/>
          <w:bCs w:val="1"/>
          <w:color w:val="auto"/>
        </w:rPr>
      </w:pPr>
    </w:p>
    <w:p>
      <w:pPr>
        <w:ind w:left="1140" w:hanging="623"/>
        <w:spacing w:after="0"/>
        <w:tabs>
          <w:tab w:leader="none" w:pos="114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116" w:lineRule="exact"/>
        <w:rPr>
          <w:rFonts w:ascii="Times New Roman" w:cs="Times New Roman" w:eastAsia="Times New Roman" w:hAnsi="Times New Roman"/>
          <w:sz w:val="18"/>
          <w:szCs w:val="18"/>
          <w:b w:val="1"/>
          <w:bCs w:val="1"/>
          <w:color w:val="auto"/>
        </w:rPr>
      </w:pPr>
    </w:p>
    <w:p>
      <w:pPr>
        <w:ind w:left="980" w:hanging="463"/>
        <w:spacing w:after="0"/>
        <w:tabs>
          <w:tab w:leader="none" w:pos="98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 Reserve</w:t>
      </w:r>
      <w:r>
        <w:rPr>
          <w:rFonts w:ascii="Times New Roman" w:cs="Times New Roman" w:eastAsia="Times New Roman" w:hAnsi="Times New Roman"/>
          <w:sz w:val="18"/>
          <w:szCs w:val="18"/>
          <w:color w:val="auto"/>
        </w:rPr>
        <w:t>” means the number of shares available for issuance under the Plan as set forth in Section 2(a).</w:t>
      </w:r>
    </w:p>
    <w:p>
      <w:pPr>
        <w:spacing w:after="0" w:line="116" w:lineRule="exact"/>
        <w:rPr>
          <w:rFonts w:ascii="Times New Roman" w:cs="Times New Roman" w:eastAsia="Times New Roman" w:hAnsi="Times New Roman"/>
          <w:sz w:val="18"/>
          <w:szCs w:val="18"/>
          <w:b w:val="1"/>
          <w:bCs w:val="1"/>
          <w:color w:val="auto"/>
        </w:rPr>
      </w:pPr>
    </w:p>
    <w:p>
      <w:pPr>
        <w:ind w:right="220" w:firstLine="517"/>
        <w:spacing w:after="0" w:line="286" w:lineRule="auto"/>
        <w:tabs>
          <w:tab w:leader="none" w:pos="943"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 Appreciation Right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SAR</w:t>
      </w:r>
      <w:r>
        <w:rPr>
          <w:rFonts w:ascii="Times New Roman" w:cs="Times New Roman" w:eastAsia="Times New Roman" w:hAnsi="Times New Roman"/>
          <w:sz w:val="18"/>
          <w:szCs w:val="18"/>
          <w:color w:val="auto"/>
        </w:rPr>
        <w:t>” means a right to receive the appreciation on Common Stock that is granted pursuant to the terms and conditions of Section 4.</w:t>
      </w:r>
    </w:p>
    <w:p>
      <w:pPr>
        <w:spacing w:after="0" w:line="46" w:lineRule="exact"/>
        <w:rPr>
          <w:rFonts w:ascii="Times New Roman" w:cs="Times New Roman" w:eastAsia="Times New Roman" w:hAnsi="Times New Roman"/>
          <w:sz w:val="18"/>
          <w:szCs w:val="18"/>
          <w:b w:val="1"/>
          <w:bCs w:val="1"/>
          <w:color w:val="auto"/>
        </w:rPr>
      </w:pPr>
    </w:p>
    <w:p>
      <w:pPr>
        <w:ind w:right="20" w:firstLine="517"/>
        <w:spacing w:after="0" w:line="262" w:lineRule="auto"/>
        <w:tabs>
          <w:tab w:leader="none" w:pos="973"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SAR Agreement</w:t>
      </w:r>
      <w:r>
        <w:rPr>
          <w:rFonts w:ascii="Times New Roman" w:cs="Times New Roman" w:eastAsia="Times New Roman" w:hAnsi="Times New Roman"/>
          <w:sz w:val="18"/>
          <w:szCs w:val="18"/>
          <w:color w:val="auto"/>
        </w:rPr>
        <w:t>” means a written or electronic agreement between the Company and a holder of a SAR evidencing the terms and conditions of a SAR grant. The SAR Agreement includes the Grant Notice for the SAR and the agreement containing the written summary of the general terms and conditions applicable to the SAR and which is provided, including by electronic means, to a Participant along with the Grant Notice. Each SAR Agreement will be subject to the terms and conditions of the Plan.</w:t>
      </w:r>
    </w:p>
    <w:p>
      <w:pPr>
        <w:spacing w:after="0" w:line="67" w:lineRule="exact"/>
        <w:rPr>
          <w:rFonts w:ascii="Times New Roman" w:cs="Times New Roman" w:eastAsia="Times New Roman" w:hAnsi="Times New Roman"/>
          <w:sz w:val="18"/>
          <w:szCs w:val="18"/>
          <w:b w:val="1"/>
          <w:bCs w:val="1"/>
          <w:color w:val="auto"/>
        </w:rPr>
      </w:pPr>
    </w:p>
    <w:p>
      <w:pPr>
        <w:ind w:right="140" w:firstLine="517"/>
        <w:spacing w:after="0" w:line="259" w:lineRule="auto"/>
        <w:tabs>
          <w:tab w:leader="none" w:pos="973"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110" w:lineRule="exact"/>
        <w:rPr>
          <w:rFonts w:ascii="Times New Roman" w:cs="Times New Roman" w:eastAsia="Times New Roman" w:hAnsi="Times New Roman"/>
          <w:sz w:val="18"/>
          <w:szCs w:val="18"/>
          <w:b w:val="1"/>
          <w:bCs w:val="1"/>
          <w:color w:val="auto"/>
        </w:rPr>
      </w:pPr>
    </w:p>
    <w:p>
      <w:pPr>
        <w:ind w:right="200" w:firstLine="517"/>
        <w:spacing w:after="0" w:line="286" w:lineRule="auto"/>
        <w:tabs>
          <w:tab w:leader="none" w:pos="913"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Ten Percent Stockholder</w:t>
      </w:r>
      <w:r>
        <w:rPr>
          <w:rFonts w:ascii="Times New Roman" w:cs="Times New Roman" w:eastAsia="Times New Roman" w:hAnsi="Times New Roman"/>
          <w:sz w:val="18"/>
          <w:szCs w:val="18"/>
          <w:color w:val="auto"/>
        </w:rPr>
        <w:t>” means a person who Owns (or is deemed to Own pursuant to Section 424(d) of the Code) stock possessing more than 10% of the total combined voting power of all classes of stock of the Company or any Affiliate.</w:t>
      </w:r>
    </w:p>
    <w:p>
      <w:pPr>
        <w:spacing w:after="0" w:line="46" w:lineRule="exact"/>
        <w:rPr>
          <w:rFonts w:ascii="Times New Roman" w:cs="Times New Roman" w:eastAsia="Times New Roman" w:hAnsi="Times New Roman"/>
          <w:sz w:val="18"/>
          <w:szCs w:val="18"/>
          <w:b w:val="1"/>
          <w:bCs w:val="1"/>
          <w:color w:val="auto"/>
        </w:rPr>
      </w:pPr>
    </w:p>
    <w:p>
      <w:pPr>
        <w:ind w:right="280" w:firstLine="517"/>
        <w:spacing w:after="0" w:line="286" w:lineRule="auto"/>
        <w:tabs>
          <w:tab w:leader="none" w:pos="883"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Policy</w:t>
      </w:r>
      <w:r>
        <w:rPr>
          <w:rFonts w:ascii="Times New Roman" w:cs="Times New Roman" w:eastAsia="Times New Roman" w:hAnsi="Times New Roman"/>
          <w:sz w:val="18"/>
          <w:szCs w:val="18"/>
          <w:color w:val="auto"/>
        </w:rPr>
        <w:t>” means the Company’s policy permitting certain individuals to sell Company shares only during certain “window” periods and/or otherwise restricts the ability of certain individuals to transfer or encumber Company shares, as in effect from time to time.</w:t>
      </w:r>
    </w:p>
    <w:p>
      <w:pPr>
        <w:spacing w:after="0" w:line="46" w:lineRule="exact"/>
        <w:rPr>
          <w:rFonts w:ascii="Times New Roman" w:cs="Times New Roman" w:eastAsia="Times New Roman" w:hAnsi="Times New Roman"/>
          <w:sz w:val="18"/>
          <w:szCs w:val="18"/>
          <w:b w:val="1"/>
          <w:bCs w:val="1"/>
          <w:color w:val="auto"/>
        </w:rPr>
      </w:pPr>
    </w:p>
    <w:p>
      <w:pPr>
        <w:ind w:right="40" w:firstLine="517"/>
        <w:spacing w:after="0" w:line="286" w:lineRule="auto"/>
        <w:tabs>
          <w:tab w:leader="none" w:pos="853"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Unvested Non-Exempt Award</w:t>
      </w:r>
      <w:r>
        <w:rPr>
          <w:rFonts w:ascii="Times New Roman" w:cs="Times New Roman" w:eastAsia="Times New Roman" w:hAnsi="Times New Roman"/>
          <w:sz w:val="18"/>
          <w:szCs w:val="18"/>
          <w:color w:val="auto"/>
        </w:rPr>
        <w:t>” means the portion of any Non-Exempt Award that had not vested in accordance with its terms upon or prior to the date of any Corporate Transaction.</w:t>
      </w:r>
    </w:p>
    <w:p>
      <w:pPr>
        <w:spacing w:after="0" w:line="46" w:lineRule="exact"/>
        <w:rPr>
          <w:rFonts w:ascii="Times New Roman" w:cs="Times New Roman" w:eastAsia="Times New Roman" w:hAnsi="Times New Roman"/>
          <w:sz w:val="18"/>
          <w:szCs w:val="18"/>
          <w:b w:val="1"/>
          <w:bCs w:val="1"/>
          <w:color w:val="auto"/>
        </w:rPr>
      </w:pPr>
    </w:p>
    <w:p>
      <w:pPr>
        <w:ind w:right="140" w:firstLine="517"/>
        <w:spacing w:after="0" w:line="286" w:lineRule="auto"/>
        <w:tabs>
          <w:tab w:leader="none" w:pos="973"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Vested Non-Exempt Award</w:t>
      </w:r>
      <w:r>
        <w:rPr>
          <w:rFonts w:ascii="Times New Roman" w:cs="Times New Roman" w:eastAsia="Times New Roman" w:hAnsi="Times New Roman"/>
          <w:sz w:val="18"/>
          <w:szCs w:val="18"/>
          <w:color w:val="auto"/>
        </w:rPr>
        <w:t>” means the portion of any Non-Exempt Award that had vested in accordance with its terms upon or prior to the date of a Corporate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1083945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85" w:name="page186"/>
    <w:bookmarkEnd w:id="185"/>
    <w:p>
      <w:pPr>
        <w:spacing w:after="0" w:line="21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INVIVYD,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3"/>
          <w:szCs w:val="13"/>
          <w:b w:val="1"/>
          <w:bCs w:val="1"/>
          <w:color w:val="auto"/>
        </w:rPr>
        <w:t>PTION</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3"/>
          <w:szCs w:val="13"/>
          <w:b w:val="1"/>
          <w:bCs w:val="1"/>
          <w:color w:val="auto"/>
        </w:rPr>
        <w:t>RANT</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3"/>
          <w:szCs w:val="13"/>
          <w:b w:val="1"/>
          <w:bCs w:val="1"/>
          <w:color w:val="auto"/>
        </w:rPr>
        <w:t>OTICE</w:t>
      </w:r>
    </w:p>
    <w:p>
      <w:pPr>
        <w:spacing w:after="0" w:line="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(2021 E</w:t>
      </w:r>
      <w:r>
        <w:rPr>
          <w:rFonts w:ascii="Times New Roman" w:cs="Times New Roman" w:eastAsia="Times New Roman" w:hAnsi="Times New Roman"/>
          <w:sz w:val="13"/>
          <w:szCs w:val="13"/>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3"/>
          <w:szCs w:val="13"/>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3"/>
          <w:szCs w:val="13"/>
          <w:b w:val="1"/>
          <w:bCs w:val="1"/>
          <w:color w:val="auto"/>
        </w:rPr>
        <w:t>LAN</w:t>
      </w:r>
      <w:r>
        <w:rPr>
          <w:rFonts w:ascii="Times New Roman" w:cs="Times New Roman" w:eastAsia="Times New Roman" w:hAnsi="Times New Roman"/>
          <w:sz w:val="18"/>
          <w:szCs w:val="18"/>
          <w:b w:val="1"/>
          <w:bCs w:val="1"/>
          <w:color w:val="auto"/>
        </w:rPr>
        <w:t>)</w:t>
      </w:r>
    </w:p>
    <w:p>
      <w:pPr>
        <w:spacing w:after="0" w:line="20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Invivyd,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pursuant to the Company’s 2021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has granted to you (“</w:t>
      </w:r>
      <w:r>
        <w:rPr>
          <w:rFonts w:ascii="Times New Roman" w:cs="Times New Roman" w:eastAsia="Times New Roman" w:hAnsi="Times New Roman"/>
          <w:sz w:val="18"/>
          <w:szCs w:val="18"/>
          <w:b w:val="1"/>
          <w:bCs w:val="1"/>
          <w:i w:val="1"/>
          <w:iCs w:val="1"/>
          <w:color w:val="auto"/>
        </w:rPr>
        <w:t>Optionholder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an option to purchase the number of shares of the Common Stock set forth below (the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Your Option is subject to all of the terms and conditions as set forth herein and in the Plan, and the Stock Option Agreement and the Notice of Exercise, all of which are attached hereto and incorporated herein in their entirety. Capitalized terms not explicitly defined herein but defined in the Plan or the Stock Option Agreement shall have the meanings set forth in the Plan or the Stock Option Agreement, as applicable.</w:t>
      </w:r>
    </w:p>
    <w:p>
      <w:pPr>
        <w:spacing w:after="0" w:line="200" w:lineRule="exact"/>
        <w:rPr>
          <w:sz w:val="20"/>
          <w:szCs w:val="20"/>
          <w:color w:val="auto"/>
        </w:rPr>
      </w:pPr>
    </w:p>
    <w:p>
      <w:pPr>
        <w:spacing w:after="0" w:line="292"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Optionholder: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3738245</wp:posOffset>
            </wp:positionH>
            <wp:positionV relativeFrom="paragraph">
              <wp:posOffset>154305</wp:posOffset>
            </wp:positionV>
            <wp:extent cx="168656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2">
                      <a:extLst>
                        <a:ext uri="{28A0092B-C50C-407E-A947-70E740481C1C}"/>
                      </a:extLst>
                    </a:blip>
                    <a:srcRect/>
                    <a:stretch>
                      <a:fillRect/>
                    </a:stretch>
                  </pic:blipFill>
                  <pic:spPr bwMode="auto">
                    <a:xfrm>
                      <a:off x="0" y="0"/>
                      <a:ext cx="1686560" cy="8255"/>
                    </a:xfrm>
                    <a:prstGeom prst="rect">
                      <a:avLst/>
                    </a:prstGeom>
                    <a:noFill/>
                  </pic:spPr>
                </pic:pic>
              </a:graphicData>
            </a:graphic>
          </wp:anchor>
        </w:drawing>
      </w:r>
    </w:p>
    <w:p>
      <w:pPr>
        <w:spacing w:after="0" w:line="258"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3738245</wp:posOffset>
            </wp:positionH>
            <wp:positionV relativeFrom="paragraph">
              <wp:posOffset>154305</wp:posOffset>
            </wp:positionV>
            <wp:extent cx="168656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3">
                      <a:extLst>
                        <a:ext uri="{28A0092B-C50C-407E-A947-70E740481C1C}"/>
                      </a:extLst>
                    </a:blip>
                    <a:srcRect/>
                    <a:stretch>
                      <a:fillRect/>
                    </a:stretch>
                  </pic:blipFill>
                  <pic:spPr bwMode="auto">
                    <a:xfrm>
                      <a:off x="0" y="0"/>
                      <a:ext cx="1686560" cy="8255"/>
                    </a:xfrm>
                    <a:prstGeom prst="rect">
                      <a:avLst/>
                    </a:prstGeom>
                    <a:noFill/>
                  </pic:spPr>
                </pic:pic>
              </a:graphicData>
            </a:graphic>
          </wp:anchor>
        </w:drawing>
      </w:r>
    </w:p>
    <w:p>
      <w:pPr>
        <w:spacing w:after="0" w:line="258"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3738245</wp:posOffset>
            </wp:positionH>
            <wp:positionV relativeFrom="paragraph">
              <wp:posOffset>154305</wp:posOffset>
            </wp:positionV>
            <wp:extent cx="168656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4">
                      <a:extLst>
                        <a:ext uri="{28A0092B-C50C-407E-A947-70E740481C1C}"/>
                      </a:extLst>
                    </a:blip>
                    <a:srcRect/>
                    <a:stretch>
                      <a:fillRect/>
                    </a:stretch>
                  </pic:blipFill>
                  <pic:spPr bwMode="auto">
                    <a:xfrm>
                      <a:off x="0" y="0"/>
                      <a:ext cx="1686560" cy="8255"/>
                    </a:xfrm>
                    <a:prstGeom prst="rect">
                      <a:avLst/>
                    </a:prstGeom>
                    <a:noFill/>
                  </pic:spPr>
                </pic:pic>
              </a:graphicData>
            </a:graphic>
          </wp:anchor>
        </w:drawing>
      </w:r>
    </w:p>
    <w:p>
      <w:pPr>
        <w:spacing w:after="0" w:line="258"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Number of Shares of Common Stock</w:t>
      </w:r>
    </w:p>
    <w:p>
      <w:pPr>
        <w:spacing w:after="0" w:line="27"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color w:val="auto"/>
        </w:rPr>
        <w:t>Subject to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3738245</wp:posOffset>
            </wp:positionH>
            <wp:positionV relativeFrom="paragraph">
              <wp:posOffset>142240</wp:posOffset>
            </wp:positionV>
            <wp:extent cx="168656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5">
                      <a:extLst>
                        <a:ext uri="{28A0092B-C50C-407E-A947-70E740481C1C}"/>
                      </a:extLst>
                    </a:blip>
                    <a:srcRect/>
                    <a:stretch>
                      <a:fillRect/>
                    </a:stretch>
                  </pic:blipFill>
                  <pic:spPr bwMode="auto">
                    <a:xfrm>
                      <a:off x="0" y="0"/>
                      <a:ext cx="1686560" cy="8255"/>
                    </a:xfrm>
                    <a:prstGeom prst="rect">
                      <a:avLst/>
                    </a:prstGeom>
                    <a:noFill/>
                  </pic:spPr>
                </pic:pic>
              </a:graphicData>
            </a:graphic>
          </wp:anchor>
        </w:drawing>
      </w:r>
    </w:p>
    <w:p>
      <w:pPr>
        <w:spacing w:after="0" w:line="24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Exercise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3738245</wp:posOffset>
            </wp:positionH>
            <wp:positionV relativeFrom="paragraph">
              <wp:posOffset>154305</wp:posOffset>
            </wp:positionV>
            <wp:extent cx="168656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6">
                      <a:extLst>
                        <a:ext uri="{28A0092B-C50C-407E-A947-70E740481C1C}"/>
                      </a:extLst>
                    </a:blip>
                    <a:srcRect/>
                    <a:stretch>
                      <a:fillRect/>
                    </a:stretch>
                  </pic:blipFill>
                  <pic:spPr bwMode="auto">
                    <a:xfrm>
                      <a:off x="0" y="0"/>
                      <a:ext cx="1686560" cy="8255"/>
                    </a:xfrm>
                    <a:prstGeom prst="rect">
                      <a:avLst/>
                    </a:prstGeom>
                    <a:noFill/>
                  </pic:spPr>
                </pic:pic>
              </a:graphicData>
            </a:graphic>
          </wp:anchor>
        </w:drawing>
      </w:r>
    </w:p>
    <w:p>
      <w:pPr>
        <w:spacing w:after="0" w:line="258"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Total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3738245</wp:posOffset>
            </wp:positionH>
            <wp:positionV relativeFrom="paragraph">
              <wp:posOffset>154305</wp:posOffset>
            </wp:positionV>
            <wp:extent cx="168656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7">
                      <a:extLst>
                        <a:ext uri="{28A0092B-C50C-407E-A947-70E740481C1C}"/>
                      </a:extLst>
                    </a:blip>
                    <a:srcRect/>
                    <a:stretch>
                      <a:fillRect/>
                    </a:stretch>
                  </pic:blipFill>
                  <pic:spPr bwMode="auto">
                    <a:xfrm>
                      <a:off x="0" y="0"/>
                      <a:ext cx="1686560" cy="8255"/>
                    </a:xfrm>
                    <a:prstGeom prst="rect">
                      <a:avLst/>
                    </a:prstGeom>
                    <a:noFill/>
                  </pic:spPr>
                </pic:pic>
              </a:graphicData>
            </a:graphic>
          </wp:anchor>
        </w:drawing>
      </w:r>
    </w:p>
    <w:p>
      <w:pPr>
        <w:spacing w:after="0" w:line="258"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3738245</wp:posOffset>
            </wp:positionH>
            <wp:positionV relativeFrom="paragraph">
              <wp:posOffset>154305</wp:posOffset>
            </wp:positionV>
            <wp:extent cx="168656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8">
                      <a:extLst>
                        <a:ext uri="{28A0092B-C50C-407E-A947-70E740481C1C}"/>
                      </a:extLst>
                    </a:blip>
                    <a:srcRect/>
                    <a:stretch>
                      <a:fillRect/>
                    </a:stretch>
                  </pic:blipFill>
                  <pic:spPr bwMode="auto">
                    <a:xfrm>
                      <a:off x="0" y="0"/>
                      <a:ext cx="1686560" cy="8255"/>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Type of Grant: [</w:t>
      </w:r>
      <w:r>
        <w:rPr>
          <w:rFonts w:ascii="Times New Roman" w:cs="Times New Roman" w:eastAsia="Times New Roman" w:hAnsi="Times New Roman"/>
          <w:sz w:val="18"/>
          <w:szCs w:val="18"/>
          <w:color w:val="auto"/>
        </w:rPr>
        <w:t>Incentive Stock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[Nonstatutory Stock Option]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and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Vesting Schedule</w:t>
      </w:r>
      <w:r>
        <w:rPr>
          <w:rFonts w:ascii="Times New Roman" w:cs="Times New Roman" w:eastAsia="Times New Roman" w:hAnsi="Times New Roman"/>
          <w:sz w:val="18"/>
          <w:szCs w:val="18"/>
          <w:color w:val="auto"/>
        </w:rPr>
        <w:t>: Subject to the Optionholder’s Continuous Service through each applicable vesting date, the Option will vest as follows:</w:t>
      </w:r>
    </w:p>
    <w:p>
      <w:pPr>
        <w:spacing w:after="0" w:line="94" w:lineRule="exact"/>
        <w:rPr>
          <w:sz w:val="20"/>
          <w:szCs w:val="20"/>
          <w:color w:val="auto"/>
        </w:rPr>
      </w:pPr>
    </w:p>
    <w:p>
      <w:pPr>
        <w:ind w:left="2120"/>
        <w:spacing w:after="0"/>
        <w:tabs>
          <w:tab w:leader="none" w:pos="904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1388745</wp:posOffset>
            </wp:positionH>
            <wp:positionV relativeFrom="paragraph">
              <wp:posOffset>-5080</wp:posOffset>
            </wp:positionV>
            <wp:extent cx="436499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9">
                      <a:extLst>
                        <a:ext uri="{28A0092B-C50C-407E-A947-70E740481C1C}"/>
                      </a:extLst>
                    </a:blip>
                    <a:srcRect/>
                    <a:stretch>
                      <a:fillRect/>
                    </a:stretch>
                  </pic:blipFill>
                  <pic:spPr bwMode="auto">
                    <a:xfrm>
                      <a:off x="0" y="0"/>
                      <a:ext cx="4364990" cy="8255"/>
                    </a:xfrm>
                    <a:prstGeom prst="rect">
                      <a:avLst/>
                    </a:prstGeom>
                    <a:noFill/>
                  </pic:spPr>
                </pic:pic>
              </a:graphicData>
            </a:graphic>
          </wp:anchor>
        </w:drawing>
      </w:r>
    </w:p>
    <w:p>
      <w:pPr>
        <w:spacing w:after="0" w:line="97"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Optionholder Acknowledgements: </w:t>
      </w:r>
      <w:r>
        <w:rPr>
          <w:rFonts w:ascii="Times New Roman" w:cs="Times New Roman" w:eastAsia="Times New Roman" w:hAnsi="Times New Roman"/>
          <w:sz w:val="18"/>
          <w:szCs w:val="18"/>
          <w:color w:val="auto"/>
        </w:rPr>
        <w:t>By your signature below or by electronic acceptance or authentication in a form authorized by the Company,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understand and agree that:</w:t>
      </w:r>
    </w:p>
    <w:p>
      <w:pPr>
        <w:spacing w:after="0" w:line="73" w:lineRule="exact"/>
        <w:rPr>
          <w:sz w:val="20"/>
          <w:szCs w:val="20"/>
          <w:color w:val="auto"/>
        </w:rPr>
      </w:pPr>
    </w:p>
    <w:p>
      <w:pPr>
        <w:ind w:left="1040" w:right="80" w:hanging="452"/>
        <w:spacing w:after="0" w:line="262" w:lineRule="auto"/>
        <w:tabs>
          <w:tab w:leader="none" w:pos="10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is governed by this Stock Option Grant Notice (this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the Company’s Incentive Compensation Recovery Policy, and the provisions of the Plan and the Stock Option Agreement and the Notice of Exercise, all of which are made a part of this document. Unless otherwise provided in the Plan, this Grant Notice and the Stock Option Agreement (together, the “</w:t>
      </w:r>
      <w:r>
        <w:rPr>
          <w:rFonts w:ascii="Times New Roman" w:cs="Times New Roman" w:eastAsia="Times New Roman" w:hAnsi="Times New Roman"/>
          <w:sz w:val="18"/>
          <w:szCs w:val="18"/>
          <w:b w:val="1"/>
          <w:bCs w:val="1"/>
          <w:i w:val="1"/>
          <w:iCs w:val="1"/>
          <w:color w:val="auto"/>
        </w:rPr>
        <w:t>Option Agreement</w:t>
      </w:r>
      <w:r>
        <w:rPr>
          <w:rFonts w:ascii="Times New Roman" w:cs="Times New Roman" w:eastAsia="Times New Roman" w:hAnsi="Times New Roman"/>
          <w:sz w:val="18"/>
          <w:szCs w:val="18"/>
          <w:color w:val="auto"/>
        </w:rPr>
        <w:t>”) may not be modified, amended or revised except in a writing signed by you and a duly authorized officer of the Company.</w:t>
      </w:r>
    </w:p>
    <w:p>
      <w:pPr>
        <w:spacing w:after="0" w:line="109" w:lineRule="exact"/>
        <w:rPr>
          <w:rFonts w:ascii="Times New Roman" w:cs="Times New Roman" w:eastAsia="Times New Roman" w:hAnsi="Times New Roman"/>
          <w:sz w:val="18"/>
          <w:szCs w:val="18"/>
          <w:color w:val="auto"/>
        </w:rPr>
      </w:pPr>
    </w:p>
    <w:p>
      <w:pPr>
        <w:jc w:val="both"/>
        <w:ind w:left="1040" w:right="40" w:hanging="452"/>
        <w:spacing w:after="0" w:line="314" w:lineRule="auto"/>
        <w:tabs>
          <w:tab w:leader="none" w:pos="104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Option is an Incentive Stock Option, it (plus other outstanding Incentive Stock Options granted to you) cannot be first </w:t>
      </w:r>
      <w:r>
        <w:rPr>
          <w:rFonts w:ascii="Times New Roman" w:cs="Times New Roman" w:eastAsia="Times New Roman" w:hAnsi="Times New Roman"/>
          <w:sz w:val="17"/>
          <w:szCs w:val="17"/>
          <w:i w:val="1"/>
          <w:iCs w:val="1"/>
          <w:color w:val="auto"/>
        </w:rPr>
        <w:t>exercisable</w:t>
      </w:r>
      <w:r>
        <w:rPr>
          <w:rFonts w:ascii="Times New Roman" w:cs="Times New Roman" w:eastAsia="Times New Roman" w:hAnsi="Times New Roman"/>
          <w:sz w:val="17"/>
          <w:szCs w:val="17"/>
          <w:color w:val="auto"/>
        </w:rPr>
        <w:t xml:space="preserve"> for more than $100,000 in value (measured by exercise price) in any calendar year. Any excess over $100,000 is a Nonstatutory Stock Option.]</w:t>
      </w:r>
    </w:p>
    <w:p>
      <w:pPr>
        <w:spacing w:after="0" w:line="97" w:lineRule="exact"/>
        <w:rPr>
          <w:rFonts w:ascii="Times New Roman" w:cs="Times New Roman" w:eastAsia="Times New Roman" w:hAnsi="Times New Roman"/>
          <w:sz w:val="17"/>
          <w:szCs w:val="17"/>
          <w:color w:val="auto"/>
        </w:rPr>
      </w:pPr>
    </w:p>
    <w:p>
      <w:pPr>
        <w:ind w:left="1040" w:right="260" w:hanging="452"/>
        <w:spacing w:after="0" w:line="265" w:lineRule="auto"/>
        <w:tabs>
          <w:tab w:leader="none" w:pos="10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consent to receive this Grant Notice, the Stock Option Agreement, the Plan, the Prospectus and any other Plan-related documents by electronic delivery and to participate in the Plan through an on-line or electronic system established and maintained by the Company or another third party designated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950595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86" w:name="page187"/>
    <w:bookmarkEnd w:id="186"/>
    <w:p>
      <w:pPr>
        <w:jc w:val="both"/>
        <w:ind w:left="1040" w:right="260" w:hanging="452"/>
        <w:spacing w:after="0" w:line="265" w:lineRule="auto"/>
        <w:tabs>
          <w:tab w:leader="none" w:pos="10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have read and are familiar with the provisions of the Plan, the Stock Option Agreement, the Notice of Exercise and the Prospectus. In the event of any conflict between the provisions in this Grant Notice, the Option Agreement, the Notice of Exercise, or the Prospectus and the terms of the Plan, the terms of the Plan shall control.</w:t>
      </w:r>
    </w:p>
    <w:p>
      <w:pPr>
        <w:spacing w:after="0" w:line="109" w:lineRule="exact"/>
        <w:rPr>
          <w:rFonts w:ascii="Times New Roman" w:cs="Times New Roman" w:eastAsia="Times New Roman" w:hAnsi="Times New Roman"/>
          <w:sz w:val="18"/>
          <w:szCs w:val="18"/>
          <w:color w:val="auto"/>
        </w:rPr>
      </w:pPr>
    </w:p>
    <w:p>
      <w:pPr>
        <w:ind w:left="1040" w:right="240" w:hanging="452"/>
        <w:spacing w:after="0" w:line="260" w:lineRule="auto"/>
        <w:tabs>
          <w:tab w:leader="none" w:pos="10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Agreement sets forth the entire understanding between you and the Company regarding the acquisition of Common Stock and supersedes all prior oral and written agreements, promises and/or representations on that subject with the exception of other equity awards previously granted to you and any written employment agreement, offer letter, severance agreement, written severance plan or policy, or other written agreement between the Company and you in each case that specifies the terms that should govern this Option.</w:t>
      </w:r>
    </w:p>
    <w:p>
      <w:pPr>
        <w:spacing w:after="0" w:line="114" w:lineRule="exact"/>
        <w:rPr>
          <w:rFonts w:ascii="Times New Roman" w:cs="Times New Roman" w:eastAsia="Times New Roman" w:hAnsi="Times New Roman"/>
          <w:sz w:val="18"/>
          <w:szCs w:val="18"/>
          <w:color w:val="auto"/>
        </w:rPr>
      </w:pPr>
    </w:p>
    <w:p>
      <w:pPr>
        <w:jc w:val="both"/>
        <w:ind w:left="1040" w:right="420" w:hanging="452"/>
        <w:spacing w:after="0" w:line="265" w:lineRule="auto"/>
        <w:tabs>
          <w:tab w:leader="none" w:pos="10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p>
      <w:pPr>
        <w:spacing w:after="0" w:line="200" w:lineRule="exact"/>
        <w:rPr>
          <w:sz w:val="20"/>
          <w:szCs w:val="20"/>
          <w:color w:val="auto"/>
        </w:rPr>
      </w:pP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INVIVYD, INC.</w:t>
            </w:r>
          </w:p>
        </w:tc>
        <w:tc>
          <w:tcPr>
            <w:tcW w:w="660" w:type="dxa"/>
            <w:vAlign w:val="bottom"/>
          </w:tcPr>
          <w:p>
            <w:pPr>
              <w:spacing w:after="0"/>
              <w:rPr>
                <w:sz w:val="20"/>
                <w:szCs w:val="20"/>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3"/>
                <w:szCs w:val="13"/>
                <w:b w:val="1"/>
                <w:bCs w:val="1"/>
                <w:color w:val="auto"/>
              </w:rPr>
              <w:t>PTIONHOLDER</w:t>
            </w:r>
            <w:r>
              <w:rPr>
                <w:rFonts w:ascii="Times New Roman" w:cs="Times New Roman" w:eastAsia="Times New Roman" w:hAnsi="Times New Roman"/>
                <w:sz w:val="18"/>
                <w:szCs w:val="18"/>
                <w:b w:val="1"/>
                <w:bCs w:val="1"/>
                <w:color w:val="auto"/>
              </w:rPr>
              <w:t>:</w:t>
            </w:r>
          </w:p>
        </w:tc>
      </w:tr>
      <w:tr>
        <w:trPr>
          <w:trHeight w:val="485"/>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250"/>
        </w:trPr>
        <w:tc>
          <w:tcPr>
            <w:tcW w:w="620" w:type="dxa"/>
            <w:vAlign w:val="bottom"/>
          </w:tcPr>
          <w:p>
            <w:pPr>
              <w:spacing w:after="0"/>
              <w:rPr>
                <w:sz w:val="21"/>
                <w:szCs w:val="21"/>
                <w:color w:val="auto"/>
              </w:rPr>
            </w:pPr>
          </w:p>
        </w:tc>
        <w:tc>
          <w:tcPr>
            <w:tcW w:w="4660" w:type="dxa"/>
            <w:vAlign w:val="bottom"/>
            <w:tcBorders>
              <w:top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Signature</w:t>
            </w:r>
          </w:p>
        </w:tc>
        <w:tc>
          <w:tcPr>
            <w:tcW w:w="660" w:type="dxa"/>
            <w:vAlign w:val="bottom"/>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4660" w:type="dxa"/>
            <w:vAlign w:val="bottom"/>
            <w:tcBorders>
              <w:top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Signature</w:t>
            </w:r>
          </w:p>
        </w:tc>
      </w:tr>
      <w:tr>
        <w:trPr>
          <w:trHeight w:val="485"/>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6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660" w:type="dxa"/>
            <w:vAlign w:val="bottom"/>
            <w:tcBorders>
              <w:bottom w:val="single" w:sz="8" w:color="auto"/>
            </w:tcBorders>
          </w:tcPr>
          <w:p>
            <w:pPr>
              <w:spacing w:after="0"/>
              <w:rPr>
                <w:sz w:val="24"/>
                <w:szCs w:val="24"/>
                <w:color w:val="auto"/>
              </w:rPr>
            </w:pPr>
          </w:p>
        </w:tc>
      </w:tr>
      <w:tr>
        <w:trPr>
          <w:trHeight w:val="472"/>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66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60" w:type="dxa"/>
            <w:vAlign w:val="bottom"/>
          </w:tcPr>
          <w:p>
            <w:pPr>
              <w:spacing w:after="0"/>
              <w:rPr>
                <w:sz w:val="24"/>
                <w:szCs w:val="24"/>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3"/>
          <w:szCs w:val="13"/>
          <w:b w:val="1"/>
          <w:bCs w:val="1"/>
          <w:color w:val="auto"/>
        </w:rPr>
        <w:t>TTACHMENTS</w:t>
      </w:r>
      <w:r>
        <w:rPr>
          <w:rFonts w:ascii="Times New Roman" w:cs="Times New Roman" w:eastAsia="Times New Roman" w:hAnsi="Times New Roman"/>
          <w:sz w:val="18"/>
          <w:szCs w:val="18"/>
          <w:color w:val="auto"/>
        </w:rPr>
        <w:t>: Stock Option Agreement, 2021 Equity Incentive Plan, Notice of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1034415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9" w:right="359" w:bottom="1440" w:gutter="0" w:footer="0" w:header="0"/>
        </w:sectPr>
      </w:pPr>
    </w:p>
    <w:bookmarkStart w:id="187" w:name="page188"/>
    <w:bookmarkEnd w:id="187"/>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3"/>
          <w:szCs w:val="13"/>
          <w:b w:val="1"/>
          <w:bCs w:val="1"/>
          <w:color w:val="auto"/>
        </w:rPr>
        <w:t>TTACHMENT</w:t>
      </w:r>
      <w:r>
        <w:rPr>
          <w:rFonts w:ascii="Times New Roman" w:cs="Times New Roman" w:eastAsia="Times New Roman" w:hAnsi="Times New Roman"/>
          <w:sz w:val="18"/>
          <w:szCs w:val="18"/>
          <w:b w:val="1"/>
          <w:bCs w:val="1"/>
          <w:color w:val="auto"/>
        </w:rPr>
        <w:t xml:space="preserve"> 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STOCK OPTION AGREEMENT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(2021 EQUITY INCENTIVE PLAN)</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reflected by your Stock Option Grant Notice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Invivyd,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granted you an option under the Company’s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to purchase a number of shares of Common Stock at the exercise price indicated in your Grant Notice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Capitalized terms not explicitly defined in this Agreement but defined in the Grant Notice or the Plan shall have the meanings set forth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 Notice or Plan, as applicable. The terms of your Option as specified in the Grant Notice and this Stock Option Agreement constitute your Option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general terms and conditions applicable to your Option are as follows:</w:t>
      </w:r>
    </w:p>
    <w:p>
      <w:pPr>
        <w:spacing w:after="0" w:line="113" w:lineRule="exact"/>
        <w:rPr>
          <w:sz w:val="20"/>
          <w:szCs w:val="20"/>
          <w:color w:val="auto"/>
        </w:rPr>
      </w:pPr>
    </w:p>
    <w:p>
      <w:pPr>
        <w:ind w:left="700" w:hanging="183"/>
        <w:spacing w:after="0"/>
        <w:tabs>
          <w:tab w:leader="none" w:pos="70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3"/>
          <w:szCs w:val="13"/>
          <w:b w:val="1"/>
          <w:bCs w:val="1"/>
          <w:color w:val="auto"/>
        </w:rPr>
        <w:t>OVERNING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3"/>
          <w:szCs w:val="13"/>
          <w:b w:val="1"/>
          <w:bCs w:val="1"/>
          <w:color w:val="auto"/>
        </w:rPr>
        <w:t>LAN</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3"/>
          <w:szCs w:val="13"/>
          <w:b w:val="1"/>
          <w:bCs w:val="1"/>
          <w:color w:val="auto"/>
        </w:rPr>
        <w:t>OCUMENT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Option is subject to all the provisions of the Plan, including but not limited to the provisions in:</w:t>
      </w:r>
    </w:p>
    <w:p>
      <w:pPr>
        <w:spacing w:after="0" w:line="120" w:lineRule="exact"/>
        <w:rPr>
          <w:rFonts w:ascii="Times New Roman" w:cs="Times New Roman" w:eastAsia="Times New Roman" w:hAnsi="Times New Roman"/>
          <w:sz w:val="18"/>
          <w:szCs w:val="18"/>
          <w:b w:val="1"/>
          <w:bCs w:val="1"/>
          <w:color w:val="auto"/>
        </w:rPr>
      </w:pPr>
    </w:p>
    <w:p>
      <w:pPr>
        <w:ind w:left="1400" w:hanging="247"/>
        <w:spacing w:after="0"/>
        <w:tabs>
          <w:tab w:leader="none" w:pos="1400" w:val="left"/>
        </w:tabs>
        <w:numPr>
          <w:ilvl w:val="1"/>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6 regarding the impact of a Capitalization Adjustment, dissolution, liquidation, or Corporate Transaction on your Option;</w:t>
      </w:r>
    </w:p>
    <w:p>
      <w:pPr>
        <w:spacing w:after="0" w:line="116" w:lineRule="exact"/>
        <w:rPr>
          <w:rFonts w:ascii="Times New Roman" w:cs="Times New Roman" w:eastAsia="Times New Roman" w:hAnsi="Times New Roman"/>
          <w:sz w:val="18"/>
          <w:szCs w:val="18"/>
          <w:b w:val="1"/>
          <w:bCs w:val="1"/>
          <w:color w:val="auto"/>
        </w:rPr>
      </w:pPr>
    </w:p>
    <w:p>
      <w:pPr>
        <w:ind w:left="1420" w:hanging="267"/>
        <w:spacing w:after="0"/>
        <w:tabs>
          <w:tab w:leader="none" w:pos="1420" w:val="left"/>
        </w:tabs>
        <w:numPr>
          <w:ilvl w:val="1"/>
          <w:numId w:val="13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Section 9(e) regarding the Company’s retained rights to terminate your Continuous Service notwithstanding the grant of the Option; and</w:t>
      </w:r>
    </w:p>
    <w:p>
      <w:pPr>
        <w:spacing w:after="0" w:line="128" w:lineRule="exact"/>
        <w:rPr>
          <w:rFonts w:ascii="Times New Roman" w:cs="Times New Roman" w:eastAsia="Times New Roman" w:hAnsi="Times New Roman"/>
          <w:sz w:val="17"/>
          <w:szCs w:val="17"/>
          <w:b w:val="1"/>
          <w:bCs w:val="1"/>
          <w:color w:val="auto"/>
        </w:rPr>
      </w:pPr>
    </w:p>
    <w:p>
      <w:pPr>
        <w:ind w:left="1400" w:hanging="247"/>
        <w:spacing w:after="0"/>
        <w:tabs>
          <w:tab w:leader="none" w:pos="1400" w:val="left"/>
        </w:tabs>
        <w:numPr>
          <w:ilvl w:val="1"/>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8 regarding the tax consequences of your Option.</w:t>
      </w:r>
    </w:p>
    <w:p>
      <w:pPr>
        <w:spacing w:after="0" w:line="225"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Your Option is further subject to all interpretations, amendments, rules and regulations, which may from time to time be promulgated and adopted pursuant to the Plan. In the event of any conflict between the Option Agreement and the provisions of the Plan, the provisions of the Plan shall control.</w:t>
      </w:r>
    </w:p>
    <w:p>
      <w:pPr>
        <w:spacing w:after="0" w:line="159" w:lineRule="exact"/>
        <w:rPr>
          <w:sz w:val="20"/>
          <w:szCs w:val="20"/>
          <w:color w:val="auto"/>
        </w:rPr>
      </w:pPr>
    </w:p>
    <w:p>
      <w:pPr>
        <w:ind w:left="700" w:hanging="183"/>
        <w:spacing w:after="0"/>
        <w:tabs>
          <w:tab w:leader="none" w:pos="70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3"/>
          <w:szCs w:val="13"/>
          <w:b w:val="1"/>
          <w:bCs w:val="1"/>
          <w:color w:val="auto"/>
        </w:rPr>
        <w:t>XERCISE</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40" w:firstLine="517"/>
        <w:spacing w:after="0" w:line="260" w:lineRule="auto"/>
        <w:tabs>
          <w:tab w:leader="none" w:pos="763"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may generally exercise the vested portion of your Option for whole shares of Common Stock at any time during its term by delivery of payment of the exercise price and applicable withholding taxes and other required documentation to the Plan Administrator in accordance with the exercise procedures established by the Plan Administrator, which may include an electronic submission. Please review Sections 4(i), 4(j) and 7(b)(v) of the Plan, which may restrict or prohibit your ability to exercise your Option during certain periods.</w:t>
      </w:r>
    </w:p>
    <w:p>
      <w:pPr>
        <w:spacing w:after="0" w:line="73" w:lineRule="exact"/>
        <w:rPr>
          <w:rFonts w:ascii="Times New Roman" w:cs="Times New Roman" w:eastAsia="Times New Roman" w:hAnsi="Times New Roman"/>
          <w:sz w:val="18"/>
          <w:szCs w:val="18"/>
          <w:b w:val="1"/>
          <w:bCs w:val="1"/>
          <w:color w:val="auto"/>
        </w:rPr>
      </w:pPr>
    </w:p>
    <w:p>
      <w:pPr>
        <w:ind w:left="780" w:hanging="263"/>
        <w:spacing w:after="0"/>
        <w:tabs>
          <w:tab w:leader="none" w:pos="78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the extent permitted by Applicable Law, you may pay your Option exercise price as follows:</w:t>
      </w:r>
    </w:p>
    <w:p>
      <w:pPr>
        <w:spacing w:after="0" w:line="116" w:lineRule="exact"/>
        <w:rPr>
          <w:rFonts w:ascii="Times New Roman" w:cs="Times New Roman" w:eastAsia="Times New Roman" w:hAnsi="Times New Roman"/>
          <w:sz w:val="18"/>
          <w:szCs w:val="18"/>
          <w:b w:val="1"/>
          <w:bCs w:val="1"/>
          <w:color w:val="auto"/>
        </w:rPr>
      </w:pPr>
    </w:p>
    <w:p>
      <w:pPr>
        <w:ind w:left="1360" w:hanging="207"/>
        <w:spacing w:after="0"/>
        <w:tabs>
          <w:tab w:leader="none" w:pos="1360" w:val="left"/>
        </w:tabs>
        <w:numPr>
          <w:ilvl w:val="1"/>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cash, check, bank draft or money order;</w:t>
      </w:r>
    </w:p>
    <w:p>
      <w:pPr>
        <w:spacing w:after="0" w:line="224" w:lineRule="exact"/>
        <w:rPr>
          <w:rFonts w:ascii="Times New Roman" w:cs="Times New Roman" w:eastAsia="Times New Roman" w:hAnsi="Times New Roman"/>
          <w:sz w:val="18"/>
          <w:szCs w:val="18"/>
          <w:b w:val="1"/>
          <w:bCs w:val="1"/>
          <w:color w:val="auto"/>
        </w:rPr>
      </w:pPr>
    </w:p>
    <w:p>
      <w:pPr>
        <w:ind w:right="40" w:firstLine="1153"/>
        <w:spacing w:after="0" w:line="281" w:lineRule="auto"/>
        <w:tabs>
          <w:tab w:leader="none" w:pos="1410" w:val="left"/>
        </w:tabs>
        <w:numPr>
          <w:ilvl w:val="1"/>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Company and/or Committee consent at the time of exercise, pursuant to a “cashless exercise” program as further described in Section 4(c)(ii) of the Plan if at the time of exercise the Common Stock is publicly traded;</w:t>
      </w:r>
    </w:p>
    <w:p>
      <w:pPr>
        <w:spacing w:after="0" w:line="54" w:lineRule="exact"/>
        <w:rPr>
          <w:rFonts w:ascii="Times New Roman" w:cs="Times New Roman" w:eastAsia="Times New Roman" w:hAnsi="Times New Roman"/>
          <w:sz w:val="18"/>
          <w:szCs w:val="18"/>
          <w:b w:val="1"/>
          <w:bCs w:val="1"/>
          <w:color w:val="auto"/>
        </w:rPr>
      </w:pPr>
    </w:p>
    <w:p>
      <w:pPr>
        <w:ind w:right="260" w:firstLine="1153"/>
        <w:spacing w:after="0" w:line="281" w:lineRule="auto"/>
        <w:tabs>
          <w:tab w:leader="none" w:pos="1460" w:val="left"/>
        </w:tabs>
        <w:numPr>
          <w:ilvl w:val="1"/>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Company and/or Committee consent at the time of exercise, by delivery of previously owned shares of Common Stock as further described in Section 4(c)(iii) of the Plan; or</w:t>
      </w:r>
    </w:p>
    <w:p>
      <w:pPr>
        <w:spacing w:after="0" w:line="54" w:lineRule="exact"/>
        <w:rPr>
          <w:rFonts w:ascii="Times New Roman" w:cs="Times New Roman" w:eastAsia="Times New Roman" w:hAnsi="Times New Roman"/>
          <w:sz w:val="18"/>
          <w:szCs w:val="18"/>
          <w:b w:val="1"/>
          <w:bCs w:val="1"/>
          <w:color w:val="auto"/>
        </w:rPr>
      </w:pPr>
    </w:p>
    <w:p>
      <w:pPr>
        <w:ind w:right="20" w:firstLine="1153"/>
        <w:spacing w:after="0" w:line="281" w:lineRule="auto"/>
        <w:tabs>
          <w:tab w:leader="none" w:pos="1450" w:val="left"/>
        </w:tabs>
        <w:numPr>
          <w:ilvl w:val="1"/>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Company and/or Committee consent at the time of exercise, if the Option is a Nonstatutory Stock Option, by a “net exercise” arrangement as further described in Section 4(c)(iv) of the Plan.</w:t>
      </w:r>
    </w:p>
    <w:p>
      <w:pPr>
        <w:spacing w:after="0" w:line="54" w:lineRule="exact"/>
        <w:rPr>
          <w:rFonts w:ascii="Times New Roman" w:cs="Times New Roman" w:eastAsia="Times New Roman" w:hAnsi="Times New Roman"/>
          <w:sz w:val="18"/>
          <w:szCs w:val="18"/>
          <w:b w:val="1"/>
          <w:bCs w:val="1"/>
          <w:color w:val="auto"/>
        </w:rPr>
      </w:pPr>
    </w:p>
    <w:p>
      <w:pPr>
        <w:ind w:right="20" w:firstLine="517"/>
        <w:spacing w:after="0" w:line="256" w:lineRule="auto"/>
        <w:tabs>
          <w:tab w:leader="none" w:pos="753"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accepting your Option, you agree that you will not sell, dispose of, transfer, make any short sale of, grant any option for the purchase of, or enter into any hedging or similar transaction with the same economic effect as a sale with respect to any shares of Common Stock or other securities of the Company held by you, for a period of one hundred eighty (180) days following the effective date of a registration statement of the Company filed under the Securities Act or such longer period as the underwriters or the Company will request to facilitate compliance with FINRA Rule 2241 or any successor or similar rules or regulation (the “</w:t>
      </w:r>
      <w:r>
        <w:rPr>
          <w:rFonts w:ascii="Times New Roman" w:cs="Times New Roman" w:eastAsia="Times New Roman" w:hAnsi="Times New Roman"/>
          <w:sz w:val="18"/>
          <w:szCs w:val="18"/>
          <w:b w:val="1"/>
          <w:bCs w:val="1"/>
          <w:i w:val="1"/>
          <w:iCs w:val="1"/>
          <w:color w:val="auto"/>
        </w:rPr>
        <w:t>Lock-Up 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nothing contained in this section will prevent the exercise of a repurchase option, if any, in favor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88" w:name="page189"/>
    <w:bookmarkEnd w:id="188"/>
    <w:p>
      <w:pPr>
        <w:spacing w:after="0" w:line="8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Company during the Lock-Up Period. You further agree to execute and deliver such other agreements as may be reasonably requested by the Company or the underwriters that are consistent with the foregoing or that are necessary to give further effect thereto. In order to enforce the foregoing covenant, the Company may impose stop-transfer instructions with respect to your shares of Common Stock until the end of such period. You also agree that any transferee of any shares of Common Stock (or other securities) of the Company held by you will be bound by this Section 2(c). The underwriters of the Company’s stock are intended third party beneficiaries of this Section 2(c) and will have the right, power and authority to enforce the provisions hereof as though they were a party hereto.</w:t>
      </w:r>
    </w:p>
    <w:p>
      <w:pPr>
        <w:spacing w:after="0" w:line="182" w:lineRule="exact"/>
        <w:rPr>
          <w:sz w:val="20"/>
          <w:szCs w:val="20"/>
          <w:color w:val="auto"/>
        </w:rPr>
      </w:pPr>
    </w:p>
    <w:p>
      <w:pPr>
        <w:ind w:right="80" w:firstLine="517"/>
        <w:spacing w:after="0" w:line="286" w:lineRule="auto"/>
        <w:tabs>
          <w:tab w:leader="none" w:pos="689"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3"/>
          <w:szCs w:val="13"/>
          <w:b w:val="1"/>
          <w:bCs w:val="1"/>
          <w:color w:val="auto"/>
        </w:rPr>
        <w: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may not exercise your Option before the commencement of its term or after its term expires. The term of your Option commences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Date of Grant and expires upon the earliest of the following:</w:t>
      </w:r>
    </w:p>
    <w:p>
      <w:pPr>
        <w:spacing w:after="0" w:line="50" w:lineRule="exact"/>
        <w:rPr>
          <w:rFonts w:ascii="Times New Roman" w:cs="Times New Roman" w:eastAsia="Times New Roman" w:hAnsi="Times New Roman"/>
          <w:sz w:val="18"/>
          <w:szCs w:val="18"/>
          <w:b w:val="1"/>
          <w:bCs w:val="1"/>
          <w:color w:val="auto"/>
        </w:rPr>
      </w:pPr>
    </w:p>
    <w:p>
      <w:pPr>
        <w:ind w:left="1400" w:hanging="247"/>
        <w:spacing w:after="0"/>
        <w:tabs>
          <w:tab w:leader="none" w:pos="1400" w:val="left"/>
        </w:tabs>
        <w:numPr>
          <w:ilvl w:val="1"/>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immediately upon the termination of your Continuous Service for Cause;</w:t>
      </w:r>
    </w:p>
    <w:p>
      <w:pPr>
        <w:spacing w:after="0" w:line="116" w:lineRule="exact"/>
        <w:rPr>
          <w:rFonts w:ascii="Times New Roman" w:cs="Times New Roman" w:eastAsia="Times New Roman" w:hAnsi="Times New Roman"/>
          <w:sz w:val="18"/>
          <w:szCs w:val="18"/>
          <w:b w:val="1"/>
          <w:bCs w:val="1"/>
          <w:color w:val="auto"/>
        </w:rPr>
      </w:pPr>
    </w:p>
    <w:p>
      <w:pPr>
        <w:ind w:left="1420" w:hanging="267"/>
        <w:spacing w:after="0"/>
        <w:tabs>
          <w:tab w:leader="none" w:pos="1420" w:val="left"/>
        </w:tabs>
        <w:numPr>
          <w:ilvl w:val="1"/>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three months after the termination of your Continuous Service for any reason other than Cause, Disability or death;</w:t>
      </w:r>
    </w:p>
    <w:p>
      <w:pPr>
        <w:spacing w:after="0" w:line="116" w:lineRule="exact"/>
        <w:rPr>
          <w:rFonts w:ascii="Times New Roman" w:cs="Times New Roman" w:eastAsia="Times New Roman" w:hAnsi="Times New Roman"/>
          <w:sz w:val="18"/>
          <w:szCs w:val="18"/>
          <w:b w:val="1"/>
          <w:bCs w:val="1"/>
          <w:color w:val="auto"/>
        </w:rPr>
      </w:pPr>
    </w:p>
    <w:p>
      <w:pPr>
        <w:ind w:left="1400" w:hanging="247"/>
        <w:spacing w:after="0"/>
        <w:tabs>
          <w:tab w:leader="none" w:pos="1400" w:val="left"/>
        </w:tabs>
        <w:numPr>
          <w:ilvl w:val="1"/>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 months after the termination of your Continuous Service due to your Disability;</w:t>
      </w:r>
    </w:p>
    <w:p>
      <w:pPr>
        <w:spacing w:after="0" w:line="116" w:lineRule="exact"/>
        <w:rPr>
          <w:rFonts w:ascii="Times New Roman" w:cs="Times New Roman" w:eastAsia="Times New Roman" w:hAnsi="Times New Roman"/>
          <w:sz w:val="18"/>
          <w:szCs w:val="18"/>
          <w:b w:val="1"/>
          <w:bCs w:val="1"/>
          <w:color w:val="auto"/>
        </w:rPr>
      </w:pPr>
    </w:p>
    <w:p>
      <w:pPr>
        <w:ind w:left="1420" w:hanging="267"/>
        <w:spacing w:after="0"/>
        <w:tabs>
          <w:tab w:leader="none" w:pos="1420" w:val="left"/>
        </w:tabs>
        <w:numPr>
          <w:ilvl w:val="1"/>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18 months after your death if you die during your Continuous Service;</w:t>
      </w:r>
    </w:p>
    <w:p>
      <w:pPr>
        <w:spacing w:after="0" w:line="116" w:lineRule="exact"/>
        <w:rPr>
          <w:rFonts w:ascii="Times New Roman" w:cs="Times New Roman" w:eastAsia="Times New Roman" w:hAnsi="Times New Roman"/>
          <w:sz w:val="18"/>
          <w:szCs w:val="18"/>
          <w:b w:val="1"/>
          <w:bCs w:val="1"/>
          <w:color w:val="auto"/>
        </w:rPr>
      </w:pPr>
    </w:p>
    <w:p>
      <w:pPr>
        <w:ind w:left="1400" w:hanging="247"/>
        <w:spacing w:after="0"/>
        <w:tabs>
          <w:tab w:leader="none" w:pos="1400" w:val="left"/>
        </w:tabs>
        <w:numPr>
          <w:ilvl w:val="1"/>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immediately upon a Corporate Transaction if the Board has determined that the Option will terminate in connection with a Corporate</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Transaction,</w:t>
      </w:r>
    </w:p>
    <w:p>
      <w:pPr>
        <w:spacing w:after="0" w:line="98" w:lineRule="exact"/>
        <w:rPr>
          <w:rFonts w:ascii="Times New Roman" w:cs="Times New Roman" w:eastAsia="Times New Roman" w:hAnsi="Times New Roman"/>
          <w:sz w:val="18"/>
          <w:szCs w:val="18"/>
          <w:b w:val="1"/>
          <w:bCs w:val="1"/>
          <w:color w:val="auto"/>
        </w:rPr>
      </w:pPr>
    </w:p>
    <w:p>
      <w:pPr>
        <w:ind w:left="1380" w:hanging="227"/>
        <w:spacing w:after="0"/>
        <w:tabs>
          <w:tab w:leader="none" w:pos="1380" w:val="left"/>
        </w:tabs>
        <w:numPr>
          <w:ilvl w:val="1"/>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Expiration Date indicated in your Grant Notice; or</w:t>
      </w:r>
    </w:p>
    <w:p>
      <w:pPr>
        <w:spacing w:after="0" w:line="224" w:lineRule="exact"/>
        <w:rPr>
          <w:rFonts w:ascii="Times New Roman" w:cs="Times New Roman" w:eastAsia="Times New Roman" w:hAnsi="Times New Roman"/>
          <w:sz w:val="18"/>
          <w:szCs w:val="18"/>
          <w:b w:val="1"/>
          <w:bCs w:val="1"/>
          <w:color w:val="auto"/>
        </w:rPr>
      </w:pPr>
    </w:p>
    <w:p>
      <w:pPr>
        <w:ind w:left="1400" w:hanging="247"/>
        <w:spacing w:after="0"/>
        <w:tabs>
          <w:tab w:leader="none" w:pos="1400" w:val="left"/>
        </w:tabs>
        <w:numPr>
          <w:ilvl w:val="1"/>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day before the 10th anniversary of the Date of Grant.</w:t>
      </w:r>
    </w:p>
    <w:p>
      <w:pPr>
        <w:spacing w:after="0" w:line="22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Notwithstanding the foregoing, if you die during the period provided in Section 3(b) or 3(c) above, the term of your Option shall not expire until the earlier of (i) 18 months after your death, (ii) upon any termination of the Option in connection with a Corporate Transaction, (iii) the Expiration Date indicated in your Grant Notice, or (iv) the day before the tenth anniversary of the Date of Grant. Additionally, the Post-Termination Exercise Period of your Option may be extended as provided in Section 4(i) of the Plan.</w:t>
      </w:r>
    </w:p>
    <w:p>
      <w:pPr>
        <w:spacing w:after="0" w:line="74"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To obtain the federal income tax advantages associated with an Incentive Stock Option, the Code requires that at all times beginning on the date of grant of your Option and ending on the day three months before the date of your Option’s exercise, you must be an employee of the Company or an Affiliate, except in the event of your death or Disability. If the Company provides for the extended exercisability of your Option under certain circumstances for your benefit, your Option will not necessarily be treated as an Incentive Stock Option if you exercise your Option more than three months after the date your employment terminates.</w:t>
      </w:r>
    </w:p>
    <w:p>
      <w:pPr>
        <w:spacing w:after="0" w:line="70" w:lineRule="exact"/>
        <w:rPr>
          <w:sz w:val="20"/>
          <w:szCs w:val="20"/>
          <w:color w:val="auto"/>
        </w:rPr>
      </w:pPr>
    </w:p>
    <w:p>
      <w:pPr>
        <w:ind w:right="20" w:firstLine="517"/>
        <w:spacing w:after="0" w:line="254" w:lineRule="auto"/>
        <w:tabs>
          <w:tab w:leader="none" w:pos="689"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3"/>
          <w:szCs w:val="13"/>
          <w:b w:val="1"/>
          <w:bCs w:val="1"/>
          <w:color w:val="auto"/>
        </w:rPr>
        <w:t>ITHHOLDING</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3"/>
          <w:szCs w:val="13"/>
          <w:b w:val="1"/>
          <w:bCs w:val="1"/>
          <w:color w:val="auto"/>
        </w:rPr>
        <w:t>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further provided in Section 8 of the Plan: (a) you may not exercise your Option unless the applicable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withholding obligations are satisfied, and (b) at the time you exercise your Option, in whole or in part, or at any time thereafter as requested by the Company, you hereby authorize withholding from payroll and any other amounts payable to you, and otherwise agree to make adequate provision for (including by means of a “cashless exercise” pursuant to a program developed under Regulation T as promulgated by the Federal Reserve Board to the extent permitted by the Company), any sums required to satisfy the federal, state, local and foreign tax withholding obligations, if any, which arise in connection with the exercise of your Option in accordance with the withholding procedures established by the Company. Accordingly, you may not be able to exercise your Option even though the Option is vested, and the Company shall have no obligation to issue shares of Common Stock subject to your Option, unless and until such obligations are satisfied. In the event that the amount of the Company’s withholding obligation in connection with your Option was greater than the amount actually withheld by the Company, you agree to indemnify and hold the Company harmless from any failure by the Company to withhold the proper amount.</w:t>
      </w:r>
    </w:p>
    <w:p>
      <w:pPr>
        <w:spacing w:after="0" w:line="74" w:lineRule="exact"/>
        <w:rPr>
          <w:rFonts w:ascii="Times New Roman" w:cs="Times New Roman" w:eastAsia="Times New Roman" w:hAnsi="Times New Roman"/>
          <w:sz w:val="18"/>
          <w:szCs w:val="18"/>
          <w:b w:val="1"/>
          <w:bCs w:val="1"/>
          <w:color w:val="auto"/>
        </w:rPr>
      </w:pPr>
    </w:p>
    <w:p>
      <w:pPr>
        <w:ind w:right="20" w:firstLine="517"/>
        <w:spacing w:after="0" w:line="268" w:lineRule="auto"/>
        <w:tabs>
          <w:tab w:leader="none" w:pos="689"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3"/>
          <w:szCs w:val="13"/>
          <w:b w:val="1"/>
          <w:bCs w:val="1"/>
          <w:color w:val="auto"/>
        </w:rPr>
        <w:t>NCENTIVE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3"/>
          <w:szCs w:val="13"/>
          <w:b w:val="1"/>
          <w:bCs w:val="1"/>
          <w:color w:val="auto"/>
        </w:rPr>
        <w:t>PTION</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3"/>
          <w:szCs w:val="13"/>
          <w:b w:val="1"/>
          <w:bCs w:val="1"/>
          <w:color w:val="auto"/>
        </w:rPr>
        <w:t>ISPOSITION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3"/>
          <w:szCs w:val="13"/>
          <w:b w:val="1"/>
          <w:bCs w:val="1"/>
          <w:color w:val="auto"/>
        </w:rPr>
        <w:t>EQUIREMENT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your Option is an Incentive Stock Option, you must notify the Company in writing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within 15 days after the date of any disposition of any of the shares of the Common Stock issued upon exercise of your Option that occurs within two years after the date of your Option grant or within one year after such shares of Common Stock are transferred upon exercise of your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862965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89" w:name="page190"/>
    <w:bookmarkEnd w:id="189"/>
    <w:p>
      <w:pPr>
        <w:spacing w:after="0" w:line="80" w:lineRule="exact"/>
        <w:rPr>
          <w:sz w:val="20"/>
          <w:szCs w:val="20"/>
          <w:color w:val="auto"/>
        </w:rPr>
      </w:pPr>
    </w:p>
    <w:p>
      <w:pPr>
        <w:ind w:left="-8" w:right="180" w:firstLine="517"/>
        <w:spacing w:after="0" w:line="286" w:lineRule="auto"/>
        <w:tabs>
          <w:tab w:leader="none" w:pos="681" w:val="left"/>
        </w:tabs>
        <w:numPr>
          <w:ilvl w:val="1"/>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3"/>
          <w:szCs w:val="13"/>
          <w:b w:val="1"/>
          <w:bCs w:val="1"/>
          <w:color w:val="auto"/>
        </w:rPr>
        <w:t>RANSFERABILITY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otherwise provided in Section 4(e) of the Plan, your Option is not transferable, except by will or by the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of descent and distribution, and is exercisable during your life only by you.</w:t>
      </w:r>
    </w:p>
    <w:p>
      <w:pPr>
        <w:spacing w:after="0" w:line="46" w:lineRule="exact"/>
        <w:rPr>
          <w:rFonts w:ascii="Times New Roman" w:cs="Times New Roman" w:eastAsia="Times New Roman" w:hAnsi="Times New Roman"/>
          <w:sz w:val="18"/>
          <w:szCs w:val="18"/>
          <w:b w:val="1"/>
          <w:bCs w:val="1"/>
          <w:color w:val="auto"/>
        </w:rPr>
      </w:pPr>
    </w:p>
    <w:p>
      <w:pPr>
        <w:jc w:val="both"/>
        <w:ind w:left="-8" w:right="320" w:firstLine="517"/>
        <w:spacing w:after="0" w:line="268" w:lineRule="auto"/>
        <w:tabs>
          <w:tab w:leader="none" w:pos="681" w:val="left"/>
        </w:tabs>
        <w:numPr>
          <w:ilvl w:val="1"/>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3"/>
          <w:szCs w:val="13"/>
          <w:b w:val="1"/>
          <w:bCs w:val="1"/>
          <w:color w:val="auto"/>
        </w:rPr>
        <w:t>ORPORATE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3"/>
          <w:szCs w:val="13"/>
          <w:b w:val="1"/>
          <w:bCs w:val="1"/>
          <w:color w:val="auto"/>
        </w:rPr>
        <w:t>RANSACTION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Option is subject to the terms of any agreement governing a Corporate Transaction involving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without limitation, a provision for the appointment of a stockholder representative that is authorized to act on your behalf with respect to any escrow, indemnities and any contingent consideration.</w:t>
      </w:r>
    </w:p>
    <w:p>
      <w:pPr>
        <w:spacing w:after="0" w:line="169" w:lineRule="exact"/>
        <w:rPr>
          <w:rFonts w:ascii="Times New Roman" w:cs="Times New Roman" w:eastAsia="Times New Roman" w:hAnsi="Times New Roman"/>
          <w:sz w:val="18"/>
          <w:szCs w:val="18"/>
          <w:b w:val="1"/>
          <w:bCs w:val="1"/>
          <w:color w:val="auto"/>
        </w:rPr>
      </w:pPr>
    </w:p>
    <w:p>
      <w:pPr>
        <w:ind w:left="-8" w:firstLine="517"/>
        <w:spacing w:after="0" w:line="255" w:lineRule="auto"/>
        <w:tabs>
          <w:tab w:leader="none" w:pos="681" w:val="left"/>
        </w:tabs>
        <w:numPr>
          <w:ilvl w:val="1"/>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3"/>
          <w:szCs w:val="13"/>
          <w:b w:val="1"/>
          <w:bCs w:val="1"/>
          <w:color w:val="auto"/>
        </w:rPr>
        <w:t>O</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3"/>
          <w:szCs w:val="13"/>
          <w:b w:val="1"/>
          <w:bCs w:val="1"/>
          <w:color w:val="auto"/>
        </w:rPr>
        <w:t>IABILITY FOR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3"/>
          <w:szCs w:val="13"/>
          <w:b w:val="1"/>
          <w:bCs w:val="1"/>
          <w:color w:val="auto"/>
        </w:rPr>
        <w:t>AXES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 condition to accepting the Option, you hereby (a) agree to not make any claim against the Company, or any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Directors, Employees or Affiliates related to tax liabilities arising from the Option or other Company compensation and (b) acknowledge that you were advised to consult with your own personal tax, financial and other legal advisors regarding the tax consequences of the Option and have either done so or knowingly and voluntarily declined to do so. Additionally, you acknowledge that the Option is exempt from Section 409A only if the exercise price is at least equal to the “fair market value” of the Common Stock on the date of grant as determined by the Internal Revenue Service and there is no other impermissible deferral of compensation associated with the Option. Additionally, as a condition to accepting the Option, you agree not make any claim against the Company, or any of its Officers, Directors, Employees or Affiliates in the event that the Internal Revenue Service asserts that such exercise is less than the “fair market value” of the Common Stock on the date of grant as subsequently determined by the Internal Revenue Service.</w:t>
      </w:r>
    </w:p>
    <w:p>
      <w:pPr>
        <w:spacing w:after="0" w:line="74" w:lineRule="exact"/>
        <w:rPr>
          <w:rFonts w:ascii="Times New Roman" w:cs="Times New Roman" w:eastAsia="Times New Roman" w:hAnsi="Times New Roman"/>
          <w:sz w:val="18"/>
          <w:szCs w:val="18"/>
          <w:b w:val="1"/>
          <w:bCs w:val="1"/>
          <w:color w:val="auto"/>
        </w:rPr>
      </w:pPr>
    </w:p>
    <w:p>
      <w:pPr>
        <w:ind w:left="-8" w:firstLine="517"/>
        <w:spacing w:after="0" w:line="262" w:lineRule="auto"/>
        <w:tabs>
          <w:tab w:leader="none" w:pos="681" w:val="left"/>
        </w:tabs>
        <w:numPr>
          <w:ilvl w:val="1"/>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3"/>
          <w:szCs w:val="13"/>
          <w:b w:val="1"/>
          <w:bCs w:val="1"/>
          <w:color w:val="auto"/>
        </w:rPr>
        <w:t>EVERABILITY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any part of this Option Agreement or the Plan is declared by any court or governmental authority to be unlawful or invalid,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unlawfulness or invalidity will not invalidate any portion of this Option Agreement or the Plan not declared to be unlawful or invalid. Any Section of this Option Agreement (or part of such a Section) so declared to be unlawful or invalid will, if possible, be construed in a manner which will give effect to the terms of such Section or part of a Section to the fullest extent possible while remaining lawful and valid</w:t>
      </w:r>
    </w:p>
    <w:p>
      <w:pPr>
        <w:spacing w:after="0" w:line="67" w:lineRule="exact"/>
        <w:rPr>
          <w:rFonts w:ascii="Times New Roman" w:cs="Times New Roman" w:eastAsia="Times New Roman" w:hAnsi="Times New Roman"/>
          <w:sz w:val="18"/>
          <w:szCs w:val="18"/>
          <w:b w:val="1"/>
          <w:bCs w:val="1"/>
          <w:color w:val="auto"/>
        </w:rPr>
      </w:pPr>
    </w:p>
    <w:p>
      <w:pPr>
        <w:ind w:left="772" w:hanging="263"/>
        <w:spacing w:after="0"/>
        <w:tabs>
          <w:tab w:leader="none" w:pos="772" w:val="left"/>
        </w:tabs>
        <w:numPr>
          <w:ilvl w:val="1"/>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3"/>
          <w:szCs w:val="13"/>
          <w:b w:val="1"/>
          <w:bCs w:val="1"/>
          <w:color w:val="auto"/>
        </w:rPr>
        <w:t>THER</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3"/>
          <w:szCs w:val="13"/>
          <w:b w:val="1"/>
          <w:bCs w:val="1"/>
          <w:color w:val="auto"/>
        </w:rPr>
        <w:t>OCUMENTS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hereby acknowledge receipt of or the right to receive a document providing the information required by Rule 428(b)</w:t>
      </w:r>
    </w:p>
    <w:p>
      <w:pPr>
        <w:spacing w:after="0" w:line="31" w:lineRule="exact"/>
        <w:rPr>
          <w:rFonts w:ascii="Times New Roman" w:cs="Times New Roman" w:eastAsia="Times New Roman" w:hAnsi="Times New Roman"/>
          <w:sz w:val="18"/>
          <w:szCs w:val="18"/>
          <w:b w:val="1"/>
          <w:bCs w:val="1"/>
          <w:color w:val="auto"/>
        </w:rPr>
      </w:pPr>
    </w:p>
    <w:p>
      <w:pPr>
        <w:ind w:left="252" w:hanging="252"/>
        <w:spacing w:after="0"/>
        <w:tabs>
          <w:tab w:leader="none" w:pos="252"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promulgated under the Securities Act, which includes the Prospectus. In addition, you acknowledge receipt of the Company’s Trading Policy.</w:t>
      </w:r>
    </w:p>
    <w:p>
      <w:pPr>
        <w:spacing w:after="0" w:line="94" w:lineRule="exact"/>
        <w:rPr>
          <w:rFonts w:ascii="Times New Roman" w:cs="Times New Roman" w:eastAsia="Times New Roman" w:hAnsi="Times New Roman"/>
          <w:sz w:val="18"/>
          <w:szCs w:val="18"/>
          <w:color w:val="auto"/>
        </w:rPr>
      </w:pPr>
    </w:p>
    <w:p>
      <w:pPr>
        <w:ind w:left="-8" w:right="440" w:firstLine="517"/>
        <w:spacing w:after="0" w:line="286" w:lineRule="auto"/>
        <w:tabs>
          <w:tab w:leader="none" w:pos="761" w:val="left"/>
        </w:tabs>
        <w:numPr>
          <w:ilvl w:val="1"/>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w:t>
      </w:r>
      <w:r>
        <w:rPr>
          <w:rFonts w:ascii="Times New Roman" w:cs="Times New Roman" w:eastAsia="Times New Roman" w:hAnsi="Times New Roman"/>
          <w:sz w:val="13"/>
          <w:szCs w:val="13"/>
          <w:b w:val="1"/>
          <w:bCs w:val="1"/>
          <w:color w:val="auto"/>
        </w:rPr>
        <w:t>UESTIONS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you have questions regarding these or any other terms and conditions applicable to your Option, including a summary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federal income tax consequences please see the Prospectus.</w:t>
      </w:r>
    </w:p>
    <w:p>
      <w:pPr>
        <w:spacing w:after="0" w:line="153" w:lineRule="exact"/>
        <w:rPr>
          <w:rFonts w:ascii="Times New Roman" w:cs="Times New Roman" w:eastAsia="Times New Roman" w:hAnsi="Times New Roman"/>
          <w:sz w:val="18"/>
          <w:szCs w:val="18"/>
          <w:b w:val="1"/>
          <w:bCs w:val="1"/>
          <w:color w:val="auto"/>
        </w:rPr>
      </w:pPr>
    </w:p>
    <w:p>
      <w:pPr>
        <w:ind w:left="537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1034415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40" w:right="359" w:bottom="1440" w:gutter="0" w:footer="0" w:header="0"/>
        </w:sectPr>
      </w:pPr>
    </w:p>
    <w:bookmarkStart w:id="190" w:name="page191"/>
    <w:bookmarkEnd w:id="190"/>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3"/>
          <w:szCs w:val="13"/>
          <w:b w:val="1"/>
          <w:bCs w:val="1"/>
          <w:color w:val="auto"/>
        </w:rPr>
        <w:t>TTACHMENT</w:t>
      </w:r>
      <w:r>
        <w:rPr>
          <w:rFonts w:ascii="Times New Roman" w:cs="Times New Roman" w:eastAsia="Times New Roman" w:hAnsi="Times New Roman"/>
          <w:sz w:val="18"/>
          <w:szCs w:val="18"/>
          <w:b w:val="1"/>
          <w:bCs w:val="1"/>
          <w:color w:val="auto"/>
        </w:rPr>
        <w:t xml:space="preserve"> 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2021 E</w:t>
      </w:r>
      <w:r>
        <w:rPr>
          <w:rFonts w:ascii="Times New Roman" w:cs="Times New Roman" w:eastAsia="Times New Roman" w:hAnsi="Times New Roman"/>
          <w:sz w:val="13"/>
          <w:szCs w:val="13"/>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3"/>
          <w:szCs w:val="13"/>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3"/>
          <w:szCs w:val="13"/>
          <w:b w:val="1"/>
          <w:bCs w:val="1"/>
          <w:color w:val="auto"/>
        </w:rPr>
        <w:t>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1034415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91" w:name="page192"/>
    <w:bookmarkEnd w:id="191"/>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3"/>
          <w:szCs w:val="13"/>
          <w:b w:val="1"/>
          <w:bCs w:val="1"/>
          <w:color w:val="auto"/>
        </w:rPr>
        <w:t>TTACHMENT</w:t>
      </w:r>
      <w:r>
        <w:rPr>
          <w:rFonts w:ascii="Times New Roman" w:cs="Times New Roman" w:eastAsia="Times New Roman" w:hAnsi="Times New Roman"/>
          <w:sz w:val="18"/>
          <w:szCs w:val="18"/>
          <w:b w:val="1"/>
          <w:bCs w:val="1"/>
          <w:color w:val="auto"/>
        </w:rPr>
        <w:t xml:space="preserv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3"/>
          <w:szCs w:val="13"/>
          <w:b w:val="1"/>
          <w:bCs w:val="1"/>
          <w:color w:val="auto"/>
        </w:rPr>
        <w:t>OTICE OF</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3"/>
          <w:szCs w:val="13"/>
          <w:b w:val="1"/>
          <w:bCs w:val="1"/>
          <w:color w:val="auto"/>
        </w:rPr>
        <w:t>XERCISE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(2021 E</w:t>
      </w:r>
      <w:r>
        <w:rPr>
          <w:rFonts w:ascii="Times New Roman" w:cs="Times New Roman" w:eastAsia="Times New Roman" w:hAnsi="Times New Roman"/>
          <w:sz w:val="13"/>
          <w:szCs w:val="13"/>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3"/>
          <w:szCs w:val="13"/>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3"/>
          <w:szCs w:val="13"/>
          <w:b w:val="1"/>
          <w:bCs w:val="1"/>
          <w:color w:val="auto"/>
        </w:rPr>
        <w:t>LAN</w:t>
      </w:r>
      <w:r>
        <w:rPr>
          <w:rFonts w:ascii="Times New Roman" w:cs="Times New Roman" w:eastAsia="Times New Roman" w:hAnsi="Times New Roman"/>
          <w:sz w:val="18"/>
          <w:szCs w:val="18"/>
          <w:b w:val="1"/>
          <w:bCs w:val="1"/>
          <w:color w:val="auto"/>
        </w:rPr>
        <w: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1601 TRAPELO RD. SUITE 178</w:t>
      </w:r>
    </w:p>
    <w:p>
      <w:pPr>
        <w:spacing w:after="0" w:line="247" w:lineRule="exact"/>
        <w:rPr>
          <w:sz w:val="20"/>
          <w:szCs w:val="20"/>
          <w:color w:val="auto"/>
        </w:rPr>
      </w:pPr>
    </w:p>
    <w:p>
      <w:pPr>
        <w:ind w:left="20"/>
        <w:spacing w:after="0"/>
        <w:tabs>
          <w:tab w:leader="none" w:pos="8480" w:val="left"/>
        </w:tabs>
        <w:rPr>
          <w:sz w:val="20"/>
          <w:szCs w:val="20"/>
          <w:color w:val="auto"/>
        </w:rPr>
      </w:pPr>
      <w:r>
        <w:rPr>
          <w:rFonts w:ascii="Times New Roman" w:cs="Times New Roman" w:eastAsia="Times New Roman" w:hAnsi="Times New Roman"/>
          <w:sz w:val="18"/>
          <w:szCs w:val="18"/>
          <w:color w:val="auto"/>
        </w:rPr>
        <w:t>W</w:t>
      </w:r>
      <w:r>
        <w:rPr>
          <w:rFonts w:ascii="Times New Roman" w:cs="Times New Roman" w:eastAsia="Times New Roman" w:hAnsi="Times New Roman"/>
          <w:sz w:val="13"/>
          <w:szCs w:val="13"/>
          <w:color w:val="auto"/>
        </w:rPr>
        <w:t>ALTHAM</w:t>
      </w:r>
      <w:r>
        <w:rPr>
          <w:rFonts w:ascii="Times New Roman" w:cs="Times New Roman" w:eastAsia="Times New Roman" w:hAnsi="Times New Roman"/>
          <w:sz w:val="18"/>
          <w:szCs w:val="18"/>
          <w:color w:val="auto"/>
        </w:rPr>
        <w:t>, MA 02451</w:t>
      </w:r>
      <w:r>
        <w:rPr>
          <w:sz w:val="20"/>
          <w:szCs w:val="20"/>
          <w:color w:val="auto"/>
        </w:rPr>
        <w:tab/>
      </w:r>
      <w:r>
        <w:rPr>
          <w:rFonts w:ascii="Times New Roman" w:cs="Times New Roman" w:eastAsia="Times New Roman" w:hAnsi="Times New Roman"/>
          <w:sz w:val="17"/>
          <w:szCs w:val="17"/>
          <w:color w:val="auto"/>
        </w:rPr>
        <w:t>Date of Exercise:</w:t>
      </w:r>
    </w:p>
    <w:p>
      <w:pPr>
        <w:spacing w:after="0" w:line="234" w:lineRule="exact"/>
        <w:rPr>
          <w:sz w:val="20"/>
          <w:szCs w:val="20"/>
          <w:color w:val="auto"/>
        </w:rPr>
      </w:pPr>
    </w:p>
    <w:p>
      <w:pPr>
        <w:ind w:right="60" w:firstLine="509"/>
        <w:spacing w:after="0" w:line="259" w:lineRule="auto"/>
        <w:rPr>
          <w:sz w:val="20"/>
          <w:szCs w:val="20"/>
          <w:color w:val="auto"/>
        </w:rPr>
      </w:pPr>
      <w:r>
        <w:rPr>
          <w:rFonts w:ascii="Times New Roman" w:cs="Times New Roman" w:eastAsia="Times New Roman" w:hAnsi="Times New Roman"/>
          <w:sz w:val="18"/>
          <w:szCs w:val="18"/>
          <w:color w:val="auto"/>
        </w:rPr>
        <w:t>This constitutes notice to Invivyd,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that I elect to purchase the below number of shares of Common Stock of the Company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by exercising my Option for the price set forth below. Capitalized terms not explicitly defined in this Notice of Exercise but defined in the Stock Option Grant Notice, Stock Option Agreement or 2021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shall have the meanings set forth in the Stock Option Grant Notice, Stock Option Agreement or Plan, as applicable. Use of certain payment methods is subject to Company and/or Committee consent and certain additional requirements set forth in the Stock Option Agreement and the Plan.</w:t>
      </w:r>
    </w:p>
    <w:p>
      <w:pPr>
        <w:spacing w:after="0" w:line="227" w:lineRule="exact"/>
        <w:rPr>
          <w:sz w:val="20"/>
          <w:szCs w:val="20"/>
          <w:color w:val="auto"/>
        </w:rPr>
      </w:pPr>
    </w:p>
    <w:p>
      <w:pPr>
        <w:ind w:left="20"/>
        <w:spacing w:after="0" w:line="161" w:lineRule="exact"/>
        <w:tabs>
          <w:tab w:leader="none" w:pos="8040" w:val="left"/>
          <w:tab w:leader="none" w:pos="10080" w:val="left"/>
        </w:tabs>
        <w:rPr>
          <w:sz w:val="20"/>
          <w:szCs w:val="20"/>
          <w:color w:val="auto"/>
        </w:rPr>
      </w:pPr>
      <w:r>
        <w:rPr>
          <w:rFonts w:ascii="Times New Roman" w:cs="Times New Roman" w:eastAsia="Times New Roman" w:hAnsi="Times New Roman"/>
          <w:sz w:val="14"/>
          <w:szCs w:val="14"/>
          <w:color w:val="auto"/>
        </w:rPr>
        <w:t>Type of option (check one):</w:t>
      </w:r>
      <w:r>
        <w:rPr>
          <w:sz w:val="20"/>
          <w:szCs w:val="20"/>
          <w:color w:val="auto"/>
        </w:rPr>
        <w:tab/>
      </w:r>
      <w:r>
        <w:rPr>
          <w:rFonts w:ascii="Times New Roman" w:cs="Times New Roman" w:eastAsia="Times New Roman" w:hAnsi="Times New Roman"/>
          <w:sz w:val="14"/>
          <w:szCs w:val="14"/>
          <w:color w:val="auto"/>
        </w:rPr>
        <w:t xml:space="preserve">Incentive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Nonstatutory </w:t>
      </w:r>
      <w:r>
        <w:rPr>
          <w:rFonts w:ascii="MS PGothic" w:cs="MS PGothic" w:eastAsia="MS PGothic" w:hAnsi="MS PGothic"/>
          <w:sz w:val="14"/>
          <w:szCs w:val="14"/>
          <w:color w:val="auto"/>
        </w:rPr>
        <w:t>☐</w:t>
      </w:r>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4782820</wp:posOffset>
            </wp:positionH>
            <wp:positionV relativeFrom="paragraph">
              <wp:posOffset>154305</wp:posOffset>
            </wp:positionV>
            <wp:extent cx="113030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7">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spacing w:after="0" w:line="2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Number of Shares as to which Option is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4782820</wp:posOffset>
            </wp:positionH>
            <wp:positionV relativeFrom="paragraph">
              <wp:posOffset>154305</wp:posOffset>
            </wp:positionV>
            <wp:extent cx="113030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8">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spacing w:after="0" w:line="2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Certificates to be issued in name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4782820</wp:posOffset>
            </wp:positionH>
            <wp:positionV relativeFrom="paragraph">
              <wp:posOffset>154305</wp:posOffset>
            </wp:positionV>
            <wp:extent cx="113030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0">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4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Total exercise price:</w:t>
            </w:r>
          </w:p>
        </w:tc>
        <w:tc>
          <w:tcPr>
            <w:tcW w:w="3900" w:type="dxa"/>
            <w:vAlign w:val="bottom"/>
          </w:tcPr>
          <w:p>
            <w:pPr>
              <w:spacing w:after="0"/>
              <w:rPr>
                <w:sz w:val="20"/>
                <w:szCs w:val="20"/>
                <w:color w:val="auto"/>
              </w:rPr>
            </w:pPr>
          </w:p>
        </w:tc>
        <w:tc>
          <w:tcPr>
            <w:tcW w:w="4900" w:type="dxa"/>
            <w:vAlign w:val="bottom"/>
          </w:tcPr>
          <w:p>
            <w:pPr>
              <w:jc w:val="right"/>
              <w:ind w:right="353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634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Cash, check, bank draft or money order delivered herewith:</w:t>
            </w:r>
          </w:p>
        </w:tc>
        <w:tc>
          <w:tcPr>
            <w:tcW w:w="4900" w:type="dxa"/>
            <w:vAlign w:val="bottom"/>
            <w:shd w:val="clear" w:color="auto" w:fill="CCEEFF"/>
          </w:tcPr>
          <w:p>
            <w:pPr>
              <w:jc w:val="right"/>
              <w:ind w:right="3530"/>
              <w:spacing w:after="0"/>
              <w:rPr>
                <w:sz w:val="20"/>
                <w:szCs w:val="20"/>
                <w:color w:val="auto"/>
              </w:rPr>
            </w:pPr>
            <w:r>
              <w:rPr>
                <w:rFonts w:ascii="Times New Roman" w:cs="Times New Roman" w:eastAsia="Times New Roman" w:hAnsi="Times New Roman"/>
                <w:sz w:val="18"/>
                <w:szCs w:val="18"/>
                <w:color w:val="auto"/>
              </w:rPr>
              <w:t>$</w:t>
            </w:r>
          </w:p>
        </w:tc>
      </w:tr>
      <w:tr>
        <w:trPr>
          <w:trHeight w:val="189"/>
        </w:trPr>
        <w:tc>
          <w:tcPr>
            <w:tcW w:w="2440" w:type="dxa"/>
            <w:vAlign w:val="bottom"/>
            <w:gridSpan w:val="2"/>
          </w:tcPr>
          <w:p>
            <w:pPr>
              <w:ind w:left="880"/>
              <w:spacing w:after="0" w:line="189" w:lineRule="exact"/>
              <w:rPr>
                <w:sz w:val="20"/>
                <w:szCs w:val="20"/>
                <w:color w:val="auto"/>
              </w:rPr>
            </w:pPr>
            <w:r>
              <w:rPr>
                <w:rFonts w:ascii="Times New Roman" w:cs="Times New Roman" w:eastAsia="Times New Roman" w:hAnsi="Times New Roman"/>
                <w:sz w:val="18"/>
                <w:szCs w:val="18"/>
                <w:color w:val="auto"/>
              </w:rPr>
              <w:t>Value of</w:t>
            </w:r>
          </w:p>
        </w:tc>
        <w:tc>
          <w:tcPr>
            <w:tcW w:w="390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rPr>
              <w:t>Shares delivered herewith:</w:t>
            </w:r>
          </w:p>
        </w:tc>
        <w:tc>
          <w:tcPr>
            <w:tcW w:w="4900" w:type="dxa"/>
            <w:vAlign w:val="bottom"/>
          </w:tcPr>
          <w:p>
            <w:pPr>
              <w:jc w:val="right"/>
              <w:ind w:right="3530"/>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34"/>
        </w:trPr>
        <w:tc>
          <w:tcPr>
            <w:tcW w:w="154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390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43"/>
        </w:trPr>
        <w:tc>
          <w:tcPr>
            <w:tcW w:w="634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Regulation T Program (cashless exercise)</w:t>
            </w:r>
          </w:p>
        </w:tc>
        <w:tc>
          <w:tcPr>
            <w:tcW w:w="4900" w:type="dxa"/>
            <w:vAlign w:val="bottom"/>
            <w:shd w:val="clear" w:color="auto" w:fill="CCEEFF"/>
          </w:tcPr>
          <w:p>
            <w:pPr>
              <w:jc w:val="right"/>
              <w:ind w:right="3530"/>
              <w:spacing w:after="0"/>
              <w:rPr>
                <w:sz w:val="20"/>
                <w:szCs w:val="20"/>
                <w:color w:val="auto"/>
              </w:rPr>
            </w:pPr>
            <w:r>
              <w:rPr>
                <w:rFonts w:ascii="Times New Roman" w:cs="Times New Roman" w:eastAsia="Times New Roman" w:hAnsi="Times New Roman"/>
                <w:sz w:val="18"/>
                <w:szCs w:val="18"/>
                <w:color w:val="auto"/>
              </w:rPr>
              <w:t>$</w:t>
            </w:r>
          </w:p>
        </w:tc>
      </w:tr>
      <w:tr>
        <w:trPr>
          <w:trHeight w:val="189"/>
        </w:trPr>
        <w:tc>
          <w:tcPr>
            <w:tcW w:w="2440" w:type="dxa"/>
            <w:vAlign w:val="bottom"/>
            <w:gridSpan w:val="2"/>
          </w:tcPr>
          <w:p>
            <w:pPr>
              <w:ind w:left="880"/>
              <w:spacing w:after="0" w:line="189" w:lineRule="exact"/>
              <w:rPr>
                <w:sz w:val="20"/>
                <w:szCs w:val="20"/>
                <w:color w:val="auto"/>
              </w:rPr>
            </w:pPr>
            <w:r>
              <w:rPr>
                <w:rFonts w:ascii="Times New Roman" w:cs="Times New Roman" w:eastAsia="Times New Roman" w:hAnsi="Times New Roman"/>
                <w:sz w:val="18"/>
                <w:szCs w:val="18"/>
                <w:color w:val="auto"/>
              </w:rPr>
              <w:t>Value of</w:t>
            </w:r>
          </w:p>
        </w:tc>
        <w:tc>
          <w:tcPr>
            <w:tcW w:w="390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rPr>
              <w:t>Shares pursuant to net exercise:</w:t>
            </w:r>
          </w:p>
        </w:tc>
        <w:tc>
          <w:tcPr>
            <w:tcW w:w="4900" w:type="dxa"/>
            <w:vAlign w:val="bottom"/>
          </w:tcPr>
          <w:p>
            <w:pPr>
              <w:jc w:val="right"/>
              <w:ind w:right="3530"/>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250"/>
        </w:trPr>
        <w:tc>
          <w:tcPr>
            <w:tcW w:w="1540" w:type="dxa"/>
            <w:vAlign w:val="bottom"/>
            <w:tcBorders>
              <w:bottom w:val="single" w:sz="8" w:color="999999"/>
            </w:tcBorders>
          </w:tcPr>
          <w:p>
            <w:pPr>
              <w:spacing w:after="0"/>
              <w:rPr>
                <w:sz w:val="21"/>
                <w:szCs w:val="21"/>
                <w:color w:val="auto"/>
              </w:rPr>
            </w:pPr>
          </w:p>
        </w:tc>
        <w:tc>
          <w:tcPr>
            <w:tcW w:w="900" w:type="dxa"/>
            <w:vAlign w:val="bottom"/>
            <w:tcBorders>
              <w:top w:val="single" w:sz="8" w:color="auto"/>
              <w:bottom w:val="single" w:sz="8" w:color="999999"/>
            </w:tcBorders>
          </w:tcPr>
          <w:p>
            <w:pPr>
              <w:spacing w:after="0"/>
              <w:rPr>
                <w:sz w:val="21"/>
                <w:szCs w:val="21"/>
                <w:color w:val="auto"/>
              </w:rPr>
            </w:pPr>
          </w:p>
        </w:tc>
        <w:tc>
          <w:tcPr>
            <w:tcW w:w="3900" w:type="dxa"/>
            <w:vAlign w:val="bottom"/>
            <w:tcBorders>
              <w:bottom w:val="single" w:sz="8" w:color="999999"/>
            </w:tcBorders>
          </w:tcPr>
          <w:p>
            <w:pPr>
              <w:spacing w:after="0"/>
              <w:rPr>
                <w:sz w:val="21"/>
                <w:szCs w:val="21"/>
                <w:color w:val="auto"/>
              </w:rPr>
            </w:pPr>
          </w:p>
        </w:tc>
        <w:tc>
          <w:tcPr>
            <w:tcW w:w="4900" w:type="dxa"/>
            <w:vAlign w:val="bottom"/>
            <w:tcBorders>
              <w:bottom w:val="single" w:sz="8" w:color="999999"/>
            </w:tcBorders>
          </w:tcPr>
          <w:p>
            <w:pPr>
              <w:spacing w:after="0"/>
              <w:rPr>
                <w:sz w:val="21"/>
                <w:szCs w:val="21"/>
                <w:color w:val="auto"/>
              </w:rPr>
            </w:pPr>
          </w:p>
        </w:tc>
      </w:tr>
    </w:tbl>
    <w:p>
      <w:pPr>
        <w:spacing w:after="0" w:line="197" w:lineRule="exact"/>
        <w:rPr>
          <w:sz w:val="20"/>
          <w:szCs w:val="20"/>
          <w:color w:val="auto"/>
        </w:rPr>
      </w:pPr>
    </w:p>
    <w:p>
      <w:pPr>
        <w:ind w:right="80" w:firstLine="509"/>
        <w:spacing w:after="0" w:line="260" w:lineRule="auto"/>
        <w:rPr>
          <w:sz w:val="20"/>
          <w:szCs w:val="20"/>
          <w:color w:val="auto"/>
        </w:rPr>
      </w:pPr>
      <w:r>
        <w:rPr>
          <w:rFonts w:ascii="Times New Roman" w:cs="Times New Roman" w:eastAsia="Times New Roman" w:hAnsi="Times New Roman"/>
          <w:sz w:val="18"/>
          <w:szCs w:val="18"/>
          <w:color w:val="auto"/>
        </w:rPr>
        <w:t>By this exercise, I agree (i) to provide such additional documents as you may require pursuant to the terms of the Plan, (ii) to satisfy the tax withholding obligations, if any, relating to the exercise of this Option as set forth in the Stock Option Agreement, and (iii) if this exercise relates to an incentive stock option, to notify you in writing within 15 days after the date of any disposition of any of the Shares issued upon exercise of this Option that occurs within two years after the Date of Grant or within one year after such Shares are issued upon exercise of this Option.</w:t>
      </w:r>
    </w:p>
    <w:p>
      <w:pPr>
        <w:spacing w:after="0" w:line="182" w:lineRule="exact"/>
        <w:rPr>
          <w:sz w:val="20"/>
          <w:szCs w:val="20"/>
          <w:color w:val="auto"/>
        </w:rPr>
      </w:pPr>
    </w:p>
    <w:p>
      <w:pPr>
        <w:ind w:right="60" w:firstLine="509"/>
        <w:spacing w:after="0" w:line="271" w:lineRule="auto"/>
        <w:rPr>
          <w:sz w:val="20"/>
          <w:szCs w:val="20"/>
          <w:color w:val="auto"/>
        </w:rPr>
      </w:pPr>
      <w:r>
        <w:rPr>
          <w:rFonts w:ascii="Times New Roman" w:cs="Times New Roman" w:eastAsia="Times New Roman" w:hAnsi="Times New Roman"/>
          <w:sz w:val="17"/>
          <w:szCs w:val="17"/>
          <w:color w:val="auto"/>
        </w:rPr>
        <w:t>I further agree that, if required by the Company (or a representative of the underwriters) in connection with the first underwritten registration of the offering of any securities of the Company under the Securities Act, I will not sell, dispose of, transfer, make any short sale of, grant any option for the purchase of, or enter into any hedging or similar transaction with the same economic effect as a sale with respect to any shares of Common Stock or other securities of the Company for a period of one hundred eighty (180) days following the effective date of a registration statement of the Company filed under the Securities Act (or such longer period as the underwriters or the Company shall request to facilitate compliance with FINRA Rule 2241 or any successor or similar rule or regulation) (the “</w:t>
      </w:r>
      <w:r>
        <w:rPr>
          <w:rFonts w:ascii="Times New Roman" w:cs="Times New Roman" w:eastAsia="Times New Roman" w:hAnsi="Times New Roman"/>
          <w:sz w:val="17"/>
          <w:szCs w:val="17"/>
          <w:b w:val="1"/>
          <w:bCs w:val="1"/>
          <w:i w:val="1"/>
          <w:iCs w:val="1"/>
          <w:color w:val="auto"/>
        </w:rPr>
        <w:t>Lock-Up Period</w:t>
      </w:r>
      <w:r>
        <w:rPr>
          <w:rFonts w:ascii="Times New Roman" w:cs="Times New Roman" w:eastAsia="Times New Roman" w:hAnsi="Times New Roman"/>
          <w:sz w:val="17"/>
          <w:szCs w:val="17"/>
          <w:color w:val="auto"/>
        </w:rPr>
        <w:t>”). I further agree to execute and deliver such other agreements as may be reasonably requested by the Company or the underwriters that are consistent with the foregoing or that are necessary to give further effect thereto. In order to enforce the foregoing covenant, the Company may impose stop-transfer instructions with respect to securities subject to the foregoing restrictions until the end of such period.</w:t>
      </w:r>
    </w:p>
    <w:p>
      <w:pPr>
        <w:spacing w:after="0" w:line="24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4294505</wp:posOffset>
            </wp:positionH>
            <wp:positionV relativeFrom="paragraph">
              <wp:posOffset>325755</wp:posOffset>
            </wp:positionV>
            <wp:extent cx="283400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1">
                      <a:extLst>
                        <a:ext uri="{28A0092B-C50C-407E-A947-70E740481C1C}"/>
                      </a:extLst>
                    </a:blip>
                    <a:srcRect/>
                    <a:stretch>
                      <a:fillRect/>
                    </a:stretch>
                  </pic:blipFill>
                  <pic:spPr bwMode="auto">
                    <a:xfrm>
                      <a:off x="0" y="0"/>
                      <a:ext cx="283400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1520190</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92" w:name="page193"/>
    <w:bookmarkEnd w:id="192"/>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Non-Employee Director</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3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3"/>
          <w:szCs w:val="13"/>
          <w:b w:val="1"/>
          <w:bCs w:val="1"/>
          <w:color w:val="auto"/>
        </w:rPr>
        <w:t>PTION</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3"/>
          <w:szCs w:val="13"/>
          <w:b w:val="1"/>
          <w:bCs w:val="1"/>
          <w:color w:val="auto"/>
        </w:rPr>
        <w:t>RANT</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3"/>
          <w:szCs w:val="13"/>
          <w:b w:val="1"/>
          <w:bCs w:val="1"/>
          <w:color w:val="auto"/>
        </w:rPr>
        <w:t>OTICE</w:t>
      </w:r>
    </w:p>
    <w:p>
      <w:pPr>
        <w:spacing w:after="0" w:line="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(2021 E</w:t>
      </w:r>
      <w:r>
        <w:rPr>
          <w:rFonts w:ascii="Times New Roman" w:cs="Times New Roman" w:eastAsia="Times New Roman" w:hAnsi="Times New Roman"/>
          <w:sz w:val="13"/>
          <w:szCs w:val="13"/>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3"/>
          <w:szCs w:val="13"/>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3"/>
          <w:szCs w:val="13"/>
          <w:b w:val="1"/>
          <w:bCs w:val="1"/>
          <w:color w:val="auto"/>
        </w:rPr>
        <w:t>LAN</w:t>
      </w:r>
      <w:r>
        <w:rPr>
          <w:rFonts w:ascii="Times New Roman" w:cs="Times New Roman" w:eastAsia="Times New Roman" w:hAnsi="Times New Roman"/>
          <w:sz w:val="18"/>
          <w:szCs w:val="18"/>
          <w:b w:val="1"/>
          <w:bCs w:val="1"/>
          <w:color w:val="auto"/>
        </w:rPr>
        <w:t>)</w:t>
      </w:r>
    </w:p>
    <w:p>
      <w:pPr>
        <w:spacing w:after="0" w:line="202"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Invivyd,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pursuant to the Company’s 2021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has granted to you (“</w:t>
      </w:r>
      <w:r>
        <w:rPr>
          <w:rFonts w:ascii="Times New Roman" w:cs="Times New Roman" w:eastAsia="Times New Roman" w:hAnsi="Times New Roman"/>
          <w:sz w:val="18"/>
          <w:szCs w:val="18"/>
          <w:b w:val="1"/>
          <w:bCs w:val="1"/>
          <w:i w:val="1"/>
          <w:iCs w:val="1"/>
          <w:color w:val="auto"/>
        </w:rPr>
        <w:t>Optionholder</w:t>
      </w:r>
      <w:r>
        <w:rPr>
          <w:rFonts w:ascii="Times New Roman" w:cs="Times New Roman" w:eastAsia="Times New Roman" w:hAnsi="Times New Roman"/>
          <w:sz w:val="18"/>
          <w:szCs w:val="18"/>
          <w:color w:val="auto"/>
        </w:rPr>
        <w:t>”) an option to purchase the number of shares of the Common Stock set forth below (the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Your Option is subject to all of the terms and conditions as set forth herein and in the Plan, and the Stock Option Agreement and the Notice of Exercise, all of which are attached hereto and incorporated herein in their entirety. Capitalized terms not explicitly defined herein but defined in the Plan or the Stock Option Agreement shall have the meanings set forth in the Plan or the Stock Option Agreement, as applicable.</w:t>
      </w:r>
    </w:p>
    <w:p>
      <w:pPr>
        <w:spacing w:after="0" w:line="200" w:lineRule="exact"/>
        <w:rPr>
          <w:sz w:val="20"/>
          <w:szCs w:val="20"/>
          <w:color w:val="auto"/>
        </w:rPr>
      </w:pPr>
    </w:p>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Optionholder: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3652520</wp:posOffset>
            </wp:positionH>
            <wp:positionV relativeFrom="paragraph">
              <wp:posOffset>17145</wp:posOffset>
            </wp:positionV>
            <wp:extent cx="347662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3">
                      <a:extLst>
                        <a:ext uri="{28A0092B-C50C-407E-A947-70E740481C1C}"/>
                      </a:extLst>
                    </a:blip>
                    <a:srcRect/>
                    <a:stretch>
                      <a:fillRect/>
                    </a:stretch>
                  </pic:blipFill>
                  <pic:spPr bwMode="auto">
                    <a:xfrm>
                      <a:off x="0" y="0"/>
                      <a:ext cx="3476625" cy="8255"/>
                    </a:xfrm>
                    <a:prstGeom prst="rect">
                      <a:avLst/>
                    </a:prstGeom>
                    <a:noFill/>
                  </pic:spPr>
                </pic:pic>
              </a:graphicData>
            </a:graphic>
          </wp:anchor>
        </w:drawing>
      </w:r>
    </w:p>
    <w:p>
      <w:pPr>
        <w:spacing w:after="0" w:line="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3652520</wp:posOffset>
            </wp:positionH>
            <wp:positionV relativeFrom="paragraph">
              <wp:posOffset>17145</wp:posOffset>
            </wp:positionV>
            <wp:extent cx="347662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4">
                      <a:extLst>
                        <a:ext uri="{28A0092B-C50C-407E-A947-70E740481C1C}"/>
                      </a:extLst>
                    </a:blip>
                    <a:srcRect/>
                    <a:stretch>
                      <a:fillRect/>
                    </a:stretch>
                  </pic:blipFill>
                  <pic:spPr bwMode="auto">
                    <a:xfrm>
                      <a:off x="0" y="0"/>
                      <a:ext cx="3476625" cy="8255"/>
                    </a:xfrm>
                    <a:prstGeom prst="rect">
                      <a:avLst/>
                    </a:prstGeom>
                    <a:noFill/>
                  </pic:spPr>
                </pic:pic>
              </a:graphicData>
            </a:graphic>
          </wp:anchor>
        </w:drawing>
      </w:r>
    </w:p>
    <w:p>
      <w:pPr>
        <w:spacing w:after="0" w:line="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Number of Shares of Common Stock Subject to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3652520</wp:posOffset>
            </wp:positionH>
            <wp:positionV relativeFrom="paragraph">
              <wp:posOffset>17145</wp:posOffset>
            </wp:positionV>
            <wp:extent cx="347662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5">
                      <a:extLst>
                        <a:ext uri="{28A0092B-C50C-407E-A947-70E740481C1C}"/>
                      </a:extLst>
                    </a:blip>
                    <a:srcRect/>
                    <a:stretch>
                      <a:fillRect/>
                    </a:stretch>
                  </pic:blipFill>
                  <pic:spPr bwMode="auto">
                    <a:xfrm>
                      <a:off x="0" y="0"/>
                      <a:ext cx="3476625" cy="8255"/>
                    </a:xfrm>
                    <a:prstGeom prst="rect">
                      <a:avLst/>
                    </a:prstGeom>
                    <a:noFill/>
                  </pic:spPr>
                </pic:pic>
              </a:graphicData>
            </a:graphic>
          </wp:anchor>
        </w:drawing>
      </w:r>
    </w:p>
    <w:p>
      <w:pPr>
        <w:spacing w:after="0" w:line="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Exercise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3652520</wp:posOffset>
            </wp:positionH>
            <wp:positionV relativeFrom="paragraph">
              <wp:posOffset>17145</wp:posOffset>
            </wp:positionV>
            <wp:extent cx="347662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6">
                      <a:extLst>
                        <a:ext uri="{28A0092B-C50C-407E-A947-70E740481C1C}"/>
                      </a:extLst>
                    </a:blip>
                    <a:srcRect/>
                    <a:stretch>
                      <a:fillRect/>
                    </a:stretch>
                  </pic:blipFill>
                  <pic:spPr bwMode="auto">
                    <a:xfrm>
                      <a:off x="0" y="0"/>
                      <a:ext cx="3476625" cy="8255"/>
                    </a:xfrm>
                    <a:prstGeom prst="rect">
                      <a:avLst/>
                    </a:prstGeom>
                    <a:noFill/>
                  </pic:spPr>
                </pic:pic>
              </a:graphicData>
            </a:graphic>
          </wp:anchor>
        </w:drawing>
      </w:r>
    </w:p>
    <w:p>
      <w:pPr>
        <w:spacing w:after="0" w:line="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3652520</wp:posOffset>
            </wp:positionH>
            <wp:positionV relativeFrom="paragraph">
              <wp:posOffset>17145</wp:posOffset>
            </wp:positionV>
            <wp:extent cx="347662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7">
                      <a:extLst>
                        <a:ext uri="{28A0092B-C50C-407E-A947-70E740481C1C}"/>
                      </a:extLst>
                    </a:blip>
                    <a:srcRect/>
                    <a:stretch>
                      <a:fillRect/>
                    </a:stretch>
                  </pic:blipFill>
                  <pic:spPr bwMode="auto">
                    <a:xfrm>
                      <a:off x="0" y="0"/>
                      <a:ext cx="3476625" cy="8255"/>
                    </a:xfrm>
                    <a:prstGeom prst="rect">
                      <a:avLst/>
                    </a:prstGeom>
                    <a:noFill/>
                  </pic:spPr>
                </pic:pic>
              </a:graphicData>
            </a:graphic>
          </wp:anchor>
        </w:drawing>
      </w:r>
    </w:p>
    <w:p>
      <w:pPr>
        <w:spacing w:after="0" w:line="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3652520</wp:posOffset>
            </wp:positionH>
            <wp:positionV relativeFrom="paragraph">
              <wp:posOffset>17145</wp:posOffset>
            </wp:positionV>
            <wp:extent cx="347662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8">
                      <a:extLst>
                        <a:ext uri="{28A0092B-C50C-407E-A947-70E740481C1C}"/>
                      </a:extLst>
                    </a:blip>
                    <a:srcRect/>
                    <a:stretch>
                      <a:fillRect/>
                    </a:stretch>
                  </pic:blipFill>
                  <pic:spPr bwMode="auto">
                    <a:xfrm>
                      <a:off x="0" y="0"/>
                      <a:ext cx="347662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Type of Grant:</w:t>
      </w:r>
    </w:p>
    <w:p>
      <w:pPr>
        <w:sectPr>
          <w:pgSz w:w="11900" w:h="16838" w:orient="portrait"/>
          <w:cols w:equalWidth="0" w:num="1">
            <w:col w:w="11240"/>
          </w:cols>
          <w:pgMar w:left="320" w:top="1440" w:right="339" w:bottom="1440" w:gutter="0" w:footer="0" w:header="0"/>
          <w:type w:val="continuous"/>
        </w:sectPr>
      </w:pPr>
    </w:p>
    <w:p>
      <w:pPr>
        <w:spacing w:after="0" w:line="2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Exercise and Vesting Schedule:</w:t>
      </w:r>
    </w:p>
    <w:p>
      <w:pPr>
        <w:spacing w:after="0" w:line="20" w:lineRule="exact"/>
        <w:rPr>
          <w:sz w:val="20"/>
          <w:szCs w:val="20"/>
          <w:color w:val="auto"/>
        </w:rPr>
      </w:pPr>
      <w:r>
        <w:rPr>
          <w:sz w:val="20"/>
          <w:szCs w:val="20"/>
          <w:color w:val="auto"/>
        </w:rPr>
        <w:br w:type="column"/>
      </w:r>
    </w:p>
    <w:p>
      <w:pPr>
        <w:spacing w:after="0" w:line="274" w:lineRule="exact"/>
        <w:rPr>
          <w:sz w:val="20"/>
          <w:szCs w:val="20"/>
          <w:color w:val="auto"/>
        </w:rPr>
      </w:pPr>
    </w:p>
    <w:p>
      <w:pPr>
        <w:jc w:val="both"/>
        <w:ind w:right="80"/>
        <w:spacing w:after="0" w:line="265" w:lineRule="auto"/>
        <w:rPr>
          <w:sz w:val="20"/>
          <w:szCs w:val="20"/>
          <w:color w:val="auto"/>
        </w:rPr>
      </w:pPr>
      <w:r>
        <w:rPr>
          <w:rFonts w:ascii="Times New Roman" w:cs="Times New Roman" w:eastAsia="Times New Roman" w:hAnsi="Times New Roman"/>
          <w:sz w:val="18"/>
          <w:szCs w:val="18"/>
          <w:color w:val="auto"/>
        </w:rPr>
        <w:t>Subject to the Optionholder’s Continuous Service through each applicable vesting date, the Option will vest as follows, subject to the potential vesting acceleration described in Section 2 of the Stock Option Agreement:</w:t>
      </w:r>
    </w:p>
    <w:p>
      <w:pPr>
        <w:spacing w:after="0" w:line="81" w:lineRule="exact"/>
        <w:rPr>
          <w:sz w:val="20"/>
          <w:szCs w:val="20"/>
          <w:color w:val="auto"/>
        </w:rPr>
      </w:pPr>
    </w:p>
    <w:p>
      <w:pPr>
        <w:sectPr>
          <w:pgSz w:w="11900" w:h="16838" w:orient="portrait"/>
          <w:cols w:equalWidth="0" w:num="2">
            <w:col w:w="3000" w:space="720"/>
            <w:col w:w="7520"/>
          </w:cols>
          <w:pgMar w:left="320" w:top="1440" w:right="339" w:bottom="1440" w:gutter="0" w:footer="0" w:header="0"/>
          <w:type w:val="continuous"/>
        </w:sectPr>
      </w:pPr>
    </w:p>
    <w:p>
      <w:pPr>
        <w:ind w:left="3720" w:right="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Initial Grant</w:t>
      </w:r>
      <w:r>
        <w:rPr>
          <w:rFonts w:ascii="Times New Roman" w:cs="Times New Roman" w:eastAsia="Times New Roman" w:hAnsi="Times New Roman"/>
          <w:sz w:val="18"/>
          <w:szCs w:val="18"/>
          <w:color w:val="auto"/>
        </w:rPr>
        <w:t>][One-third (1/3</w:t>
      </w:r>
      <w:r>
        <w:rPr>
          <w:rFonts w:ascii="Times New Roman" w:cs="Times New Roman" w:eastAsia="Times New Roman" w:hAnsi="Times New Roman"/>
          <w:sz w:val="10"/>
          <w:szCs w:val="10"/>
          <w:color w:val="auto"/>
        </w:rPr>
        <w:t>rd</w:t>
      </w:r>
      <w:r>
        <w:rPr>
          <w:rFonts w:ascii="Times New Roman" w:cs="Times New Roman" w:eastAsia="Times New Roman" w:hAnsi="Times New Roman"/>
          <w:sz w:val="18"/>
          <w:szCs w:val="18"/>
          <w:color w:val="auto"/>
        </w:rPr>
        <w:t>) of the shares subject to the Option shall vest and become exercisable on the first (1</w:t>
      </w:r>
      <w:r>
        <w:rPr>
          <w:rFonts w:ascii="Times New Roman" w:cs="Times New Roman" w:eastAsia="Times New Roman" w:hAnsi="Times New Roman"/>
          <w:sz w:val="10"/>
          <w:szCs w:val="10"/>
          <w:color w:val="auto"/>
        </w:rPr>
        <w:t>st</w:t>
      </w:r>
      <w:r>
        <w:rPr>
          <w:rFonts w:ascii="Times New Roman" w:cs="Times New Roman" w:eastAsia="Times New Roman" w:hAnsi="Times New Roman"/>
          <w:sz w:val="18"/>
          <w:szCs w:val="18"/>
          <w:color w:val="auto"/>
        </w:rPr>
        <w:t>) anniversary of the Date of Grant and one thirty-sixth (1/36</w:t>
      </w:r>
      <w:r>
        <w:rPr>
          <w:rFonts w:ascii="Times New Roman" w:cs="Times New Roman" w:eastAsia="Times New Roman" w:hAnsi="Times New Roman"/>
          <w:sz w:val="10"/>
          <w:szCs w:val="10"/>
          <w:color w:val="auto"/>
        </w:rPr>
        <w:t>th</w:t>
      </w:r>
      <w:r>
        <w:rPr>
          <w:rFonts w:ascii="Times New Roman" w:cs="Times New Roman" w:eastAsia="Times New Roman" w:hAnsi="Times New Roman"/>
          <w:sz w:val="18"/>
          <w:szCs w:val="18"/>
          <w:color w:val="auto"/>
        </w:rPr>
        <w:t>) of the shares subject to the Option shall vest and become exercisable each month thereafter on the same day of the month as the Date of Grant (and if there is no corresponding day, on the last day of the month), such that the Option shall be fully vested and exercisable on the third (3</w:t>
      </w:r>
      <w:r>
        <w:rPr>
          <w:rFonts w:ascii="Times New Roman" w:cs="Times New Roman" w:eastAsia="Times New Roman" w:hAnsi="Times New Roman"/>
          <w:sz w:val="10"/>
          <w:szCs w:val="10"/>
          <w:color w:val="auto"/>
        </w:rPr>
        <w:t>rd</w:t>
      </w:r>
      <w:r>
        <w:rPr>
          <w:rFonts w:ascii="Times New Roman" w:cs="Times New Roman" w:eastAsia="Times New Roman" w:hAnsi="Times New Roman"/>
          <w:sz w:val="18"/>
          <w:szCs w:val="18"/>
          <w:color w:val="auto"/>
        </w:rPr>
        <w:t>) anniversary of the Date of Grant.]</w:t>
      </w:r>
    </w:p>
    <w:p>
      <w:pPr>
        <w:spacing w:after="0" w:line="88" w:lineRule="exact"/>
        <w:rPr>
          <w:sz w:val="20"/>
          <w:szCs w:val="20"/>
          <w:color w:val="auto"/>
        </w:rPr>
      </w:pPr>
    </w:p>
    <w:p>
      <w:pPr>
        <w:ind w:left="3720" w:right="8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Annual Grant</w:t>
      </w:r>
      <w:r>
        <w:rPr>
          <w:rFonts w:ascii="Times New Roman" w:cs="Times New Roman" w:eastAsia="Times New Roman" w:hAnsi="Times New Roman"/>
          <w:sz w:val="18"/>
          <w:szCs w:val="18"/>
          <w:color w:val="auto"/>
        </w:rPr>
        <w:t>][The shares subject to the Option shall vest and become exercisable upon the earlier to occur of (i) the first (1</w:t>
      </w:r>
      <w:r>
        <w:rPr>
          <w:rFonts w:ascii="Times New Roman" w:cs="Times New Roman" w:eastAsia="Times New Roman" w:hAnsi="Times New Roman"/>
          <w:sz w:val="10"/>
          <w:szCs w:val="10"/>
          <w:color w:val="auto"/>
        </w:rPr>
        <w:t>st</w:t>
      </w:r>
      <w:r>
        <w:rPr>
          <w:rFonts w:ascii="Times New Roman" w:cs="Times New Roman" w:eastAsia="Times New Roman" w:hAnsi="Times New Roman"/>
          <w:sz w:val="18"/>
          <w:szCs w:val="18"/>
          <w:color w:val="auto"/>
        </w:rPr>
        <w:t>) anniversary of the Date of Grant and (ii) the date of the next annual meeting of the stockholders of the Company.]</w:t>
      </w:r>
    </w:p>
    <w:p>
      <w:pPr>
        <w:sectPr>
          <w:pgSz w:w="11900" w:h="16838" w:orient="portrait"/>
          <w:cols w:equalWidth="0" w:num="1">
            <w:col w:w="11240"/>
          </w:cols>
          <w:pgMar w:left="320" w:top="1440" w:right="339" w:bottom="1440" w:gutter="0" w:footer="0" w:header="0"/>
          <w:type w:val="continuous"/>
        </w:sectPr>
      </w:pPr>
    </w:p>
    <w:p>
      <w:pPr>
        <w:spacing w:after="0" w:line="130"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Optionholder Acknowledgements: </w:t>
      </w:r>
      <w:r>
        <w:rPr>
          <w:rFonts w:ascii="Times New Roman" w:cs="Times New Roman" w:eastAsia="Times New Roman" w:hAnsi="Times New Roman"/>
          <w:sz w:val="18"/>
          <w:szCs w:val="18"/>
          <w:color w:val="auto"/>
        </w:rPr>
        <w:t>By your signature below or by electronic acceptance or authentication in a form authorized by the Company,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understand and agree that:</w:t>
      </w:r>
    </w:p>
    <w:p>
      <w:pPr>
        <w:spacing w:after="0" w:line="77" w:lineRule="exact"/>
        <w:rPr>
          <w:sz w:val="20"/>
          <w:szCs w:val="20"/>
          <w:color w:val="auto"/>
        </w:rPr>
      </w:pPr>
    </w:p>
    <w:p>
      <w:pPr>
        <w:ind w:left="1500" w:right="160" w:hanging="346"/>
        <w:spacing w:after="0" w:line="260" w:lineRule="auto"/>
        <w:tabs>
          <w:tab w:leader="none" w:pos="15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is governed by this Stock Option Grant Notice, and the provisions of the Plan and the Stock Option Agreement and the Notice of Exercise, all of which are made a part of this document. Unless otherwise provided in the Plan, this Grant Notice and the Stock Option Agreement (together, the “</w:t>
      </w:r>
      <w:r>
        <w:rPr>
          <w:rFonts w:ascii="Times New Roman" w:cs="Times New Roman" w:eastAsia="Times New Roman" w:hAnsi="Times New Roman"/>
          <w:sz w:val="18"/>
          <w:szCs w:val="18"/>
          <w:b w:val="1"/>
          <w:bCs w:val="1"/>
          <w:i w:val="1"/>
          <w:iCs w:val="1"/>
          <w:color w:val="auto"/>
        </w:rPr>
        <w:t>Option Agreement</w:t>
      </w:r>
      <w:r>
        <w:rPr>
          <w:rFonts w:ascii="Times New Roman" w:cs="Times New Roman" w:eastAsia="Times New Roman" w:hAnsi="Times New Roman"/>
          <w:sz w:val="18"/>
          <w:szCs w:val="18"/>
          <w:color w:val="auto"/>
        </w:rPr>
        <w:t>”) may not be modified, amended or revised except in a writing signed by you and a duly authorized officer of the Company.</w:t>
      </w:r>
    </w:p>
    <w:p>
      <w:pPr>
        <w:spacing w:after="0" w:line="114" w:lineRule="exact"/>
        <w:rPr>
          <w:rFonts w:ascii="Times New Roman" w:cs="Times New Roman" w:eastAsia="Times New Roman" w:hAnsi="Times New Roman"/>
          <w:sz w:val="18"/>
          <w:szCs w:val="18"/>
          <w:color w:val="auto"/>
        </w:rPr>
      </w:pPr>
    </w:p>
    <w:p>
      <w:pPr>
        <w:ind w:left="1500" w:right="120" w:hanging="346"/>
        <w:spacing w:after="0" w:line="265" w:lineRule="auto"/>
        <w:tabs>
          <w:tab w:leader="none" w:pos="15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consent to receive this Grant Notice, the Stock Option Agreement, the Plan, the Prospectus and any other Plan-related documents by electronic delivery and to participate in the Plan through an on-line or electronic system established and maintained by the Company or another third party designated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950595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93" w:name="page194"/>
    <w:bookmarkEnd w:id="193"/>
    <w:p>
      <w:pPr>
        <w:ind w:left="1500" w:right="120" w:hanging="346"/>
        <w:spacing w:after="0" w:line="265" w:lineRule="auto"/>
        <w:tabs>
          <w:tab w:leader="none" w:pos="15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have read and are familiar with the provisions of the Plan, the Stock Option Agreement, the Notice of Exercise and the Prospectus. In the event of any conflict between the provisions in this Grant Notice, the Option Agreement, the Notice of Exercise, or the Prospectus and the terms of the Plan, the terms of the Plan shall control.</w:t>
      </w:r>
    </w:p>
    <w:p>
      <w:pPr>
        <w:spacing w:after="0" w:line="109" w:lineRule="exact"/>
        <w:rPr>
          <w:rFonts w:ascii="Times New Roman" w:cs="Times New Roman" w:eastAsia="Times New Roman" w:hAnsi="Times New Roman"/>
          <w:sz w:val="18"/>
          <w:szCs w:val="18"/>
          <w:color w:val="auto"/>
        </w:rPr>
      </w:pPr>
    </w:p>
    <w:p>
      <w:pPr>
        <w:ind w:left="1500" w:right="40" w:hanging="346"/>
        <w:spacing w:after="0" w:line="280" w:lineRule="auto"/>
        <w:tabs>
          <w:tab w:leader="none" w:pos="1500"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Option Agreement sets forth the entire understanding between you and the Company regarding the acquisition of Common Stock and supersedes all prior oral and written agreements, promises and/or representations on that subject with the exception of other equity awards previously granted to you and any written employment agreement, offer letter, severance agreement, written severance plan or policy, or other written agreement between the Company and you in each case that specifies the terms that should govern this Option.</w:t>
      </w:r>
    </w:p>
    <w:p>
      <w:pPr>
        <w:spacing w:after="0" w:line="99" w:lineRule="exact"/>
        <w:rPr>
          <w:rFonts w:ascii="Times New Roman" w:cs="Times New Roman" w:eastAsia="Times New Roman" w:hAnsi="Times New Roman"/>
          <w:sz w:val="17"/>
          <w:szCs w:val="17"/>
          <w:color w:val="auto"/>
        </w:rPr>
      </w:pPr>
    </w:p>
    <w:p>
      <w:pPr>
        <w:ind w:left="1500" w:right="20" w:hanging="346"/>
        <w:spacing w:after="0" w:line="265" w:lineRule="auto"/>
        <w:tabs>
          <w:tab w:leader="none" w:pos="15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p>
      <w:pPr>
        <w:spacing w:after="0" w:line="200" w:lineRule="exact"/>
        <w:rPr>
          <w:sz w:val="20"/>
          <w:szCs w:val="20"/>
          <w:color w:val="auto"/>
        </w:rPr>
      </w:pP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2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INVIVYD, INC.</w:t>
            </w:r>
          </w:p>
        </w:tc>
        <w:tc>
          <w:tcPr>
            <w:tcW w:w="592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3"/>
                <w:szCs w:val="13"/>
                <w:b w:val="1"/>
                <w:bCs w:val="1"/>
                <w:color w:val="auto"/>
              </w:rPr>
              <w:t>PTIONHOLDER</w:t>
            </w:r>
            <w:r>
              <w:rPr>
                <w:rFonts w:ascii="Times New Roman" w:cs="Times New Roman" w:eastAsia="Times New Roman" w:hAnsi="Times New Roman"/>
                <w:sz w:val="18"/>
                <w:szCs w:val="18"/>
                <w:b w:val="1"/>
                <w:bCs w:val="1"/>
                <w:color w:val="auto"/>
              </w:rPr>
              <w:t>:</w:t>
            </w:r>
          </w:p>
        </w:tc>
      </w:tr>
      <w:tr>
        <w:trPr>
          <w:trHeight w:val="485"/>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5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By:</w:t>
            </w:r>
          </w:p>
        </w:tc>
      </w:tr>
      <w:tr>
        <w:trPr>
          <w:trHeight w:val="250"/>
        </w:trPr>
        <w:tc>
          <w:tcPr>
            <w:tcW w:w="620" w:type="dxa"/>
            <w:vAlign w:val="bottom"/>
          </w:tcPr>
          <w:p>
            <w:pPr>
              <w:spacing w:after="0"/>
              <w:rPr>
                <w:sz w:val="21"/>
                <w:szCs w:val="21"/>
                <w:color w:val="auto"/>
              </w:rPr>
            </w:pPr>
          </w:p>
        </w:tc>
        <w:tc>
          <w:tcPr>
            <w:tcW w:w="4660" w:type="dxa"/>
            <w:vAlign w:val="bottom"/>
            <w:tcBorders>
              <w:top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Signature</w:t>
            </w:r>
          </w:p>
        </w:tc>
        <w:tc>
          <w:tcPr>
            <w:tcW w:w="1260" w:type="dxa"/>
            <w:vAlign w:val="bottom"/>
          </w:tcPr>
          <w:p>
            <w:pPr>
              <w:spacing w:after="0"/>
              <w:rPr>
                <w:sz w:val="21"/>
                <w:szCs w:val="21"/>
                <w:color w:val="auto"/>
              </w:rPr>
            </w:pPr>
          </w:p>
        </w:tc>
        <w:tc>
          <w:tcPr>
            <w:tcW w:w="4660" w:type="dxa"/>
            <w:vAlign w:val="bottom"/>
            <w:tcBorders>
              <w:top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Signature</w:t>
            </w:r>
          </w:p>
        </w:tc>
      </w:tr>
      <w:tr>
        <w:trPr>
          <w:trHeight w:val="485"/>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60" w:type="dxa"/>
            <w:vAlign w:val="bottom"/>
            <w:tcBorders>
              <w:bottom w:val="single" w:sz="8" w:color="auto"/>
            </w:tcBorders>
          </w:tcPr>
          <w:p>
            <w:pPr>
              <w:spacing w:after="0"/>
              <w:rPr>
                <w:sz w:val="24"/>
                <w:szCs w:val="24"/>
                <w:color w:val="auto"/>
              </w:rPr>
            </w:pPr>
          </w:p>
        </w:tc>
        <w:tc>
          <w:tcPr>
            <w:tcW w:w="1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Date:</w:t>
            </w:r>
          </w:p>
        </w:tc>
        <w:tc>
          <w:tcPr>
            <w:tcW w:w="4660" w:type="dxa"/>
            <w:vAlign w:val="bottom"/>
            <w:tcBorders>
              <w:bottom w:val="single" w:sz="8" w:color="auto"/>
            </w:tcBorders>
          </w:tcPr>
          <w:p>
            <w:pPr>
              <w:spacing w:after="0"/>
              <w:rPr>
                <w:sz w:val="24"/>
                <w:szCs w:val="24"/>
                <w:color w:val="auto"/>
              </w:rPr>
            </w:pPr>
          </w:p>
        </w:tc>
      </w:tr>
      <w:tr>
        <w:trPr>
          <w:trHeight w:val="492"/>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660" w:type="dxa"/>
            <w:vAlign w:val="bottom"/>
            <w:tcBorders>
              <w:bottom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4660" w:type="dxa"/>
            <w:vAlign w:val="bottom"/>
          </w:tcPr>
          <w:p>
            <w:pPr>
              <w:spacing w:after="0"/>
              <w:rPr>
                <w:sz w:val="24"/>
                <w:szCs w:val="24"/>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3"/>
          <w:szCs w:val="13"/>
          <w:b w:val="1"/>
          <w:bCs w:val="1"/>
          <w:color w:val="auto"/>
        </w:rPr>
        <w:t>TTACHMENTS</w:t>
      </w:r>
      <w:r>
        <w:rPr>
          <w:rFonts w:ascii="Times New Roman" w:cs="Times New Roman" w:eastAsia="Times New Roman" w:hAnsi="Times New Roman"/>
          <w:sz w:val="18"/>
          <w:szCs w:val="18"/>
          <w:color w:val="auto"/>
        </w:rPr>
        <w:t>: Stock Option Agreement, 2021 Equity Incentive Plan, Notice of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1129030</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9" w:right="359" w:bottom="1440"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18"/>
          <w:szCs w:val="18"/>
          <w:i w:val="1"/>
          <w:iCs w:val="1"/>
          <w:color w:val="auto"/>
        </w:rPr>
        <w:t>Non-Employee Director</w:t>
      </w:r>
    </w:p>
    <w:p>
      <w:pPr>
        <w:spacing w:after="0" w:line="22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3"/>
          <w:szCs w:val="13"/>
          <w:b w:val="1"/>
          <w:bCs w:val="1"/>
          <w:color w:val="auto"/>
        </w:rPr>
        <w:t>TTACHMENT</w:t>
      </w:r>
      <w:r>
        <w:rPr>
          <w:rFonts w:ascii="Times New Roman" w:cs="Times New Roman" w:eastAsia="Times New Roman" w:hAnsi="Times New Roman"/>
          <w:sz w:val="18"/>
          <w:szCs w:val="18"/>
          <w:b w:val="1"/>
          <w:bCs w:val="1"/>
          <w:color w:val="auto"/>
        </w:rPr>
        <w:t xml:space="preserve"> I</w:t>
      </w:r>
    </w:p>
    <w:p>
      <w:pPr>
        <w:spacing w:after="0" w:line="22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3"/>
          <w:szCs w:val="13"/>
          <w:b w:val="1"/>
          <w:bCs w:val="1"/>
          <w:color w:val="auto"/>
        </w:rPr>
        <w:t>PTION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3"/>
          <w:szCs w:val="13"/>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1034415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4" w:right="339" w:bottom="1440" w:gutter="0" w:footer="0" w:header="0"/>
        </w:sectPr>
      </w:pPr>
    </w:p>
    <w:bookmarkStart w:id="195" w:name="page196"/>
    <w:bookmarkEnd w:id="195"/>
    <w:p>
      <w:pPr>
        <w:jc w:val="right"/>
        <w:spacing w:after="0"/>
        <w:rPr>
          <w:sz w:val="20"/>
          <w:szCs w:val="20"/>
          <w:color w:val="auto"/>
        </w:rPr>
      </w:pPr>
      <w:r>
        <w:rPr>
          <w:rFonts w:ascii="Times New Roman" w:cs="Times New Roman" w:eastAsia="Times New Roman" w:hAnsi="Times New Roman"/>
          <w:sz w:val="18"/>
          <w:szCs w:val="18"/>
          <w:i w:val="1"/>
          <w:iCs w:val="1"/>
          <w:color w:val="auto"/>
        </w:rPr>
        <w:t>Non-Employee Director</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2021 E</w:t>
      </w:r>
      <w:r>
        <w:rPr>
          <w:rFonts w:ascii="Times New Roman" w:cs="Times New Roman" w:eastAsia="Times New Roman" w:hAnsi="Times New Roman"/>
          <w:sz w:val="13"/>
          <w:szCs w:val="13"/>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3"/>
          <w:szCs w:val="13"/>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3"/>
          <w:szCs w:val="13"/>
          <w:b w:val="1"/>
          <w:bCs w:val="1"/>
          <w:color w:val="auto"/>
        </w:rPr>
        <w:t>LAN</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3"/>
          <w:szCs w:val="13"/>
          <w:b w:val="1"/>
          <w:bCs w:val="1"/>
          <w:color w:val="auto"/>
        </w:rPr>
        <w:t>PTION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3"/>
          <w:szCs w:val="13"/>
          <w:b w:val="1"/>
          <w:bCs w:val="1"/>
          <w:color w:val="auto"/>
        </w:rPr>
        <w:t>GREEMENT</w:t>
      </w:r>
    </w:p>
    <w:p>
      <w:pPr>
        <w:spacing w:after="0" w:line="225"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7"/>
          <w:szCs w:val="17"/>
          <w:color w:val="auto"/>
        </w:rPr>
        <w:t>As reflected by your Stock Option Grant Notice (“</w:t>
      </w:r>
      <w:r>
        <w:rPr>
          <w:rFonts w:ascii="Times New Roman" w:cs="Times New Roman" w:eastAsia="Times New Roman" w:hAnsi="Times New Roman"/>
          <w:sz w:val="17"/>
          <w:szCs w:val="17"/>
          <w:b w:val="1"/>
          <w:bCs w:val="1"/>
          <w:i w:val="1"/>
          <w:iCs w:val="1"/>
          <w:color w:val="auto"/>
        </w:rPr>
        <w:t>Grant Notice</w:t>
      </w:r>
      <w:r>
        <w:rPr>
          <w:rFonts w:ascii="Times New Roman" w:cs="Times New Roman" w:eastAsia="Times New Roman" w:hAnsi="Times New Roman"/>
          <w:sz w:val="17"/>
          <w:szCs w:val="17"/>
          <w:color w:val="auto"/>
        </w:rPr>
        <w:t>”), Invivyd, Inc.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has granted you an option under its 2021 Equity Incentive Plan (the “</w:t>
      </w:r>
      <w:r>
        <w:rPr>
          <w:rFonts w:ascii="Times New Roman" w:cs="Times New Roman" w:eastAsia="Times New Roman" w:hAnsi="Times New Roman"/>
          <w:sz w:val="17"/>
          <w:szCs w:val="17"/>
          <w:b w:val="1"/>
          <w:bCs w:val="1"/>
          <w:i w:val="1"/>
          <w:iCs w:val="1"/>
          <w:color w:val="auto"/>
        </w:rPr>
        <w:t>Plan</w:t>
      </w:r>
      <w:r>
        <w:rPr>
          <w:rFonts w:ascii="Times New Roman" w:cs="Times New Roman" w:eastAsia="Times New Roman" w:hAnsi="Times New Roman"/>
          <w:sz w:val="17"/>
          <w:szCs w:val="17"/>
          <w:color w:val="auto"/>
        </w:rPr>
        <w:t>”) to purchase a number of shares of Common Stock at the exercise price indicated in your Grant Notice (the “</w:t>
      </w:r>
      <w:r>
        <w:rPr>
          <w:rFonts w:ascii="Times New Roman" w:cs="Times New Roman" w:eastAsia="Times New Roman" w:hAnsi="Times New Roman"/>
          <w:sz w:val="17"/>
          <w:szCs w:val="17"/>
          <w:b w:val="1"/>
          <w:bCs w:val="1"/>
          <w:i w:val="1"/>
          <w:iCs w:val="1"/>
          <w:color w:val="auto"/>
        </w:rPr>
        <w:t>Option</w:t>
      </w:r>
      <w:r>
        <w:rPr>
          <w:rFonts w:ascii="Times New Roman" w:cs="Times New Roman" w:eastAsia="Times New Roman" w:hAnsi="Times New Roman"/>
          <w:sz w:val="17"/>
          <w:szCs w:val="17"/>
          <w:color w:val="auto"/>
        </w:rPr>
        <w:t>”). Capitalized terms not explicitly defined in this Agreement but defined in the Grant Notice or the Plan shall have the meanings set forth in the Grant Notice or Plan, as applicable. The terms of your Option as specified in the Grant Notice and this Stock Option Agreement constitute your Option Agreement.</w:t>
      </w:r>
    </w:p>
    <w:p>
      <w:pPr>
        <w:spacing w:after="0" w:line="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general terms and conditions applicable to your Option are as follows:</w:t>
      </w:r>
    </w:p>
    <w:p>
      <w:pPr>
        <w:spacing w:after="0" w:line="113" w:lineRule="exact"/>
        <w:rPr>
          <w:sz w:val="20"/>
          <w:szCs w:val="20"/>
          <w:color w:val="auto"/>
        </w:rPr>
      </w:pPr>
    </w:p>
    <w:p>
      <w:pPr>
        <w:ind w:left="700" w:hanging="183"/>
        <w:spacing w:after="0"/>
        <w:tabs>
          <w:tab w:leader="none" w:pos="700"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3"/>
          <w:szCs w:val="13"/>
          <w:b w:val="1"/>
          <w:bCs w:val="1"/>
          <w:color w:val="auto"/>
        </w:rPr>
        <w:t>OVERNING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3"/>
          <w:szCs w:val="13"/>
          <w:b w:val="1"/>
          <w:bCs w:val="1"/>
          <w:color w:val="auto"/>
        </w:rPr>
        <w:t>LAN</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3"/>
          <w:szCs w:val="13"/>
          <w:b w:val="1"/>
          <w:bCs w:val="1"/>
          <w:color w:val="auto"/>
        </w:rPr>
        <w:t>OCUMENT</w:t>
      </w:r>
      <w:r>
        <w:rPr>
          <w:rFonts w:ascii="Times New Roman" w:cs="Times New Roman" w:eastAsia="Times New Roman" w:hAnsi="Times New Roman"/>
          <w:sz w:val="18"/>
          <w:szCs w:val="18"/>
          <w:color w:val="auto"/>
        </w:rPr>
        <w:t>. Your Option is subject to all the provisions of the Plan, including but not limited to the provisions in:</w:t>
      </w:r>
    </w:p>
    <w:p>
      <w:pPr>
        <w:spacing w:after="0" w:line="120" w:lineRule="exact"/>
        <w:rPr>
          <w:rFonts w:ascii="Times New Roman" w:cs="Times New Roman" w:eastAsia="Times New Roman" w:hAnsi="Times New Roman"/>
          <w:sz w:val="18"/>
          <w:szCs w:val="18"/>
          <w:b w:val="1"/>
          <w:bCs w:val="1"/>
          <w:color w:val="auto"/>
        </w:rPr>
      </w:pPr>
    </w:p>
    <w:p>
      <w:pPr>
        <w:ind w:left="1400" w:hanging="247"/>
        <w:spacing w:after="0"/>
        <w:tabs>
          <w:tab w:leader="none" w:pos="1400" w:val="left"/>
        </w:tabs>
        <w:numPr>
          <w:ilvl w:val="1"/>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6 regarding the impact of a Capitalization Adjustment, dissolution, liquidation, or Corporate Transaction on your Option;</w:t>
      </w:r>
    </w:p>
    <w:p>
      <w:pPr>
        <w:spacing w:after="0" w:line="116" w:lineRule="exact"/>
        <w:rPr>
          <w:rFonts w:ascii="Times New Roman" w:cs="Times New Roman" w:eastAsia="Times New Roman" w:hAnsi="Times New Roman"/>
          <w:sz w:val="18"/>
          <w:szCs w:val="18"/>
          <w:b w:val="1"/>
          <w:bCs w:val="1"/>
          <w:color w:val="auto"/>
        </w:rPr>
      </w:pPr>
    </w:p>
    <w:p>
      <w:pPr>
        <w:ind w:left="1420" w:hanging="267"/>
        <w:spacing w:after="0"/>
        <w:tabs>
          <w:tab w:leader="none" w:pos="1420" w:val="left"/>
        </w:tabs>
        <w:numPr>
          <w:ilvl w:val="1"/>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9(e) regarding the Company’s retained rights to terminate your Continuous Service notwithstanding the grant of the Option; and</w:t>
      </w:r>
    </w:p>
    <w:p>
      <w:pPr>
        <w:spacing w:after="0" w:line="116" w:lineRule="exact"/>
        <w:rPr>
          <w:rFonts w:ascii="Times New Roman" w:cs="Times New Roman" w:eastAsia="Times New Roman" w:hAnsi="Times New Roman"/>
          <w:sz w:val="18"/>
          <w:szCs w:val="18"/>
          <w:b w:val="1"/>
          <w:bCs w:val="1"/>
          <w:color w:val="auto"/>
        </w:rPr>
      </w:pPr>
    </w:p>
    <w:p>
      <w:pPr>
        <w:ind w:left="1400" w:hanging="247"/>
        <w:spacing w:after="0"/>
        <w:tabs>
          <w:tab w:leader="none" w:pos="1400" w:val="left"/>
        </w:tabs>
        <w:numPr>
          <w:ilvl w:val="1"/>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8 regarding the tax consequences of your Option.</w:t>
      </w:r>
    </w:p>
    <w:p>
      <w:pPr>
        <w:spacing w:after="0" w:line="225"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Your Option is further subject to all interpretations, amendments, rules and regulations, which may from time to time be promulgated and adopted pursuant to the Plan. In the event of any conflict between the Option Agreement and the provisions of the Plan, the provisions of the Plan shall control.</w:t>
      </w:r>
    </w:p>
    <w:p>
      <w:pPr>
        <w:spacing w:after="0" w:line="51" w:lineRule="exact"/>
        <w:rPr>
          <w:sz w:val="20"/>
          <w:szCs w:val="20"/>
          <w:color w:val="auto"/>
        </w:rPr>
      </w:pPr>
    </w:p>
    <w:p>
      <w:pPr>
        <w:ind w:left="700" w:hanging="183"/>
        <w:spacing w:after="0"/>
        <w:tabs>
          <w:tab w:leader="none" w:pos="700"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3"/>
          <w:szCs w:val="13"/>
          <w:b w:val="1"/>
          <w:bCs w:val="1"/>
          <w:color w:val="auto"/>
        </w:rPr>
        <w:t>ESTING</w:t>
      </w:r>
      <w:r>
        <w:rPr>
          <w:rFonts w:ascii="Times New Roman" w:cs="Times New Roman" w:eastAsia="Times New Roman" w:hAnsi="Times New Roman"/>
          <w:sz w:val="18"/>
          <w:szCs w:val="18"/>
          <w:b w:val="1"/>
          <w:bCs w:val="1"/>
          <w:color w:val="auto"/>
        </w:rPr>
        <w:t>.</w:t>
      </w:r>
    </w:p>
    <w:p>
      <w:pPr>
        <w:spacing w:after="0" w:line="120" w:lineRule="exact"/>
        <w:rPr>
          <w:rFonts w:ascii="Times New Roman" w:cs="Times New Roman" w:eastAsia="Times New Roman" w:hAnsi="Times New Roman"/>
          <w:sz w:val="18"/>
          <w:szCs w:val="18"/>
          <w:b w:val="1"/>
          <w:bCs w:val="1"/>
          <w:color w:val="auto"/>
        </w:rPr>
      </w:pPr>
    </w:p>
    <w:p>
      <w:pPr>
        <w:ind w:right="20" w:firstLine="1153"/>
        <w:spacing w:after="0" w:line="260" w:lineRule="auto"/>
        <w:tabs>
          <w:tab w:leader="none" w:pos="1400" w:val="left"/>
        </w:tabs>
        <w:numPr>
          <w:ilvl w:val="1"/>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Your Option will vest as provided in your Grant Notice, subject to the provisions contained herein and the terms of the Plan. Vesting will cease upon the termination of your Continuous Service. Notwithstanding the foregoing, if a Change in Control occurs and your Continuous Service has not terminated as of immediately prior to such Change in Control, then the vesting and exercisability of your Option will be accelerated in full upon such Change in Control.</w:t>
      </w:r>
    </w:p>
    <w:p>
      <w:pPr>
        <w:spacing w:after="0" w:line="73" w:lineRule="exact"/>
        <w:rPr>
          <w:rFonts w:ascii="Times New Roman" w:cs="Times New Roman" w:eastAsia="Times New Roman" w:hAnsi="Times New Roman"/>
          <w:sz w:val="18"/>
          <w:szCs w:val="18"/>
          <w:b w:val="1"/>
          <w:bCs w:val="1"/>
          <w:color w:val="auto"/>
        </w:rPr>
      </w:pPr>
    </w:p>
    <w:p>
      <w:pPr>
        <w:ind w:right="40" w:firstLine="1153"/>
        <w:spacing w:after="0" w:line="253" w:lineRule="auto"/>
        <w:tabs>
          <w:tab w:leader="none" w:pos="1410" w:val="left"/>
        </w:tabs>
        <w:numPr>
          <w:ilvl w:val="1"/>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any payment or benefit you would receive from the Company or otherwise in connection with a Change in Control or other similar transaction (a “</w:t>
      </w:r>
      <w:r>
        <w:rPr>
          <w:rFonts w:ascii="Times New Roman" w:cs="Times New Roman" w:eastAsia="Times New Roman" w:hAnsi="Times New Roman"/>
          <w:sz w:val="18"/>
          <w:szCs w:val="18"/>
          <w:b w:val="1"/>
          <w:bCs w:val="1"/>
          <w:i w:val="1"/>
          <w:iCs w:val="1"/>
          <w:color w:val="auto"/>
        </w:rPr>
        <w:t>280G Payment</w:t>
      </w:r>
      <w:r>
        <w:rPr>
          <w:rFonts w:ascii="Times New Roman" w:cs="Times New Roman" w:eastAsia="Times New Roman" w:hAnsi="Times New Roman"/>
          <w:sz w:val="18"/>
          <w:szCs w:val="18"/>
          <w:color w:val="auto"/>
        </w:rPr>
        <w:t>”) would (i) constitute a “parachute payment” within the meaning of Section 280G of the Code, and (ii) but for this sentence, be subject to the excise tax imposed by Section 4999 of the Code (the “</w:t>
      </w:r>
      <w:r>
        <w:rPr>
          <w:rFonts w:ascii="Times New Roman" w:cs="Times New Roman" w:eastAsia="Times New Roman" w:hAnsi="Times New Roman"/>
          <w:sz w:val="18"/>
          <w:szCs w:val="18"/>
          <w:b w:val="1"/>
          <w:bCs w:val="1"/>
          <w:i w:val="1"/>
          <w:iCs w:val="1"/>
          <w:color w:val="auto"/>
        </w:rPr>
        <w:t>Excise Tax</w:t>
      </w:r>
      <w:r>
        <w:rPr>
          <w:rFonts w:ascii="Times New Roman" w:cs="Times New Roman" w:eastAsia="Times New Roman" w:hAnsi="Times New Roman"/>
          <w:sz w:val="18"/>
          <w:szCs w:val="18"/>
          <w:color w:val="auto"/>
        </w:rPr>
        <w:t>”), then any such 280G Payment (a “</w:t>
      </w:r>
      <w:r>
        <w:rPr>
          <w:rFonts w:ascii="Times New Roman" w:cs="Times New Roman" w:eastAsia="Times New Roman" w:hAnsi="Times New Roman"/>
          <w:sz w:val="18"/>
          <w:szCs w:val="18"/>
          <w:b w:val="1"/>
          <w:bCs w:val="1"/>
          <w:i w:val="1"/>
          <w:iCs w:val="1"/>
          <w:color w:val="auto"/>
        </w:rPr>
        <w:t>Payment</w:t>
      </w:r>
      <w:r>
        <w:rPr>
          <w:rFonts w:ascii="Times New Roman" w:cs="Times New Roman" w:eastAsia="Times New Roman" w:hAnsi="Times New Roman"/>
          <w:sz w:val="18"/>
          <w:szCs w:val="18"/>
          <w:color w:val="auto"/>
        </w:rPr>
        <w:t>”) shall be equal to the Reduced Amount. The “</w:t>
      </w:r>
      <w:r>
        <w:rPr>
          <w:rFonts w:ascii="Times New Roman" w:cs="Times New Roman" w:eastAsia="Times New Roman" w:hAnsi="Times New Roman"/>
          <w:sz w:val="18"/>
          <w:szCs w:val="18"/>
          <w:b w:val="1"/>
          <w:bCs w:val="1"/>
          <w:i w:val="1"/>
          <w:iCs w:val="1"/>
          <w:color w:val="auto"/>
        </w:rPr>
        <w:t>Reduced Amount</w:t>
      </w:r>
      <w:r>
        <w:rPr>
          <w:rFonts w:ascii="Times New Roman" w:cs="Times New Roman" w:eastAsia="Times New Roman" w:hAnsi="Times New Roman"/>
          <w:sz w:val="18"/>
          <w:szCs w:val="18"/>
          <w:color w:val="auto"/>
        </w:rPr>
        <w:t>” shall be either (x) the largest portion of the Payment that would result in no portion of the Payment (after reduction) being subject to the 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your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w:t>
      </w:r>
      <w:r>
        <w:rPr>
          <w:rFonts w:ascii="Times New Roman" w:cs="Times New Roman" w:eastAsia="Times New Roman" w:hAnsi="Times New Roman"/>
          <w:sz w:val="18"/>
          <w:szCs w:val="18"/>
          <w:b w:val="1"/>
          <w:bCs w:val="1"/>
          <w:i w:val="1"/>
          <w:iCs w:val="1"/>
          <w:color w:val="auto"/>
        </w:rPr>
        <w:t>Reduction Method</w:t>
      </w:r>
      <w:r>
        <w:rPr>
          <w:rFonts w:ascii="Times New Roman" w:cs="Times New Roman" w:eastAsia="Times New Roman" w:hAnsi="Times New Roman"/>
          <w:sz w:val="18"/>
          <w:szCs w:val="18"/>
          <w:color w:val="auto"/>
        </w:rPr>
        <w:t>”) that results in the greatest economic benefit for you. If more than one method of reduction will result in the same economic benefit, the items so reduced will be reduced pro rata (the “</w:t>
      </w:r>
      <w:r>
        <w:rPr>
          <w:rFonts w:ascii="Times New Roman" w:cs="Times New Roman" w:eastAsia="Times New Roman" w:hAnsi="Times New Roman"/>
          <w:sz w:val="18"/>
          <w:szCs w:val="18"/>
          <w:b w:val="1"/>
          <w:bCs w:val="1"/>
          <w:i w:val="1"/>
          <w:iCs w:val="1"/>
          <w:color w:val="auto"/>
        </w:rPr>
        <w:t>Pro Rata Reduction Method</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Notwithstanding the foregoing, if the Reduction Method or the Pro Rata Reduction Method would result in any portion of the Payment being subject to taxes pursuant to Section 409A of the Code that would not otherwise be subject to taxes pursuant to Section 409A of the Code, then the Reduction Method and/or the Pro Rata Reduction Method, as the case may be, shall be modified so as to avoid the imposition of taxes pursuant to Section 409A of the Code as follows: (A) as a first priority, the modification shall preserve to the greatest extent possible, the greatest economic benefit for you as determined on an after-tax basis; (B) as a second priority, Payments that are contingent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868045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96" w:name="page197"/>
    <w:bookmarkEnd w:id="196"/>
    <w:p>
      <w:pPr>
        <w:spacing w:after="0" w:line="192"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on future events (e.g., being terminated without cause), shall be reduced (or eliminated) before Payments that are not contingent on future events; and (C) as a third priority, Payments that are “deferred compensation” within the meaning of Section 409A of the Code shall be reduced (or eliminated) before Payments that are not deferred compensation within the meaning of Section 409A of the Code.</w:t>
      </w:r>
    </w:p>
    <w:p>
      <w:pPr>
        <w:spacing w:after="0" w:line="17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Unless you and the Company agree on an alternative accounting firm, the accounting firm engaged by the Company for general tax compliance purposes as of the day prior to the effective date of the change of control transaction triggering the Payment shall perform the foregoing calculations. If the accounting firm so engaged by the Company is serving as accountant or auditor for the individual, entity or group effecting the change of control transaction, the Company shall appoint a nationally recognized accounting firm to make the determinations required hereunder. The Company shall bear all expenses with respect to the determinations by such accounting firm required to be made hereunder. The Company shall use commercially reasonable efforts to cause the accounting firm engaged to make the determinations hereunder to provide its calculations, together with detailed supporting documentation, to you and the Company within fifteen (15) calendar days after the date on which your right to a 280G Payment becomes reasonably likely to occur (if requested at that time by you or the Company) or such other time as requested by you or the Company.</w:t>
      </w:r>
    </w:p>
    <w:p>
      <w:pPr>
        <w:spacing w:after="0" w:line="189"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If you receive a Payment for which the Reduced Amount was determined pursuant to clause (x) of the first paragraph of this Section 2(b) and the Internal Revenue Service determines thereafter that some portion of the Payment is subject to the Excise Tax, you shall promptly return to the Company a sufficient amount of the Payment (after reduction pursuant to clause (x) of the first paragraph of this Section 2(b) so that no portion of the remaining Payment is subject to the Excise Tax. For the avoidance of doubt, if the Reduced Amount was determined pursuant to clause (y) in the first paragraph of this Section 2(b), you shall have no obligation to return any portion of the Payment pursuant to the preceding sentence.</w:t>
      </w:r>
    </w:p>
    <w:p>
      <w:pPr>
        <w:spacing w:after="0" w:line="111" w:lineRule="exact"/>
        <w:rPr>
          <w:sz w:val="20"/>
          <w:szCs w:val="20"/>
          <w:color w:val="auto"/>
        </w:rPr>
      </w:pPr>
    </w:p>
    <w:p>
      <w:pPr>
        <w:ind w:left="700" w:hanging="183"/>
        <w:spacing w:after="0"/>
        <w:tabs>
          <w:tab w:leader="none" w:pos="700"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3"/>
          <w:szCs w:val="13"/>
          <w:b w:val="1"/>
          <w:bCs w:val="1"/>
          <w:color w:val="auto"/>
        </w:rPr>
        <w:t>XERCISE</w:t>
      </w:r>
      <w:r>
        <w:rPr>
          <w:rFonts w:ascii="Times New Roman" w:cs="Times New Roman" w:eastAsia="Times New Roman" w:hAnsi="Times New Roman"/>
          <w:sz w:val="18"/>
          <w:szCs w:val="18"/>
          <w:b w:val="1"/>
          <w:bCs w:val="1"/>
          <w:color w:val="auto"/>
        </w:rPr>
        <w:t>.</w:t>
      </w:r>
    </w:p>
    <w:p>
      <w:pPr>
        <w:spacing w:after="0" w:line="120" w:lineRule="exact"/>
        <w:rPr>
          <w:rFonts w:ascii="Times New Roman" w:cs="Times New Roman" w:eastAsia="Times New Roman" w:hAnsi="Times New Roman"/>
          <w:sz w:val="18"/>
          <w:szCs w:val="18"/>
          <w:b w:val="1"/>
          <w:bCs w:val="1"/>
          <w:color w:val="auto"/>
        </w:rPr>
      </w:pPr>
    </w:p>
    <w:p>
      <w:pPr>
        <w:ind w:right="40" w:firstLine="1153"/>
        <w:spacing w:after="0" w:line="260" w:lineRule="auto"/>
        <w:tabs>
          <w:tab w:leader="none" w:pos="1400" w:val="left"/>
        </w:tabs>
        <w:numPr>
          <w:ilvl w:val="1"/>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may generally exercise the vested portion of your Option for whole shares of Common Stock at any time during its term by delivery of payment of the exercise price and applicable withholding taxes and other required documentation to the Plan Administrator in accordance with the exercise procedures established by the Plan Administrator, which may include an electronic submission. Please review Sections 4(i), 4(j) and 7(b)(v) of the Plan, which may restrict or prohibit your ability to exercise your Option during certain periods.</w:t>
      </w:r>
    </w:p>
    <w:p>
      <w:pPr>
        <w:spacing w:after="0" w:line="73" w:lineRule="exact"/>
        <w:rPr>
          <w:rFonts w:ascii="Times New Roman" w:cs="Times New Roman" w:eastAsia="Times New Roman" w:hAnsi="Times New Roman"/>
          <w:sz w:val="18"/>
          <w:szCs w:val="18"/>
          <w:b w:val="1"/>
          <w:bCs w:val="1"/>
          <w:color w:val="auto"/>
        </w:rPr>
      </w:pPr>
    </w:p>
    <w:p>
      <w:pPr>
        <w:ind w:left="1420" w:hanging="267"/>
        <w:spacing w:after="0"/>
        <w:tabs>
          <w:tab w:leader="none" w:pos="1420" w:val="left"/>
        </w:tabs>
        <w:numPr>
          <w:ilvl w:val="1"/>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the extent permitted by Applicable Law, you may pay your Option exercise price as follows:</w:t>
      </w:r>
    </w:p>
    <w:p>
      <w:pPr>
        <w:spacing w:after="0" w:line="116" w:lineRule="exact"/>
        <w:rPr>
          <w:rFonts w:ascii="Times New Roman" w:cs="Times New Roman" w:eastAsia="Times New Roman" w:hAnsi="Times New Roman"/>
          <w:sz w:val="18"/>
          <w:szCs w:val="18"/>
          <w:b w:val="1"/>
          <w:bCs w:val="1"/>
          <w:color w:val="auto"/>
        </w:rPr>
      </w:pPr>
    </w:p>
    <w:p>
      <w:pPr>
        <w:ind w:left="1880" w:hanging="217"/>
        <w:spacing w:after="0"/>
        <w:tabs>
          <w:tab w:leader="none" w:pos="1880" w:val="left"/>
        </w:tabs>
        <w:numPr>
          <w:ilvl w:val="2"/>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cash, check, bank draft or money order;</w:t>
      </w:r>
    </w:p>
    <w:p>
      <w:pPr>
        <w:spacing w:after="0" w:line="116" w:lineRule="exact"/>
        <w:rPr>
          <w:rFonts w:ascii="Times New Roman" w:cs="Times New Roman" w:eastAsia="Times New Roman" w:hAnsi="Times New Roman"/>
          <w:sz w:val="18"/>
          <w:szCs w:val="18"/>
          <w:b w:val="1"/>
          <w:bCs w:val="1"/>
          <w:color w:val="auto"/>
        </w:rPr>
      </w:pPr>
    </w:p>
    <w:p>
      <w:pPr>
        <w:ind w:right="440" w:firstLine="1663"/>
        <w:spacing w:after="0" w:line="281" w:lineRule="auto"/>
        <w:tabs>
          <w:tab w:leader="none" w:pos="1919" w:val="left"/>
        </w:tabs>
        <w:numPr>
          <w:ilvl w:val="2"/>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Company and/or Committee consent at the time of exercise, pursuant to a “cashless exercise” program as further described in Section 4(c)(ii) of the Plan if at the time of exercise the Common Stock is publicly traded;</w:t>
      </w:r>
    </w:p>
    <w:p>
      <w:pPr>
        <w:spacing w:after="0" w:line="54" w:lineRule="exact"/>
        <w:rPr>
          <w:rFonts w:ascii="Times New Roman" w:cs="Times New Roman" w:eastAsia="Times New Roman" w:hAnsi="Times New Roman"/>
          <w:sz w:val="18"/>
          <w:szCs w:val="18"/>
          <w:b w:val="1"/>
          <w:bCs w:val="1"/>
          <w:color w:val="auto"/>
        </w:rPr>
      </w:pPr>
    </w:p>
    <w:p>
      <w:pPr>
        <w:ind w:right="380" w:firstLine="1663"/>
        <w:spacing w:after="0" w:line="281" w:lineRule="auto"/>
        <w:tabs>
          <w:tab w:leader="none" w:pos="1969" w:val="left"/>
        </w:tabs>
        <w:numPr>
          <w:ilvl w:val="2"/>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Company and/or Committee consent at the time of exercise, by delivery of previously owned shares of Common Stock as further described in Section 4(c)(iii) of the Plan; or</w:t>
      </w:r>
    </w:p>
    <w:p>
      <w:pPr>
        <w:spacing w:after="0" w:line="54" w:lineRule="exact"/>
        <w:rPr>
          <w:rFonts w:ascii="Times New Roman" w:cs="Times New Roman" w:eastAsia="Times New Roman" w:hAnsi="Times New Roman"/>
          <w:sz w:val="18"/>
          <w:szCs w:val="18"/>
          <w:b w:val="1"/>
          <w:bCs w:val="1"/>
          <w:color w:val="auto"/>
        </w:rPr>
      </w:pPr>
    </w:p>
    <w:p>
      <w:pPr>
        <w:ind w:right="200" w:firstLine="1663"/>
        <w:spacing w:after="0" w:line="281" w:lineRule="auto"/>
        <w:tabs>
          <w:tab w:leader="none" w:pos="1959" w:val="left"/>
        </w:tabs>
        <w:numPr>
          <w:ilvl w:val="2"/>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Company and/or Committee consent at the time of exercise, if the Option is a Nonstatutory Stock Option, by a “net exercise” arrangement as further described in Section 4(c)(iv) of the Plan.</w:t>
      </w:r>
    </w:p>
    <w:p>
      <w:pPr>
        <w:spacing w:after="0" w:line="50" w:lineRule="exact"/>
        <w:rPr>
          <w:rFonts w:ascii="Times New Roman" w:cs="Times New Roman" w:eastAsia="Times New Roman" w:hAnsi="Times New Roman"/>
          <w:sz w:val="18"/>
          <w:szCs w:val="18"/>
          <w:b w:val="1"/>
          <w:bCs w:val="1"/>
          <w:color w:val="auto"/>
        </w:rPr>
      </w:pPr>
    </w:p>
    <w:p>
      <w:pPr>
        <w:ind w:left="700" w:hanging="183"/>
        <w:spacing w:after="0"/>
        <w:tabs>
          <w:tab w:leader="none" w:pos="700"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3"/>
          <w:szCs w:val="13"/>
          <w:b w:val="1"/>
          <w:bCs w:val="1"/>
          <w:color w:val="auto"/>
        </w:rPr>
        <w:t>ERM</w:t>
      </w:r>
      <w:r>
        <w:rPr>
          <w:rFonts w:ascii="Times New Roman" w:cs="Times New Roman" w:eastAsia="Times New Roman" w:hAnsi="Times New Roman"/>
          <w:sz w:val="18"/>
          <w:szCs w:val="18"/>
          <w:color w:val="auto"/>
        </w:rPr>
        <w:t>. You may not exercise your Option before the commencement of its term or after its term expires. The term of your Option commences 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Date of Grant and expires upon the earliest of the following:</w:t>
      </w:r>
    </w:p>
    <w:p>
      <w:pPr>
        <w:spacing w:after="0" w:line="98" w:lineRule="exact"/>
        <w:rPr>
          <w:sz w:val="20"/>
          <w:szCs w:val="20"/>
          <w:color w:val="auto"/>
        </w:rPr>
      </w:pPr>
    </w:p>
    <w:p>
      <w:pPr>
        <w:ind w:left="1400" w:hanging="247"/>
        <w:spacing w:after="0"/>
        <w:tabs>
          <w:tab w:leader="none" w:pos="1400"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immediately upon the termination of your Continuous Service for Cause;</w:t>
      </w:r>
    </w:p>
    <w:p>
      <w:pPr>
        <w:spacing w:after="0" w:line="116" w:lineRule="exact"/>
        <w:rPr>
          <w:rFonts w:ascii="Times New Roman" w:cs="Times New Roman" w:eastAsia="Times New Roman" w:hAnsi="Times New Roman"/>
          <w:sz w:val="18"/>
          <w:szCs w:val="18"/>
          <w:b w:val="1"/>
          <w:bCs w:val="1"/>
          <w:color w:val="auto"/>
        </w:rPr>
      </w:pPr>
    </w:p>
    <w:p>
      <w:pPr>
        <w:ind w:left="1420" w:hanging="267"/>
        <w:spacing w:after="0"/>
        <w:tabs>
          <w:tab w:leader="none" w:pos="1420"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 months after the termination of your Continuous Service;</w:t>
      </w:r>
    </w:p>
    <w:p>
      <w:pPr>
        <w:spacing w:after="0" w:line="116" w:lineRule="exact"/>
        <w:rPr>
          <w:rFonts w:ascii="Times New Roman" w:cs="Times New Roman" w:eastAsia="Times New Roman" w:hAnsi="Times New Roman"/>
          <w:sz w:val="18"/>
          <w:szCs w:val="18"/>
          <w:b w:val="1"/>
          <w:bCs w:val="1"/>
          <w:color w:val="auto"/>
        </w:rPr>
      </w:pPr>
    </w:p>
    <w:p>
      <w:pPr>
        <w:ind w:left="1400" w:hanging="247"/>
        <w:spacing w:after="0"/>
        <w:tabs>
          <w:tab w:leader="none" w:pos="1400"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immediately upon a Corporate Transaction if the Board has determined that the Option will terminate in connection with a Corporate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w:t>
      </w:r>
    </w:p>
    <w:p>
      <w:pPr>
        <w:spacing w:after="0" w:line="98" w:lineRule="exact"/>
        <w:rPr>
          <w:sz w:val="20"/>
          <w:szCs w:val="20"/>
          <w:color w:val="auto"/>
        </w:rPr>
      </w:pPr>
    </w:p>
    <w:p>
      <w:pPr>
        <w:ind w:left="1420" w:hanging="267"/>
        <w:spacing w:after="0"/>
        <w:tabs>
          <w:tab w:leader="none" w:pos="1420"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Expiration Date indicated in your Grant Notice; or</w:t>
      </w:r>
    </w:p>
    <w:p>
      <w:pPr>
        <w:spacing w:after="0" w:line="116" w:lineRule="exact"/>
        <w:rPr>
          <w:rFonts w:ascii="Times New Roman" w:cs="Times New Roman" w:eastAsia="Times New Roman" w:hAnsi="Times New Roman"/>
          <w:sz w:val="18"/>
          <w:szCs w:val="18"/>
          <w:b w:val="1"/>
          <w:bCs w:val="1"/>
          <w:color w:val="auto"/>
        </w:rPr>
      </w:pPr>
    </w:p>
    <w:p>
      <w:pPr>
        <w:ind w:left="1400" w:hanging="247"/>
        <w:spacing w:after="0"/>
        <w:tabs>
          <w:tab w:leader="none" w:pos="1400"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day before the 10th anniversary of the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894715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97" w:name="page198"/>
    <w:bookmarkEnd w:id="197"/>
    <w:p>
      <w:pPr>
        <w:spacing w:after="0" w:line="192" w:lineRule="exact"/>
        <w:rPr>
          <w:sz w:val="20"/>
          <w:szCs w:val="20"/>
          <w:color w:val="auto"/>
        </w:rPr>
      </w:pPr>
    </w:p>
    <w:p>
      <w:pPr>
        <w:jc w:val="both"/>
        <w:ind w:right="140"/>
        <w:spacing w:after="0" w:line="260" w:lineRule="auto"/>
        <w:rPr>
          <w:sz w:val="20"/>
          <w:szCs w:val="20"/>
          <w:color w:val="auto"/>
        </w:rPr>
      </w:pPr>
      <w:r>
        <w:rPr>
          <w:rFonts w:ascii="Times New Roman" w:cs="Times New Roman" w:eastAsia="Times New Roman" w:hAnsi="Times New Roman"/>
          <w:sz w:val="18"/>
          <w:szCs w:val="18"/>
          <w:color w:val="auto"/>
        </w:rPr>
        <w:t>Notwithstanding the foregoing, if you die during the period provided in Section 4(b) above, the term of your Option shall not expire until the earlier of (i) 12 months after your death, (ii) upon any termination of the Option in connection with a Corporate Transaction, (iii) the Expiration Date indicated in your Grant Notice, or (iv) the day before the tenth anniversary of the Date of Grant. Additionally, the Post-Termination Exercise Period of your Option may be extended as provided in Section 4(i) of the Plan.</w:t>
      </w:r>
    </w:p>
    <w:p>
      <w:pPr>
        <w:spacing w:after="0" w:line="110" w:lineRule="exact"/>
        <w:rPr>
          <w:sz w:val="20"/>
          <w:szCs w:val="20"/>
          <w:color w:val="auto"/>
        </w:rPr>
      </w:pPr>
    </w:p>
    <w:p>
      <w:pPr>
        <w:ind w:right="40" w:firstLine="517"/>
        <w:spacing w:after="0" w:line="254" w:lineRule="auto"/>
        <w:tabs>
          <w:tab w:leader="none" w:pos="689" w:val="left"/>
        </w:tabs>
        <w:numPr>
          <w:ilvl w:val="1"/>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3"/>
          <w:szCs w:val="13"/>
          <w:b w:val="1"/>
          <w:bCs w:val="1"/>
          <w:color w:val="auto"/>
        </w:rPr>
        <w:t>ITHHOLDING</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3"/>
          <w:szCs w:val="13"/>
          <w:b w:val="1"/>
          <w:bCs w:val="1"/>
          <w:color w:val="auto"/>
        </w:rPr>
        <w:t>BLIGATIONS</w:t>
      </w:r>
      <w:r>
        <w:rPr>
          <w:rFonts w:ascii="Times New Roman" w:cs="Times New Roman" w:eastAsia="Times New Roman" w:hAnsi="Times New Roman"/>
          <w:sz w:val="18"/>
          <w:szCs w:val="18"/>
          <w:color w:val="auto"/>
        </w:rPr>
        <w:t>. As further provided in Section 8 of the Plan: (a) you may not exercise your Option unless the applicable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withholding obligations are satisfied, and (b) at the time you exercise your Option, in whole or in part, or at any time thereafter as requested by the Company, you hereby authorize withholding from payroll and any other amounts payable to you, and otherwise agree to make adequate provision for (including by means of a “cashless exercise” pursuant to a program developed under Regulation T as promulgated by the Federal Reserve Board to the extent permitted by the Company), any sums required to satisfy the federal, state, local and foreign tax withholding obligations, if any, which arise in connection with the exercise of your Option in accordance with the withholding procedures established by the Company. Accordingly, you may not be able to exercise your Option even though the Option is vested, and the Company shall have no obligation to issue shares of Common Stock subject to your Option, unless and until such obligations are satisfied. In the event that the amount of the Company’s withholding obligation in connection with your Option was greater than the amount actually withheld by the Company, you agree to indemnify and hold the Company harmless from any failure by the Company to withhold the proper amount.</w:t>
      </w:r>
    </w:p>
    <w:p>
      <w:pPr>
        <w:spacing w:after="0" w:line="182" w:lineRule="exact"/>
        <w:rPr>
          <w:rFonts w:ascii="Times New Roman" w:cs="Times New Roman" w:eastAsia="Times New Roman" w:hAnsi="Times New Roman"/>
          <w:sz w:val="18"/>
          <w:szCs w:val="18"/>
          <w:b w:val="1"/>
          <w:bCs w:val="1"/>
          <w:color w:val="auto"/>
        </w:rPr>
      </w:pPr>
    </w:p>
    <w:p>
      <w:pPr>
        <w:ind w:right="580" w:firstLine="517"/>
        <w:spacing w:after="0" w:line="286" w:lineRule="auto"/>
        <w:tabs>
          <w:tab w:leader="none" w:pos="689" w:val="left"/>
        </w:tabs>
        <w:numPr>
          <w:ilvl w:val="1"/>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TRANSFERABILITY</w:t>
      </w:r>
      <w:r>
        <w:rPr>
          <w:rFonts w:ascii="Times New Roman" w:cs="Times New Roman" w:eastAsia="Times New Roman" w:hAnsi="Times New Roman"/>
          <w:sz w:val="18"/>
          <w:szCs w:val="18"/>
          <w:color w:val="auto"/>
        </w:rPr>
        <w:t>. Except as otherwise provided in Section 4(e) of the Plan, your Option is not transferable, except by will or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laws of descent and distribution, and is exercisable during your life only by you.</w:t>
      </w:r>
    </w:p>
    <w:p>
      <w:pPr>
        <w:spacing w:after="0" w:line="153" w:lineRule="exact"/>
        <w:rPr>
          <w:rFonts w:ascii="Times New Roman" w:cs="Times New Roman" w:eastAsia="Times New Roman" w:hAnsi="Times New Roman"/>
          <w:sz w:val="18"/>
          <w:szCs w:val="18"/>
          <w:b w:val="1"/>
          <w:bCs w:val="1"/>
          <w:color w:val="auto"/>
        </w:rPr>
      </w:pPr>
    </w:p>
    <w:p>
      <w:pPr>
        <w:ind w:right="20" w:firstLine="517"/>
        <w:spacing w:after="0" w:line="268" w:lineRule="auto"/>
        <w:tabs>
          <w:tab w:leader="none" w:pos="689" w:val="left"/>
        </w:tabs>
        <w:numPr>
          <w:ilvl w:val="1"/>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CORPORATE TRANSACTION</w:t>
      </w:r>
      <w:r>
        <w:rPr>
          <w:rFonts w:ascii="Times New Roman" w:cs="Times New Roman" w:eastAsia="Times New Roman" w:hAnsi="Times New Roman"/>
          <w:sz w:val="18"/>
          <w:szCs w:val="18"/>
          <w:color w:val="auto"/>
        </w:rPr>
        <w:t>. Your Option is subject to the terms of any agreement governing a Corporate Transaction involving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including, without limitation, a provision for the appointment of a stockholder representative that is authorized to act on your behalf with respect to any escrow, indemnities and any contingent consideration.</w:t>
      </w:r>
    </w:p>
    <w:p>
      <w:pPr>
        <w:spacing w:after="0" w:line="169" w:lineRule="exact"/>
        <w:rPr>
          <w:rFonts w:ascii="Times New Roman" w:cs="Times New Roman" w:eastAsia="Times New Roman" w:hAnsi="Times New Roman"/>
          <w:sz w:val="18"/>
          <w:szCs w:val="18"/>
          <w:b w:val="1"/>
          <w:bCs w:val="1"/>
          <w:color w:val="auto"/>
        </w:rPr>
      </w:pPr>
    </w:p>
    <w:p>
      <w:pPr>
        <w:ind w:firstLine="517"/>
        <w:spacing w:after="0" w:line="255" w:lineRule="auto"/>
        <w:tabs>
          <w:tab w:leader="none" w:pos="689" w:val="left"/>
        </w:tabs>
        <w:numPr>
          <w:ilvl w:val="1"/>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3"/>
          <w:szCs w:val="13"/>
          <w:b w:val="1"/>
          <w:bCs w:val="1"/>
          <w:color w:val="auto"/>
        </w:rPr>
        <w:t>O</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3"/>
          <w:szCs w:val="13"/>
          <w:b w:val="1"/>
          <w:bCs w:val="1"/>
          <w:color w:val="auto"/>
        </w:rPr>
        <w:t>IABILITY</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3"/>
          <w:szCs w:val="13"/>
          <w:b w:val="1"/>
          <w:bCs w:val="1"/>
          <w:color w:val="auto"/>
        </w:rPr>
        <w:t>OR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3"/>
          <w:szCs w:val="13"/>
          <w:b w:val="1"/>
          <w:bCs w:val="1"/>
          <w:color w:val="auto"/>
        </w:rPr>
        <w:t>AXES</w:t>
      </w:r>
      <w:r>
        <w:rPr>
          <w:rFonts w:ascii="Times New Roman" w:cs="Times New Roman" w:eastAsia="Times New Roman" w:hAnsi="Times New Roman"/>
          <w:sz w:val="18"/>
          <w:szCs w:val="18"/>
          <w:color w:val="auto"/>
        </w:rPr>
        <w:t>. As a condition to accepting the Option, you hereby (a) agree to not make any claim against the Company, or any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Directors, Employees or Affiliates related to tax liabilities arising from the Option or other Company compensation and (b) acknowledge that you were advised to consult with your own personal tax, financial and other legal advisors regarding the tax consequences of the Option and have either done so or knowingly and voluntarily declined to do so. Additionally, you acknowledge that the Option is exempt from Section 409A only if the exercise price is at least equal to the “fair market value” of the Common Stock on the date of grant as determined by the Internal Revenue Service and there is no other impermissible deferral of compensation associated with the Option. Additionally, as a condition to accepting the Option, you agree not make any claim against the Company, or any of its Officers, Directors, Employees or Affiliates in the event that the Internal Revenue Service asserts that such exercise is less than the “fair market value” of the Common Stock on the date of grant as subsequently determined by the Internal Revenue Service.</w:t>
      </w:r>
    </w:p>
    <w:p>
      <w:pPr>
        <w:spacing w:after="0" w:line="182" w:lineRule="exact"/>
        <w:rPr>
          <w:rFonts w:ascii="Times New Roman" w:cs="Times New Roman" w:eastAsia="Times New Roman" w:hAnsi="Times New Roman"/>
          <w:sz w:val="18"/>
          <w:szCs w:val="18"/>
          <w:b w:val="1"/>
          <w:bCs w:val="1"/>
          <w:color w:val="auto"/>
        </w:rPr>
      </w:pPr>
    </w:p>
    <w:p>
      <w:pPr>
        <w:ind w:firstLine="517"/>
        <w:spacing w:after="0" w:line="262" w:lineRule="auto"/>
        <w:tabs>
          <w:tab w:leader="none" w:pos="689" w:val="left"/>
        </w:tabs>
        <w:numPr>
          <w:ilvl w:val="1"/>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3"/>
          <w:szCs w:val="13"/>
          <w:b w:val="1"/>
          <w:bCs w:val="1"/>
          <w:color w:val="auto"/>
        </w:rPr>
        <w:t>EVERABILITY</w:t>
      </w:r>
      <w:r>
        <w:rPr>
          <w:rFonts w:ascii="Times New Roman" w:cs="Times New Roman" w:eastAsia="Times New Roman" w:hAnsi="Times New Roman"/>
          <w:sz w:val="18"/>
          <w:szCs w:val="18"/>
          <w:color w:val="auto"/>
        </w:rPr>
        <w:t>. If any part of this Option Agreement or the Plan is declared by any court or governmental authority to be unlawful or invalid,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unlawfulness or invalidity will not invalidate any portion of this Option Agreement or the Plan not declared to be unlawful or invalid. Any Section of this Option Agreement (or part of such a Section) so declared to be unlawful or invalid will, if possible, be construed in a manner which will give effect to the terms of such Section or part of a Section to the fullest extent possible while remaining lawful and valid</w:t>
      </w:r>
    </w:p>
    <w:p>
      <w:pPr>
        <w:spacing w:after="0" w:line="107" w:lineRule="exact"/>
        <w:rPr>
          <w:rFonts w:ascii="Times New Roman" w:cs="Times New Roman" w:eastAsia="Times New Roman" w:hAnsi="Times New Roman"/>
          <w:sz w:val="18"/>
          <w:szCs w:val="18"/>
          <w:b w:val="1"/>
          <w:bCs w:val="1"/>
          <w:color w:val="auto"/>
        </w:rPr>
      </w:pPr>
    </w:p>
    <w:p>
      <w:pPr>
        <w:ind w:left="780" w:hanging="263"/>
        <w:spacing w:after="0"/>
        <w:tabs>
          <w:tab w:leader="none" w:pos="780" w:val="left"/>
        </w:tabs>
        <w:numPr>
          <w:ilvl w:val="1"/>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3"/>
          <w:szCs w:val="13"/>
          <w:b w:val="1"/>
          <w:bCs w:val="1"/>
          <w:color w:val="auto"/>
        </w:rPr>
        <w:t>THER</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3"/>
          <w:szCs w:val="13"/>
          <w:b w:val="1"/>
          <w:bCs w:val="1"/>
          <w:color w:val="auto"/>
        </w:rPr>
        <w:t>OCUMENTS</w:t>
      </w:r>
      <w:r>
        <w:rPr>
          <w:rFonts w:ascii="Times New Roman" w:cs="Times New Roman" w:eastAsia="Times New Roman" w:hAnsi="Times New Roman"/>
          <w:sz w:val="18"/>
          <w:szCs w:val="18"/>
          <w:color w:val="auto"/>
        </w:rPr>
        <w:t>. You hereby acknowledge receipt of or the right to receive a document providing the information required by Rule 428(b)</w:t>
      </w:r>
    </w:p>
    <w:p>
      <w:pPr>
        <w:spacing w:after="0" w:line="31" w:lineRule="exact"/>
        <w:rPr>
          <w:rFonts w:ascii="Times New Roman" w:cs="Times New Roman" w:eastAsia="Times New Roman" w:hAnsi="Times New Roman"/>
          <w:sz w:val="18"/>
          <w:szCs w:val="18"/>
          <w:b w:val="1"/>
          <w:bCs w:val="1"/>
          <w:color w:val="auto"/>
        </w:rPr>
      </w:pPr>
    </w:p>
    <w:p>
      <w:pPr>
        <w:ind w:left="260" w:hanging="252"/>
        <w:spacing w:after="0"/>
        <w:tabs>
          <w:tab w:leader="none" w:pos="2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promulgated under the Securities Act, which includes the Prospectus. In addition, you acknowledge receipt of the Company’s Trading Policy.</w:t>
      </w:r>
    </w:p>
    <w:p>
      <w:pPr>
        <w:spacing w:after="0" w:line="202" w:lineRule="exact"/>
        <w:rPr>
          <w:rFonts w:ascii="Times New Roman" w:cs="Times New Roman" w:eastAsia="Times New Roman" w:hAnsi="Times New Roman"/>
          <w:sz w:val="18"/>
          <w:szCs w:val="18"/>
          <w:color w:val="auto"/>
        </w:rPr>
      </w:pPr>
    </w:p>
    <w:p>
      <w:pPr>
        <w:ind w:right="440" w:firstLine="517"/>
        <w:spacing w:after="0" w:line="286" w:lineRule="auto"/>
        <w:tabs>
          <w:tab w:leader="none" w:pos="769" w:val="left"/>
        </w:tabs>
        <w:numPr>
          <w:ilvl w:val="1"/>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w:t>
      </w:r>
      <w:r>
        <w:rPr>
          <w:rFonts w:ascii="Times New Roman" w:cs="Times New Roman" w:eastAsia="Times New Roman" w:hAnsi="Times New Roman"/>
          <w:sz w:val="13"/>
          <w:szCs w:val="13"/>
          <w:b w:val="1"/>
          <w:bCs w:val="1"/>
          <w:color w:val="auto"/>
        </w:rPr>
        <w:t>UESTIONS</w:t>
      </w:r>
      <w:r>
        <w:rPr>
          <w:rFonts w:ascii="Times New Roman" w:cs="Times New Roman" w:eastAsia="Times New Roman" w:hAnsi="Times New Roman"/>
          <w:sz w:val="18"/>
          <w:szCs w:val="18"/>
          <w:color w:val="auto"/>
        </w:rPr>
        <w:t>. If you have questions regarding these or any other terms and conditions applicable to your Option, including a summary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federal income tax consequences please see the Prospectus.</w:t>
      </w:r>
    </w:p>
    <w:p>
      <w:pPr>
        <w:spacing w:after="0" w:line="157" w:lineRule="exact"/>
        <w:rPr>
          <w:rFonts w:ascii="Times New Roman" w:cs="Times New Roman" w:eastAsia="Times New Roman" w:hAnsi="Times New Roman"/>
          <w:sz w:val="18"/>
          <w:szCs w:val="18"/>
          <w:b w:val="1"/>
          <w:bCs w:val="1"/>
          <w:color w:val="auto"/>
        </w:rPr>
      </w:pPr>
    </w:p>
    <w:p>
      <w:pPr>
        <w:ind w:left="5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1126490</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98" w:name="page199"/>
    <w:bookmarkEnd w:id="198"/>
    <w:p>
      <w:pPr>
        <w:jc w:val="right"/>
        <w:spacing w:after="0"/>
        <w:rPr>
          <w:sz w:val="20"/>
          <w:szCs w:val="20"/>
          <w:color w:val="auto"/>
        </w:rPr>
      </w:pPr>
      <w:r>
        <w:rPr>
          <w:rFonts w:ascii="Times New Roman" w:cs="Times New Roman" w:eastAsia="Times New Roman" w:hAnsi="Times New Roman"/>
          <w:sz w:val="18"/>
          <w:szCs w:val="18"/>
          <w:i w:val="1"/>
          <w:iCs w:val="1"/>
          <w:color w:val="auto"/>
        </w:rPr>
        <w:t>Non-Employee Director</w:t>
      </w:r>
    </w:p>
    <w:p>
      <w:pPr>
        <w:spacing w:after="0" w:line="2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3"/>
          <w:szCs w:val="13"/>
          <w:b w:val="1"/>
          <w:bCs w:val="1"/>
          <w:color w:val="auto"/>
        </w:rPr>
        <w:t>TTACHMENT</w:t>
      </w:r>
      <w:r>
        <w:rPr>
          <w:rFonts w:ascii="Times New Roman" w:cs="Times New Roman" w:eastAsia="Times New Roman" w:hAnsi="Times New Roman"/>
          <w:sz w:val="18"/>
          <w:szCs w:val="18"/>
          <w:b w:val="1"/>
          <w:bCs w:val="1"/>
          <w:color w:val="auto"/>
        </w:rPr>
        <w:t xml:space="preserve"> II</w:t>
      </w:r>
    </w:p>
    <w:p>
      <w:pPr>
        <w:spacing w:after="0" w:line="2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2021 E</w:t>
      </w:r>
      <w:r>
        <w:rPr>
          <w:rFonts w:ascii="Times New Roman" w:cs="Times New Roman" w:eastAsia="Times New Roman" w:hAnsi="Times New Roman"/>
          <w:sz w:val="13"/>
          <w:szCs w:val="13"/>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3"/>
          <w:szCs w:val="13"/>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3"/>
          <w:szCs w:val="13"/>
          <w:b w:val="1"/>
          <w:bCs w:val="1"/>
          <w:color w:val="auto"/>
        </w:rPr>
        <w:t>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1034415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4" w:right="339" w:bottom="1440" w:gutter="0" w:footer="0" w:header="0"/>
        </w:sectPr>
      </w:pPr>
    </w:p>
    <w:bookmarkStart w:id="199" w:name="page200"/>
    <w:bookmarkEnd w:id="199"/>
    <w:p>
      <w:pPr>
        <w:jc w:val="right"/>
        <w:spacing w:after="0"/>
        <w:rPr>
          <w:sz w:val="20"/>
          <w:szCs w:val="20"/>
          <w:color w:val="auto"/>
        </w:rPr>
      </w:pPr>
      <w:r>
        <w:rPr>
          <w:rFonts w:ascii="Times New Roman" w:cs="Times New Roman" w:eastAsia="Times New Roman" w:hAnsi="Times New Roman"/>
          <w:sz w:val="18"/>
          <w:szCs w:val="18"/>
          <w:i w:val="1"/>
          <w:iCs w:val="1"/>
          <w:color w:val="auto"/>
        </w:rPr>
        <w:t>Non-Employee Director</w:t>
      </w:r>
    </w:p>
    <w:p>
      <w:pPr>
        <w:spacing w:after="0" w:line="2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3"/>
          <w:szCs w:val="13"/>
          <w:b w:val="1"/>
          <w:bCs w:val="1"/>
          <w:color w:val="auto"/>
        </w:rPr>
        <w:t>TTACHMENT</w:t>
      </w:r>
      <w:r>
        <w:rPr>
          <w:rFonts w:ascii="Times New Roman" w:cs="Times New Roman" w:eastAsia="Times New Roman" w:hAnsi="Times New Roman"/>
          <w:sz w:val="18"/>
          <w:szCs w:val="18"/>
          <w:b w:val="1"/>
          <w:bCs w:val="1"/>
          <w:color w:val="auto"/>
        </w:rPr>
        <w:t xml:space="preserve"> III</w:t>
      </w:r>
    </w:p>
    <w:p>
      <w:pPr>
        <w:spacing w:after="0" w:line="22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3"/>
          <w:szCs w:val="13"/>
          <w:b w:val="1"/>
          <w:bCs w:val="1"/>
          <w:color w:val="auto"/>
        </w:rPr>
        <w:t>OTICE OF</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3"/>
          <w:szCs w:val="13"/>
          <w:b w:val="1"/>
          <w:bCs w:val="1"/>
          <w:color w:val="auto"/>
        </w:rPr>
        <w:t>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1034415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4" w:right="339" w:bottom="1440" w:gutter="0" w:footer="0" w:header="0"/>
        </w:sectPr>
      </w:pPr>
    </w:p>
    <w:bookmarkStart w:id="200" w:name="page201"/>
    <w:bookmarkEnd w:id="200"/>
    <w:p>
      <w:pPr>
        <w:jc w:val="right"/>
        <w:spacing w:after="0"/>
        <w:rPr>
          <w:sz w:val="20"/>
          <w:szCs w:val="20"/>
          <w:color w:val="auto"/>
        </w:rPr>
      </w:pPr>
      <w:r>
        <w:rPr>
          <w:rFonts w:ascii="Times New Roman" w:cs="Times New Roman" w:eastAsia="Times New Roman" w:hAnsi="Times New Roman"/>
          <w:sz w:val="18"/>
          <w:szCs w:val="18"/>
          <w:i w:val="1"/>
          <w:iCs w:val="1"/>
          <w:color w:val="auto"/>
        </w:rPr>
        <w:t>Non-Employee Director</w:t>
      </w:r>
    </w:p>
    <w:p>
      <w:pPr>
        <w:spacing w:after="0" w:line="115"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6140" w:type="dxa"/>
            <w:vAlign w:val="bottom"/>
          </w:tcPr>
          <w:p>
            <w:pPr>
              <w:jc w:val="center"/>
              <w:ind w:right="1990"/>
              <w:spacing w:after="0"/>
              <w:rPr>
                <w:sz w:val="20"/>
                <w:szCs w:val="20"/>
                <w:color w:val="auto"/>
              </w:rPr>
            </w:pPr>
            <w:r>
              <w:rPr>
                <w:rFonts w:ascii="Times New Roman" w:cs="Times New Roman" w:eastAsia="Times New Roman" w:hAnsi="Times New Roman"/>
                <w:sz w:val="18"/>
                <w:szCs w:val="18"/>
                <w:b w:val="1"/>
                <w:bCs w:val="1"/>
                <w:color w:val="auto"/>
              </w:rPr>
              <w:t>INVIVYD, INC.</w:t>
            </w:r>
          </w:p>
        </w:tc>
      </w:tr>
      <w:tr>
        <w:trPr>
          <w:trHeight w:val="238"/>
        </w:trPr>
        <w:tc>
          <w:tcPr>
            <w:tcW w:w="3580" w:type="dxa"/>
            <w:vAlign w:val="bottom"/>
          </w:tcPr>
          <w:p>
            <w:pPr>
              <w:spacing w:after="0"/>
              <w:rPr>
                <w:sz w:val="20"/>
                <w:szCs w:val="20"/>
                <w:color w:val="auto"/>
              </w:rPr>
            </w:pPr>
          </w:p>
        </w:tc>
        <w:tc>
          <w:tcPr>
            <w:tcW w:w="6140" w:type="dxa"/>
            <w:vAlign w:val="bottom"/>
          </w:tcPr>
          <w:p>
            <w:pPr>
              <w:jc w:val="center"/>
              <w:ind w:right="2010"/>
              <w:spacing w:after="0"/>
              <w:rPr>
                <w:sz w:val="20"/>
                <w:szCs w:val="20"/>
                <w:color w:val="auto"/>
              </w:rPr>
            </w:pPr>
            <w:r>
              <w:rPr>
                <w:rFonts w:ascii="Times New Roman" w:cs="Times New Roman" w:eastAsia="Times New Roman" w:hAnsi="Times New Roman"/>
                <w:sz w:val="18"/>
                <w:szCs w:val="18"/>
                <w:b w:val="1"/>
                <w:bCs w:val="1"/>
                <w:color w:val="auto"/>
              </w:rPr>
              <w:t>2021 E</w:t>
            </w:r>
            <w:r>
              <w:rPr>
                <w:rFonts w:ascii="Times New Roman" w:cs="Times New Roman" w:eastAsia="Times New Roman" w:hAnsi="Times New Roman"/>
                <w:sz w:val="13"/>
                <w:szCs w:val="13"/>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3"/>
                <w:szCs w:val="13"/>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3"/>
                <w:szCs w:val="13"/>
                <w:b w:val="1"/>
                <w:bCs w:val="1"/>
                <w:color w:val="auto"/>
              </w:rPr>
              <w:t>LAN</w:t>
            </w:r>
          </w:p>
        </w:tc>
      </w:tr>
      <w:tr>
        <w:trPr>
          <w:trHeight w:val="431"/>
        </w:trPr>
        <w:tc>
          <w:tcPr>
            <w:tcW w:w="3580" w:type="dxa"/>
            <w:vAlign w:val="bottom"/>
          </w:tcPr>
          <w:p>
            <w:pPr>
              <w:spacing w:after="0"/>
              <w:rPr>
                <w:sz w:val="24"/>
                <w:szCs w:val="24"/>
                <w:color w:val="auto"/>
              </w:rPr>
            </w:pPr>
          </w:p>
        </w:tc>
        <w:tc>
          <w:tcPr>
            <w:tcW w:w="6140" w:type="dxa"/>
            <w:vAlign w:val="bottom"/>
          </w:tcPr>
          <w:p>
            <w:pPr>
              <w:jc w:val="center"/>
              <w:ind w:right="201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3"/>
                <w:szCs w:val="13"/>
                <w:b w:val="1"/>
                <w:bCs w:val="1"/>
                <w:color w:val="auto"/>
              </w:rPr>
              <w:t>OTICE</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3"/>
                <w:szCs w:val="13"/>
                <w:b w:val="1"/>
                <w:bCs w:val="1"/>
                <w:color w:val="auto"/>
              </w:rPr>
              <w:t>F</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3"/>
                <w:szCs w:val="13"/>
                <w:b w:val="1"/>
                <w:bCs w:val="1"/>
                <w:color w:val="auto"/>
              </w:rPr>
              <w:t>XERCISE</w:t>
            </w:r>
          </w:p>
        </w:tc>
      </w:tr>
      <w:tr>
        <w:trPr>
          <w:trHeight w:val="723"/>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INVIVYD, INC.</w:t>
            </w:r>
          </w:p>
        </w:tc>
        <w:tc>
          <w:tcPr>
            <w:tcW w:w="6140" w:type="dxa"/>
            <w:vAlign w:val="bottom"/>
          </w:tcPr>
          <w:p>
            <w:pPr>
              <w:spacing w:after="0"/>
              <w:rPr>
                <w:sz w:val="24"/>
                <w:szCs w:val="24"/>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1601 TRAPELO ROAD, SUITE 178</w:t>
            </w:r>
          </w:p>
        </w:tc>
        <w:tc>
          <w:tcPr>
            <w:tcW w:w="6140" w:type="dxa"/>
            <w:vAlign w:val="bottom"/>
          </w:tcPr>
          <w:p>
            <w:pPr>
              <w:spacing w:after="0"/>
              <w:rPr>
                <w:sz w:val="18"/>
                <w:szCs w:val="18"/>
                <w:color w:val="auto"/>
              </w:rPr>
            </w:pPr>
          </w:p>
        </w:tc>
      </w:tr>
      <w:tr>
        <w:trPr>
          <w:trHeight w:val="248"/>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WALTHAM, MA 02451</w:t>
            </w:r>
          </w:p>
        </w:tc>
        <w:tc>
          <w:tcPr>
            <w:tcW w:w="6140" w:type="dxa"/>
            <w:vAlign w:val="bottom"/>
          </w:tcPr>
          <w:p>
            <w:pPr>
              <w:ind w:left="4900"/>
              <w:spacing w:after="0"/>
              <w:rPr>
                <w:sz w:val="20"/>
                <w:szCs w:val="20"/>
                <w:color w:val="auto"/>
              </w:rPr>
            </w:pPr>
            <w:r>
              <w:rPr>
                <w:rFonts w:ascii="Times New Roman" w:cs="Times New Roman" w:eastAsia="Times New Roman" w:hAnsi="Times New Roman"/>
                <w:sz w:val="18"/>
                <w:szCs w:val="18"/>
                <w:color w:val="auto"/>
                <w:w w:val="97"/>
              </w:rPr>
              <w:t>Date of Exercise:</w:t>
            </w:r>
          </w:p>
        </w:tc>
      </w:tr>
    </w:tbl>
    <w:p>
      <w:pPr>
        <w:spacing w:after="0" w:line="207" w:lineRule="exact"/>
        <w:rPr>
          <w:sz w:val="20"/>
          <w:szCs w:val="20"/>
          <w:color w:val="auto"/>
        </w:rPr>
      </w:pPr>
    </w:p>
    <w:p>
      <w:pPr>
        <w:ind w:right="60" w:firstLine="509"/>
        <w:spacing w:after="0" w:line="259" w:lineRule="auto"/>
        <w:rPr>
          <w:sz w:val="20"/>
          <w:szCs w:val="20"/>
          <w:color w:val="auto"/>
        </w:rPr>
      </w:pPr>
      <w:r>
        <w:rPr>
          <w:rFonts w:ascii="Times New Roman" w:cs="Times New Roman" w:eastAsia="Times New Roman" w:hAnsi="Times New Roman"/>
          <w:sz w:val="18"/>
          <w:szCs w:val="18"/>
          <w:color w:val="auto"/>
        </w:rPr>
        <w:t>This constitutes notice to Invivyd,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that I elect to purchase the below number of shares of Common Stock of the Company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by exercising my Option for the price set forth below. Capitalized terms not explicitly defined in this Notice of Exercise but defined in the Stock Option Grant Notice, Stock Option Agreement or 2021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shall have the meanings set forth in the Stock Option Grant Notice, Stock Option Agreement or Plan, as applicable. Use of certain payment methods is subject to Company and/or Committee consent and certain additional requirements set forth in the Stock Option Agreement and the Plan.</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Type of option:</w:t>
            </w:r>
          </w:p>
        </w:tc>
        <w:tc>
          <w:tcPr>
            <w:tcW w:w="38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Nonstatutory</w:t>
            </w:r>
          </w:p>
        </w:tc>
      </w:tr>
      <w:tr>
        <w:trPr>
          <w:trHeight w:val="238"/>
        </w:trPr>
        <w:tc>
          <w:tcPr>
            <w:tcW w:w="7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Date of Grant:</w:t>
            </w:r>
          </w:p>
        </w:tc>
        <w:tc>
          <w:tcPr>
            <w:tcW w:w="3800" w:type="dxa"/>
            <w:vAlign w:val="bottom"/>
          </w:tcPr>
          <w:p>
            <w:pPr>
              <w:spacing w:after="0"/>
              <w:rPr>
                <w:sz w:val="20"/>
                <w:szCs w:val="20"/>
                <w:color w:val="auto"/>
              </w:rPr>
            </w:pPr>
          </w:p>
        </w:tc>
      </w:tr>
      <w:tr>
        <w:trPr>
          <w:trHeight w:val="247"/>
        </w:trPr>
        <w:tc>
          <w:tcPr>
            <w:tcW w:w="7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Number of Shares as to which Option is exercised:</w:t>
            </w:r>
          </w:p>
        </w:tc>
        <w:tc>
          <w:tcPr>
            <w:tcW w:w="3800" w:type="dxa"/>
            <w:vAlign w:val="bottom"/>
            <w:shd w:val="clear" w:color="auto" w:fill="CCEEFF"/>
          </w:tcPr>
          <w:p>
            <w:pPr>
              <w:spacing w:after="0"/>
              <w:rPr>
                <w:sz w:val="21"/>
                <w:szCs w:val="21"/>
                <w:color w:val="auto"/>
              </w:rPr>
            </w:pPr>
          </w:p>
        </w:tc>
      </w:tr>
      <w:tr>
        <w:trPr>
          <w:trHeight w:val="238"/>
        </w:trPr>
        <w:tc>
          <w:tcPr>
            <w:tcW w:w="7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Certificates to be issued in name of:</w:t>
            </w:r>
          </w:p>
        </w:tc>
        <w:tc>
          <w:tcPr>
            <w:tcW w:w="3800" w:type="dxa"/>
            <w:vAlign w:val="bottom"/>
          </w:tcPr>
          <w:p>
            <w:pPr>
              <w:spacing w:after="0"/>
              <w:rPr>
                <w:sz w:val="20"/>
                <w:szCs w:val="20"/>
                <w:color w:val="auto"/>
              </w:rPr>
            </w:pPr>
          </w:p>
        </w:tc>
      </w:tr>
      <w:tr>
        <w:trPr>
          <w:trHeight w:val="247"/>
        </w:trPr>
        <w:tc>
          <w:tcPr>
            <w:tcW w:w="7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exercise price:</w:t>
            </w:r>
          </w:p>
        </w:tc>
        <w:tc>
          <w:tcPr>
            <w:tcW w:w="380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4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Cash, check, bank draft or money order delivered herewith:</w:t>
            </w:r>
          </w:p>
        </w:tc>
        <w:tc>
          <w:tcPr>
            <w:tcW w:w="380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74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Value of</w:t>
            </w:r>
          </w:p>
        </w:tc>
        <w:tc>
          <w:tcPr>
            <w:tcW w:w="3800" w:type="dxa"/>
            <w:vAlign w:val="bottom"/>
            <w:shd w:val="clear" w:color="auto" w:fill="CCEEFF"/>
          </w:tcPr>
          <w:p>
            <w:pPr>
              <w:spacing w:after="0"/>
              <w:rPr>
                <w:sz w:val="18"/>
                <w:szCs w:val="18"/>
                <w:color w:val="auto"/>
              </w:rPr>
            </w:pPr>
          </w:p>
        </w:tc>
      </w:tr>
      <w:tr>
        <w:trPr>
          <w:trHeight w:val="261"/>
        </w:trPr>
        <w:tc>
          <w:tcPr>
            <w:tcW w:w="74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Shares delivered herewith:</w:t>
            </w:r>
          </w:p>
        </w:tc>
        <w:tc>
          <w:tcPr>
            <w:tcW w:w="380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4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Regulation T Program (cashless exercise)</w:t>
            </w:r>
          </w:p>
        </w:tc>
        <w:tc>
          <w:tcPr>
            <w:tcW w:w="380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74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Value of</w:t>
            </w:r>
          </w:p>
        </w:tc>
        <w:tc>
          <w:tcPr>
            <w:tcW w:w="3800" w:type="dxa"/>
            <w:vAlign w:val="bottom"/>
            <w:shd w:val="clear" w:color="auto" w:fill="CCEEFF"/>
          </w:tcPr>
          <w:p>
            <w:pPr>
              <w:spacing w:after="0"/>
              <w:rPr>
                <w:sz w:val="18"/>
                <w:szCs w:val="18"/>
                <w:color w:val="auto"/>
              </w:rPr>
            </w:pPr>
          </w:p>
        </w:tc>
      </w:tr>
      <w:tr>
        <w:trPr>
          <w:trHeight w:val="261"/>
        </w:trPr>
        <w:tc>
          <w:tcPr>
            <w:tcW w:w="74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Shares pursuant to net exercise:</w:t>
            </w:r>
          </w:p>
        </w:tc>
        <w:tc>
          <w:tcPr>
            <w:tcW w:w="3800" w:type="dxa"/>
            <w:vAlign w:val="bottom"/>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40" w:type="dxa"/>
            <w:vAlign w:val="bottom"/>
            <w:tcBorders>
              <w:bottom w:val="single" w:sz="8" w:color="999999"/>
            </w:tcBorders>
          </w:tcPr>
          <w:p>
            <w:pPr>
              <w:spacing w:after="0"/>
              <w:rPr>
                <w:sz w:val="18"/>
                <w:szCs w:val="18"/>
                <w:color w:val="auto"/>
              </w:rPr>
            </w:pPr>
          </w:p>
        </w:tc>
        <w:tc>
          <w:tcPr>
            <w:tcW w:w="3800" w:type="dxa"/>
            <w:vAlign w:val="bottom"/>
            <w:tcBorders>
              <w:bottom w:val="single" w:sz="8" w:color="999999"/>
            </w:tcBorders>
          </w:tcPr>
          <w:p>
            <w:pPr>
              <w:spacing w:after="0"/>
              <w:rPr>
                <w:sz w:val="18"/>
                <w:szCs w:val="18"/>
                <w:color w:val="auto"/>
              </w:rPr>
            </w:pPr>
          </w:p>
        </w:tc>
      </w:tr>
    </w:tbl>
    <w:p>
      <w:pPr>
        <w:spacing w:after="0" w:line="197" w:lineRule="exact"/>
        <w:rPr>
          <w:sz w:val="20"/>
          <w:szCs w:val="20"/>
          <w:color w:val="auto"/>
        </w:rPr>
      </w:pPr>
    </w:p>
    <w:p>
      <w:pPr>
        <w:ind w:right="440" w:firstLine="509"/>
        <w:spacing w:after="0" w:line="281" w:lineRule="auto"/>
        <w:rPr>
          <w:sz w:val="20"/>
          <w:szCs w:val="20"/>
          <w:color w:val="auto"/>
        </w:rPr>
      </w:pPr>
      <w:r>
        <w:rPr>
          <w:rFonts w:ascii="Times New Roman" w:cs="Times New Roman" w:eastAsia="Times New Roman" w:hAnsi="Times New Roman"/>
          <w:sz w:val="18"/>
          <w:szCs w:val="18"/>
          <w:color w:val="auto"/>
        </w:rPr>
        <w:t>By this exercise, I agree (i) to provide such additional documents as you may require pursuant to the terms of the Plan and (ii) to satisfy the tax withholding obligations, if any, relating to the exercise of this Option as set forth in the Stock Option Agreement.</w:t>
      </w:r>
    </w:p>
    <w:p>
      <w:pPr>
        <w:spacing w:after="0" w:line="200" w:lineRule="exact"/>
        <w:rPr>
          <w:sz w:val="20"/>
          <w:szCs w:val="20"/>
          <w:color w:val="auto"/>
        </w:rPr>
      </w:pPr>
    </w:p>
    <w:p>
      <w:pPr>
        <w:spacing w:after="0" w:line="27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4294505</wp:posOffset>
            </wp:positionH>
            <wp:positionV relativeFrom="paragraph">
              <wp:posOffset>325755</wp:posOffset>
            </wp:positionV>
            <wp:extent cx="283400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7">
                      <a:extLst>
                        <a:ext uri="{28A0092B-C50C-407E-A947-70E740481C1C}"/>
                      </a:extLst>
                    </a:blip>
                    <a:srcRect/>
                    <a:stretch>
                      <a:fillRect/>
                    </a:stretch>
                  </pic:blipFill>
                  <pic:spPr bwMode="auto">
                    <a:xfrm>
                      <a:off x="0" y="0"/>
                      <a:ext cx="283400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1520190</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201" w:name="page202"/>
    <w:bookmarkEnd w:id="201"/>
    <w:p>
      <w:pPr>
        <w:jc w:val="center"/>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3"/>
          <w:szCs w:val="13"/>
          <w:b w:val="1"/>
          <w:bCs w:val="1"/>
          <w:color w:val="auto"/>
        </w:rPr>
        <w:t>SU</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3"/>
          <w:szCs w:val="13"/>
          <w:b w:val="1"/>
          <w:bCs w:val="1"/>
          <w:color w:val="auto"/>
        </w:rPr>
        <w:t>WARD</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3"/>
          <w:szCs w:val="13"/>
          <w:b w:val="1"/>
          <w:bCs w:val="1"/>
          <w:color w:val="auto"/>
        </w:rPr>
        <w:t>RANT</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3"/>
          <w:szCs w:val="13"/>
          <w:b w:val="1"/>
          <w:bCs w:val="1"/>
          <w:color w:val="auto"/>
        </w:rPr>
        <w:t>OTICE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(2021 E</w:t>
      </w:r>
      <w:r>
        <w:rPr>
          <w:rFonts w:ascii="Times New Roman" w:cs="Times New Roman" w:eastAsia="Times New Roman" w:hAnsi="Times New Roman"/>
          <w:sz w:val="13"/>
          <w:szCs w:val="13"/>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3"/>
          <w:szCs w:val="13"/>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3"/>
          <w:szCs w:val="13"/>
          <w:b w:val="1"/>
          <w:bCs w:val="1"/>
          <w:color w:val="auto"/>
        </w:rPr>
        <w:t>LAN</w:t>
      </w:r>
      <w:r>
        <w:rPr>
          <w:rFonts w:ascii="Times New Roman" w:cs="Times New Roman" w:eastAsia="Times New Roman" w:hAnsi="Times New Roman"/>
          <w:sz w:val="18"/>
          <w:szCs w:val="18"/>
          <w:b w:val="1"/>
          <w:bCs w:val="1"/>
          <w:color w:val="auto"/>
        </w:rPr>
        <w:t>)</w:t>
      </w:r>
    </w:p>
    <w:p>
      <w:pPr>
        <w:spacing w:after="0" w:line="20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7"/>
          <w:szCs w:val="17"/>
          <w:color w:val="auto"/>
        </w:rPr>
        <w:t>Invivyd, Inc.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has awarded to you (the “</w:t>
      </w:r>
      <w:r>
        <w:rPr>
          <w:rFonts w:ascii="Times New Roman" w:cs="Times New Roman" w:eastAsia="Times New Roman" w:hAnsi="Times New Roman"/>
          <w:sz w:val="17"/>
          <w:szCs w:val="17"/>
          <w:b w:val="1"/>
          <w:bCs w:val="1"/>
          <w:i w:val="1"/>
          <w:iCs w:val="1"/>
          <w:color w:val="auto"/>
        </w:rPr>
        <w:t>Participant</w:t>
      </w:r>
      <w:r>
        <w:rPr>
          <w:rFonts w:ascii="Times New Roman" w:cs="Times New Roman" w:eastAsia="Times New Roman" w:hAnsi="Times New Roman"/>
          <w:sz w:val="17"/>
          <w:szCs w:val="17"/>
          <w:color w:val="auto"/>
        </w:rPr>
        <w:t>”) the number of restricted stock units specified and on the terms set forth below in consideration of your services (the “</w:t>
      </w:r>
      <w:r>
        <w:rPr>
          <w:rFonts w:ascii="Times New Roman" w:cs="Times New Roman" w:eastAsia="Times New Roman" w:hAnsi="Times New Roman"/>
          <w:sz w:val="17"/>
          <w:szCs w:val="17"/>
          <w:b w:val="1"/>
          <w:bCs w:val="1"/>
          <w:i w:val="1"/>
          <w:iCs w:val="1"/>
          <w:color w:val="auto"/>
        </w:rPr>
        <w:t>RSU Award</w:t>
      </w:r>
      <w:r>
        <w:rPr>
          <w:rFonts w:ascii="Times New Roman" w:cs="Times New Roman" w:eastAsia="Times New Roman" w:hAnsi="Times New Roman"/>
          <w:sz w:val="17"/>
          <w:szCs w:val="17"/>
          <w:color w:val="auto"/>
        </w:rPr>
        <w:t>”). Your RSU Award is subject to all of the terms and conditions as set forth herein and in the Invivyd, Inc. 2021 Equity Incentive Plan (the “</w:t>
      </w:r>
      <w:r>
        <w:rPr>
          <w:rFonts w:ascii="Times New Roman" w:cs="Times New Roman" w:eastAsia="Times New Roman" w:hAnsi="Times New Roman"/>
          <w:sz w:val="17"/>
          <w:szCs w:val="17"/>
          <w:b w:val="1"/>
          <w:bCs w:val="1"/>
          <w:i w:val="1"/>
          <w:iCs w:val="1"/>
          <w:color w:val="auto"/>
        </w:rPr>
        <w:t>Plan</w:t>
      </w:r>
      <w:r>
        <w:rPr>
          <w:rFonts w:ascii="Times New Roman" w:cs="Times New Roman" w:eastAsia="Times New Roman" w:hAnsi="Times New Roman"/>
          <w:sz w:val="17"/>
          <w:szCs w:val="17"/>
          <w:color w:val="auto"/>
        </w:rPr>
        <w:t>”) and the Award Agreement (the “</w:t>
      </w:r>
      <w:r>
        <w:rPr>
          <w:rFonts w:ascii="Times New Roman" w:cs="Times New Roman" w:eastAsia="Times New Roman" w:hAnsi="Times New Roman"/>
          <w:sz w:val="17"/>
          <w:szCs w:val="17"/>
          <w:b w:val="1"/>
          <w:bCs w:val="1"/>
          <w:i w:val="1"/>
          <w:iCs w:val="1"/>
          <w:color w:val="auto"/>
        </w:rPr>
        <w:t>Agreement</w:t>
      </w:r>
      <w:r>
        <w:rPr>
          <w:rFonts w:ascii="Times New Roman" w:cs="Times New Roman" w:eastAsia="Times New Roman" w:hAnsi="Times New Roman"/>
          <w:sz w:val="17"/>
          <w:szCs w:val="17"/>
          <w:color w:val="auto"/>
        </w:rPr>
        <w:t>”), which are attached hereto and incorporated herein in their entirety. Capitalized terms not explicitly defined herein but defined in the Plan or the Agreement shall have the meanings set forth in the Plan or the Agreement.</w:t>
      </w:r>
    </w:p>
    <w:p>
      <w:pPr>
        <w:spacing w:after="0" w:line="2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2445385</wp:posOffset>
            </wp:positionH>
            <wp:positionV relativeFrom="paragraph">
              <wp:posOffset>17145</wp:posOffset>
            </wp:positionV>
            <wp:extent cx="233743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9">
                      <a:extLst>
                        <a:ext uri="{28A0092B-C50C-407E-A947-70E740481C1C}"/>
                      </a:extLst>
                    </a:blip>
                    <a:srcRect/>
                    <a:stretch>
                      <a:fillRect/>
                    </a:stretch>
                  </pic:blipFill>
                  <pic:spPr bwMode="auto">
                    <a:xfrm>
                      <a:off x="0" y="0"/>
                      <a:ext cx="233743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2445385</wp:posOffset>
            </wp:positionH>
            <wp:positionV relativeFrom="paragraph">
              <wp:posOffset>17145</wp:posOffset>
            </wp:positionV>
            <wp:extent cx="233743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0">
                      <a:extLst>
                        <a:ext uri="{28A0092B-C50C-407E-A947-70E740481C1C}"/>
                      </a:extLst>
                    </a:blip>
                    <a:srcRect/>
                    <a:stretch>
                      <a:fillRect/>
                    </a:stretch>
                  </pic:blipFill>
                  <pic:spPr bwMode="auto">
                    <a:xfrm>
                      <a:off x="0" y="0"/>
                      <a:ext cx="233743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2445385</wp:posOffset>
            </wp:positionH>
            <wp:positionV relativeFrom="paragraph">
              <wp:posOffset>17145</wp:posOffset>
            </wp:positionV>
            <wp:extent cx="233743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1">
                      <a:extLst>
                        <a:ext uri="{28A0092B-C50C-407E-A947-70E740481C1C}"/>
                      </a:extLst>
                    </a:blip>
                    <a:srcRect/>
                    <a:stretch>
                      <a:fillRect/>
                    </a:stretch>
                  </pic:blipFill>
                  <pic:spPr bwMode="auto">
                    <a:xfrm>
                      <a:off x="0" y="0"/>
                      <a:ext cx="233743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Number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2445385</wp:posOffset>
            </wp:positionH>
            <wp:positionV relativeFrom="paragraph">
              <wp:posOffset>17145</wp:posOffset>
            </wp:positionV>
            <wp:extent cx="233743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2">
                      <a:extLst>
                        <a:ext uri="{28A0092B-C50C-407E-A947-70E740481C1C}"/>
                      </a:extLst>
                    </a:blip>
                    <a:srcRect/>
                    <a:stretch>
                      <a:fillRect/>
                    </a:stretch>
                  </pic:blipFill>
                  <pic:spPr bwMode="auto">
                    <a:xfrm>
                      <a:off x="0" y="0"/>
                      <a:ext cx="233743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20"/>
        <w:spacing w:after="0"/>
        <w:tabs>
          <w:tab w:leader="none" w:pos="1800" w:val="left"/>
          <w:tab w:leader="none" w:pos="6320" w:val="left"/>
        </w:tabs>
        <w:rPr>
          <w:sz w:val="20"/>
          <w:szCs w:val="20"/>
          <w:color w:val="auto"/>
        </w:rPr>
      </w:pPr>
      <w:r>
        <w:rPr>
          <w:rFonts w:ascii="Times New Roman" w:cs="Times New Roman" w:eastAsia="Times New Roman" w:hAnsi="Times New Roman"/>
          <w:sz w:val="18"/>
          <w:szCs w:val="18"/>
          <w:b w:val="1"/>
          <w:bCs w:val="1"/>
          <w:color w:val="auto"/>
        </w:rPr>
        <w:t>Vesting Schedule: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1198880</wp:posOffset>
            </wp:positionH>
            <wp:positionV relativeFrom="paragraph">
              <wp:posOffset>-5080</wp:posOffset>
            </wp:positionV>
            <wp:extent cx="28244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3">
                      <a:extLst>
                        <a:ext uri="{28A0092B-C50C-407E-A947-70E740481C1C}"/>
                      </a:extLst>
                    </a:blip>
                    <a:srcRect/>
                    <a:stretch>
                      <a:fillRect/>
                    </a:stretch>
                  </pic:blipFill>
                  <pic:spPr bwMode="auto">
                    <a:xfrm>
                      <a:off x="0" y="0"/>
                      <a:ext cx="2824480" cy="8255"/>
                    </a:xfrm>
                    <a:prstGeom prst="rect">
                      <a:avLst/>
                    </a:prstGeom>
                    <a:noFill/>
                  </pic:spPr>
                </pic:pic>
              </a:graphicData>
            </a:graphic>
          </wp:anchor>
        </w:drawing>
      </w:r>
    </w:p>
    <w:p>
      <w:pPr>
        <w:spacing w:after="0" w:line="20"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Notwithstanding the foregoing, vesting shall terminate upon the Participant’s termination of Continuous Service.</w:t>
      </w:r>
    </w:p>
    <w:p>
      <w:pPr>
        <w:spacing w:after="0" w:line="274" w:lineRule="exact"/>
        <w:rPr>
          <w:sz w:val="20"/>
          <w:szCs w:val="20"/>
          <w:color w:val="auto"/>
        </w:rPr>
      </w:pPr>
    </w:p>
    <w:p>
      <w:pPr>
        <w:ind w:left="1820" w:right="60" w:hanging="1806"/>
        <w:spacing w:after="0" w:line="281" w:lineRule="auto"/>
        <w:tabs>
          <w:tab w:leader="none" w:pos="1800" w:val="left"/>
        </w:tabs>
        <w:rPr>
          <w:sz w:val="20"/>
          <w:szCs w:val="20"/>
          <w:color w:val="auto"/>
        </w:rPr>
      </w:pPr>
      <w:r>
        <w:rPr>
          <w:rFonts w:ascii="Times New Roman" w:cs="Times New Roman" w:eastAsia="Times New Roman" w:hAnsi="Times New Roman"/>
          <w:sz w:val="18"/>
          <w:szCs w:val="18"/>
          <w:b w:val="1"/>
          <w:bCs w:val="1"/>
          <w:color w:val="auto"/>
        </w:rPr>
        <w:t>Issuance Schedule:</w:t>
      </w:r>
      <w:r>
        <w:rPr>
          <w:sz w:val="20"/>
          <w:szCs w:val="20"/>
          <w:color w:val="auto"/>
        </w:rPr>
        <w:tab/>
      </w:r>
      <w:r>
        <w:rPr>
          <w:rFonts w:ascii="Times New Roman" w:cs="Times New Roman" w:eastAsia="Times New Roman" w:hAnsi="Times New Roman"/>
          <w:sz w:val="18"/>
          <w:szCs w:val="18"/>
          <w:color w:val="auto"/>
        </w:rPr>
        <w:t>One share of Common Stock will be issued at the time set forth in Section 5 of the Agreement for each restricted stock unit which vests.</w:t>
      </w:r>
    </w:p>
    <w:p>
      <w:pPr>
        <w:spacing w:after="0" w:line="176"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Participant Acknowledgements: </w:t>
      </w:r>
      <w:r>
        <w:rPr>
          <w:rFonts w:ascii="Times New Roman" w:cs="Times New Roman" w:eastAsia="Times New Roman" w:hAnsi="Times New Roman"/>
          <w:sz w:val="18"/>
          <w:szCs w:val="18"/>
          <w:color w:val="auto"/>
        </w:rPr>
        <w:t>By your signature below or by electronic acceptance or authentication in a form authorized by the Company,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understand and agree that:</w:t>
      </w:r>
    </w:p>
    <w:p>
      <w:pPr>
        <w:spacing w:after="0" w:line="73" w:lineRule="exact"/>
        <w:rPr>
          <w:sz w:val="20"/>
          <w:szCs w:val="20"/>
          <w:color w:val="auto"/>
        </w:rPr>
      </w:pPr>
    </w:p>
    <w:p>
      <w:pPr>
        <w:ind w:left="1040" w:right="300" w:hanging="452"/>
        <w:spacing w:after="0" w:line="262" w:lineRule="auto"/>
        <w:tabs>
          <w:tab w:leader="none" w:pos="10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 Award is governed by this RSU Award Grant Notice (the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the Company’s Incentive Compensation Recovery Policy, and the provisions of the Plan and the Agreement, all of which are made a part of this document. Unless otherwise provided in the Plan, this Grant Notice and the Agreement (together, the “</w:t>
      </w:r>
      <w:r>
        <w:rPr>
          <w:rFonts w:ascii="Times New Roman" w:cs="Times New Roman" w:eastAsia="Times New Roman" w:hAnsi="Times New Roman"/>
          <w:sz w:val="18"/>
          <w:szCs w:val="18"/>
          <w:b w:val="1"/>
          <w:bCs w:val="1"/>
          <w:i w:val="1"/>
          <w:iCs w:val="1"/>
          <w:color w:val="auto"/>
        </w:rPr>
        <w:t>RSU Award Agreement</w:t>
      </w:r>
      <w:r>
        <w:rPr>
          <w:rFonts w:ascii="Times New Roman" w:cs="Times New Roman" w:eastAsia="Times New Roman" w:hAnsi="Times New Roman"/>
          <w:sz w:val="18"/>
          <w:szCs w:val="18"/>
          <w:color w:val="auto"/>
        </w:rPr>
        <w:t>”) may not be modified, amended or revised except in a writing signed by you and a duly authorized officer of the Company.</w:t>
      </w:r>
    </w:p>
    <w:p>
      <w:pPr>
        <w:spacing w:after="0" w:line="111" w:lineRule="exact"/>
        <w:rPr>
          <w:rFonts w:ascii="Times New Roman" w:cs="Times New Roman" w:eastAsia="Times New Roman" w:hAnsi="Times New Roman"/>
          <w:sz w:val="18"/>
          <w:szCs w:val="18"/>
          <w:color w:val="auto"/>
        </w:rPr>
      </w:pPr>
    </w:p>
    <w:p>
      <w:pPr>
        <w:ind w:left="1040" w:right="260" w:hanging="452"/>
        <w:spacing w:after="0" w:line="312" w:lineRule="auto"/>
        <w:tabs>
          <w:tab w:leader="none" w:pos="1040"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have read and are familiar with the provisions of the Plan, the RSU Award Agreement and the Prospectus. In the event of any conflict between the provisions in the RSU Award Agreement, or the Prospectus and the terms of the Plan, the terms of the Plan shall control.</w:t>
      </w:r>
    </w:p>
    <w:p>
      <w:pPr>
        <w:spacing w:after="0" w:line="71" w:lineRule="exact"/>
        <w:rPr>
          <w:rFonts w:ascii="Times New Roman" w:cs="Times New Roman" w:eastAsia="Times New Roman" w:hAnsi="Times New Roman"/>
          <w:sz w:val="17"/>
          <w:szCs w:val="17"/>
          <w:color w:val="auto"/>
        </w:rPr>
      </w:pPr>
    </w:p>
    <w:p>
      <w:pPr>
        <w:jc w:val="both"/>
        <w:ind w:left="1040" w:right="220" w:hanging="452"/>
        <w:spacing w:after="0" w:line="280" w:lineRule="auto"/>
        <w:tabs>
          <w:tab w:leader="none" w:pos="1040"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RSU Award Agreement sets forth the entire understanding between you and the Company regarding the acquisition of Common Stock and supersedes all prior oral and written agreements, promises and/or representations on that subject with the exception of: (i) other equity awards previously granted to you, and (ii) any written employment agreement, offer letter, severance agreement, written severance plan or policy, or other written agreement between the Company and you in each case that specifies the terms that should govern this RSU Award.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INVIVYD, INC.</w:t>
            </w:r>
          </w:p>
        </w:tc>
        <w:tc>
          <w:tcPr>
            <w:tcW w:w="660" w:type="dxa"/>
            <w:vAlign w:val="bottom"/>
          </w:tcPr>
          <w:p>
            <w:pPr>
              <w:spacing w:after="0"/>
              <w:rPr>
                <w:sz w:val="20"/>
                <w:szCs w:val="20"/>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3"/>
                <w:szCs w:val="13"/>
                <w:b w:val="1"/>
                <w:bCs w:val="1"/>
                <w:color w:val="auto"/>
              </w:rPr>
              <w:t>ARTICIPANT</w:t>
            </w:r>
            <w:r>
              <w:rPr>
                <w:rFonts w:ascii="Times New Roman" w:cs="Times New Roman" w:eastAsia="Times New Roman" w:hAnsi="Times New Roman"/>
                <w:sz w:val="18"/>
                <w:szCs w:val="18"/>
                <w:b w:val="1"/>
                <w:bCs w:val="1"/>
                <w:color w:val="auto"/>
              </w:rPr>
              <w:t>:</w:t>
            </w:r>
          </w:p>
        </w:tc>
        <w:tc>
          <w:tcPr>
            <w:tcW w:w="20" w:type="dxa"/>
            <w:vAlign w:val="bottom"/>
          </w:tcPr>
          <w:p>
            <w:pPr>
              <w:spacing w:after="0"/>
              <w:rPr>
                <w:sz w:val="20"/>
                <w:szCs w:val="20"/>
                <w:color w:val="auto"/>
              </w:rPr>
            </w:pPr>
          </w:p>
        </w:tc>
      </w:tr>
      <w:tr>
        <w:trPr>
          <w:trHeight w:val="485"/>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640" w:type="dxa"/>
            <w:vAlign w:val="bottom"/>
          </w:tcPr>
          <w:p>
            <w:pPr>
              <w:spacing w:after="0"/>
              <w:rPr>
                <w:sz w:val="21"/>
                <w:szCs w:val="21"/>
                <w:color w:val="auto"/>
              </w:rPr>
            </w:pPr>
          </w:p>
        </w:tc>
        <w:tc>
          <w:tcPr>
            <w:tcW w:w="4660" w:type="dxa"/>
            <w:vAlign w:val="bottom"/>
            <w:tcBorders>
              <w:top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Signature</w:t>
            </w:r>
          </w:p>
        </w:tc>
        <w:tc>
          <w:tcPr>
            <w:tcW w:w="660" w:type="dxa"/>
            <w:vAlign w:val="bottom"/>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4660" w:type="dxa"/>
            <w:vAlign w:val="bottom"/>
            <w:tcBorders>
              <w:top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Signature</w:t>
            </w:r>
          </w:p>
        </w:tc>
        <w:tc>
          <w:tcPr>
            <w:tcW w:w="20" w:type="dxa"/>
            <w:vAlign w:val="bottom"/>
          </w:tcPr>
          <w:p>
            <w:pPr>
              <w:spacing w:after="0"/>
              <w:rPr>
                <w:sz w:val="21"/>
                <w:szCs w:val="21"/>
                <w:color w:val="auto"/>
              </w:rPr>
            </w:pPr>
          </w:p>
        </w:tc>
      </w:tr>
      <w:tr>
        <w:trPr>
          <w:trHeight w:val="485"/>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66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6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92"/>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466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2"/>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3"/>
                <w:szCs w:val="13"/>
                <w:b w:val="1"/>
                <w:bCs w:val="1"/>
                <w:color w:val="auto"/>
              </w:rPr>
              <w:t>TTACHMENTS</w:t>
            </w:r>
            <w:r>
              <w:rPr>
                <w:rFonts w:ascii="Times New Roman" w:cs="Times New Roman" w:eastAsia="Times New Roman" w:hAnsi="Times New Roman"/>
                <w:sz w:val="18"/>
                <w:szCs w:val="18"/>
                <w:color w:val="auto"/>
              </w:rPr>
              <w:t>: Award Agreement, 2021 Equity Incentive Plan</w:t>
            </w: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25"/>
        </w:trPr>
        <w:tc>
          <w:tcPr>
            <w:tcW w:w="64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202" w:name="page203"/>
    <w:bookmarkEnd w:id="202"/>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3"/>
          <w:szCs w:val="13"/>
          <w:b w:val="1"/>
          <w:bCs w:val="1"/>
          <w:color w:val="auto"/>
        </w:rPr>
        <w:t>TTACHMENT</w:t>
      </w:r>
      <w:r>
        <w:rPr>
          <w:rFonts w:ascii="Times New Roman" w:cs="Times New Roman" w:eastAsia="Times New Roman" w:hAnsi="Times New Roman"/>
          <w:sz w:val="18"/>
          <w:szCs w:val="18"/>
          <w:b w:val="1"/>
          <w:bCs w:val="1"/>
          <w:color w:val="auto"/>
        </w:rPr>
        <w:t xml:space="preserv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3"/>
          <w:szCs w:val="13"/>
          <w:b w:val="1"/>
          <w:bCs w:val="1"/>
          <w:color w:val="auto"/>
        </w:rPr>
        <w:t>WARD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3"/>
          <w:szCs w:val="13"/>
          <w:b w:val="1"/>
          <w:bCs w:val="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1020445</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2" w:right="1440" w:bottom="1440" w:gutter="0" w:footer="0" w:header="0"/>
        </w:sectPr>
      </w:pPr>
    </w:p>
    <w:bookmarkStart w:id="203" w:name="page204"/>
    <w:bookmarkEnd w:id="203"/>
    <w:p>
      <w:pPr>
        <w:jc w:val="center"/>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AWARD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(2021 EQUITY INCENTIVE PLAN)</w:t>
      </w:r>
    </w:p>
    <w:p>
      <w:pPr>
        <w:spacing w:after="0" w:line="202" w:lineRule="exact"/>
        <w:rPr>
          <w:sz w:val="20"/>
          <w:szCs w:val="20"/>
          <w:color w:val="auto"/>
        </w:rPr>
      </w:pPr>
    </w:p>
    <w:p>
      <w:pPr>
        <w:ind w:right="180" w:firstLine="509"/>
        <w:spacing w:after="0" w:line="259" w:lineRule="auto"/>
        <w:rPr>
          <w:sz w:val="20"/>
          <w:szCs w:val="20"/>
          <w:color w:val="auto"/>
        </w:rPr>
      </w:pPr>
      <w:r>
        <w:rPr>
          <w:rFonts w:ascii="Times New Roman" w:cs="Times New Roman" w:eastAsia="Times New Roman" w:hAnsi="Times New Roman"/>
          <w:sz w:val="18"/>
          <w:szCs w:val="18"/>
          <w:color w:val="auto"/>
        </w:rPr>
        <w:t>As reflected by your RSU Award Grant Notice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Invivyd,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granted you a RSU Award under the Invivyd, Inc. 2021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for the number of restricted stock units as indicated in your Grant Notice (the “</w:t>
      </w:r>
      <w:r>
        <w:rPr>
          <w:rFonts w:ascii="Times New Roman" w:cs="Times New Roman" w:eastAsia="Times New Roman" w:hAnsi="Times New Roman"/>
          <w:sz w:val="18"/>
          <w:szCs w:val="18"/>
          <w:b w:val="1"/>
          <w:bCs w:val="1"/>
          <w:i w:val="1"/>
          <w:iCs w:val="1"/>
          <w:color w:val="auto"/>
        </w:rPr>
        <w:t>RSU Award</w:t>
      </w:r>
      <w:r>
        <w:rPr>
          <w:rFonts w:ascii="Times New Roman" w:cs="Times New Roman" w:eastAsia="Times New Roman" w:hAnsi="Times New Roman"/>
          <w:sz w:val="18"/>
          <w:szCs w:val="18"/>
          <w:color w:val="auto"/>
        </w:rPr>
        <w:t>”). The terms of your RSU Award as specified in this Award Agreement for your RSU Award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and the Grant Notice constitute your “</w:t>
      </w:r>
      <w:r>
        <w:rPr>
          <w:rFonts w:ascii="Times New Roman" w:cs="Times New Roman" w:eastAsia="Times New Roman" w:hAnsi="Times New Roman"/>
          <w:sz w:val="18"/>
          <w:szCs w:val="18"/>
          <w:b w:val="1"/>
          <w:bCs w:val="1"/>
          <w:i w:val="1"/>
          <w:iCs w:val="1"/>
          <w:color w:val="auto"/>
        </w:rPr>
        <w:t>RSU Award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Defined terms not explicitly defined in this Agreement but defined in the Grant Notice or the Plan shall have the same definitions as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Grant Notice or Plan, as applicable.</w:t>
      </w:r>
    </w:p>
    <w:p>
      <w:pPr>
        <w:spacing w:after="0" w:line="1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general terms applicable to your RSU Award are as follows:</w:t>
      </w:r>
    </w:p>
    <w:p>
      <w:pPr>
        <w:spacing w:after="0" w:line="113" w:lineRule="exact"/>
        <w:rPr>
          <w:sz w:val="20"/>
          <w:szCs w:val="20"/>
          <w:color w:val="auto"/>
        </w:rPr>
      </w:pPr>
    </w:p>
    <w:p>
      <w:pPr>
        <w:ind w:left="700" w:hanging="183"/>
        <w:spacing w:after="0"/>
        <w:tabs>
          <w:tab w:leader="none" w:pos="700"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3"/>
          <w:szCs w:val="13"/>
          <w:b w:val="1"/>
          <w:bCs w:val="1"/>
          <w:color w:val="auto"/>
        </w:rPr>
        <w:t>OVERNING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3"/>
          <w:szCs w:val="13"/>
          <w:b w:val="1"/>
          <w:bCs w:val="1"/>
          <w:color w:val="auto"/>
        </w:rPr>
        <w:t>LAN</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3"/>
          <w:szCs w:val="13"/>
          <w:b w:val="1"/>
          <w:bCs w:val="1"/>
          <w:color w:val="auto"/>
        </w:rPr>
        <w:t>OCUMENT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RSU Award is subject to all the provisions of the Plan, including but not limited to the provisions in:</w:t>
      </w:r>
    </w:p>
    <w:p>
      <w:pPr>
        <w:spacing w:after="0" w:line="120" w:lineRule="exact"/>
        <w:rPr>
          <w:rFonts w:ascii="Times New Roman" w:cs="Times New Roman" w:eastAsia="Times New Roman" w:hAnsi="Times New Roman"/>
          <w:sz w:val="18"/>
          <w:szCs w:val="18"/>
          <w:b w:val="1"/>
          <w:bCs w:val="1"/>
          <w:color w:val="auto"/>
        </w:rPr>
      </w:pPr>
    </w:p>
    <w:p>
      <w:pPr>
        <w:ind w:left="1400" w:hanging="247"/>
        <w:spacing w:after="0"/>
        <w:tabs>
          <w:tab w:leader="none" w:pos="1400" w:val="left"/>
        </w:tabs>
        <w:numPr>
          <w:ilvl w:val="1"/>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6 of the Plan regarding the impact of a Capitalization Adjustment, dissolution, liquidation, or Corporate Transaction on your</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RSU Award;</w:t>
      </w:r>
    </w:p>
    <w:p>
      <w:pPr>
        <w:spacing w:after="0" w:line="98" w:lineRule="exact"/>
        <w:rPr>
          <w:rFonts w:ascii="Times New Roman" w:cs="Times New Roman" w:eastAsia="Times New Roman" w:hAnsi="Times New Roman"/>
          <w:sz w:val="18"/>
          <w:szCs w:val="18"/>
          <w:b w:val="1"/>
          <w:bCs w:val="1"/>
          <w:color w:val="auto"/>
        </w:rPr>
      </w:pPr>
    </w:p>
    <w:p>
      <w:pPr>
        <w:ind w:left="1420" w:hanging="267"/>
        <w:spacing w:after="0"/>
        <w:tabs>
          <w:tab w:leader="none" w:pos="1420" w:val="left"/>
        </w:tabs>
        <w:numPr>
          <w:ilvl w:val="1"/>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9(e) of the Plan regarding the Company’s retained rights to terminate your Continuous Service notwithstanding the grant of the</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RSU Award; and</w:t>
      </w:r>
    </w:p>
    <w:p>
      <w:pPr>
        <w:spacing w:after="0" w:line="98" w:lineRule="exact"/>
        <w:rPr>
          <w:rFonts w:ascii="Times New Roman" w:cs="Times New Roman" w:eastAsia="Times New Roman" w:hAnsi="Times New Roman"/>
          <w:sz w:val="18"/>
          <w:szCs w:val="18"/>
          <w:b w:val="1"/>
          <w:bCs w:val="1"/>
          <w:color w:val="auto"/>
        </w:rPr>
      </w:pPr>
    </w:p>
    <w:p>
      <w:pPr>
        <w:ind w:left="1400" w:hanging="247"/>
        <w:spacing w:after="0"/>
        <w:tabs>
          <w:tab w:leader="none" w:pos="1400" w:val="left"/>
        </w:tabs>
        <w:numPr>
          <w:ilvl w:val="1"/>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8 of the Plan regarding the tax consequences of your RSU Award.</w:t>
      </w:r>
    </w:p>
    <w:p>
      <w:pPr>
        <w:spacing w:after="0" w:line="225"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Your RSU Award is further subject to all interpretations, amendments, rules and regulations, which may from time to time be promulgated and adopted pursuant to the Plan. In the event of any conflict between the RSU Award Agreement and the provisions of the Plan, the provisions of the Plan shall control.</w:t>
      </w:r>
    </w:p>
    <w:p>
      <w:pPr>
        <w:spacing w:after="0" w:line="135" w:lineRule="exact"/>
        <w:rPr>
          <w:sz w:val="20"/>
          <w:szCs w:val="20"/>
          <w:color w:val="auto"/>
        </w:rPr>
      </w:pPr>
    </w:p>
    <w:p>
      <w:pPr>
        <w:ind w:right="60" w:firstLine="517"/>
        <w:spacing w:after="0" w:line="257" w:lineRule="auto"/>
        <w:tabs>
          <w:tab w:leader="none" w:pos="689" w:val="left"/>
        </w:tabs>
        <w:numPr>
          <w:ilvl w:val="0"/>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3"/>
          <w:szCs w:val="13"/>
          <w:b w:val="1"/>
          <w:bCs w:val="1"/>
          <w:color w:val="auto"/>
        </w:rPr>
        <w:t>RANT</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3"/>
          <w:szCs w:val="13"/>
          <w:b w:val="1"/>
          <w:bCs w:val="1"/>
          <w:color w:val="auto"/>
        </w:rPr>
        <w:t>F</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3"/>
          <w:szCs w:val="13"/>
          <w:b w:val="1"/>
          <w:bCs w:val="1"/>
          <w:color w:val="auto"/>
        </w:rPr>
        <w:t>HE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3"/>
          <w:szCs w:val="13"/>
          <w:b w:val="1"/>
          <w:bCs w:val="1"/>
          <w:color w:val="auto"/>
        </w:rPr>
        <w:t>SU</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3"/>
          <w:szCs w:val="13"/>
          <w:b w:val="1"/>
          <w:bCs w:val="1"/>
          <w:color w:val="auto"/>
        </w:rPr>
        <w:t>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RSU Award represents your right to be issued on a future date the number of shares of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that is equal to the number of restricted stock units indicated in the Grant Notice as modified to reflect any Capitalization Adjustment and subject to your satisfaction of the vesting conditions set forth therein (the “</w:t>
      </w:r>
      <w:r>
        <w:rPr>
          <w:rFonts w:ascii="Times New Roman" w:cs="Times New Roman" w:eastAsia="Times New Roman" w:hAnsi="Times New Roman"/>
          <w:sz w:val="18"/>
          <w:szCs w:val="18"/>
          <w:b w:val="1"/>
          <w:bCs w:val="1"/>
          <w:i w:val="1"/>
          <w:iCs w:val="1"/>
          <w:color w:val="auto"/>
        </w:rPr>
        <w:t>Restricted Stock Units</w:t>
      </w:r>
      <w:r>
        <w:rPr>
          <w:rFonts w:ascii="Times New Roman" w:cs="Times New Roman" w:eastAsia="Times New Roman" w:hAnsi="Times New Roman"/>
          <w:sz w:val="18"/>
          <w:szCs w:val="18"/>
          <w:color w:val="auto"/>
        </w:rPr>
        <w:t>”). Any additional Restricted Stock Units that become subject to the RSU Award pursuant to Capitalization Adjustments as set forth in the Plan and the provisions of Section 3 below, if any, shall be subject, in a manner determined by the Board, to the same forfeiture restrictions, restrictions on transferability, and time and manner of delivery as applicable to the other Restricted Stock Units covered by your RSU Award.</w:t>
      </w:r>
    </w:p>
    <w:p>
      <w:pPr>
        <w:spacing w:after="0" w:line="180" w:lineRule="exact"/>
        <w:rPr>
          <w:rFonts w:ascii="Times New Roman" w:cs="Times New Roman" w:eastAsia="Times New Roman" w:hAnsi="Times New Roman"/>
          <w:sz w:val="18"/>
          <w:szCs w:val="18"/>
          <w:b w:val="1"/>
          <w:bCs w:val="1"/>
          <w:color w:val="auto"/>
        </w:rPr>
      </w:pPr>
    </w:p>
    <w:p>
      <w:pPr>
        <w:ind w:right="20" w:firstLine="517"/>
        <w:spacing w:after="0" w:line="268" w:lineRule="auto"/>
        <w:tabs>
          <w:tab w:leader="none" w:pos="689" w:val="left"/>
        </w:tabs>
        <w:numPr>
          <w:ilvl w:val="0"/>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3"/>
          <w:szCs w:val="13"/>
          <w:b w:val="1"/>
          <w:bCs w:val="1"/>
          <w:color w:val="auto"/>
        </w:rPr>
        <w:t>IVIDENDS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shall receive no benefit or adjustment to this RSU Award with respect to any cash dividend, stock dividend or other distribution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does not result from a Capitalization Adjustment; provided, however, that this sentence will not apply with respect to any shares of Common Stock that are delivered to you in connection with your RSU Award after such shares have been delivered to you.</w:t>
      </w:r>
    </w:p>
    <w:p>
      <w:pPr>
        <w:spacing w:after="0" w:line="169" w:lineRule="exact"/>
        <w:rPr>
          <w:rFonts w:ascii="Times New Roman" w:cs="Times New Roman" w:eastAsia="Times New Roman" w:hAnsi="Times New Roman"/>
          <w:sz w:val="18"/>
          <w:szCs w:val="18"/>
          <w:b w:val="1"/>
          <w:bCs w:val="1"/>
          <w:color w:val="auto"/>
        </w:rPr>
      </w:pPr>
    </w:p>
    <w:p>
      <w:pPr>
        <w:ind w:firstLine="517"/>
        <w:spacing w:after="0" w:line="256" w:lineRule="auto"/>
        <w:tabs>
          <w:tab w:leader="none" w:pos="689" w:val="left"/>
        </w:tabs>
        <w:numPr>
          <w:ilvl w:val="0"/>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3"/>
          <w:szCs w:val="13"/>
          <w:b w:val="1"/>
          <w:bCs w:val="1"/>
          <w:color w:val="auto"/>
        </w:rPr>
        <w:t>ITHHOLDING</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3"/>
          <w:szCs w:val="13"/>
          <w:b w:val="1"/>
          <w:bCs w:val="1"/>
          <w:color w:val="auto"/>
        </w:rPr>
        <w:t>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further provided in Section 8 of the Plan, you hereby authorize withholding from payroll and any other amounts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payable to you, and otherwise agree to make adequate provision for, any sums required to satisfy the federal, state, local and foreign tax withholding obligations, if any, which arise in connection with your RSU Award (the “</w:t>
      </w:r>
      <w:r>
        <w:rPr>
          <w:rFonts w:ascii="Times New Roman" w:cs="Times New Roman" w:eastAsia="Times New Roman" w:hAnsi="Times New Roman"/>
          <w:sz w:val="18"/>
          <w:szCs w:val="18"/>
          <w:b w:val="1"/>
          <w:bCs w:val="1"/>
          <w:i w:val="1"/>
          <w:iCs w:val="1"/>
          <w:color w:val="auto"/>
        </w:rPr>
        <w:t>Withholding Obligation</w:t>
      </w:r>
      <w:r>
        <w:rPr>
          <w:rFonts w:ascii="Times New Roman" w:cs="Times New Roman" w:eastAsia="Times New Roman" w:hAnsi="Times New Roman"/>
          <w:sz w:val="18"/>
          <w:szCs w:val="18"/>
          <w:color w:val="auto"/>
        </w:rPr>
        <w:t>”) in accordance with the withholding procedures established by the Company. Unless the Withholding Obligation is satisfied, the Company shall have no obligation to deliver to you any Common Stock in respect of the RSU Award. In the event the Withholding Obligation of the Company arises prior to the delivery to you of Common Stock or it is determined after the delivery of Common Stock to you that the amount of the Withholding Obligation was greater than the amount withheld by the Company, you agree to indemnify and hold the Company harmless from any failure by the Company to withhold the proper amount.</w:t>
      </w:r>
    </w:p>
    <w:p>
      <w:pPr>
        <w:spacing w:after="0" w:line="113" w:lineRule="exact"/>
        <w:rPr>
          <w:rFonts w:ascii="Times New Roman" w:cs="Times New Roman" w:eastAsia="Times New Roman" w:hAnsi="Times New Roman"/>
          <w:sz w:val="18"/>
          <w:szCs w:val="18"/>
          <w:b w:val="1"/>
          <w:bCs w:val="1"/>
          <w:color w:val="auto"/>
        </w:rPr>
      </w:pPr>
    </w:p>
    <w:p>
      <w:pPr>
        <w:ind w:left="700" w:hanging="183"/>
        <w:spacing w:after="0"/>
        <w:tabs>
          <w:tab w:leader="none" w:pos="700" w:val="left"/>
        </w:tabs>
        <w:numPr>
          <w:ilvl w:val="0"/>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3"/>
          <w:szCs w:val="13"/>
          <w:b w:val="1"/>
          <w:bCs w:val="1"/>
          <w:color w:val="auto"/>
        </w:rPr>
        <w:t>ATE</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3"/>
          <w:szCs w:val="13"/>
          <w:b w:val="1"/>
          <w:bCs w:val="1"/>
          <w:color w:val="auto"/>
        </w:rPr>
        <w:t>F</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3"/>
          <w:szCs w:val="13"/>
          <w:b w:val="1"/>
          <w:bCs w:val="1"/>
          <w:color w:val="auto"/>
        </w:rPr>
        <w:t>SSUANCE</w:t>
      </w:r>
      <w:r>
        <w:rPr>
          <w:rFonts w:ascii="Times New Roman" w:cs="Times New Roman" w:eastAsia="Times New Roman" w:hAnsi="Times New Roman"/>
          <w:sz w:val="18"/>
          <w:szCs w:val="18"/>
          <w:b w:val="1"/>
          <w:bCs w:val="1"/>
          <w:color w:val="auto"/>
        </w:rPr>
        <w:t>.</w:t>
      </w:r>
    </w:p>
    <w:p>
      <w:pPr>
        <w:spacing w:after="0" w:line="120" w:lineRule="exact"/>
        <w:rPr>
          <w:rFonts w:ascii="Times New Roman" w:cs="Times New Roman" w:eastAsia="Times New Roman" w:hAnsi="Times New Roman"/>
          <w:sz w:val="18"/>
          <w:szCs w:val="18"/>
          <w:b w:val="1"/>
          <w:bCs w:val="1"/>
          <w:color w:val="auto"/>
        </w:rPr>
      </w:pPr>
    </w:p>
    <w:p>
      <w:pPr>
        <w:ind w:right="80" w:firstLine="1153"/>
        <w:spacing w:after="0" w:line="265" w:lineRule="auto"/>
        <w:tabs>
          <w:tab w:leader="none" w:pos="1400" w:val="left"/>
        </w:tabs>
        <w:numPr>
          <w:ilvl w:val="1"/>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issuance of shares in respect of the Restricted Stock Units is intended to comply with Treasury Regulations Section 1.409A-1(b)(4) and will be construed and administered in such a manner. Subject to the satisfaction of the Withholding Obligation, if any, in the event one or more Restricted Stock Units vests,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204" w:name="page205"/>
    <w:bookmarkEnd w:id="204"/>
    <w:p>
      <w:pPr>
        <w:spacing w:after="0" w:line="84"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Company shall issue to you one (1) share of Common Stock for each Restricted Stock Unit that vests on the applicable vesting date(s) (subject to any adjustment under Section 3 above, and subject to any different provisions in the Grant Notice). Each issuance date determined by this paragraph is referred to as an “</w:t>
      </w:r>
      <w:r>
        <w:rPr>
          <w:rFonts w:ascii="Times New Roman" w:cs="Times New Roman" w:eastAsia="Times New Roman" w:hAnsi="Times New Roman"/>
          <w:sz w:val="18"/>
          <w:szCs w:val="18"/>
          <w:b w:val="1"/>
          <w:bCs w:val="1"/>
          <w:i w:val="1"/>
          <w:iCs w:val="1"/>
          <w:color w:val="auto"/>
        </w:rPr>
        <w:t>Original Issuance Date</w:t>
      </w:r>
      <w:r>
        <w:rPr>
          <w:rFonts w:ascii="Times New Roman" w:cs="Times New Roman" w:eastAsia="Times New Roman" w:hAnsi="Times New Roman"/>
          <w:sz w:val="18"/>
          <w:szCs w:val="18"/>
          <w:color w:val="auto"/>
        </w:rPr>
        <w:t>.”</w:t>
      </w:r>
    </w:p>
    <w:p>
      <w:pPr>
        <w:spacing w:after="0" w:line="69" w:lineRule="exact"/>
        <w:rPr>
          <w:sz w:val="20"/>
          <w:szCs w:val="20"/>
          <w:color w:val="auto"/>
        </w:rPr>
      </w:pPr>
    </w:p>
    <w:p>
      <w:pPr>
        <w:ind w:left="1420" w:hanging="267"/>
        <w:spacing w:after="0"/>
        <w:tabs>
          <w:tab w:leader="none" w:pos="1420" w:val="left"/>
        </w:tabs>
        <w:numPr>
          <w:ilvl w:val="0"/>
          <w:numId w:val="15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If the Original Issuance Date falls on a date that is not a business day, delivery shall instead occur on the next following business day. In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addition, </w:t>
      </w:r>
      <w:r>
        <w:rPr>
          <w:rFonts w:ascii="Times New Roman" w:cs="Times New Roman" w:eastAsia="Times New Roman" w:hAnsi="Times New Roman"/>
          <w:sz w:val="18"/>
          <w:szCs w:val="18"/>
          <w:u w:val="single" w:color="auto"/>
          <w:color w:val="auto"/>
        </w:rPr>
        <w:t>if</w:t>
      </w:r>
      <w:r>
        <w:rPr>
          <w:rFonts w:ascii="Times New Roman" w:cs="Times New Roman" w:eastAsia="Times New Roman" w:hAnsi="Times New Roman"/>
          <w:sz w:val="18"/>
          <w:szCs w:val="18"/>
          <w:color w:val="auto"/>
        </w:rPr>
        <w:t>:</w:t>
      </w:r>
    </w:p>
    <w:p>
      <w:pPr>
        <w:spacing w:after="0" w:line="98" w:lineRule="exact"/>
        <w:rPr>
          <w:sz w:val="20"/>
          <w:szCs w:val="20"/>
          <w:color w:val="auto"/>
        </w:rPr>
      </w:pPr>
    </w:p>
    <w:p>
      <w:pPr>
        <w:ind w:right="80" w:firstLine="1663"/>
        <w:spacing w:after="0" w:line="258" w:lineRule="auto"/>
        <w:tabs>
          <w:tab w:leader="none" w:pos="1869" w:val="left"/>
        </w:tabs>
        <w:numPr>
          <w:ilvl w:val="0"/>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Original Issuance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Times New Roman" w:cs="Times New Roman" w:eastAsia="Times New Roman" w:hAnsi="Times New Roman"/>
          <w:sz w:val="18"/>
          <w:szCs w:val="18"/>
          <w:b w:val="1"/>
          <w:bCs w:val="1"/>
          <w:i w:val="1"/>
          <w:iCs w:val="1"/>
          <w:color w:val="auto"/>
        </w:rPr>
        <w:t>10b5-1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Arrangement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and</w:t>
      </w:r>
    </w:p>
    <w:p>
      <w:pPr>
        <w:spacing w:after="0" w:line="74" w:lineRule="exact"/>
        <w:rPr>
          <w:rFonts w:ascii="Times New Roman" w:cs="Times New Roman" w:eastAsia="Times New Roman" w:hAnsi="Times New Roman"/>
          <w:sz w:val="18"/>
          <w:szCs w:val="18"/>
          <w:b w:val="1"/>
          <w:bCs w:val="1"/>
          <w:color w:val="auto"/>
        </w:rPr>
      </w:pPr>
    </w:p>
    <w:p>
      <w:pPr>
        <w:ind w:right="20" w:firstLine="1663"/>
        <w:spacing w:after="0" w:line="260" w:lineRule="auto"/>
        <w:tabs>
          <w:tab w:leader="none" w:pos="1919" w:val="left"/>
        </w:tabs>
        <w:numPr>
          <w:ilvl w:val="0"/>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either (1) a Withholding Obligation does not apply, or (2) the Company decides, prior to the Original Issuance Date, (A) not to satisfy the Withholding Obligation by withholding shares of Common Stock from the shares otherwise due, on the Original Issuance Date, to you under this Award, and (B) not to permit you to enter into a “same day sale” commitment with a broker-dealer (including but not limited to a commitment under a 10b5-1 Arrangement) and (C) not to permit you to pay your Withholding Obligation in cash,</w:t>
      </w:r>
    </w:p>
    <w:p>
      <w:pPr>
        <w:spacing w:after="0" w:line="18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u w:val="single" w:color="auto"/>
          <w:color w:val="auto"/>
        </w:rPr>
        <w:t>then</w:t>
      </w:r>
      <w:r>
        <w:rPr>
          <w:rFonts w:ascii="Times New Roman" w:cs="Times New Roman" w:eastAsia="Times New Roman" w:hAnsi="Times New Roman"/>
          <w:sz w:val="18"/>
          <w:szCs w:val="18"/>
          <w:color w:val="auto"/>
        </w:rPr>
        <w:t xml:space="preserve"> the shares that would otherwise be issued to you on the Original Issuance Date will not be delivered on such Original Issuance Date and will instead be delivered on the first business day when you are not prohibited from selling shares of the Company’s Common Stock in the open public market, but in no event later than December 31 of the calendar year in which the Original Issuance Date occurs (that is, the last day of your taxable year in which the Original Issuance Date occurs), or, </w:t>
      </w:r>
      <w:r>
        <w:rPr>
          <w:rFonts w:ascii="Times New Roman" w:cs="Times New Roman" w:eastAsia="Times New Roman" w:hAnsi="Times New Roman"/>
          <w:sz w:val="18"/>
          <w:szCs w:val="18"/>
          <w:u w:val="single" w:color="auto"/>
          <w:color w:val="auto"/>
        </w:rPr>
        <w:t>if and only if</w:t>
      </w:r>
      <w:r>
        <w:rPr>
          <w:rFonts w:ascii="Times New Roman" w:cs="Times New Roman" w:eastAsia="Times New Roman" w:hAnsi="Times New Roman"/>
          <w:sz w:val="18"/>
          <w:szCs w:val="18"/>
          <w:color w:val="auto"/>
        </w:rPr>
        <w:t xml:space="preserve"> permitted in a manner that complies with Treasury Regulations Section 1.409A-1(b)(4), no later than the date that is the 15th day of the third calendar month of the applicable year following the year in which the shares of Common Stock under this Award are no longer subject to a “substantial risk of forfeiture” within the meaning of Treasury Regulations Section 1.409A-1(d).</w:t>
      </w:r>
    </w:p>
    <w:p>
      <w:pPr>
        <w:spacing w:after="0" w:line="78" w:lineRule="exact"/>
        <w:rPr>
          <w:sz w:val="20"/>
          <w:szCs w:val="20"/>
          <w:color w:val="auto"/>
        </w:rPr>
      </w:pPr>
    </w:p>
    <w:p>
      <w:pPr>
        <w:ind w:left="1400" w:hanging="247"/>
        <w:spacing w:after="0"/>
        <w:tabs>
          <w:tab w:leader="none" w:pos="1400" w:val="left"/>
        </w:tabs>
        <w:numPr>
          <w:ilvl w:val="2"/>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the extent the RSU Award is a Non-Exempt RSU Award, the provisions of Section 11 of the Plan shall apply.</w:t>
      </w:r>
    </w:p>
    <w:p>
      <w:pPr>
        <w:spacing w:after="0" w:line="220" w:lineRule="exact"/>
        <w:rPr>
          <w:rFonts w:ascii="Times New Roman" w:cs="Times New Roman" w:eastAsia="Times New Roman" w:hAnsi="Times New Roman"/>
          <w:sz w:val="18"/>
          <w:szCs w:val="18"/>
          <w:b w:val="1"/>
          <w:bCs w:val="1"/>
          <w:color w:val="auto"/>
        </w:rPr>
      </w:pPr>
    </w:p>
    <w:p>
      <w:pPr>
        <w:ind w:right="380" w:firstLine="517"/>
        <w:spacing w:after="0" w:line="286" w:lineRule="auto"/>
        <w:tabs>
          <w:tab w:leader="none" w:pos="689" w:val="left"/>
        </w:tabs>
        <w:numPr>
          <w:ilvl w:val="1"/>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3"/>
          <w:szCs w:val="13"/>
          <w:b w:val="1"/>
          <w:bCs w:val="1"/>
          <w:color w:val="auto"/>
        </w:rPr>
        <w:t>RANSFERABILITY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otherwise provided in the Plan, your RSU Award is not transferable, except by will or by the applicable laws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descent and distribution.</w:t>
      </w:r>
    </w:p>
    <w:p>
      <w:pPr>
        <w:spacing w:after="0" w:line="153" w:lineRule="exact"/>
        <w:rPr>
          <w:rFonts w:ascii="Times New Roman" w:cs="Times New Roman" w:eastAsia="Times New Roman" w:hAnsi="Times New Roman"/>
          <w:sz w:val="18"/>
          <w:szCs w:val="18"/>
          <w:b w:val="1"/>
          <w:bCs w:val="1"/>
          <w:color w:val="auto"/>
        </w:rPr>
      </w:pPr>
    </w:p>
    <w:p>
      <w:pPr>
        <w:ind w:firstLine="517"/>
        <w:spacing w:after="0" w:line="268" w:lineRule="auto"/>
        <w:tabs>
          <w:tab w:leader="none" w:pos="689" w:val="left"/>
        </w:tabs>
        <w:numPr>
          <w:ilvl w:val="1"/>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3"/>
          <w:szCs w:val="13"/>
          <w:b w:val="1"/>
          <w:bCs w:val="1"/>
          <w:color w:val="auto"/>
        </w:rPr>
        <w:t>ORPORATE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3"/>
          <w:szCs w:val="13"/>
          <w:b w:val="1"/>
          <w:bCs w:val="1"/>
          <w:color w:val="auto"/>
        </w:rPr>
        <w:t>RANSACTION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RSU Award is subject to the terms of any agreement governing a Corporate Transaction involving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without limitation, a provision for the appointment of a stockholder representative that is authorized to act on your behalf with respect to any escrow, indemnities and any contingent consideration.</w:t>
      </w:r>
    </w:p>
    <w:p>
      <w:pPr>
        <w:spacing w:after="0" w:line="169" w:lineRule="exact"/>
        <w:rPr>
          <w:rFonts w:ascii="Times New Roman" w:cs="Times New Roman" w:eastAsia="Times New Roman" w:hAnsi="Times New Roman"/>
          <w:sz w:val="18"/>
          <w:szCs w:val="18"/>
          <w:b w:val="1"/>
          <w:bCs w:val="1"/>
          <w:color w:val="auto"/>
        </w:rPr>
      </w:pPr>
    </w:p>
    <w:p>
      <w:pPr>
        <w:ind w:right="120" w:firstLine="517"/>
        <w:spacing w:after="0" w:line="262" w:lineRule="auto"/>
        <w:tabs>
          <w:tab w:leader="none" w:pos="689" w:val="left"/>
        </w:tabs>
        <w:numPr>
          <w:ilvl w:val="1"/>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3"/>
          <w:szCs w:val="13"/>
          <w:b w:val="1"/>
          <w:bCs w:val="1"/>
          <w:color w:val="auto"/>
        </w:rPr>
        <w:t>O</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3"/>
          <w:szCs w:val="13"/>
          <w:b w:val="1"/>
          <w:bCs w:val="1"/>
          <w:color w:val="auto"/>
        </w:rPr>
        <w:t>IABILITY FOR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3"/>
          <w:szCs w:val="13"/>
          <w:b w:val="1"/>
          <w:bCs w:val="1"/>
          <w:color w:val="auto"/>
        </w:rPr>
        <w:t>AXES</w:t>
      </w:r>
      <w:r>
        <w:rPr>
          <w:rFonts w:ascii="Times New Roman" w:cs="Times New Roman" w:eastAsia="Times New Roman" w:hAnsi="Times New Roman"/>
          <w:sz w:val="18"/>
          <w:szCs w:val="18"/>
          <w:color w:val="auto"/>
        </w:rPr>
        <w:t>. As a condition to accepting the RSU Award, you hereby (a) agree to not make any claim against the Company,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its Officers, Directors, Employees or Affiliates related to tax liabilities arising from the RSU Award or other Company compensation and (b) acknowledge that you were advised to consult with your own personal tax, financial and other legal advisors regarding the tax consequences of the RSU Award and have either done so or knowingly and voluntarily declined to do so.</w:t>
      </w:r>
    </w:p>
    <w:p>
      <w:pPr>
        <w:spacing w:after="0" w:line="107" w:lineRule="exact"/>
        <w:rPr>
          <w:rFonts w:ascii="Times New Roman" w:cs="Times New Roman" w:eastAsia="Times New Roman" w:hAnsi="Times New Roman"/>
          <w:sz w:val="18"/>
          <w:szCs w:val="18"/>
          <w:b w:val="1"/>
          <w:bCs w:val="1"/>
          <w:color w:val="auto"/>
        </w:rPr>
      </w:pPr>
    </w:p>
    <w:p>
      <w:pPr>
        <w:ind w:right="80" w:firstLine="517"/>
        <w:spacing w:after="0" w:line="262" w:lineRule="auto"/>
        <w:tabs>
          <w:tab w:leader="none" w:pos="689" w:val="left"/>
        </w:tabs>
        <w:numPr>
          <w:ilvl w:val="1"/>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3"/>
          <w:szCs w:val="13"/>
          <w:b w:val="1"/>
          <w:bCs w:val="1"/>
          <w:color w:val="auto"/>
        </w:rPr>
        <w:t>EVERABILITY</w:t>
      </w:r>
      <w:r>
        <w:rPr>
          <w:rFonts w:ascii="Times New Roman" w:cs="Times New Roman" w:eastAsia="Times New Roman" w:hAnsi="Times New Roman"/>
          <w:sz w:val="18"/>
          <w:szCs w:val="18"/>
          <w:color w:val="auto"/>
        </w:rPr>
        <w:t>. If any part of this Agreement or the Plan is declared by any court or governmental authority to be unlawful or invalid,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unlawfulness or invalidity will not invalidate any portion of this Agreement or the Plan not declared to be unlawful or invalid. Any Section of this Agreement (or part of such a Section) so declared to be unlawful or invalid will, if possible, be construed in a manner which will give effect to the terms of such Section or part of a Section to the fullest extent possible while remaining lawful and valid.</w:t>
      </w:r>
    </w:p>
    <w:p>
      <w:pPr>
        <w:spacing w:after="0" w:line="174" w:lineRule="exact"/>
        <w:rPr>
          <w:rFonts w:ascii="Times New Roman" w:cs="Times New Roman" w:eastAsia="Times New Roman" w:hAnsi="Times New Roman"/>
          <w:sz w:val="18"/>
          <w:szCs w:val="18"/>
          <w:b w:val="1"/>
          <w:bCs w:val="1"/>
          <w:color w:val="auto"/>
        </w:rPr>
      </w:pPr>
    </w:p>
    <w:p>
      <w:pPr>
        <w:ind w:left="780" w:hanging="263"/>
        <w:spacing w:after="0"/>
        <w:tabs>
          <w:tab w:leader="none" w:pos="780" w:val="left"/>
        </w:tabs>
        <w:numPr>
          <w:ilvl w:val="1"/>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3"/>
          <w:szCs w:val="13"/>
          <w:b w:val="1"/>
          <w:bCs w:val="1"/>
          <w:color w:val="auto"/>
        </w:rPr>
        <w:t>THER</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3"/>
          <w:szCs w:val="13"/>
          <w:b w:val="1"/>
          <w:bCs w:val="1"/>
          <w:color w:val="auto"/>
        </w:rPr>
        <w:t>OCUMENTS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hereby acknowledge receipt of or the right to receive a document providing the information required by Rule 428(b)</w:t>
      </w:r>
    </w:p>
    <w:p>
      <w:pPr>
        <w:spacing w:after="0" w:line="31" w:lineRule="exact"/>
        <w:rPr>
          <w:rFonts w:ascii="Times New Roman" w:cs="Times New Roman" w:eastAsia="Times New Roman" w:hAnsi="Times New Roman"/>
          <w:sz w:val="18"/>
          <w:szCs w:val="18"/>
          <w:b w:val="1"/>
          <w:bCs w:val="1"/>
          <w:color w:val="auto"/>
        </w:rPr>
      </w:pPr>
    </w:p>
    <w:p>
      <w:pPr>
        <w:ind w:left="260" w:hanging="252"/>
        <w:spacing w:after="0"/>
        <w:tabs>
          <w:tab w:leader="none" w:pos="2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promulgated under the Securities Act, which includes the Prospectus. In addition, you acknowledge receipt of the Company’s Trading Policy.</w:t>
      </w:r>
    </w:p>
    <w:p>
      <w:pPr>
        <w:spacing w:after="0" w:line="202" w:lineRule="exact"/>
        <w:rPr>
          <w:rFonts w:ascii="Times New Roman" w:cs="Times New Roman" w:eastAsia="Times New Roman" w:hAnsi="Times New Roman"/>
          <w:sz w:val="18"/>
          <w:szCs w:val="18"/>
          <w:color w:val="auto"/>
        </w:rPr>
      </w:pPr>
    </w:p>
    <w:p>
      <w:pPr>
        <w:ind w:right="80" w:firstLine="517"/>
        <w:spacing w:after="0" w:line="286" w:lineRule="auto"/>
        <w:tabs>
          <w:tab w:leader="none" w:pos="769" w:val="left"/>
        </w:tabs>
        <w:numPr>
          <w:ilvl w:val="1"/>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w:t>
      </w:r>
      <w:r>
        <w:rPr>
          <w:rFonts w:ascii="Times New Roman" w:cs="Times New Roman" w:eastAsia="Times New Roman" w:hAnsi="Times New Roman"/>
          <w:sz w:val="13"/>
          <w:szCs w:val="13"/>
          <w:b w:val="1"/>
          <w:bCs w:val="1"/>
          <w:color w:val="auto"/>
        </w:rPr>
        <w:t>UESTIONS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you have questions regarding these or any other terms and conditions applicable to your RSU Award, including a summary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federal income tax consequences please see 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989965</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5" w:name="page206"/>
    <w:bookmarkEnd w:id="20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Attachment 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2021 E</w:t>
      </w:r>
      <w:r>
        <w:rPr>
          <w:rFonts w:ascii="Times New Roman" w:cs="Times New Roman" w:eastAsia="Times New Roman" w:hAnsi="Times New Roman"/>
          <w:sz w:val="13"/>
          <w:szCs w:val="13"/>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3"/>
          <w:szCs w:val="13"/>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3"/>
          <w:szCs w:val="13"/>
          <w:b w:val="1"/>
          <w:bCs w:val="1"/>
          <w:color w:val="auto"/>
        </w:rPr>
        <w:t>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1129030</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2" w:right="1440" w:bottom="1440" w:gutter="0" w:footer="0" w:header="0"/>
        </w:sectPr>
      </w:pPr>
    </w:p>
    <w:bookmarkStart w:id="206" w:name="page207"/>
    <w:bookmarkEnd w:id="206"/>
    <w:p>
      <w:pPr>
        <w:jc w:val="right"/>
        <w:spacing w:after="0"/>
        <w:rPr>
          <w:sz w:val="20"/>
          <w:szCs w:val="20"/>
          <w:color w:val="auto"/>
        </w:rPr>
      </w:pPr>
      <w:r>
        <w:rPr>
          <w:rFonts w:ascii="Times New Roman" w:cs="Times New Roman" w:eastAsia="Times New Roman" w:hAnsi="Times New Roman"/>
          <w:sz w:val="22"/>
          <w:szCs w:val="22"/>
          <w:b w:val="1"/>
          <w:bCs w:val="1"/>
          <w:color w:val="auto"/>
        </w:rPr>
        <w:t>Exhibit 10.4</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INVIVYD, INC.</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INDEMNIFICATION AGREEMENT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Pr>
          <w:p>
            <w:pPr>
              <w:ind w:left="520"/>
              <w:spacing w:after="0"/>
              <w:rPr>
                <w:sz w:val="20"/>
                <w:szCs w:val="20"/>
                <w:color w:val="auto"/>
              </w:rPr>
            </w:pPr>
            <w:r>
              <w:rPr>
                <w:rFonts w:ascii="Times New Roman" w:cs="Times New Roman" w:eastAsia="Times New Roman" w:hAnsi="Times New Roman"/>
                <w:sz w:val="20"/>
                <w:szCs w:val="20"/>
                <w:color w:val="auto"/>
                <w:w w:val="99"/>
              </w:rPr>
              <w:t>This Indemnification Agreement (this “</w:t>
            </w:r>
            <w:r>
              <w:rPr>
                <w:rFonts w:ascii="Times New Roman" w:cs="Times New Roman" w:eastAsia="Times New Roman" w:hAnsi="Times New Roman"/>
                <w:sz w:val="20"/>
                <w:szCs w:val="20"/>
                <w:b w:val="1"/>
                <w:bCs w:val="1"/>
                <w:i w:val="1"/>
                <w:iCs w:val="1"/>
                <w:color w:val="auto"/>
                <w:w w:val="99"/>
              </w:rPr>
              <w:t>Agreement</w:t>
            </w:r>
            <w:r>
              <w:rPr>
                <w:rFonts w:ascii="Times New Roman" w:cs="Times New Roman" w:eastAsia="Times New Roman" w:hAnsi="Times New Roman"/>
                <w:sz w:val="20"/>
                <w:szCs w:val="20"/>
                <w:color w:val="auto"/>
                <w:w w:val="99"/>
              </w:rPr>
              <w:t>”) is dated as of</w:t>
            </w:r>
          </w:p>
        </w:tc>
        <w:tc>
          <w:tcPr>
            <w:tcW w:w="740" w:type="dxa"/>
            <w:vAlign w:val="bottom"/>
            <w:tcBorders>
              <w:bottom w:val="single" w:sz="8" w:color="auto"/>
            </w:tcBorders>
          </w:tcPr>
          <w:p>
            <w:pPr>
              <w:spacing w:after="0"/>
              <w:rPr>
                <w:sz w:val="19"/>
                <w:szCs w:val="19"/>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20"/>
                <w:szCs w:val="20"/>
                <w:color w:val="auto"/>
                <w:w w:val="98"/>
              </w:rPr>
              <w:t>, 20__, and is between Invivyd, Inc., a Delaware</w:t>
            </w:r>
          </w:p>
        </w:tc>
      </w:tr>
      <w:tr>
        <w:trPr>
          <w:trHeight w:val="256"/>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and ____________ (“</w:t>
            </w:r>
            <w:r>
              <w:rPr>
                <w:rFonts w:ascii="Times New Roman" w:cs="Times New Roman" w:eastAsia="Times New Roman" w:hAnsi="Times New Roman"/>
                <w:sz w:val="20"/>
                <w:szCs w:val="20"/>
                <w:b w:val="1"/>
                <w:bCs w:val="1"/>
                <w:i w:val="1"/>
                <w:iCs w:val="1"/>
                <w:color w:val="auto"/>
              </w:rPr>
              <w:t>Indemnitee</w:t>
            </w:r>
            <w:r>
              <w:rPr>
                <w:rFonts w:ascii="Times New Roman" w:cs="Times New Roman" w:eastAsia="Times New Roman" w:hAnsi="Times New Roman"/>
                <w:sz w:val="20"/>
                <w:szCs w:val="20"/>
                <w:color w:val="auto"/>
              </w:rPr>
              <w:t>”).</w:t>
            </w:r>
          </w:p>
        </w:tc>
        <w:tc>
          <w:tcPr>
            <w:tcW w:w="740" w:type="dxa"/>
            <w:vAlign w:val="bottom"/>
          </w:tcPr>
          <w:p>
            <w:pPr>
              <w:spacing w:after="0"/>
              <w:rPr>
                <w:sz w:val="22"/>
                <w:szCs w:val="22"/>
                <w:color w:val="auto"/>
              </w:rPr>
            </w:pPr>
          </w:p>
        </w:tc>
        <w:tc>
          <w:tcPr>
            <w:tcW w:w="3820" w:type="dxa"/>
            <w:vAlign w:val="bottom"/>
          </w:tcPr>
          <w:p>
            <w:pPr>
              <w:spacing w:after="0"/>
              <w:rPr>
                <w:sz w:val="22"/>
                <w:szCs w:val="22"/>
                <w:color w:val="auto"/>
              </w:rPr>
            </w:pPr>
          </w:p>
        </w:tc>
      </w:tr>
    </w:tbl>
    <w:p>
      <w:pPr>
        <w:spacing w:after="0" w:line="16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color w:val="auto"/>
        </w:rPr>
        <w:t xml:space="preserve">A. </w:t>
      </w:r>
      <w:r>
        <w:rPr>
          <w:rFonts w:ascii="Times New Roman" w:cs="Times New Roman" w:eastAsia="Times New Roman" w:hAnsi="Times New Roman"/>
          <w:sz w:val="20"/>
          <w:szCs w:val="20"/>
          <w:color w:val="auto"/>
        </w:rPr>
        <w:t>Indemnitee’s service to the Company substantially benefits the Company.</w:t>
      </w:r>
    </w:p>
    <w:p>
      <w:pPr>
        <w:spacing w:after="0" w:line="202" w:lineRule="exact"/>
        <w:rPr>
          <w:sz w:val="20"/>
          <w:szCs w:val="20"/>
          <w:color w:val="auto"/>
        </w:rPr>
      </w:pPr>
    </w:p>
    <w:p>
      <w:pPr>
        <w:ind w:right="160" w:firstLine="509"/>
        <w:spacing w:after="0" w:line="299" w:lineRule="auto"/>
        <w:rPr>
          <w:sz w:val="20"/>
          <w:szCs w:val="20"/>
          <w:color w:val="auto"/>
        </w:rPr>
      </w:pPr>
      <w:r>
        <w:rPr>
          <w:rFonts w:ascii="Times New Roman" w:cs="Times New Roman" w:eastAsia="Times New Roman" w:hAnsi="Times New Roman"/>
          <w:sz w:val="19"/>
          <w:szCs w:val="19"/>
          <w:b w:val="1"/>
          <w:bCs w:val="1"/>
          <w:color w:val="auto"/>
        </w:rPr>
        <w:t xml:space="preserve">B. </w:t>
      </w:r>
      <w:r>
        <w:rPr>
          <w:rFonts w:ascii="Times New Roman" w:cs="Times New Roman" w:eastAsia="Times New Roman" w:hAnsi="Times New Roman"/>
          <w:sz w:val="19"/>
          <w:szCs w:val="19"/>
          <w:color w:val="auto"/>
        </w:rPr>
        <w:t>Individuals are reluctant to serve as directors or officers of corporations or in certain other capacities unless they are provided with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adequate protection through insurance or indemnification against the risks of claims and actions against them arising out of such service.</w:t>
      </w:r>
    </w:p>
    <w:p>
      <w:pPr>
        <w:spacing w:after="0" w:line="116"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C. </w:t>
      </w:r>
      <w:r>
        <w:rPr>
          <w:rFonts w:ascii="Times New Roman" w:cs="Times New Roman" w:eastAsia="Times New Roman" w:hAnsi="Times New Roman"/>
          <w:sz w:val="20"/>
          <w:szCs w:val="20"/>
          <w:color w:val="auto"/>
        </w:rPr>
        <w:t>Indemnitee does not regard the protection currently provided by applicable law, the Company’s governing documents and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insurance as adequate under the present circumstances, and Indemnitee may not be willing to serve as a director or officer without additional protection.</w:t>
      </w:r>
    </w:p>
    <w:p>
      <w:pPr>
        <w:spacing w:after="0" w:line="143" w:lineRule="exact"/>
        <w:rPr>
          <w:sz w:val="20"/>
          <w:szCs w:val="20"/>
          <w:color w:val="auto"/>
        </w:rPr>
      </w:pPr>
    </w:p>
    <w:p>
      <w:pPr>
        <w:ind w:right="460" w:firstLine="509"/>
        <w:spacing w:after="0" w:line="299" w:lineRule="auto"/>
        <w:rPr>
          <w:sz w:val="20"/>
          <w:szCs w:val="20"/>
          <w:color w:val="auto"/>
        </w:rPr>
      </w:pPr>
      <w:r>
        <w:rPr>
          <w:rFonts w:ascii="Times New Roman" w:cs="Times New Roman" w:eastAsia="Times New Roman" w:hAnsi="Times New Roman"/>
          <w:sz w:val="19"/>
          <w:szCs w:val="19"/>
          <w:b w:val="1"/>
          <w:bCs w:val="1"/>
          <w:color w:val="auto"/>
        </w:rPr>
        <w:t xml:space="preserve">D. </w:t>
      </w:r>
      <w:r>
        <w:rPr>
          <w:rFonts w:ascii="Times New Roman" w:cs="Times New Roman" w:eastAsia="Times New Roman" w:hAnsi="Times New Roman"/>
          <w:sz w:val="19"/>
          <w:szCs w:val="19"/>
          <w:color w:val="auto"/>
        </w:rPr>
        <w:t>In order to induce Indemnitee to continue to provide services to the Company, it is reasonable, prudent and necessary for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Company to contractually obligate itself to indemnify, and to advance expenses on behalf of, Indemnitee as permitted by applicable law.</w:t>
      </w:r>
    </w:p>
    <w:p>
      <w:pPr>
        <w:spacing w:after="0" w:line="116"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E. </w:t>
      </w:r>
      <w:r>
        <w:rPr>
          <w:rFonts w:ascii="Times New Roman" w:cs="Times New Roman" w:eastAsia="Times New Roman" w:hAnsi="Times New Roman"/>
          <w:sz w:val="20"/>
          <w:szCs w:val="20"/>
          <w:color w:val="auto"/>
        </w:rPr>
        <w:t>This Agreement is a supplement to and in furtherance of the indemnification provided in the Company’s certificate of incorporation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bylaws, and any resolutions adopted pursuant thereto, and this Agreement shall not be deemed a substitute therefor, nor shall this Agreement be deemed to limit, diminish or abrogate any rights of Indemnitee thereunder.</w:t>
      </w:r>
    </w:p>
    <w:p>
      <w:pPr>
        <w:spacing w:after="0" w:line="1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The parties therefore agree as follows:</w:t>
      </w:r>
    </w:p>
    <w:p>
      <w:pPr>
        <w:spacing w:after="0" w:line="184" w:lineRule="exact"/>
        <w:rPr>
          <w:sz w:val="20"/>
          <w:szCs w:val="20"/>
          <w:color w:val="auto"/>
        </w:rPr>
      </w:pPr>
    </w:p>
    <w:p>
      <w:pPr>
        <w:ind w:left="720" w:hanging="203"/>
        <w:spacing w:after="0"/>
        <w:tabs>
          <w:tab w:leader="none" w:pos="720" w:val="left"/>
        </w:tabs>
        <w:numPr>
          <w:ilvl w:val="0"/>
          <w:numId w:val="1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Definitions</w:t>
      </w:r>
      <w:r>
        <w:rPr>
          <w:rFonts w:ascii="Times New Roman" w:cs="Times New Roman" w:eastAsia="Times New Roman" w:hAnsi="Times New Roman"/>
          <w:sz w:val="20"/>
          <w:szCs w:val="20"/>
          <w:color w:val="auto"/>
        </w:rPr>
        <w:t>.</w:t>
      </w:r>
    </w:p>
    <w:p>
      <w:pPr>
        <w:spacing w:after="0" w:line="201" w:lineRule="exact"/>
        <w:rPr>
          <w:rFonts w:ascii="Times New Roman" w:cs="Times New Roman" w:eastAsia="Times New Roman" w:hAnsi="Times New Roman"/>
          <w:sz w:val="20"/>
          <w:szCs w:val="20"/>
          <w:b w:val="1"/>
          <w:bCs w:val="1"/>
          <w:color w:val="auto"/>
        </w:rPr>
      </w:pPr>
    </w:p>
    <w:p>
      <w:pPr>
        <w:ind w:left="1420" w:hanging="267"/>
        <w:spacing w:after="0"/>
        <w:tabs>
          <w:tab w:leader="none" w:pos="1420" w:val="left"/>
        </w:tabs>
        <w:numPr>
          <w:ilvl w:val="1"/>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w:t>
      </w:r>
      <w:r>
        <w:rPr>
          <w:rFonts w:ascii="Times New Roman" w:cs="Times New Roman" w:eastAsia="Times New Roman" w:hAnsi="Times New Roman"/>
          <w:sz w:val="20"/>
          <w:szCs w:val="20"/>
          <w:b w:val="1"/>
          <w:bCs w:val="1"/>
          <w:i w:val="1"/>
          <w:iCs w:val="1"/>
          <w:color w:val="auto"/>
        </w:rPr>
        <w:t>Change in Control</w:t>
      </w:r>
      <w:r>
        <w:rPr>
          <w:rFonts w:ascii="Times New Roman" w:cs="Times New Roman" w:eastAsia="Times New Roman" w:hAnsi="Times New Roman"/>
          <w:sz w:val="20"/>
          <w:szCs w:val="20"/>
          <w:color w:val="auto"/>
        </w:rPr>
        <w:t>” shall be deemed to occur upon the earliest to occur after the date of this Agreement of any of the</w:t>
      </w:r>
    </w:p>
    <w:p>
      <w:pPr>
        <w:spacing w:after="0" w:line="25"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following events:</w:t>
      </w:r>
    </w:p>
    <w:p>
      <w:pPr>
        <w:spacing w:after="0" w:line="175" w:lineRule="exact"/>
        <w:rPr>
          <w:rFonts w:ascii="Times New Roman" w:cs="Times New Roman" w:eastAsia="Times New Roman" w:hAnsi="Times New Roman"/>
          <w:sz w:val="20"/>
          <w:szCs w:val="20"/>
          <w:color w:val="auto"/>
        </w:rPr>
      </w:pPr>
    </w:p>
    <w:p>
      <w:pPr>
        <w:ind w:right="220" w:firstLine="1663"/>
        <w:spacing w:after="0" w:line="255" w:lineRule="auto"/>
        <w:tabs>
          <w:tab w:leader="none" w:pos="1891" w:val="left"/>
        </w:tabs>
        <w:numPr>
          <w:ilvl w:val="2"/>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Acquisition of Stock by Third Party. </w:t>
      </w:r>
      <w:r>
        <w:rPr>
          <w:rFonts w:ascii="Times New Roman" w:cs="Times New Roman" w:eastAsia="Times New Roman" w:hAnsi="Times New Roman"/>
          <w:sz w:val="20"/>
          <w:szCs w:val="20"/>
          <w:color w:val="auto"/>
        </w:rPr>
        <w:t>Any Person (as defined below) is or becomes the Beneficial Owner (as defined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below), directly or indirectly, of securities of the Company representing fifty percent (50%) or more of the combined voting power of the Company’s then outstanding securities;</w:t>
      </w:r>
    </w:p>
    <w:p>
      <w:pPr>
        <w:spacing w:after="0" w:line="143" w:lineRule="exact"/>
        <w:rPr>
          <w:rFonts w:ascii="Times New Roman" w:cs="Times New Roman" w:eastAsia="Times New Roman" w:hAnsi="Times New Roman"/>
          <w:sz w:val="20"/>
          <w:szCs w:val="20"/>
          <w:color w:val="auto"/>
        </w:rPr>
      </w:pPr>
    </w:p>
    <w:p>
      <w:pPr>
        <w:ind w:firstLine="1663"/>
        <w:spacing w:after="0" w:line="244" w:lineRule="auto"/>
        <w:tabs>
          <w:tab w:leader="none" w:pos="1946" w:val="left"/>
        </w:tabs>
        <w:numPr>
          <w:ilvl w:val="2"/>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Change in Board Composition. </w:t>
      </w:r>
      <w:r>
        <w:rPr>
          <w:rFonts w:ascii="Times New Roman" w:cs="Times New Roman" w:eastAsia="Times New Roman" w:hAnsi="Times New Roman"/>
          <w:sz w:val="20"/>
          <w:szCs w:val="20"/>
          <w:color w:val="auto"/>
        </w:rPr>
        <w:t>During any period of two consecutive years (not including any period prior to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execution of this Agreement), individuals who at the beginning of such period constitute the Company’s board of directors, and any new directors (other than a director designated by a person who has entered into an agreement with the Company to effect a transaction described in Sections 1(a)(i), 1(a)(iii) or 1(a)(iv)) whose election by the board of directors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at least a majority of the members of the Company’s board of directors;</w:t>
      </w:r>
    </w:p>
    <w:p>
      <w:pPr>
        <w:spacing w:after="0" w:line="170" w:lineRule="exact"/>
        <w:rPr>
          <w:rFonts w:ascii="Times New Roman" w:cs="Times New Roman" w:eastAsia="Times New Roman" w:hAnsi="Times New Roman"/>
          <w:sz w:val="20"/>
          <w:szCs w:val="20"/>
          <w:color w:val="auto"/>
        </w:rPr>
      </w:pPr>
    </w:p>
    <w:p>
      <w:pPr>
        <w:ind w:right="20" w:firstLine="1663"/>
        <w:spacing w:after="0" w:line="272" w:lineRule="auto"/>
        <w:tabs>
          <w:tab w:leader="none" w:pos="2001" w:val="left"/>
        </w:tabs>
        <w:numPr>
          <w:ilvl w:val="2"/>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Corporate Transactions. </w:t>
      </w:r>
      <w:r>
        <w:rPr>
          <w:rFonts w:ascii="Times New Roman" w:cs="Times New Roman" w:eastAsia="Times New Roman" w:hAnsi="Times New Roman"/>
          <w:sz w:val="20"/>
          <w:szCs w:val="20"/>
          <w:color w:val="auto"/>
        </w:rPr>
        <w:t>The effective date of a merger or consolidation of the Company with any other entity, other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than a merger or consolidation which would result in the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983615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207" w:name="page208"/>
    <w:bookmarkEnd w:id="207"/>
    <w:p>
      <w:pPr>
        <w:ind w:right="40"/>
        <w:spacing w:after="0" w:line="249" w:lineRule="auto"/>
        <w:rPr>
          <w:sz w:val="20"/>
          <w:szCs w:val="20"/>
          <w:color w:val="auto"/>
        </w:rPr>
      </w:pPr>
      <w:r>
        <w:rPr>
          <w:rFonts w:ascii="Times New Roman" w:cs="Times New Roman" w:eastAsia="Times New Roman" w:hAnsi="Times New Roman"/>
          <w:sz w:val="20"/>
          <w:szCs w:val="20"/>
          <w:color w:val="auto"/>
        </w:rPr>
        <w:t>securities of the Company outstanding immediately prior to such merger or consolidation continuing to represent (either by remaining outstanding or by being converted into voting securities of the surviving entity) more than 50% of the combined voting power of the voting securities of the surviving entity outstanding immediately after such merger or consolidation and with the power to elect at least a majority of the board of directors or other governing body of such surviving entity;</w:t>
      </w:r>
    </w:p>
    <w:p>
      <w:pPr>
        <w:spacing w:after="0" w:line="161" w:lineRule="exact"/>
        <w:rPr>
          <w:sz w:val="20"/>
          <w:szCs w:val="20"/>
          <w:color w:val="auto"/>
        </w:rPr>
      </w:pPr>
    </w:p>
    <w:p>
      <w:pPr>
        <w:ind w:right="440" w:firstLine="1663"/>
        <w:spacing w:after="0" w:line="272" w:lineRule="auto"/>
        <w:tabs>
          <w:tab w:leader="none" w:pos="1989"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Liquidation. </w:t>
      </w:r>
      <w:r>
        <w:rPr>
          <w:rFonts w:ascii="Times New Roman" w:cs="Times New Roman" w:eastAsia="Times New Roman" w:hAnsi="Times New Roman"/>
          <w:sz w:val="20"/>
          <w:szCs w:val="20"/>
          <w:color w:val="auto"/>
        </w:rPr>
        <w:t>The approval by the stockholders of the Company of a complete liquidation of the Company or an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agreement for the sale or disposition by the Company of all or substantially all of the Company’s assets; and</w:t>
      </w:r>
    </w:p>
    <w:p>
      <w:pPr>
        <w:spacing w:after="0" w:line="125" w:lineRule="exact"/>
        <w:rPr>
          <w:rFonts w:ascii="Times New Roman" w:cs="Times New Roman" w:eastAsia="Times New Roman" w:hAnsi="Times New Roman"/>
          <w:sz w:val="20"/>
          <w:szCs w:val="20"/>
          <w:color w:val="auto"/>
        </w:rPr>
      </w:pPr>
    </w:p>
    <w:p>
      <w:pPr>
        <w:jc w:val="both"/>
        <w:ind w:right="80" w:firstLine="1663"/>
        <w:spacing w:after="0" w:line="255" w:lineRule="auto"/>
        <w:tabs>
          <w:tab w:leader="none" w:pos="1935"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Other Events. </w:t>
      </w:r>
      <w:r>
        <w:rPr>
          <w:rFonts w:ascii="Times New Roman" w:cs="Times New Roman" w:eastAsia="Times New Roman" w:hAnsi="Times New Roman"/>
          <w:sz w:val="20"/>
          <w:szCs w:val="20"/>
          <w:color w:val="auto"/>
        </w:rPr>
        <w:t>Any other event of a nature that would be required to be reported in response to Item 6(e) of Schedule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14A of Regulation 14A (or in response to any similar item on any similar schedule or form) promulgated under the Securities Exchange Act of 1934, as amended, whether or not the Company is then subject to such reporting requirement.</w:t>
      </w:r>
    </w:p>
    <w:p>
      <w:pPr>
        <w:spacing w:after="0" w:line="1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For purposes of this Section 1(a), the following terms shall have the following meanings:</w:t>
      </w:r>
    </w:p>
    <w:p>
      <w:pPr>
        <w:spacing w:after="0" w:line="198" w:lineRule="exact"/>
        <w:rPr>
          <w:sz w:val="20"/>
          <w:szCs w:val="20"/>
          <w:color w:val="auto"/>
        </w:rPr>
      </w:pPr>
    </w:p>
    <w:p>
      <w:pPr>
        <w:ind w:firstLine="2299"/>
        <w:spacing w:after="0" w:line="250" w:lineRule="auto"/>
        <w:tabs>
          <w:tab w:leader="none" w:pos="2571" w:val="left"/>
        </w:tabs>
        <w:numPr>
          <w:ilvl w:val="1"/>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Person</w:t>
      </w:r>
      <w:r>
        <w:rPr>
          <w:rFonts w:ascii="Times New Roman" w:cs="Times New Roman" w:eastAsia="Times New Roman" w:hAnsi="Times New Roman"/>
          <w:sz w:val="20"/>
          <w:szCs w:val="20"/>
          <w:color w:val="auto"/>
        </w:rPr>
        <w:t xml:space="preserve">” shall have the meaning as set forth in Sections 13(d) and 14(d) of the Securities Exchange Act of 1934, as amended;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that “</w:t>
      </w:r>
      <w:r>
        <w:rPr>
          <w:rFonts w:ascii="Times New Roman" w:cs="Times New Roman" w:eastAsia="Times New Roman" w:hAnsi="Times New Roman"/>
          <w:sz w:val="20"/>
          <w:szCs w:val="20"/>
          <w:b w:val="1"/>
          <w:bCs w:val="1"/>
          <w:i w:val="1"/>
          <w:iCs w:val="1"/>
          <w:color w:val="auto"/>
        </w:rPr>
        <w:t>Person</w:t>
      </w:r>
      <w:r>
        <w:rPr>
          <w:rFonts w:ascii="Times New Roman" w:cs="Times New Roman" w:eastAsia="Times New Roman" w:hAnsi="Times New Roman"/>
          <w:sz w:val="20"/>
          <w:szCs w:val="20"/>
          <w:color w:val="auto"/>
        </w:rPr>
        <w:t>” shall exclude (i) the Company, (ii) any trustee or other fiduciary holding securities under an employee benefit plan of the Company, and (iii) any corporation owned, directly or indirectly, by the stockholders of the Company in substantially the same proportions as their ownership of stock of the Company.</w:t>
      </w:r>
    </w:p>
    <w:p>
      <w:pPr>
        <w:spacing w:after="0" w:line="147" w:lineRule="exact"/>
        <w:rPr>
          <w:rFonts w:ascii="Times New Roman" w:cs="Times New Roman" w:eastAsia="Times New Roman" w:hAnsi="Times New Roman"/>
          <w:sz w:val="20"/>
          <w:szCs w:val="20"/>
          <w:color w:val="auto"/>
        </w:rPr>
      </w:pPr>
    </w:p>
    <w:p>
      <w:pPr>
        <w:ind w:right="60" w:firstLine="2299"/>
        <w:spacing w:after="0" w:line="250" w:lineRule="auto"/>
        <w:tabs>
          <w:tab w:leader="none" w:pos="2571" w:val="left"/>
        </w:tabs>
        <w:numPr>
          <w:ilvl w:val="1"/>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Beneficial Owner</w:t>
      </w:r>
      <w:r>
        <w:rPr>
          <w:rFonts w:ascii="Times New Roman" w:cs="Times New Roman" w:eastAsia="Times New Roman" w:hAnsi="Times New Roman"/>
          <w:sz w:val="20"/>
          <w:szCs w:val="20"/>
          <w:color w:val="auto"/>
        </w:rPr>
        <w:t xml:space="preserve">” shall have the meaning given to such term in Rule 13d-3 under the Securities Exchange Act of 1934, as amended;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that “</w:t>
      </w:r>
      <w:r>
        <w:rPr>
          <w:rFonts w:ascii="Times New Roman" w:cs="Times New Roman" w:eastAsia="Times New Roman" w:hAnsi="Times New Roman"/>
          <w:sz w:val="20"/>
          <w:szCs w:val="20"/>
          <w:b w:val="1"/>
          <w:bCs w:val="1"/>
          <w:i w:val="1"/>
          <w:iCs w:val="1"/>
          <w:color w:val="auto"/>
        </w:rPr>
        <w:t>Beneficial Owner</w:t>
      </w:r>
      <w:r>
        <w:rPr>
          <w:rFonts w:ascii="Times New Roman" w:cs="Times New Roman" w:eastAsia="Times New Roman" w:hAnsi="Times New Roman"/>
          <w:sz w:val="20"/>
          <w:szCs w:val="20"/>
          <w:color w:val="auto"/>
        </w:rPr>
        <w:t>” shall exclude any Person otherwise becoming a Beneficial Owner by reason of (i) the stockholders of the Company approving a merger of the Company with another entity or (ii) the Company’s board of directors approving a sale of securities by the Company to such Person.</w:t>
      </w:r>
    </w:p>
    <w:p>
      <w:pPr>
        <w:spacing w:after="0" w:line="160" w:lineRule="exact"/>
        <w:rPr>
          <w:rFonts w:ascii="Times New Roman" w:cs="Times New Roman" w:eastAsia="Times New Roman" w:hAnsi="Times New Roman"/>
          <w:sz w:val="20"/>
          <w:szCs w:val="20"/>
          <w:color w:val="auto"/>
        </w:rPr>
      </w:pPr>
    </w:p>
    <w:p>
      <w:pPr>
        <w:ind w:right="280" w:firstLine="1153"/>
        <w:spacing w:after="0" w:line="272" w:lineRule="auto"/>
        <w:tabs>
          <w:tab w:leader="none" w:pos="1425"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Corporate Status</w:t>
      </w:r>
      <w:r>
        <w:rPr>
          <w:rFonts w:ascii="Times New Roman" w:cs="Times New Roman" w:eastAsia="Times New Roman" w:hAnsi="Times New Roman"/>
          <w:sz w:val="20"/>
          <w:szCs w:val="20"/>
          <w:color w:val="auto"/>
        </w:rPr>
        <w:t>” describes the status of a person who is or was a director, trustee, general partner, managing member, officer, employee, agent or fiduciary of the Company or any other Enterprise.</w:t>
      </w:r>
    </w:p>
    <w:p>
      <w:pPr>
        <w:spacing w:after="0" w:line="139" w:lineRule="exact"/>
        <w:rPr>
          <w:rFonts w:ascii="Times New Roman" w:cs="Times New Roman" w:eastAsia="Times New Roman" w:hAnsi="Times New Roman"/>
          <w:sz w:val="20"/>
          <w:szCs w:val="20"/>
          <w:color w:val="auto"/>
        </w:rPr>
      </w:pPr>
    </w:p>
    <w:p>
      <w:pPr>
        <w:ind w:left="1420" w:hanging="267"/>
        <w:spacing w:after="0"/>
        <w:tabs>
          <w:tab w:leader="none" w:pos="1420"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DGCL</w:t>
      </w:r>
      <w:r>
        <w:rPr>
          <w:rFonts w:ascii="Times New Roman" w:cs="Times New Roman" w:eastAsia="Times New Roman" w:hAnsi="Times New Roman"/>
          <w:sz w:val="20"/>
          <w:szCs w:val="20"/>
          <w:color w:val="auto"/>
        </w:rPr>
        <w:t>” means the General Corporation Law of the State of Delaware.</w:t>
      </w:r>
    </w:p>
    <w:p>
      <w:pPr>
        <w:spacing w:after="0" w:line="188" w:lineRule="exact"/>
        <w:rPr>
          <w:rFonts w:ascii="Times New Roman" w:cs="Times New Roman" w:eastAsia="Times New Roman" w:hAnsi="Times New Roman"/>
          <w:sz w:val="20"/>
          <w:szCs w:val="20"/>
          <w:color w:val="auto"/>
        </w:rPr>
      </w:pPr>
    </w:p>
    <w:p>
      <w:pPr>
        <w:ind w:right="220" w:firstLine="1153"/>
        <w:spacing w:after="0" w:line="272" w:lineRule="auto"/>
        <w:tabs>
          <w:tab w:leader="none" w:pos="1425"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Disinterested Director</w:t>
      </w:r>
      <w:r>
        <w:rPr>
          <w:rFonts w:ascii="Times New Roman" w:cs="Times New Roman" w:eastAsia="Times New Roman" w:hAnsi="Times New Roman"/>
          <w:sz w:val="20"/>
          <w:szCs w:val="20"/>
          <w:color w:val="auto"/>
        </w:rPr>
        <w:t>” means a director of the Company who is not and was not a party to the Proceeding in respect of which indemnification is sought by Indemnitee.</w:t>
      </w:r>
    </w:p>
    <w:p>
      <w:pPr>
        <w:spacing w:after="0" w:line="139" w:lineRule="exact"/>
        <w:rPr>
          <w:rFonts w:ascii="Times New Roman" w:cs="Times New Roman" w:eastAsia="Times New Roman" w:hAnsi="Times New Roman"/>
          <w:sz w:val="20"/>
          <w:szCs w:val="20"/>
          <w:color w:val="auto"/>
        </w:rPr>
      </w:pPr>
    </w:p>
    <w:p>
      <w:pPr>
        <w:ind w:right="160" w:firstLine="1153"/>
        <w:spacing w:after="0" w:line="255" w:lineRule="auto"/>
        <w:tabs>
          <w:tab w:leader="none" w:pos="1414"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Enterprise</w:t>
      </w:r>
      <w:r>
        <w:rPr>
          <w:rFonts w:ascii="Times New Roman" w:cs="Times New Roman" w:eastAsia="Times New Roman" w:hAnsi="Times New Roman"/>
          <w:sz w:val="20"/>
          <w:szCs w:val="20"/>
          <w:color w:val="auto"/>
        </w:rPr>
        <w:t>” means the Company and any other corporation, partnership, limited liability company, joint venture, trust, employee benefit plan or other enterprise of which Indemnitee is or was serving at the request of the Company as a director, trustee, general partner, managing member, officer, employee, agent or fiduciary.</w:t>
      </w:r>
    </w:p>
    <w:p>
      <w:pPr>
        <w:spacing w:after="0" w:line="156" w:lineRule="exact"/>
        <w:rPr>
          <w:rFonts w:ascii="Times New Roman" w:cs="Times New Roman" w:eastAsia="Times New Roman" w:hAnsi="Times New Roman"/>
          <w:sz w:val="20"/>
          <w:szCs w:val="20"/>
          <w:color w:val="auto"/>
        </w:rPr>
      </w:pPr>
    </w:p>
    <w:p>
      <w:pPr>
        <w:ind w:right="80" w:firstLine="1153"/>
        <w:spacing w:after="0" w:line="244" w:lineRule="auto"/>
        <w:tabs>
          <w:tab w:leader="none" w:pos="1392"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Expenses</w:t>
      </w:r>
      <w:r>
        <w:rPr>
          <w:rFonts w:ascii="Times New Roman" w:cs="Times New Roman" w:eastAsia="Times New Roman" w:hAnsi="Times New Roman"/>
          <w:sz w:val="20"/>
          <w:szCs w:val="20"/>
          <w:color w:val="auto"/>
        </w:rPr>
        <w:t>” include all reasonable attorneys’ fees, retainers, court costs, transcript costs, fees and costs of experts, witness fees, travel expenses, duplicating costs, printing and binding costs, telephone charges, postage, delivery service fees, and all other disbursements or expenses of the types customarily incurred in connection with prosecuting, defending, preparing to prosecute or defend, investigating, being or preparing to be a witness in, or otherwise participating in, a Proceeding. Expenses also include (i) Expenses incurred in connection with any appeal resulting from any Proceeding, including without limitation the premium, security for, and other costs relating to any cost bond, supersedes bond or other appeal bond or their equivalent, and (ii) for purposes of Section 12(d), Expenses incurred by Indemnitee in connection with the interpretation, enforcement or defense of Indemnitee’s rights under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994410</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1" w:right="359" w:bottom="1440" w:gutter="0" w:footer="0" w:header="0"/>
        </w:sectPr>
      </w:pPr>
    </w:p>
    <w:bookmarkStart w:id="208" w:name="page209"/>
    <w:bookmarkEnd w:id="208"/>
    <w:p>
      <w:pPr>
        <w:ind w:right="20"/>
        <w:spacing w:after="0" w:line="268" w:lineRule="auto"/>
        <w:rPr>
          <w:sz w:val="20"/>
          <w:szCs w:val="20"/>
          <w:color w:val="auto"/>
        </w:rPr>
      </w:pPr>
      <w:r>
        <w:rPr>
          <w:rFonts w:ascii="Times New Roman" w:cs="Times New Roman" w:eastAsia="Times New Roman" w:hAnsi="Times New Roman"/>
          <w:sz w:val="20"/>
          <w:szCs w:val="20"/>
          <w:color w:val="auto"/>
        </w:rPr>
        <w:t>Agreement or under any directors’ and officers’ liability insurance policies maintained by the Company. Expenses, however, shall not include amounts paid in settlement by Indemnitee or the amount of judgments or fines against Indemnitee.</w:t>
      </w:r>
    </w:p>
    <w:p>
      <w:pPr>
        <w:spacing w:after="0" w:line="143" w:lineRule="exact"/>
        <w:rPr>
          <w:sz w:val="20"/>
          <w:szCs w:val="20"/>
          <w:color w:val="auto"/>
        </w:rPr>
      </w:pPr>
    </w:p>
    <w:p>
      <w:pPr>
        <w:ind w:right="20" w:firstLine="1153"/>
        <w:spacing w:after="0" w:line="244" w:lineRule="auto"/>
        <w:tabs>
          <w:tab w:leader="none" w:pos="1425" w:val="left"/>
        </w:tabs>
        <w:numPr>
          <w:ilvl w:val="1"/>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Independent Counsel</w:t>
      </w:r>
      <w:r>
        <w:rPr>
          <w:rFonts w:ascii="Times New Roman" w:cs="Times New Roman" w:eastAsia="Times New Roman" w:hAnsi="Times New Roman"/>
          <w:sz w:val="20"/>
          <w:szCs w:val="20"/>
          <w:color w:val="auto"/>
        </w:rPr>
        <w:t>” means a law firm, or a partner or member of a law firm, that is experienced in matters of corporation law and neither presently is, nor in the past five years has been, retained to represent (i) the Company or Indemnitee in any matter material to either such party (other than as Independent Counsel with respect to matters concerning Indemnitee under this Agreement, or other indemnitees under similar indemnification agreements), or (ii) any other party to the Proceeding giving rise to a claim for indemnification hereunder. Notwithstanding the foregoing, the term “</w:t>
      </w:r>
      <w:r>
        <w:rPr>
          <w:rFonts w:ascii="Times New Roman" w:cs="Times New Roman" w:eastAsia="Times New Roman" w:hAnsi="Times New Roman"/>
          <w:sz w:val="20"/>
          <w:szCs w:val="20"/>
          <w:b w:val="1"/>
          <w:bCs w:val="1"/>
          <w:i w:val="1"/>
          <w:iCs w:val="1"/>
          <w:color w:val="auto"/>
        </w:rPr>
        <w:t>Independent Counsel</w:t>
      </w:r>
      <w:r>
        <w:rPr>
          <w:rFonts w:ascii="Times New Roman" w:cs="Times New Roman" w:eastAsia="Times New Roman" w:hAnsi="Times New Roman"/>
          <w:sz w:val="20"/>
          <w:szCs w:val="20"/>
          <w:color w:val="auto"/>
        </w:rPr>
        <w:t>”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56" w:lineRule="exact"/>
        <w:rPr>
          <w:rFonts w:ascii="Times New Roman" w:cs="Times New Roman" w:eastAsia="Times New Roman" w:hAnsi="Times New Roman"/>
          <w:sz w:val="20"/>
          <w:szCs w:val="20"/>
          <w:color w:val="auto"/>
        </w:rPr>
      </w:pPr>
    </w:p>
    <w:p>
      <w:pPr>
        <w:ind w:right="20" w:firstLine="1153"/>
        <w:spacing w:after="0" w:line="243" w:lineRule="auto"/>
        <w:tabs>
          <w:tab w:leader="none" w:pos="1425" w:val="left"/>
        </w:tabs>
        <w:numPr>
          <w:ilvl w:val="1"/>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Proceeding</w:t>
      </w:r>
      <w:r>
        <w:rPr>
          <w:rFonts w:ascii="Times New Roman" w:cs="Times New Roman" w:eastAsia="Times New Roman" w:hAnsi="Times New Roman"/>
          <w:sz w:val="20"/>
          <w:szCs w:val="20"/>
          <w:color w:val="auto"/>
        </w:rPr>
        <w:t>” means any threatened, pending or completed action, suit, arbitration, mediation, alternate dispute resolution mechanism, investigation, inquiry, administrative hearing or proceeding, whether brought in the right of the Company or otherwise and whether of a civil, criminal, administrative or investigative nature, including any appeal therefrom and including without limitation any such Proceeding pending as of the date of this Agreement, in which Indemnitee was, is or will be involved as a party, a potential party, a nonparty witness or otherwise by reason of (i) the fact that Indemnitee is or was a director or officer of the Company, (ii) any action taken by Indemnitee or any action or inaction on Indemnitee’s part while acting as a director or officer of the Company, or (iii) the fact that he or she is or was serving at the request of the Company as a director, trustee, general partner, managing member, officer, employee, agent or fiduciary of the Company or any other Enterprise, in each case whether or not serving in such capacity at the time any liability or Expense is incurred for which indemnification or advancement of expenses can be provided under this Agreement.</w:t>
      </w:r>
    </w:p>
    <w:p>
      <w:pPr>
        <w:spacing w:after="0" w:line="169" w:lineRule="exact"/>
        <w:rPr>
          <w:rFonts w:ascii="Times New Roman" w:cs="Times New Roman" w:eastAsia="Times New Roman" w:hAnsi="Times New Roman"/>
          <w:sz w:val="20"/>
          <w:szCs w:val="20"/>
          <w:color w:val="auto"/>
        </w:rPr>
      </w:pPr>
    </w:p>
    <w:p>
      <w:pPr>
        <w:ind w:right="200" w:firstLine="1153"/>
        <w:spacing w:after="0" w:line="261" w:lineRule="auto"/>
        <w:tabs>
          <w:tab w:leader="none" w:pos="1382" w:val="left"/>
        </w:tabs>
        <w:numPr>
          <w:ilvl w:val="1"/>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Reference to “</w:t>
      </w:r>
      <w:r>
        <w:rPr>
          <w:rFonts w:ascii="Times New Roman" w:cs="Times New Roman" w:eastAsia="Times New Roman" w:hAnsi="Times New Roman"/>
          <w:sz w:val="19"/>
          <w:szCs w:val="19"/>
          <w:b w:val="1"/>
          <w:bCs w:val="1"/>
          <w:i w:val="1"/>
          <w:iCs w:val="1"/>
          <w:color w:val="auto"/>
        </w:rPr>
        <w:t>other enterprises</w:t>
      </w:r>
      <w:r>
        <w:rPr>
          <w:rFonts w:ascii="Times New Roman" w:cs="Times New Roman" w:eastAsia="Times New Roman" w:hAnsi="Times New Roman"/>
          <w:sz w:val="19"/>
          <w:szCs w:val="19"/>
          <w:color w:val="auto"/>
        </w:rPr>
        <w:t>” shall include employee benefit plans; references to “</w:t>
      </w:r>
      <w:r>
        <w:rPr>
          <w:rFonts w:ascii="Times New Roman" w:cs="Times New Roman" w:eastAsia="Times New Roman" w:hAnsi="Times New Roman"/>
          <w:sz w:val="19"/>
          <w:szCs w:val="19"/>
          <w:b w:val="1"/>
          <w:bCs w:val="1"/>
          <w:i w:val="1"/>
          <w:iCs w:val="1"/>
          <w:color w:val="auto"/>
        </w:rPr>
        <w:t>fines</w:t>
      </w:r>
      <w:r>
        <w:rPr>
          <w:rFonts w:ascii="Times New Roman" w:cs="Times New Roman" w:eastAsia="Times New Roman" w:hAnsi="Times New Roman"/>
          <w:sz w:val="19"/>
          <w:szCs w:val="19"/>
          <w:color w:val="auto"/>
        </w:rPr>
        <w:t>” shall include any excise taxes assessed on a person with respect to any employee benefit plan; references to “</w:t>
      </w:r>
      <w:r>
        <w:rPr>
          <w:rFonts w:ascii="Times New Roman" w:cs="Times New Roman" w:eastAsia="Times New Roman" w:hAnsi="Times New Roman"/>
          <w:sz w:val="19"/>
          <w:szCs w:val="19"/>
          <w:b w:val="1"/>
          <w:bCs w:val="1"/>
          <w:i w:val="1"/>
          <w:iCs w:val="1"/>
          <w:color w:val="auto"/>
        </w:rPr>
        <w:t>serving at the request of the Company</w:t>
      </w:r>
      <w:r>
        <w:rPr>
          <w:rFonts w:ascii="Times New Roman" w:cs="Times New Roman" w:eastAsia="Times New Roman" w:hAnsi="Times New Roman"/>
          <w:sz w:val="19"/>
          <w:szCs w:val="19"/>
          <w:color w:val="auto"/>
        </w:rPr>
        <w:t>”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he or she reasonably believed to be in the best interests of the participants and beneficiaries of an employee benefit plan shall be deemed to have acted in a manner “</w:t>
      </w:r>
      <w:r>
        <w:rPr>
          <w:rFonts w:ascii="Times New Roman" w:cs="Times New Roman" w:eastAsia="Times New Roman" w:hAnsi="Times New Roman"/>
          <w:sz w:val="19"/>
          <w:szCs w:val="19"/>
          <w:b w:val="1"/>
          <w:bCs w:val="1"/>
          <w:i w:val="1"/>
          <w:iCs w:val="1"/>
          <w:color w:val="auto"/>
        </w:rPr>
        <w:t>not opposed to the best interests of the Company</w:t>
      </w:r>
      <w:r>
        <w:rPr>
          <w:rFonts w:ascii="Times New Roman" w:cs="Times New Roman" w:eastAsia="Times New Roman" w:hAnsi="Times New Roman"/>
          <w:sz w:val="19"/>
          <w:szCs w:val="19"/>
          <w:color w:val="auto"/>
        </w:rPr>
        <w:t>” as referred to in this Agreement.</w:t>
      </w:r>
    </w:p>
    <w:p>
      <w:pPr>
        <w:spacing w:after="0" w:line="152" w:lineRule="exact"/>
        <w:rPr>
          <w:rFonts w:ascii="Times New Roman" w:cs="Times New Roman" w:eastAsia="Times New Roman" w:hAnsi="Times New Roman"/>
          <w:sz w:val="19"/>
          <w:szCs w:val="19"/>
          <w:color w:val="auto"/>
        </w:rPr>
      </w:pPr>
    </w:p>
    <w:p>
      <w:pPr>
        <w:ind w:firstLine="517"/>
        <w:spacing w:after="0" w:line="244" w:lineRule="auto"/>
        <w:tabs>
          <w:tab w:leader="none" w:pos="707" w:val="left"/>
        </w:tabs>
        <w:numPr>
          <w:ilvl w:val="0"/>
          <w:numId w:val="1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Indemnity in Third-Party Proceedings. </w:t>
      </w:r>
      <w:r>
        <w:rPr>
          <w:rFonts w:ascii="Times New Roman" w:cs="Times New Roman" w:eastAsia="Times New Roman" w:hAnsi="Times New Roman"/>
          <w:sz w:val="20"/>
          <w:szCs w:val="20"/>
          <w:color w:val="auto"/>
        </w:rPr>
        <w:t>The Company shall indemnify Indemnitee in accordance with the provisions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Section 2 if Indemnitee is, or is threatened to be made, a party to or a participant in any Proceeding, other than a Proceeding by or in the right of the Company to procure a judgment in its favor. Pursuant to this Section 2, Indemnitee shall be indemnified to the fullest extent permitted by applicable law against all Expenses, judgments, fines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with respect to any criminal action or proceeding, had no reasonable cause to believe that his or her conduct was unlawful.</w:t>
      </w:r>
    </w:p>
    <w:p>
      <w:pPr>
        <w:spacing w:after="0" w:line="156" w:lineRule="exact"/>
        <w:rPr>
          <w:rFonts w:ascii="Times New Roman" w:cs="Times New Roman" w:eastAsia="Times New Roman" w:hAnsi="Times New Roman"/>
          <w:sz w:val="20"/>
          <w:szCs w:val="20"/>
          <w:b w:val="1"/>
          <w:bCs w:val="1"/>
          <w:color w:val="auto"/>
        </w:rPr>
      </w:pPr>
    </w:p>
    <w:p>
      <w:pPr>
        <w:jc w:val="both"/>
        <w:ind w:right="100" w:firstLine="517"/>
        <w:spacing w:after="0" w:line="255" w:lineRule="auto"/>
        <w:tabs>
          <w:tab w:leader="none" w:pos="707" w:val="left"/>
        </w:tabs>
        <w:numPr>
          <w:ilvl w:val="0"/>
          <w:numId w:val="1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Indemnity in Proceedings by or in the Right of the Company. </w:t>
      </w:r>
      <w:r>
        <w:rPr>
          <w:rFonts w:ascii="Times New Roman" w:cs="Times New Roman" w:eastAsia="Times New Roman" w:hAnsi="Times New Roman"/>
          <w:sz w:val="20"/>
          <w:szCs w:val="20"/>
          <w:color w:val="auto"/>
        </w:rPr>
        <w:t>The Company shall indemnify Indemnitee in accordance with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provisions of this Section 3 if Indemnitee is, or is threatened to be made, a party to or a participant in any Proceeding by or in the right of the Company to procure a judgment in its favor. Pursuant to this Section 3, Indemnitee shall be indemnified to the fullest extent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994410</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209" w:name="page210"/>
    <w:bookmarkEnd w:id="209"/>
    <w:p>
      <w:pPr>
        <w:ind w:right="40"/>
        <w:spacing w:after="0" w:line="244" w:lineRule="auto"/>
        <w:rPr>
          <w:sz w:val="20"/>
          <w:szCs w:val="20"/>
          <w:color w:val="auto"/>
        </w:rPr>
      </w:pPr>
      <w:r>
        <w:rPr>
          <w:rFonts w:ascii="Times New Roman" w:cs="Times New Roman" w:eastAsia="Times New Roman" w:hAnsi="Times New Roman"/>
          <w:sz w:val="20"/>
          <w:szCs w:val="20"/>
          <w:color w:val="auto"/>
        </w:rPr>
        <w:t>permitted by applicable law against all Expenses actually and reasonably incurred by Indemnitee or on Indemnitee’s behalf in connection with such Proceeding or any claim, issue or matter therein, if Indemnitee acted in good faith and in a manner he or she reasonably believed to be in or not opposed to the best interests of the Company. No indemnification for Expenses shall be made under this Section 3 in respect of any claim, issue or matter as to which Indemnitee shall have been adjudged by a court of competent jurisdiction to be liable to the Company, unless and only to the extent that the Delaware Court of Chancery or any court in which the Proceeding was brought shall determine upon application that, despite the adjudication of liability but in view of all the circumstances of the case, Indemnitee is fairly and reasonably entitled to indemnification for such expenses as the Delaware Court of Chancery or such other court shall deem proper.</w:t>
      </w:r>
    </w:p>
    <w:p>
      <w:pPr>
        <w:spacing w:after="0" w:line="166" w:lineRule="exact"/>
        <w:rPr>
          <w:sz w:val="20"/>
          <w:szCs w:val="20"/>
          <w:color w:val="auto"/>
        </w:rPr>
      </w:pPr>
    </w:p>
    <w:p>
      <w:pPr>
        <w:ind w:right="40" w:firstLine="517"/>
        <w:spacing w:after="0" w:line="243" w:lineRule="auto"/>
        <w:tabs>
          <w:tab w:leader="none" w:pos="707" w:val="left"/>
        </w:tabs>
        <w:numPr>
          <w:ilvl w:val="0"/>
          <w:numId w:val="1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Indemnification for Expenses of a Party Who is Wholly or Partly Successful. </w:t>
      </w:r>
      <w:r>
        <w:rPr>
          <w:rFonts w:ascii="Times New Roman" w:cs="Times New Roman" w:eastAsia="Times New Roman" w:hAnsi="Times New Roman"/>
          <w:sz w:val="20"/>
          <w:szCs w:val="20"/>
          <w:color w:val="auto"/>
        </w:rPr>
        <w:t>To the extent that Indemnitee is a party to or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 in and is successful (on the merits or otherwise) in defense of any Proceeding or any claim, issue or matter therein, the Company shall indemnify Indemnitee against all Expenses actually and reasonably incurred by Indemnitee or on Indemnitee’s behalf in connection therewith. To the extent permitted by applicable law, if Indemnitee is not wholly successful in such Proceeding but is successful, on the merits or otherwise, in defense of one or more but less than all claims, issues or matters in such Proceeding, the Company shall indemnify Indemnitee against all Expenses actually and reasonably incurred by Indemnitee or on Indemnitee’s behalf in connection with (a) each successfully resolved claim, issue or matter and (b) any claim, issue or matter related to any such successfully resolved claim, issue or matter. For purposes of this section, the termination of any claim, issue or matter in such a Proceeding by dismissal, with or without prejudice, shall be deemed to be a successful result as to such claim, issue or matter.</w:t>
      </w:r>
    </w:p>
    <w:p>
      <w:pPr>
        <w:spacing w:after="0" w:line="156" w:lineRule="exact"/>
        <w:rPr>
          <w:rFonts w:ascii="Times New Roman" w:cs="Times New Roman" w:eastAsia="Times New Roman" w:hAnsi="Times New Roman"/>
          <w:sz w:val="20"/>
          <w:szCs w:val="20"/>
          <w:b w:val="1"/>
          <w:bCs w:val="1"/>
          <w:color w:val="auto"/>
        </w:rPr>
      </w:pPr>
    </w:p>
    <w:p>
      <w:pPr>
        <w:ind w:right="100" w:firstLine="517"/>
        <w:spacing w:after="0" w:line="255" w:lineRule="auto"/>
        <w:tabs>
          <w:tab w:leader="none" w:pos="707" w:val="left"/>
        </w:tabs>
        <w:numPr>
          <w:ilvl w:val="0"/>
          <w:numId w:val="1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Indemnification for Expenses of a Witness. </w:t>
      </w:r>
      <w:r>
        <w:rPr>
          <w:rFonts w:ascii="Times New Roman" w:cs="Times New Roman" w:eastAsia="Times New Roman" w:hAnsi="Times New Roman"/>
          <w:sz w:val="20"/>
          <w:szCs w:val="20"/>
          <w:color w:val="auto"/>
        </w:rPr>
        <w:t>To the extent that Indemnitee is, by reason of his or her Corporate Status, a witness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Proceeding to which Indemnitee is not a party, Indemnitee shall be indemnified to the extent permitted by applicable law against all Expenses actually and reasonably incurred by Indemnitee or on Indemnitee’s behalf in connection therewith.</w:t>
      </w:r>
    </w:p>
    <w:p>
      <w:pPr>
        <w:spacing w:after="0" w:line="156" w:lineRule="exact"/>
        <w:rPr>
          <w:rFonts w:ascii="Times New Roman" w:cs="Times New Roman" w:eastAsia="Times New Roman" w:hAnsi="Times New Roman"/>
          <w:sz w:val="20"/>
          <w:szCs w:val="20"/>
          <w:b w:val="1"/>
          <w:bCs w:val="1"/>
          <w:color w:val="auto"/>
        </w:rPr>
      </w:pPr>
    </w:p>
    <w:p>
      <w:pPr>
        <w:ind w:left="720" w:hanging="203"/>
        <w:spacing w:after="0"/>
        <w:tabs>
          <w:tab w:leader="none" w:pos="720" w:val="left"/>
        </w:tabs>
        <w:numPr>
          <w:ilvl w:val="0"/>
          <w:numId w:val="1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Additional Indemnification</w:t>
      </w:r>
      <w:r>
        <w:rPr>
          <w:rFonts w:ascii="Times New Roman" w:cs="Times New Roman" w:eastAsia="Times New Roman" w:hAnsi="Times New Roman"/>
          <w:sz w:val="20"/>
          <w:szCs w:val="20"/>
          <w:color w:val="auto"/>
        </w:rPr>
        <w:t>.</w:t>
      </w:r>
    </w:p>
    <w:p>
      <w:pPr>
        <w:spacing w:after="0" w:line="205" w:lineRule="exact"/>
        <w:rPr>
          <w:rFonts w:ascii="Times New Roman" w:cs="Times New Roman" w:eastAsia="Times New Roman" w:hAnsi="Times New Roman"/>
          <w:sz w:val="20"/>
          <w:szCs w:val="20"/>
          <w:b w:val="1"/>
          <w:bCs w:val="1"/>
          <w:color w:val="auto"/>
        </w:rPr>
      </w:pPr>
    </w:p>
    <w:p>
      <w:pPr>
        <w:ind w:firstLine="1153"/>
        <w:spacing w:after="0" w:line="246" w:lineRule="auto"/>
        <w:tabs>
          <w:tab w:leader="none" w:pos="1414" w:val="left"/>
        </w:tabs>
        <w:numPr>
          <w:ilvl w:val="1"/>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limitation in Sections 2, 3 or 4, the Company shall indemnify Indemnitee to the fullest extent permitted by applicable law if Indemnitee is, or is threatened to be made, a party to or a participant in any Proceeding (including a Proceeding by or in the right of the Company to procure a judgment in its favor) against all Expenses, judgments, fines and amounts paid in settlement actually and reasonably incurred by Indemnitee or on his or her behalf in connection with the Proceeding or any claim, issue or matter therein.</w:t>
      </w:r>
    </w:p>
    <w:p>
      <w:pPr>
        <w:spacing w:after="0" w:line="152" w:lineRule="exact"/>
        <w:rPr>
          <w:rFonts w:ascii="Times New Roman" w:cs="Times New Roman" w:eastAsia="Times New Roman" w:hAnsi="Times New Roman"/>
          <w:sz w:val="20"/>
          <w:szCs w:val="20"/>
          <w:color w:val="auto"/>
        </w:rPr>
      </w:pPr>
    </w:p>
    <w:p>
      <w:pPr>
        <w:ind w:right="260" w:firstLine="1153"/>
        <w:spacing w:after="0" w:line="272" w:lineRule="auto"/>
        <w:tabs>
          <w:tab w:leader="none" w:pos="1425" w:val="left"/>
        </w:tabs>
        <w:numPr>
          <w:ilvl w:val="1"/>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Section 6(a), the meaning of the phrase “</w:t>
      </w:r>
      <w:r>
        <w:rPr>
          <w:rFonts w:ascii="Times New Roman" w:cs="Times New Roman" w:eastAsia="Times New Roman" w:hAnsi="Times New Roman"/>
          <w:sz w:val="20"/>
          <w:szCs w:val="20"/>
          <w:b w:val="1"/>
          <w:bCs w:val="1"/>
          <w:i w:val="1"/>
          <w:iCs w:val="1"/>
          <w:color w:val="auto"/>
        </w:rPr>
        <w:t>to the fullest extent permitted by applicable law</w:t>
      </w:r>
      <w:r>
        <w:rPr>
          <w:rFonts w:ascii="Times New Roman" w:cs="Times New Roman" w:eastAsia="Times New Roman" w:hAnsi="Times New Roman"/>
          <w:sz w:val="20"/>
          <w:szCs w:val="20"/>
          <w:color w:val="auto"/>
        </w:rPr>
        <w:t>” shall include, but not be limited to:</w:t>
      </w:r>
    </w:p>
    <w:p>
      <w:pPr>
        <w:spacing w:after="0" w:line="143" w:lineRule="exact"/>
        <w:rPr>
          <w:rFonts w:ascii="Times New Roman" w:cs="Times New Roman" w:eastAsia="Times New Roman" w:hAnsi="Times New Roman"/>
          <w:sz w:val="20"/>
          <w:szCs w:val="20"/>
          <w:color w:val="auto"/>
        </w:rPr>
      </w:pPr>
    </w:p>
    <w:p>
      <w:pPr>
        <w:ind w:right="140" w:firstLine="1663"/>
        <w:spacing w:after="0" w:line="268" w:lineRule="auto"/>
        <w:tabs>
          <w:tab w:leader="none" w:pos="1891" w:val="left"/>
        </w:tabs>
        <w:numPr>
          <w:ilvl w:val="2"/>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fullest extent permitted by the provision of the DGCL that authorizes or contemplates additional indemnification by agreement, or the corresponding provision of any amendment to or replacement of the DGCL; and</w:t>
      </w:r>
    </w:p>
    <w:p>
      <w:pPr>
        <w:spacing w:after="0" w:line="147" w:lineRule="exact"/>
        <w:rPr>
          <w:rFonts w:ascii="Times New Roman" w:cs="Times New Roman" w:eastAsia="Times New Roman" w:hAnsi="Times New Roman"/>
          <w:sz w:val="20"/>
          <w:szCs w:val="20"/>
          <w:color w:val="auto"/>
        </w:rPr>
      </w:pPr>
    </w:p>
    <w:p>
      <w:pPr>
        <w:ind w:right="80" w:firstLine="1663"/>
        <w:spacing w:after="0" w:line="268" w:lineRule="auto"/>
        <w:tabs>
          <w:tab w:leader="none" w:pos="1946" w:val="left"/>
        </w:tabs>
        <w:numPr>
          <w:ilvl w:val="2"/>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fullest extent authorized or permitted by any amendments to or replacements of the DGCL adopted after the date of this Agreement that increase the extent to which a corporation may indemnify its officers and directors.</w:t>
      </w:r>
    </w:p>
    <w:p>
      <w:pPr>
        <w:spacing w:after="0" w:line="129" w:lineRule="exact"/>
        <w:rPr>
          <w:rFonts w:ascii="Times New Roman" w:cs="Times New Roman" w:eastAsia="Times New Roman" w:hAnsi="Times New Roman"/>
          <w:sz w:val="20"/>
          <w:szCs w:val="20"/>
          <w:color w:val="auto"/>
        </w:rPr>
      </w:pPr>
    </w:p>
    <w:p>
      <w:pPr>
        <w:ind w:right="260" w:firstLine="517"/>
        <w:spacing w:after="0" w:line="272" w:lineRule="auto"/>
        <w:tabs>
          <w:tab w:leader="none" w:pos="707" w:val="left"/>
        </w:tabs>
        <w:numPr>
          <w:ilvl w:val="0"/>
          <w:numId w:val="1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Exclusions. </w:t>
      </w:r>
      <w:r>
        <w:rPr>
          <w:rFonts w:ascii="Times New Roman" w:cs="Times New Roman" w:eastAsia="Times New Roman" w:hAnsi="Times New Roman"/>
          <w:sz w:val="20"/>
          <w:szCs w:val="20"/>
          <w:color w:val="auto"/>
        </w:rPr>
        <w:t>Notwithstanding any provision in this Agreement, the Company shall not be obligated under this Agreement to make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indemnity in connection with any Proceeding (or any part of any Proceeding):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983615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210" w:name="page211"/>
    <w:bookmarkEnd w:id="210"/>
    <w:p>
      <w:pPr>
        <w:ind w:left="-517" w:right="380" w:firstLine="1153"/>
        <w:spacing w:after="0" w:line="268" w:lineRule="auto"/>
        <w:tabs>
          <w:tab w:leader="none" w:pos="898" w:val="left"/>
        </w:tabs>
        <w:numPr>
          <w:ilvl w:val="1"/>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which payment has actually been made to or on behalf of Indemnitee under any statute, insurance policy, indemnity provision, vote or otherwise, except with respect to any excess beyond the amount paid;</w:t>
      </w:r>
    </w:p>
    <w:p>
      <w:pPr>
        <w:spacing w:after="0" w:line="147" w:lineRule="exact"/>
        <w:rPr>
          <w:rFonts w:ascii="Times New Roman" w:cs="Times New Roman" w:eastAsia="Times New Roman" w:hAnsi="Times New Roman"/>
          <w:sz w:val="20"/>
          <w:szCs w:val="20"/>
          <w:color w:val="auto"/>
        </w:rPr>
      </w:pPr>
    </w:p>
    <w:p>
      <w:pPr>
        <w:ind w:left="-517" w:firstLine="1153"/>
        <w:spacing w:after="0" w:line="253" w:lineRule="auto"/>
        <w:tabs>
          <w:tab w:leader="none" w:pos="909" w:val="left"/>
        </w:tabs>
        <w:numPr>
          <w:ilvl w:val="1"/>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 accounting or disgorgement of profits pursuant to Section 16(b) of the Securities Exchange Act of 1934, as amended, or similar provisions of federal, state or local statutory law or common law, if Indemnitee is held liable therefor (including pursuant to any settlement arrangements);</w:t>
      </w:r>
    </w:p>
    <w:p>
      <w:pPr>
        <w:spacing w:after="0" w:line="149" w:lineRule="exact"/>
        <w:rPr>
          <w:rFonts w:ascii="Times New Roman" w:cs="Times New Roman" w:eastAsia="Times New Roman" w:hAnsi="Times New Roman"/>
          <w:sz w:val="20"/>
          <w:szCs w:val="20"/>
          <w:color w:val="auto"/>
        </w:rPr>
      </w:pPr>
    </w:p>
    <w:p>
      <w:pPr>
        <w:ind w:left="-517" w:right="40" w:firstLine="1153"/>
        <w:spacing w:after="0" w:line="245" w:lineRule="auto"/>
        <w:tabs>
          <w:tab w:leader="none" w:pos="898" w:val="left"/>
        </w:tabs>
        <w:numPr>
          <w:ilvl w:val="1"/>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any reimbursement of the Company by Indemnitee of any bonus or other incentive-based or equity-based compensation or of any profits realized by Indemnitee from the sale of securities of the Company, as required in each case under the Securities Exchange Act of 1934, as amended (including any such reimbursements that arise from an accounting restatement of the Company pursuant to Section 304 of the Sarbanes-Oxley Act of 2002 (the “</w:t>
      </w:r>
      <w:r>
        <w:rPr>
          <w:rFonts w:ascii="Times New Roman" w:cs="Times New Roman" w:eastAsia="Times New Roman" w:hAnsi="Times New Roman"/>
          <w:sz w:val="20"/>
          <w:szCs w:val="20"/>
          <w:b w:val="1"/>
          <w:bCs w:val="1"/>
          <w:i w:val="1"/>
          <w:iCs w:val="1"/>
          <w:color w:val="auto"/>
        </w:rPr>
        <w:t>Sarbanes-Oxley Act</w:t>
      </w:r>
      <w:r>
        <w:rPr>
          <w:rFonts w:ascii="Times New Roman" w:cs="Times New Roman" w:eastAsia="Times New Roman" w:hAnsi="Times New Roman"/>
          <w:sz w:val="20"/>
          <w:szCs w:val="20"/>
          <w:color w:val="auto"/>
        </w:rPr>
        <w:t>”), or the payment to the Company of profits arising from the purchase and sale by Indemnitee of securities in violation of Section 306 of the Sarbanes-Oxley Act), if Indemnitee is held liable therefor (including pursuant to any settlement arrangements);</w:t>
      </w:r>
    </w:p>
    <w:p>
      <w:pPr>
        <w:spacing w:after="0" w:line="169" w:lineRule="exact"/>
        <w:rPr>
          <w:rFonts w:ascii="Times New Roman" w:cs="Times New Roman" w:eastAsia="Times New Roman" w:hAnsi="Times New Roman"/>
          <w:sz w:val="20"/>
          <w:szCs w:val="20"/>
          <w:color w:val="auto"/>
        </w:rPr>
      </w:pPr>
    </w:p>
    <w:p>
      <w:pPr>
        <w:ind w:left="-517" w:right="60" w:firstLine="1153"/>
        <w:spacing w:after="0" w:line="246" w:lineRule="auto"/>
        <w:tabs>
          <w:tab w:leader="none" w:pos="909" w:val="left"/>
        </w:tabs>
        <w:numPr>
          <w:ilvl w:val="1"/>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initiated by Indemnitee, including any Proceeding (or any part of any Proceeding) initiated by Indemnitee against the Company or its directors, officers, employees, agents or other indemnitees, unless (i) the Company’s board of directors authorized the Proceeding (or the relevant part of the Proceeding) prior to its initiation, (ii) the Company provides the indemnification, in its sole discretion, pursuant to the powers vested in the Company under applicable law, (iii) otherwise authorized in Section 12(d) or (iv) otherwise required by applicable law; or</w:t>
      </w:r>
    </w:p>
    <w:p>
      <w:pPr>
        <w:spacing w:after="0" w:line="169" w:lineRule="exact"/>
        <w:rPr>
          <w:rFonts w:ascii="Times New Roman" w:cs="Times New Roman" w:eastAsia="Times New Roman" w:hAnsi="Times New Roman"/>
          <w:sz w:val="20"/>
          <w:szCs w:val="20"/>
          <w:color w:val="auto"/>
        </w:rPr>
      </w:pPr>
    </w:p>
    <w:p>
      <w:pPr>
        <w:ind w:left="903" w:hanging="267"/>
        <w:spacing w:after="0"/>
        <w:tabs>
          <w:tab w:leader="none" w:pos="903" w:val="left"/>
        </w:tabs>
        <w:numPr>
          <w:ilvl w:val="1"/>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prohibited by applicable law.</w:t>
      </w:r>
    </w:p>
    <w:p>
      <w:pPr>
        <w:spacing w:after="0" w:line="184" w:lineRule="exact"/>
        <w:rPr>
          <w:rFonts w:ascii="Times New Roman" w:cs="Times New Roman" w:eastAsia="Times New Roman" w:hAnsi="Times New Roman"/>
          <w:sz w:val="20"/>
          <w:szCs w:val="20"/>
          <w:color w:val="auto"/>
        </w:rPr>
      </w:pPr>
    </w:p>
    <w:p>
      <w:pPr>
        <w:ind w:left="-517" w:right="20" w:firstLine="517"/>
        <w:spacing w:after="0" w:line="242" w:lineRule="auto"/>
        <w:tabs>
          <w:tab w:leader="none" w:pos="190" w:val="left"/>
        </w:tabs>
        <w:numPr>
          <w:ilvl w:val="0"/>
          <w:numId w:val="1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Advances of Expenses. </w:t>
      </w:r>
      <w:r>
        <w:rPr>
          <w:rFonts w:ascii="Times New Roman" w:cs="Times New Roman" w:eastAsia="Times New Roman" w:hAnsi="Times New Roman"/>
          <w:sz w:val="20"/>
          <w:szCs w:val="20"/>
          <w:color w:val="auto"/>
        </w:rPr>
        <w:t>The Company shall advance the Expenses incurred by Indemnitee in connection with any Proceeding,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such advancement shall be made as soon as reasonably practicable, but in any event no later than 60 days, after the receipt by the Company of a written statement or statements requesting such advances from time to time (which shall include invoices received by Indemnitee in connection with such Expenses but, in the case of invoices in connection with legal services, any references to legal work performed or to expenditure made that would cause Indemnitee to waive any privilege accorded by applicable law shall not be included with the invoice). Advances shall be unsecured and interest free and made without regard to Indemnitee’s ability to repay such advances. Indemnitee hereby undertakes to repay any advance to the extent that it is ultimately determined that Indemnitee is not entitled to be indemnified by the Company. This Section 8 shall not apply to the extent advancement is prohibited by law and shall not apply to any Proceeding for which indemnity is not permitted under this Agreement, but shall apply to any Proceeding referenced in Section 7(b) or 7(c) prior to a determination that Indemnitee is not entitled to be indemnified by the Company.</w:t>
      </w:r>
    </w:p>
    <w:p>
      <w:pPr>
        <w:spacing w:after="0" w:line="175" w:lineRule="exact"/>
        <w:rPr>
          <w:rFonts w:ascii="Times New Roman" w:cs="Times New Roman" w:eastAsia="Times New Roman" w:hAnsi="Times New Roman"/>
          <w:sz w:val="20"/>
          <w:szCs w:val="20"/>
          <w:b w:val="1"/>
          <w:bCs w:val="1"/>
          <w:color w:val="auto"/>
        </w:rPr>
      </w:pPr>
    </w:p>
    <w:p>
      <w:pPr>
        <w:ind w:left="203" w:hanging="203"/>
        <w:spacing w:after="0"/>
        <w:tabs>
          <w:tab w:leader="none" w:pos="203" w:val="left"/>
        </w:tabs>
        <w:numPr>
          <w:ilvl w:val="0"/>
          <w:numId w:val="1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Procedures for Notification and Defense of Claim</w:t>
      </w:r>
      <w:r>
        <w:rPr>
          <w:rFonts w:ascii="Times New Roman" w:cs="Times New Roman" w:eastAsia="Times New Roman" w:hAnsi="Times New Roman"/>
          <w:sz w:val="20"/>
          <w:szCs w:val="20"/>
          <w:color w:val="auto"/>
        </w:rPr>
        <w:t>.</w:t>
      </w:r>
    </w:p>
    <w:p>
      <w:pPr>
        <w:spacing w:after="0" w:line="205" w:lineRule="exact"/>
        <w:rPr>
          <w:rFonts w:ascii="Times New Roman" w:cs="Times New Roman" w:eastAsia="Times New Roman" w:hAnsi="Times New Roman"/>
          <w:sz w:val="20"/>
          <w:szCs w:val="20"/>
          <w:b w:val="1"/>
          <w:bCs w:val="1"/>
          <w:color w:val="auto"/>
        </w:rPr>
      </w:pPr>
    </w:p>
    <w:p>
      <w:pPr>
        <w:ind w:left="-517" w:right="140" w:firstLine="1153"/>
        <w:spacing w:after="0" w:line="245" w:lineRule="auto"/>
        <w:tabs>
          <w:tab w:leader="none" w:pos="898" w:val="left"/>
        </w:tabs>
        <w:numPr>
          <w:ilvl w:val="1"/>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Indemnitee shall notify the Company in writing of any matter with respect to which Indemnitee intends to seek indemnification or advancement of Expenses as soon as reasonably practicable following the receipt by Indemnitee of notice thereof. The written notification to the Company shall include, in reasonable detail, a description of the nature of the Proceeding and the facts underlying the Proceeding. The failure by Indemnitee to notify the Company will not relieve the Company from any liability which it may have to Indemnitee hereunder or otherwise than under this Agreement, and any delay in so notifying the Company shall not constitute a waiver by Indemnitee of any rights, except to the extent that such failure or delay materially prejudices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991235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412" w:right="359" w:bottom="1440" w:gutter="0" w:footer="0" w:header="0"/>
        </w:sectPr>
      </w:pPr>
    </w:p>
    <w:bookmarkStart w:id="211" w:name="page212"/>
    <w:bookmarkEnd w:id="211"/>
    <w:p>
      <w:pPr>
        <w:jc w:val="both"/>
        <w:ind w:left="-517" w:right="100" w:firstLine="1153"/>
        <w:spacing w:after="0" w:line="246" w:lineRule="auto"/>
        <w:tabs>
          <w:tab w:leader="none" w:pos="909" w:val="left"/>
        </w:tabs>
        <w:numPr>
          <w:ilvl w:val="1"/>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at the time of the receipt of a notice of a Proceeding pursuant to the terms hereof, the Company has directors’ and officers’ liability insurance in effect, the Company shall give prompt notice of the commencement of the Proceeding to the insurers in accordance with the procedures set forth in the applicable policies. The Company shall thereafter take all commercially-reasonable action to cause such insurers to pay, on behalf of Indemnitee, all amounts payable as a result of such Proceeding in accordance with the terms of such policies.</w:t>
      </w:r>
    </w:p>
    <w:p>
      <w:pPr>
        <w:spacing w:after="0" w:line="169" w:lineRule="exact"/>
        <w:rPr>
          <w:rFonts w:ascii="Times New Roman" w:cs="Times New Roman" w:eastAsia="Times New Roman" w:hAnsi="Times New Roman"/>
          <w:sz w:val="20"/>
          <w:szCs w:val="20"/>
          <w:color w:val="auto"/>
        </w:rPr>
      </w:pPr>
    </w:p>
    <w:p>
      <w:pPr>
        <w:ind w:left="-517" w:right="20" w:firstLine="1153"/>
        <w:spacing w:after="0" w:line="241" w:lineRule="auto"/>
        <w:tabs>
          <w:tab w:leader="none" w:pos="898" w:val="left"/>
        </w:tabs>
        <w:numPr>
          <w:ilvl w:val="1"/>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the Company may be obligated to make any indemnity in connection with a Proceeding, the Company shall be entitled to assume the defense of such Proceeding with counsel approved by Indemnitee, which approval shall not be unreasonably withheld, upon the delivery to Indemnitee of written notice of its election to do so. After delivery of such notice, approval of such counsel by Indemnitee and the retention of such counsel by the Company, the Company will not be liable to Indemnitee for any fees or expenses of counsel subsequently incurred by Indemnitee with respect to the same Proceeding. Notwithstanding the Company’s assumption of the defense of any such Proceeding, the Company shall be obligated to pay the fees and expenses of Indemnitee’s counsel to the extent (i) the employment of counsel by Indemnitee is authorized by the Company, (ii) counsel for the Company or Indemnitee shall have reasonably concluded that there is a conflict of interest between the Company and Indemnitee in the conduct of any such defense such that Indemnitee needs to be separately represented, (iii) the fees and expenses are non-duplicative and reasonably incurred in connection with Indemnitee’s role in the Proceeding despite the Company’s assumption of the defense, (iv) the Company is not financially or legally able to perform its indemnification obligations or (v) the Company shall not have retained, or shall not continue to retain, such counsel to defend such Proceeding. The Company shall have the right to conduct such defense as it sees fit in its sole discretion. Regardless of any provision in this Agreement, Indemnitee shall have the right to employ counsel in any Proceeding at Indemnitee’s personal expense. The Company shall not be entitled, without the consent of Indemnitee, to assume the defense of any claim brought by or in the right of the Company.</w:t>
      </w:r>
    </w:p>
    <w:p>
      <w:pPr>
        <w:spacing w:after="0" w:line="164" w:lineRule="exact"/>
        <w:rPr>
          <w:rFonts w:ascii="Times New Roman" w:cs="Times New Roman" w:eastAsia="Times New Roman" w:hAnsi="Times New Roman"/>
          <w:sz w:val="20"/>
          <w:szCs w:val="20"/>
          <w:color w:val="auto"/>
        </w:rPr>
      </w:pPr>
    </w:p>
    <w:p>
      <w:pPr>
        <w:ind w:left="-517" w:right="640" w:firstLine="1153"/>
        <w:spacing w:after="0" w:line="268" w:lineRule="auto"/>
        <w:tabs>
          <w:tab w:leader="none" w:pos="909" w:val="left"/>
        </w:tabs>
        <w:numPr>
          <w:ilvl w:val="1"/>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Indemnitee shall give the Company such information and cooperation in connection with the Proceeding as may be reasonably appropriate.</w:t>
      </w:r>
    </w:p>
    <w:p>
      <w:pPr>
        <w:spacing w:after="0" w:line="147" w:lineRule="exact"/>
        <w:rPr>
          <w:rFonts w:ascii="Times New Roman" w:cs="Times New Roman" w:eastAsia="Times New Roman" w:hAnsi="Times New Roman"/>
          <w:sz w:val="20"/>
          <w:szCs w:val="20"/>
          <w:color w:val="auto"/>
        </w:rPr>
      </w:pPr>
    </w:p>
    <w:p>
      <w:pPr>
        <w:ind w:left="-517" w:right="580" w:firstLine="1153"/>
        <w:spacing w:after="0" w:line="268" w:lineRule="auto"/>
        <w:tabs>
          <w:tab w:leader="none" w:pos="898" w:val="left"/>
        </w:tabs>
        <w:numPr>
          <w:ilvl w:val="1"/>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not be liable to indemnify Indemnitee for any settlement of any Proceeding (or any part thereof) without the Company’s prior written consent, which shall not be unreasonably withheld.</w:t>
      </w:r>
    </w:p>
    <w:p>
      <w:pPr>
        <w:spacing w:after="0" w:line="147" w:lineRule="exact"/>
        <w:rPr>
          <w:rFonts w:ascii="Times New Roman" w:cs="Times New Roman" w:eastAsia="Times New Roman" w:hAnsi="Times New Roman"/>
          <w:sz w:val="20"/>
          <w:szCs w:val="20"/>
          <w:color w:val="auto"/>
        </w:rPr>
      </w:pPr>
    </w:p>
    <w:p>
      <w:pPr>
        <w:ind w:left="-517" w:right="120" w:firstLine="1153"/>
        <w:spacing w:after="0" w:line="268" w:lineRule="auto"/>
        <w:tabs>
          <w:tab w:leader="none" w:pos="876" w:val="left"/>
        </w:tabs>
        <w:numPr>
          <w:ilvl w:val="1"/>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not settle any Proceeding (or any part thereof) without Indemnitee’s prior written consent, which shall not be unreasonably withheld.</w:t>
      </w:r>
    </w:p>
    <w:p>
      <w:pPr>
        <w:spacing w:after="0" w:line="129" w:lineRule="exact"/>
        <w:rPr>
          <w:rFonts w:ascii="Times New Roman" w:cs="Times New Roman" w:eastAsia="Times New Roman" w:hAnsi="Times New Roman"/>
          <w:sz w:val="20"/>
          <w:szCs w:val="20"/>
          <w:color w:val="auto"/>
        </w:rPr>
      </w:pPr>
    </w:p>
    <w:p>
      <w:pPr>
        <w:ind w:left="303" w:hanging="303"/>
        <w:spacing w:after="0"/>
        <w:tabs>
          <w:tab w:leader="none" w:pos="303" w:val="left"/>
        </w:tabs>
        <w:numPr>
          <w:ilvl w:val="0"/>
          <w:numId w:val="1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Procedures upon Application for Indemnification</w:t>
      </w:r>
      <w:r>
        <w:rPr>
          <w:rFonts w:ascii="Times New Roman" w:cs="Times New Roman" w:eastAsia="Times New Roman" w:hAnsi="Times New Roman"/>
          <w:sz w:val="20"/>
          <w:szCs w:val="20"/>
          <w:color w:val="auto"/>
        </w:rPr>
        <w:t>.</w:t>
      </w:r>
    </w:p>
    <w:p>
      <w:pPr>
        <w:spacing w:after="0" w:line="205" w:lineRule="exact"/>
        <w:rPr>
          <w:rFonts w:ascii="Times New Roman" w:cs="Times New Roman" w:eastAsia="Times New Roman" w:hAnsi="Times New Roman"/>
          <w:sz w:val="20"/>
          <w:szCs w:val="20"/>
          <w:b w:val="1"/>
          <w:bCs w:val="1"/>
          <w:color w:val="auto"/>
        </w:rPr>
      </w:pPr>
    </w:p>
    <w:p>
      <w:pPr>
        <w:ind w:left="-517" w:right="100" w:firstLine="1153"/>
        <w:spacing w:after="0" w:line="245" w:lineRule="auto"/>
        <w:tabs>
          <w:tab w:leader="none" w:pos="898" w:val="left"/>
        </w:tabs>
        <w:numPr>
          <w:ilvl w:val="1"/>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obtain indemnification, Indemnitee shall submit to the Company a written request, including therein or therewith such documentation and information as is reasonably available to Indemnitee and as is reasonably necessary to determine whether and to what extent Indemnitee is entitled to indemnification following the final disposition of the Proceeding. The Company shall, as soon as reasonably practicable after receipt of such a request for indemnification, advise the board of directors that Indemnitee has requested indemnification. Any delay in providing the request will not relieve the Company from its obligations under this Agreement, except to the extent such failure is prejudicial.</w:t>
      </w:r>
    </w:p>
    <w:p>
      <w:pPr>
        <w:spacing w:after="0" w:line="169" w:lineRule="exact"/>
        <w:rPr>
          <w:rFonts w:ascii="Times New Roman" w:cs="Times New Roman" w:eastAsia="Times New Roman" w:hAnsi="Times New Roman"/>
          <w:sz w:val="20"/>
          <w:szCs w:val="20"/>
          <w:color w:val="auto"/>
        </w:rPr>
      </w:pPr>
    </w:p>
    <w:p>
      <w:pPr>
        <w:ind w:left="-517" w:firstLine="1153"/>
        <w:spacing w:after="0" w:line="249" w:lineRule="auto"/>
        <w:tabs>
          <w:tab w:leader="none" w:pos="909" w:val="left"/>
        </w:tabs>
        <w:numPr>
          <w:ilvl w:val="1"/>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written request by Indemnitee for indemnification pursuant to Section 10(a), a determination, if required by applicable law, with respect to Indemnitee’s entitlement thereto shall be made in the specific case (i) if a Change in Control shall have occurred, by Independent Counsel in a written opinion to the Company’s board of directors, a copy of which shall be delivered to Indemnitee or (ii) if a Change in Control shall not have occurred, (A) by a majority vote of the Disinterested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988060</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3"/>
          </w:cols>
          <w:pgMar w:left="837" w:top="1411" w:right="399" w:bottom="1440" w:gutter="0" w:footer="0" w:header="0"/>
        </w:sectPr>
      </w:pPr>
    </w:p>
    <w:bookmarkStart w:id="212" w:name="page213"/>
    <w:bookmarkEnd w:id="212"/>
    <w:p>
      <w:pPr>
        <w:ind w:right="60"/>
        <w:spacing w:after="0" w:line="242" w:lineRule="auto"/>
        <w:rPr>
          <w:sz w:val="20"/>
          <w:szCs w:val="20"/>
          <w:color w:val="auto"/>
        </w:rPr>
      </w:pPr>
      <w:r>
        <w:rPr>
          <w:rFonts w:ascii="Times New Roman" w:cs="Times New Roman" w:eastAsia="Times New Roman" w:hAnsi="Times New Roman"/>
          <w:sz w:val="20"/>
          <w:szCs w:val="20"/>
          <w:color w:val="auto"/>
        </w:rPr>
        <w:t>even though less than a quorum of the Company’s board of directors, (B) by a committee of Disinterested Directors designated by a majority vote of the Disinterested Directors, even though less than a quorum of the Company’s board of directors, (C) if there are no such Disinterested Directors or, if such Disinterested Directors so direct, by Independent Counsel in a written opinion to the Company’s board of directors, a copy of which shall be delivered to Indemnitee or (D) if so directed by the Company’s board of directors, by the stockholders of the Company. If it is so determined that Indemnitee is entitled to indemnification, payment to Indemnitee shall be made within ten days after such determination. Indemnitee shall cooperate with the person, persons or entity making the determination with respect to Indemnitee’s entitlement to indemnification, including providing to such person, persons or entity upon reasonable advance request any documentation or information that is not privileged or otherwise protected from disclosure and that is reasonably available to Indemnitee and reasonably necessary to such determination. Any costs or expenses (including attorneys’ fees and disbursements) reasonably incurred by Indemnitee in so cooperating with the person, persons or entity making such determination shall be borne by the Company, to the extent permitted by applicable law.</w:t>
      </w:r>
    </w:p>
    <w:p>
      <w:pPr>
        <w:spacing w:after="0" w:line="173" w:lineRule="exact"/>
        <w:rPr>
          <w:sz w:val="20"/>
          <w:szCs w:val="20"/>
          <w:color w:val="auto"/>
        </w:rPr>
      </w:pPr>
    </w:p>
    <w:p>
      <w:pPr>
        <w:ind w:firstLine="1153"/>
        <w:spacing w:after="0"/>
        <w:tabs>
          <w:tab w:leader="none" w:pos="1414" w:val="left"/>
        </w:tabs>
        <w:numPr>
          <w:ilvl w:val="1"/>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the determination of entitlement to indemnification is to be made by Independent Counsel pursuant to Section 10(b), the Independent Counsel shall be selected as provided in this Section 10(c). If a Change in Control shall not have occurred, the Independent Counsel shall be selected by the Company’s board of directors, and the Company shall give written notice to Indemnitee advising him or her of the identity of the Independent Counsel so selected. If a Change in Control shall have occurred, the Independent Counsel shall be selected by Indemnitee (unless Indemnitee shall request that such selection be made by the Company’s board of directors, in which event the preceding sentence shall apply), and Indemnitee shall give written notice to the Company advising it of the identity of the Independent Counsel so selected. In either event, Indemnitee or the Company, as the case may be, may, within ten days after such written notice of selection shall have been given, deliver to the Company or to Indemnitee, as the case may be, a written objection to such selection;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however</w:t>
      </w:r>
      <w:r>
        <w:rPr>
          <w:rFonts w:ascii="Times New Roman" w:cs="Times New Roman" w:eastAsia="Times New Roman" w:hAnsi="Times New Roman"/>
          <w:sz w:val="20"/>
          <w:szCs w:val="20"/>
          <w:color w:val="auto"/>
        </w:rPr>
        <w:t>, that such objection may be asserted only on the ground that the Independent Counsel so selected does not meet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requirements of “Independent Counsel” as defined in Section 1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has determined that such objection is without merit. If, within 20 days after the later of (i) submission by Indemnitee of a written request for indemnification pursuant to Section 10(a) hereof and (ii) the final disposition of the Proceeding, the parties have not agreed upon an Independent Counsel, either the Company or Indemnitee may petition a court of competent jurisdiction for resolution of any objection which shall have been made by the Company or Indemnitee to the other’s selection of Independent Counsel and for the appointment as Independent Counsel of a person selected by the court or by such other person as the court shall designate, and the person with respect to whom all objections are so resolved or the person so appointed shall act as Independent Counsel under Section 10(b) hereof. Upon the due commencement of any judicial proceeding pursuant to Section 12(a) of this Agreement, the Independent Counsel shall be discharged and relieved of any further responsibility in such capacity (subject to the applicable standards of professional conduct then prevailing).</w:t>
      </w:r>
    </w:p>
    <w:p>
      <w:pPr>
        <w:spacing w:after="0" w:line="173" w:lineRule="exact"/>
        <w:rPr>
          <w:rFonts w:ascii="Times New Roman" w:cs="Times New Roman" w:eastAsia="Times New Roman" w:hAnsi="Times New Roman"/>
          <w:sz w:val="20"/>
          <w:szCs w:val="20"/>
          <w:color w:val="auto"/>
        </w:rPr>
      </w:pPr>
    </w:p>
    <w:p>
      <w:pPr>
        <w:ind w:right="120" w:firstLine="1153"/>
        <w:spacing w:after="0" w:line="253" w:lineRule="auto"/>
        <w:tabs>
          <w:tab w:leader="none" w:pos="1425" w:val="left"/>
        </w:tabs>
        <w:numPr>
          <w:ilvl w:val="1"/>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agrees to pay the reasonable fees and expenses of any Independent Counsel and to fully indemnify such counsel against any and all Expenses, claims, liabilities and damages arising out of or relating to this Agreement or its engagement pursuant hereto.</w:t>
      </w:r>
    </w:p>
    <w:p>
      <w:pPr>
        <w:spacing w:after="0" w:line="158" w:lineRule="exact"/>
        <w:rPr>
          <w:rFonts w:ascii="Times New Roman" w:cs="Times New Roman" w:eastAsia="Times New Roman" w:hAnsi="Times New Roman"/>
          <w:sz w:val="20"/>
          <w:szCs w:val="20"/>
          <w:color w:val="auto"/>
        </w:rPr>
      </w:pPr>
    </w:p>
    <w:p>
      <w:pPr>
        <w:ind w:left="800" w:hanging="283"/>
        <w:spacing w:after="0"/>
        <w:tabs>
          <w:tab w:leader="none" w:pos="800" w:val="left"/>
        </w:tabs>
        <w:numPr>
          <w:ilvl w:val="0"/>
          <w:numId w:val="16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Presumptions and Effect of Certain Proceedings</w:t>
      </w:r>
      <w:r>
        <w:rPr>
          <w:rFonts w:ascii="Times New Roman" w:cs="Times New Roman" w:eastAsia="Times New Roman" w:hAnsi="Times New Roman"/>
          <w:sz w:val="20"/>
          <w:szCs w:val="20"/>
          <w:color w:val="auto"/>
        </w:rPr>
        <w:t>.</w:t>
      </w:r>
    </w:p>
    <w:p>
      <w:pPr>
        <w:spacing w:after="0" w:line="205" w:lineRule="exact"/>
        <w:rPr>
          <w:rFonts w:ascii="Times New Roman" w:cs="Times New Roman" w:eastAsia="Times New Roman" w:hAnsi="Times New Roman"/>
          <w:sz w:val="20"/>
          <w:szCs w:val="20"/>
          <w:b w:val="1"/>
          <w:bCs w:val="1"/>
          <w:color w:val="auto"/>
        </w:rPr>
      </w:pPr>
    </w:p>
    <w:p>
      <w:pPr>
        <w:ind w:right="220" w:firstLine="1153"/>
        <w:spacing w:after="0" w:line="268" w:lineRule="auto"/>
        <w:tabs>
          <w:tab w:leader="none" w:pos="1414" w:val="left"/>
        </w:tabs>
        <w:numPr>
          <w:ilvl w:val="1"/>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making a determination with respect to entitlement to indemnification hereunder, the person, persons or entity making such determination shall, to the fullest extent not prohibited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977265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1" w:right="379" w:bottom="1440" w:gutter="0" w:footer="0" w:header="0"/>
        </w:sectPr>
      </w:pPr>
    </w:p>
    <w:bookmarkStart w:id="213" w:name="page214"/>
    <w:bookmarkEnd w:id="213"/>
    <w:p>
      <w:pPr>
        <w:ind w:right="20"/>
        <w:spacing w:after="0" w:line="249" w:lineRule="auto"/>
        <w:rPr>
          <w:sz w:val="20"/>
          <w:szCs w:val="20"/>
          <w:color w:val="auto"/>
        </w:rPr>
      </w:pPr>
      <w:r>
        <w:rPr>
          <w:rFonts w:ascii="Times New Roman" w:cs="Times New Roman" w:eastAsia="Times New Roman" w:hAnsi="Times New Roman"/>
          <w:sz w:val="20"/>
          <w:szCs w:val="20"/>
          <w:color w:val="auto"/>
        </w:rPr>
        <w:t>presume that Indemnitee is entitled to indemnification under this Agreement if Indemnitee has submitted a request for indemnification in accordance with Section 10(a) of this Agreement, and the Company shall, to the fullest extent not prohibited by law, have the burden of proof to overcome that presumption in connection with the making by such person, persons or entity of any determination contrary to that presumption.</w:t>
      </w:r>
    </w:p>
    <w:p>
      <w:pPr>
        <w:spacing w:after="0" w:line="165" w:lineRule="exact"/>
        <w:rPr>
          <w:sz w:val="20"/>
          <w:szCs w:val="20"/>
          <w:color w:val="auto"/>
        </w:rPr>
      </w:pPr>
    </w:p>
    <w:p>
      <w:pPr>
        <w:ind w:right="40" w:firstLine="1153"/>
        <w:spacing w:after="0" w:line="246" w:lineRule="auto"/>
        <w:tabs>
          <w:tab w:leader="none" w:pos="1425" w:val="left"/>
        </w:tabs>
        <w:numPr>
          <w:ilvl w:val="1"/>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termination of any Proceeding or of any claim, issue or matter therein, by judgment, order, settlement or conviction, or upon a plea of </w:t>
      </w:r>
      <w:r>
        <w:rPr>
          <w:rFonts w:ascii="Times New Roman" w:cs="Times New Roman" w:eastAsia="Times New Roman" w:hAnsi="Times New Roman"/>
          <w:sz w:val="20"/>
          <w:szCs w:val="20"/>
          <w:i w:val="1"/>
          <w:iCs w:val="1"/>
          <w:color w:val="auto"/>
        </w:rPr>
        <w:t>nolo contendere</w:t>
      </w:r>
      <w:r>
        <w:rPr>
          <w:rFonts w:ascii="Times New Roman" w:cs="Times New Roman" w:eastAsia="Times New Roman" w:hAnsi="Times New Roman"/>
          <w:sz w:val="20"/>
          <w:szCs w:val="20"/>
          <w:color w:val="auto"/>
        </w:rPr>
        <w:t xml:space="preserve"> or its equivalent, shall not (except as otherwise expressly provided in this Agreement) of itself adversely affect the right of Indemnitee to indemnification or create a presumption that Indemnitee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pacing w:after="0" w:line="156" w:lineRule="exact"/>
        <w:rPr>
          <w:rFonts w:ascii="Times New Roman" w:cs="Times New Roman" w:eastAsia="Times New Roman" w:hAnsi="Times New Roman"/>
          <w:sz w:val="20"/>
          <w:szCs w:val="20"/>
          <w:color w:val="auto"/>
        </w:rPr>
      </w:pPr>
    </w:p>
    <w:p>
      <w:pPr>
        <w:ind w:right="40" w:firstLine="1153"/>
        <w:spacing w:after="0" w:line="243" w:lineRule="auto"/>
        <w:tabs>
          <w:tab w:leader="none" w:pos="1414" w:val="left"/>
        </w:tabs>
        <w:numPr>
          <w:ilvl w:val="1"/>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any determination of good faith, Indemnitee shall be deemed to have acted in good faith to the extent Indemnitee relied in good faith on (i) the records or books of account of the Enterprise, including financial statements, (ii) information supplied to Indemnitee by the officers of the Enterprise in the course of their duties, (iii) the advice of legal counsel for the Enterprise or its board of directors or counsel selected by any committee of the board of directors or (iv) information or records given or reports made to the Enterprise by an independent certified public accountant, an appraiser, investment banker or other expert selected with reasonable care by the Enterprise or its board of directors or any committee of the board of directors. The provisions of this Section 11(c) shall not be deemed to be exclusive or to limit in any way the other circumstances in which Indemnitee may be deemed to have met the applicable standard of conduct set forth in this Agreement.</w:t>
      </w:r>
    </w:p>
    <w:p>
      <w:pPr>
        <w:spacing w:after="0" w:line="173" w:lineRule="exact"/>
        <w:rPr>
          <w:rFonts w:ascii="Times New Roman" w:cs="Times New Roman" w:eastAsia="Times New Roman" w:hAnsi="Times New Roman"/>
          <w:sz w:val="20"/>
          <w:szCs w:val="20"/>
          <w:color w:val="auto"/>
        </w:rPr>
      </w:pPr>
    </w:p>
    <w:p>
      <w:pPr>
        <w:ind w:right="100" w:firstLine="1153"/>
        <w:spacing w:after="0" w:line="268" w:lineRule="auto"/>
        <w:tabs>
          <w:tab w:leader="none" w:pos="1425" w:val="left"/>
        </w:tabs>
        <w:numPr>
          <w:ilvl w:val="1"/>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knowledge, actions nor failure to act of any other director, officer, agent or employee of the Enterprise shall be imputed to Indemnitee for purposes of determining the right to indemnification under this Agreement.</w:t>
      </w:r>
    </w:p>
    <w:p>
      <w:pPr>
        <w:spacing w:after="0" w:line="143" w:lineRule="exact"/>
        <w:rPr>
          <w:rFonts w:ascii="Times New Roman" w:cs="Times New Roman" w:eastAsia="Times New Roman" w:hAnsi="Times New Roman"/>
          <w:sz w:val="20"/>
          <w:szCs w:val="20"/>
          <w:color w:val="auto"/>
        </w:rPr>
      </w:pPr>
    </w:p>
    <w:p>
      <w:pPr>
        <w:ind w:left="820" w:hanging="303"/>
        <w:spacing w:after="0"/>
        <w:tabs>
          <w:tab w:leader="none" w:pos="820" w:val="left"/>
        </w:tabs>
        <w:numPr>
          <w:ilvl w:val="0"/>
          <w:numId w:val="1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Remedies of Indemnitee</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0"/>
          <w:szCs w:val="20"/>
          <w:b w:val="1"/>
          <w:bCs w:val="1"/>
          <w:color w:val="auto"/>
        </w:rPr>
      </w:pPr>
    </w:p>
    <w:p>
      <w:pPr>
        <w:ind w:right="40" w:firstLine="1153"/>
        <w:spacing w:after="0" w:line="256" w:lineRule="auto"/>
        <w:tabs>
          <w:tab w:leader="none" w:pos="1414" w:val="left"/>
        </w:tabs>
        <w:numPr>
          <w:ilvl w:val="1"/>
          <w:numId w:val="1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Section 12(e), in the event that (i) a determination is made pursuant to Section 10 of this Agreement that Indemnitee is not entitled to indemnification under this Agreement, (ii) advancement of Expenses is not timely made pursuant to Section 8 or 12(d) of this Agreement, (iii) no determination of entitlement to indemnification shall have been made pursuant to Section 10 of this Agreement within 90 days after the later of the receipt by the Company of the request for indemnification or the final disposition of the Proceeding, (iv) payment of indemnification pursuant to this Agreement is not made (A) within ten days after a determination has been made that Indemnitee is entitled to indemnification or (B) with respect to indemnification pursuant to Sections 4, 5 and 12(d) of this Agreement, within 30 days after receipt by the Company of a written request therefor, or (v) the Company or any other person or entity takes or threatens to take any action to declare this Agreement void or unenforceable, or institutes any litigation or other action or proceeding designed to deny, or to recover from, Indemnitee the benefits provided or intended to be provided to Indemnitee hereunder, Indemnitee shall be entitled to an adjudication by a court of competent jurisdiction of his or her entitlement to such indemnification or advancement of Expenses. The Company shall not oppose Indemnitee’s right to seek any such adjudication in accordance with this Agreement.</w:t>
      </w:r>
    </w:p>
    <w:p>
      <w:pPr>
        <w:spacing w:after="0" w:line="160" w:lineRule="exact"/>
        <w:rPr>
          <w:rFonts w:ascii="Times New Roman" w:cs="Times New Roman" w:eastAsia="Times New Roman" w:hAnsi="Times New Roman"/>
          <w:sz w:val="19"/>
          <w:szCs w:val="19"/>
          <w:color w:val="auto"/>
        </w:rPr>
      </w:pPr>
    </w:p>
    <w:p>
      <w:pPr>
        <w:ind w:firstLine="1153"/>
        <w:spacing w:after="0" w:line="249" w:lineRule="auto"/>
        <w:tabs>
          <w:tab w:leader="none" w:pos="1425" w:val="left"/>
        </w:tabs>
        <w:numPr>
          <w:ilvl w:val="1"/>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(i) the failure of the Company, its board of directors, any committee or subgroup of the board of directors, Independent Counsel or stockholders to have made a determination that indemnification of Indemnitee is proper in the circumstances because Indemnitee has met the applicable standard of conduct, nor (ii) an actual determination by the Company, its board of directors, any committee or subgroup of the board of directors, Independent Counsel or stockholders that 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996950</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1" w:right="359" w:bottom="1440" w:gutter="0" w:footer="0" w:header="0"/>
        </w:sectPr>
      </w:pPr>
    </w:p>
    <w:bookmarkStart w:id="214" w:name="page215"/>
    <w:bookmarkEnd w:id="214"/>
    <w:p>
      <w:pPr>
        <w:ind w:right="20"/>
        <w:spacing w:after="0" w:line="245" w:lineRule="auto"/>
        <w:rPr>
          <w:sz w:val="20"/>
          <w:szCs w:val="20"/>
          <w:color w:val="auto"/>
        </w:rPr>
      </w:pPr>
      <w:r>
        <w:rPr>
          <w:rFonts w:ascii="Times New Roman" w:cs="Times New Roman" w:eastAsia="Times New Roman" w:hAnsi="Times New Roman"/>
          <w:sz w:val="20"/>
          <w:szCs w:val="20"/>
          <w:color w:val="auto"/>
        </w:rPr>
        <w:t xml:space="preserve">has not met the applicable standard of conduct, shall be a defense to the action or create a presumption that Indemnitee has or has not met the applicable standard of conduct. In the event that a determination shall have been made pursuant to Section 10 of this Agreement that Indemnitee is not entitled to indemnification, any judicial proceeding commenced pursuant to this Section 12 shall be conducted in all respects as a </w:t>
      </w:r>
      <w:r>
        <w:rPr>
          <w:rFonts w:ascii="Times New Roman" w:cs="Times New Roman" w:eastAsia="Times New Roman" w:hAnsi="Times New Roman"/>
          <w:sz w:val="20"/>
          <w:szCs w:val="20"/>
          <w:i w:val="1"/>
          <w:iCs w:val="1"/>
          <w:color w:val="auto"/>
        </w:rPr>
        <w:t>de novo</w:t>
      </w:r>
      <w:r>
        <w:rPr>
          <w:rFonts w:ascii="Times New Roman" w:cs="Times New Roman" w:eastAsia="Times New Roman" w:hAnsi="Times New Roman"/>
          <w:sz w:val="20"/>
          <w:szCs w:val="20"/>
          <w:color w:val="auto"/>
        </w:rPr>
        <w:t xml:space="preserve"> trial, on the merits, and Indemnitee shall not be prejudiced by reason of that adverse determination. In any judicial proceeding commenced pursuant to this Section 12, the Company shall, to the fullest extent not prohibited by law, have the burden of proving Indemnitee is not entitled to indemnification or advancement of Expenses, as the case may be.</w:t>
      </w:r>
    </w:p>
    <w:p>
      <w:pPr>
        <w:spacing w:after="0" w:line="169" w:lineRule="exact"/>
        <w:rPr>
          <w:sz w:val="20"/>
          <w:szCs w:val="20"/>
          <w:color w:val="auto"/>
        </w:rPr>
      </w:pPr>
    </w:p>
    <w:p>
      <w:pPr>
        <w:ind w:firstLine="1153"/>
        <w:spacing w:after="0" w:line="255" w:lineRule="auto"/>
        <w:tabs>
          <w:tab w:leader="none" w:pos="1414" w:val="left"/>
        </w:tabs>
        <w:numPr>
          <w:ilvl w:val="2"/>
          <w:numId w:val="1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fullest extent not prohibited by law, the Company shall be precluded from asserting in any judicial proceeding commenced pursuant to this Section 12 that the procedures and presumptions of this Agreement are not valid, binding and enforceable and shall stipulate in any such court that the Company is bound by all the provisions of this Agreement. If a determination shall have been made pursuant to Section 10 of this Agreement that Indemnitee is entitled to indemnification, the Company shall be bound by such determination in any judicial proceeding commenced pursuant to this Section 12, absent (i) a misstatement by Indemnitee of a material fact, or an omission of a material fact necessary to make Indemnitee’s statements not materially misleading, in connection with the request for indemnification, or</w:t>
      </w:r>
    </w:p>
    <w:p>
      <w:pPr>
        <w:spacing w:after="0" w:line="4" w:lineRule="exact"/>
        <w:rPr>
          <w:rFonts w:ascii="Times New Roman" w:cs="Times New Roman" w:eastAsia="Times New Roman" w:hAnsi="Times New Roman"/>
          <w:sz w:val="19"/>
          <w:szCs w:val="19"/>
          <w:color w:val="auto"/>
        </w:rPr>
      </w:pPr>
    </w:p>
    <w:p>
      <w:pPr>
        <w:ind w:left="300" w:hanging="292"/>
        <w:spacing w:after="0"/>
        <w:tabs>
          <w:tab w:leader="none" w:pos="300"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prohibition of such indemnification under applicable law.</w:t>
      </w:r>
    </w:p>
    <w:p>
      <w:pPr>
        <w:spacing w:after="0" w:line="166" w:lineRule="exact"/>
        <w:rPr>
          <w:rFonts w:ascii="Times New Roman" w:cs="Times New Roman" w:eastAsia="Times New Roman" w:hAnsi="Times New Roman"/>
          <w:sz w:val="20"/>
          <w:szCs w:val="20"/>
          <w:color w:val="auto"/>
        </w:rPr>
      </w:pPr>
    </w:p>
    <w:p>
      <w:pPr>
        <w:ind w:right="40" w:firstLine="1153"/>
        <w:spacing w:after="0" w:line="246" w:lineRule="auto"/>
        <w:tabs>
          <w:tab w:leader="none" w:pos="1425" w:val="left"/>
        </w:tabs>
        <w:numPr>
          <w:ilvl w:val="2"/>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not prohibited by law, the Company shall indemnify Indemnitee against all Expenses that are incurred by Indemnitee in connection with any action for indemnification or advancement of Expenses from the Company under this Agreement or under any directors’ and officers’ liability insurance policies maintained by the Company to the extent Indemnitee is successful in such action, and, if requested by Indemnitee, shall (as soon as reasonably practicable, but in any event no later than 60 days, after receipt by the Company of a written request therefor) advance such Expenses to Indemnitee, subject to the provisions of Section 8.</w:t>
      </w:r>
    </w:p>
    <w:p>
      <w:pPr>
        <w:spacing w:after="0" w:line="169" w:lineRule="exact"/>
        <w:rPr>
          <w:rFonts w:ascii="Times New Roman" w:cs="Times New Roman" w:eastAsia="Times New Roman" w:hAnsi="Times New Roman"/>
          <w:sz w:val="20"/>
          <w:szCs w:val="20"/>
          <w:color w:val="auto"/>
        </w:rPr>
      </w:pPr>
    </w:p>
    <w:p>
      <w:pPr>
        <w:ind w:right="140" w:firstLine="1153"/>
        <w:spacing w:after="0" w:line="268" w:lineRule="auto"/>
        <w:tabs>
          <w:tab w:leader="none" w:pos="1414" w:val="left"/>
        </w:tabs>
        <w:numPr>
          <w:ilvl w:val="2"/>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in this Agreement to the contrary, no determination as to entitlement to indemnification shall be required to be made prior to the final disposition of the Proceeding.</w:t>
      </w:r>
    </w:p>
    <w:p>
      <w:pPr>
        <w:spacing w:after="0" w:line="143" w:lineRule="exact"/>
        <w:rPr>
          <w:rFonts w:ascii="Times New Roman" w:cs="Times New Roman" w:eastAsia="Times New Roman" w:hAnsi="Times New Roman"/>
          <w:sz w:val="20"/>
          <w:szCs w:val="20"/>
          <w:color w:val="auto"/>
        </w:rPr>
      </w:pPr>
    </w:p>
    <w:p>
      <w:pPr>
        <w:ind w:firstLine="517"/>
        <w:spacing w:after="0" w:line="244" w:lineRule="auto"/>
        <w:tabs>
          <w:tab w:leader="none" w:pos="805" w:val="left"/>
        </w:tabs>
        <w:numPr>
          <w:ilvl w:val="1"/>
          <w:numId w:val="1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Contribution. </w:t>
      </w:r>
      <w:r>
        <w:rPr>
          <w:rFonts w:ascii="Times New Roman" w:cs="Times New Roman" w:eastAsia="Times New Roman" w:hAnsi="Times New Roman"/>
          <w:sz w:val="20"/>
          <w:szCs w:val="20"/>
          <w:color w:val="auto"/>
        </w:rPr>
        <w:t>To the fullest extent permissible under applicable law, if the indemnification provided for in this Agreement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unavailable to Indemnitee, the Company, in lieu of indemnifying Indemnitee, shall contribute to the amounts incurred by Indemnitee, whether for Expenses, judgments, fines or amounts paid or to be paid in settlement,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 transactions giving rise to such Proceeding; and (ii) the relative fault of Indemnitee and the Company (and its other directors, officers, employees and agents) in connection with such events and transactions.</w:t>
      </w:r>
    </w:p>
    <w:p>
      <w:pPr>
        <w:spacing w:after="0" w:line="156" w:lineRule="exact"/>
        <w:rPr>
          <w:rFonts w:ascii="Times New Roman" w:cs="Times New Roman" w:eastAsia="Times New Roman" w:hAnsi="Times New Roman"/>
          <w:sz w:val="20"/>
          <w:szCs w:val="20"/>
          <w:b w:val="1"/>
          <w:bCs w:val="1"/>
          <w:color w:val="auto"/>
        </w:rPr>
      </w:pPr>
    </w:p>
    <w:p>
      <w:pPr>
        <w:ind w:right="20" w:firstLine="517"/>
        <w:spacing w:after="0" w:line="244" w:lineRule="auto"/>
        <w:tabs>
          <w:tab w:leader="none" w:pos="805" w:val="left"/>
        </w:tabs>
        <w:numPr>
          <w:ilvl w:val="1"/>
          <w:numId w:val="1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Non-exclusivity. </w:t>
      </w:r>
      <w:r>
        <w:rPr>
          <w:rFonts w:ascii="Times New Roman" w:cs="Times New Roman" w:eastAsia="Times New Roman" w:hAnsi="Times New Roman"/>
          <w:sz w:val="20"/>
          <w:szCs w:val="20"/>
          <w:color w:val="auto"/>
        </w:rPr>
        <w:t>The rights of indemnification and to receive advancement of Expenses as provided by this Agreement shall not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deemed exclusive of any other rights to which Indemnitee may at any time be entitled under applicable law, the Company’s certificate of incorporation or bylaws, any agreement, a vote of stockholders or a resolution of directors, or otherwise. To the extent that a change in Delaware law, whether by statute or judicial decision, permits greater indemnification or advancement of Expenses than would be afforded currently under the Company’s certificate of incorporation and bylaws and this Agreement, it is the intent of the parties hereto that Indemnitee shall enjoy by this Agreement the greater benefits so afforded by such change, subject to the restrictions expressly set forth herein or therein. Except as expressly set forth herein, no right or remedy herein conferred is intended to be exclusive of any other right or remedy, and every other right and remedy shall be cumulative and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1000125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215" w:name="page216"/>
    <w:bookmarkEnd w:id="215"/>
    <w:p>
      <w:pPr>
        <w:spacing w:after="0" w:line="253" w:lineRule="auto"/>
        <w:rPr>
          <w:sz w:val="20"/>
          <w:szCs w:val="20"/>
          <w:color w:val="auto"/>
        </w:rPr>
      </w:pPr>
      <w:r>
        <w:rPr>
          <w:rFonts w:ascii="Times New Roman" w:cs="Times New Roman" w:eastAsia="Times New Roman" w:hAnsi="Times New Roman"/>
          <w:sz w:val="20"/>
          <w:szCs w:val="20"/>
          <w:color w:val="auto"/>
        </w:rPr>
        <w:t>addition to every other right and remedy given hereunder or now or hereafter existing at law or in equity or otherwise. Except as expressly set forth herein, the assertion or employment of any right or remedy hereunder, or otherwise, shall not prevent the concurrent assertion or employment of any other right or remedy.</w:t>
      </w:r>
    </w:p>
    <w:p>
      <w:pPr>
        <w:spacing w:after="0" w:line="159" w:lineRule="exact"/>
        <w:rPr>
          <w:sz w:val="20"/>
          <w:szCs w:val="20"/>
          <w:color w:val="auto"/>
        </w:rPr>
      </w:pPr>
    </w:p>
    <w:p>
      <w:pPr>
        <w:ind w:right="40" w:firstLine="517"/>
        <w:spacing w:after="0" w:line="241" w:lineRule="auto"/>
        <w:tabs>
          <w:tab w:leader="none" w:pos="805" w:val="left"/>
        </w:tabs>
        <w:numPr>
          <w:ilvl w:val="0"/>
          <w:numId w:val="1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Primary Responsibility. </w:t>
      </w:r>
      <w:r>
        <w:rPr>
          <w:rFonts w:ascii="Times New Roman" w:cs="Times New Roman" w:eastAsia="Times New Roman" w:hAnsi="Times New Roman"/>
          <w:sz w:val="20"/>
          <w:szCs w:val="20"/>
          <w:color w:val="auto"/>
        </w:rPr>
        <w:t>The Company acknowledges that to the extent Indemnitee is serving as a director on the Company’s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board of directors at the request or direction of a venture capital fund or other entity and/or certain of its affiliates (collectively, the “Secondary Indemnitors”), Indemnitee may have certain rights to indemnification and advancement of expenses provided by such Secondary Indemnitors. The Company agrees that, as between the Company and the Secondary Indemnitors, the Company is primarily responsible for amounts required to be indemnified or advanced under the Company’s certificate of incorporation or bylaws or this Agreement and any obligation of the Secondary Indemnitors to provide indemnification or advancement for the same amounts is secondary to those Company obligations. To the extent not in contravention of any insurance policy or policies providing liability or other insurance for the Company or any director, trustee, general partner, managing member, officer, employee, agent or fiduciary of the Company or any other Enterprise, the Company waives any right of contribution or subrogation against the Secondary Indemnitors with respect to the liabilities for which the Company is primarily responsible under this Section 15. In the event of any payment by the Secondary Indemnitors of amounts otherwise required to be indemnified or advanced by the Company under the Company’s certificate of incorporation or bylaws or this Agreement, the Secondary Indemnitors shall be subrogated to the extent of such payment to all of the rights of recovery of Indemnitee for indemnification or advancement of expenses under the Company’s certificate of incorporation or bylaws or this Agreement or, to the extent such subrogation is unavailable and contribution is found to be the applicable remedy, shall have a right of contribution with respect to the amounts paid. The Secondary Indemnitors are express third-party beneficiaries of the terms of this Section 15.</w:t>
      </w:r>
    </w:p>
    <w:p>
      <w:pPr>
        <w:spacing w:after="0" w:line="163" w:lineRule="exact"/>
        <w:rPr>
          <w:rFonts w:ascii="Times New Roman" w:cs="Times New Roman" w:eastAsia="Times New Roman" w:hAnsi="Times New Roman"/>
          <w:sz w:val="20"/>
          <w:szCs w:val="20"/>
          <w:b w:val="1"/>
          <w:bCs w:val="1"/>
          <w:color w:val="auto"/>
        </w:rPr>
      </w:pPr>
    </w:p>
    <w:p>
      <w:pPr>
        <w:ind w:right="120" w:firstLine="517"/>
        <w:spacing w:after="0" w:line="255" w:lineRule="auto"/>
        <w:tabs>
          <w:tab w:leader="none" w:pos="805" w:val="left"/>
        </w:tabs>
        <w:numPr>
          <w:ilvl w:val="0"/>
          <w:numId w:val="1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 Duplication of Payments. </w:t>
      </w:r>
      <w:r>
        <w:rPr>
          <w:rFonts w:ascii="Times New Roman" w:cs="Times New Roman" w:eastAsia="Times New Roman" w:hAnsi="Times New Roman"/>
          <w:sz w:val="20"/>
          <w:szCs w:val="20"/>
          <w:color w:val="auto"/>
        </w:rPr>
        <w:t>The Company shall not be liable under this Agreement to make any payment of amounts otherwise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indemnifiable hereunder (or for which advancement is provided hereunder) if and to the extent that Indemnitee has otherwise actually received payment for such amounts under any insurance policy, contract, agreement or otherwise.</w:t>
      </w:r>
    </w:p>
    <w:p>
      <w:pPr>
        <w:spacing w:after="0" w:line="156" w:lineRule="exact"/>
        <w:rPr>
          <w:rFonts w:ascii="Times New Roman" w:cs="Times New Roman" w:eastAsia="Times New Roman" w:hAnsi="Times New Roman"/>
          <w:sz w:val="20"/>
          <w:szCs w:val="20"/>
          <w:b w:val="1"/>
          <w:bCs w:val="1"/>
          <w:color w:val="auto"/>
        </w:rPr>
      </w:pPr>
    </w:p>
    <w:p>
      <w:pPr>
        <w:ind w:right="80" w:firstLine="517"/>
        <w:spacing w:after="0" w:line="250" w:lineRule="auto"/>
        <w:tabs>
          <w:tab w:leader="none" w:pos="805" w:val="left"/>
        </w:tabs>
        <w:numPr>
          <w:ilvl w:val="0"/>
          <w:numId w:val="1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Insurance. </w:t>
      </w:r>
      <w:r>
        <w:rPr>
          <w:rFonts w:ascii="Times New Roman" w:cs="Times New Roman" w:eastAsia="Times New Roman" w:hAnsi="Times New Roman"/>
          <w:sz w:val="20"/>
          <w:szCs w:val="20"/>
          <w:color w:val="auto"/>
        </w:rPr>
        <w:t>To the extent that the Company maintains an insurance policy or policies providing liability insurance for directors,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trustees, general partners, managing members, officers, employees, agents or fiduciaries of the Company or any other Enterprise, Indemnitee shall be covered by such policy or policies to the same extent as the most favorably-insured persons under such policy or policies in a comparable position.</w:t>
      </w:r>
    </w:p>
    <w:p>
      <w:pPr>
        <w:spacing w:after="0" w:line="160" w:lineRule="exact"/>
        <w:rPr>
          <w:rFonts w:ascii="Times New Roman" w:cs="Times New Roman" w:eastAsia="Times New Roman" w:hAnsi="Times New Roman"/>
          <w:sz w:val="20"/>
          <w:szCs w:val="20"/>
          <w:b w:val="1"/>
          <w:bCs w:val="1"/>
          <w:color w:val="auto"/>
        </w:rPr>
      </w:pPr>
    </w:p>
    <w:p>
      <w:pPr>
        <w:ind w:right="180" w:firstLine="517"/>
        <w:spacing w:after="0" w:line="255" w:lineRule="auto"/>
        <w:tabs>
          <w:tab w:leader="none" w:pos="805" w:val="left"/>
        </w:tabs>
        <w:numPr>
          <w:ilvl w:val="0"/>
          <w:numId w:val="1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Subrogation. </w:t>
      </w:r>
      <w:r>
        <w:rPr>
          <w:rFonts w:ascii="Times New Roman" w:cs="Times New Roman" w:eastAsia="Times New Roman" w:hAnsi="Times New Roman"/>
          <w:sz w:val="20"/>
          <w:szCs w:val="20"/>
          <w:color w:val="auto"/>
        </w:rPr>
        <w:t>In the event of any payment under this Agreement, the Company shall be subrogated to the extent of such payment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143" w:lineRule="exact"/>
        <w:rPr>
          <w:rFonts w:ascii="Times New Roman" w:cs="Times New Roman" w:eastAsia="Times New Roman" w:hAnsi="Times New Roman"/>
          <w:sz w:val="20"/>
          <w:szCs w:val="20"/>
          <w:b w:val="1"/>
          <w:bCs w:val="1"/>
          <w:color w:val="auto"/>
        </w:rPr>
      </w:pPr>
    </w:p>
    <w:p>
      <w:pPr>
        <w:ind w:firstLine="517"/>
        <w:spacing w:after="0" w:line="244" w:lineRule="auto"/>
        <w:tabs>
          <w:tab w:leader="none" w:pos="805" w:val="left"/>
        </w:tabs>
        <w:numPr>
          <w:ilvl w:val="0"/>
          <w:numId w:val="1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Services to the Company. </w:t>
      </w:r>
      <w:r>
        <w:rPr>
          <w:rFonts w:ascii="Times New Roman" w:cs="Times New Roman" w:eastAsia="Times New Roman" w:hAnsi="Times New Roman"/>
          <w:sz w:val="20"/>
          <w:szCs w:val="20"/>
          <w:color w:val="auto"/>
        </w:rPr>
        <w:t>Indemnitee agrees to serve as a director or officer of the Company or, at the request of the Company,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 director, trustee, general partner, managing member, officer, employee, agent or fiduciary of another Enterprise, for so long as Indemnitee is duly elected or appointed or until Indemnitee tenders his or her resignation or is removed from such position. Indemnitee may at any time and for any reason resign from such position (subject to any other contractual obligation or any obligation imposed by operation of law), in which event the Company shall have no obligation under this Agreement to continue Indemnitee in such position. This Agreement shall not be deemed an employment contract between the Company (or any of its subsidiaries or any Enterprise) and Indemnitee. Indemnitee specifically acknowledges that any employment with the Company (or any of its subsidiaries 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1002665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1" w:right="359" w:bottom="1440" w:gutter="0" w:footer="0" w:header="0"/>
        </w:sectPr>
      </w:pPr>
    </w:p>
    <w:bookmarkStart w:id="216" w:name="page217"/>
    <w:bookmarkEnd w:id="216"/>
    <w:p>
      <w:pPr>
        <w:spacing w:after="0" w:line="246" w:lineRule="auto"/>
        <w:rPr>
          <w:sz w:val="20"/>
          <w:szCs w:val="20"/>
          <w:color w:val="auto"/>
        </w:rPr>
      </w:pPr>
      <w:r>
        <w:rPr>
          <w:rFonts w:ascii="Times New Roman" w:cs="Times New Roman" w:eastAsia="Times New Roman" w:hAnsi="Times New Roman"/>
          <w:sz w:val="20"/>
          <w:szCs w:val="20"/>
          <w:color w:val="auto"/>
        </w:rPr>
        <w:t>Enterprise) is at will, and Indemnitee may be discharged at any time for any reason, with or without cause, with or without notice, except as may be otherwise expressly provided in any executed, written employment contract between Indemnitee and the Company (or any of its subsidiaries or any Enterprise), any existing formal severance policies adopted by the Company’s board of directors or, with respect to service as a director or officer of the Company, the Company’s certificate of incorporation or bylaws or the DGCL. No such document shall be subject to any oral modification thereof.</w:t>
      </w:r>
    </w:p>
    <w:p>
      <w:pPr>
        <w:spacing w:after="0" w:line="166" w:lineRule="exact"/>
        <w:rPr>
          <w:sz w:val="20"/>
          <w:szCs w:val="20"/>
          <w:color w:val="auto"/>
        </w:rPr>
      </w:pPr>
    </w:p>
    <w:p>
      <w:pPr>
        <w:ind w:firstLine="517"/>
        <w:spacing w:after="0" w:line="247" w:lineRule="auto"/>
        <w:tabs>
          <w:tab w:leader="none" w:pos="805" w:val="left"/>
        </w:tabs>
        <w:numPr>
          <w:ilvl w:val="0"/>
          <w:numId w:val="1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Duration. </w:t>
      </w:r>
      <w:r>
        <w:rPr>
          <w:rFonts w:ascii="Times New Roman" w:cs="Times New Roman" w:eastAsia="Times New Roman" w:hAnsi="Times New Roman"/>
          <w:sz w:val="20"/>
          <w:szCs w:val="20"/>
          <w:color w:val="auto"/>
        </w:rPr>
        <w:t>This Agreement shall continue until and terminate upon the later of (a) ten years after the date that Indemnitee shall have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ceased to serve as a director or officer of the Company or as a director, trustee, general partner, managing member, officer, employee, agent or fiduciary of any other Enterprise, as applicable; or (b) one year after the final termination of any Proceeding, including any appeal, then pending in respect of which Indemnitee is granted rights of indemnification or advancement of Expenses hereunder and of any proceeding commenced by Indemnitee pursuant to Section 12 of this Agreement relating thereto.</w:t>
      </w:r>
    </w:p>
    <w:p>
      <w:pPr>
        <w:spacing w:after="0" w:line="151" w:lineRule="exact"/>
        <w:rPr>
          <w:rFonts w:ascii="Times New Roman" w:cs="Times New Roman" w:eastAsia="Times New Roman" w:hAnsi="Times New Roman"/>
          <w:sz w:val="20"/>
          <w:szCs w:val="20"/>
          <w:b w:val="1"/>
          <w:bCs w:val="1"/>
          <w:color w:val="auto"/>
        </w:rPr>
      </w:pPr>
    </w:p>
    <w:p>
      <w:pPr>
        <w:ind w:right="160" w:firstLine="517"/>
        <w:spacing w:after="0" w:line="255" w:lineRule="auto"/>
        <w:tabs>
          <w:tab w:leader="none" w:pos="805" w:val="left"/>
        </w:tabs>
        <w:numPr>
          <w:ilvl w:val="0"/>
          <w:numId w:val="1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Successors. </w:t>
      </w:r>
      <w:r>
        <w:rPr>
          <w:rFonts w:ascii="Times New Roman" w:cs="Times New Roman" w:eastAsia="Times New Roman" w:hAnsi="Times New Roman"/>
          <w:sz w:val="20"/>
          <w:szCs w:val="20"/>
          <w:color w:val="auto"/>
        </w:rPr>
        <w:t>This Agreement shall be binding upon the Company and its successors and assigns, including any direct or indirect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successor by purchase, merger, consolidation or otherwise to all or substantially all of the business or assets of the Company, and shall inure to the benefit of Indemnitee and Indemnitee’s heirs, executors and administrators.</w:t>
      </w:r>
    </w:p>
    <w:p>
      <w:pPr>
        <w:spacing w:after="0" w:line="156" w:lineRule="exact"/>
        <w:rPr>
          <w:rFonts w:ascii="Times New Roman" w:cs="Times New Roman" w:eastAsia="Times New Roman" w:hAnsi="Times New Roman"/>
          <w:sz w:val="20"/>
          <w:szCs w:val="20"/>
          <w:b w:val="1"/>
          <w:bCs w:val="1"/>
          <w:color w:val="auto"/>
        </w:rPr>
      </w:pPr>
    </w:p>
    <w:p>
      <w:pPr>
        <w:ind w:right="20" w:firstLine="517"/>
        <w:spacing w:after="0" w:line="242" w:lineRule="auto"/>
        <w:tabs>
          <w:tab w:leader="none" w:pos="805" w:val="left"/>
        </w:tabs>
        <w:numPr>
          <w:ilvl w:val="0"/>
          <w:numId w:val="1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Severability. </w:t>
      </w:r>
      <w:r>
        <w:rPr>
          <w:rFonts w:ascii="Times New Roman" w:cs="Times New Roman" w:eastAsia="Times New Roman" w:hAnsi="Times New Roman"/>
          <w:sz w:val="20"/>
          <w:szCs w:val="20"/>
          <w:color w:val="auto"/>
        </w:rPr>
        <w:t>Nothing in this Agreement is intended to require or shall be construed as requiring the Company to do or fail to do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act in violation of applicable law. The Company’s inability, pursuant to court order or other applicable law, to perform its obligations under this Agreement shall not constitute a breach of this Agreement. If any provision or provisions of this Agreement shall be held to be invalid, illegal or unenforceable for any reason whatsoever: (i)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and shall remain enforceable to the fullest extent permitted by law; (ii) such provision or provisions shall be deemed reformed to the extent necessary to conform to applicable law and to give the maximum effect to the intent of the parties hereto; and (iii) 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w:t>
      </w:r>
    </w:p>
    <w:p>
      <w:pPr>
        <w:spacing w:after="0" w:line="172" w:lineRule="exact"/>
        <w:rPr>
          <w:rFonts w:ascii="Times New Roman" w:cs="Times New Roman" w:eastAsia="Times New Roman" w:hAnsi="Times New Roman"/>
          <w:sz w:val="20"/>
          <w:szCs w:val="20"/>
          <w:b w:val="1"/>
          <w:bCs w:val="1"/>
          <w:color w:val="auto"/>
        </w:rPr>
      </w:pPr>
    </w:p>
    <w:p>
      <w:pPr>
        <w:ind w:right="320" w:firstLine="517"/>
        <w:spacing w:after="0" w:line="255" w:lineRule="auto"/>
        <w:tabs>
          <w:tab w:leader="none" w:pos="805" w:val="left"/>
        </w:tabs>
        <w:numPr>
          <w:ilvl w:val="0"/>
          <w:numId w:val="1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Enforcement. </w:t>
      </w:r>
      <w:r>
        <w:rPr>
          <w:rFonts w:ascii="Times New Roman" w:cs="Times New Roman" w:eastAsia="Times New Roman" w:hAnsi="Times New Roman"/>
          <w:sz w:val="20"/>
          <w:szCs w:val="20"/>
          <w:color w:val="auto"/>
        </w:rPr>
        <w:t>The Company expressly confirms and agrees that it has entered into this Agreement and assumed the obligations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imposed on it hereby in order to induce Indemnitee to serve as a director or officer of the Company, and the Company acknowledges that Indemnitee is relying upon this Agreement in serving as a director or officer of the Company.</w:t>
      </w:r>
    </w:p>
    <w:p>
      <w:pPr>
        <w:spacing w:after="0" w:line="143" w:lineRule="exact"/>
        <w:rPr>
          <w:rFonts w:ascii="Times New Roman" w:cs="Times New Roman" w:eastAsia="Times New Roman" w:hAnsi="Times New Roman"/>
          <w:sz w:val="20"/>
          <w:szCs w:val="20"/>
          <w:b w:val="1"/>
          <w:bCs w:val="1"/>
          <w:color w:val="auto"/>
        </w:rPr>
      </w:pPr>
    </w:p>
    <w:p>
      <w:pPr>
        <w:ind w:right="200" w:firstLine="517"/>
        <w:spacing w:after="0" w:line="250" w:lineRule="auto"/>
        <w:tabs>
          <w:tab w:leader="none" w:pos="805" w:val="left"/>
        </w:tabs>
        <w:numPr>
          <w:ilvl w:val="0"/>
          <w:numId w:val="1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Entire Agreement. </w:t>
      </w:r>
      <w:r>
        <w:rPr>
          <w:rFonts w:ascii="Times New Roman" w:cs="Times New Roman" w:eastAsia="Times New Roman" w:hAnsi="Times New Roman"/>
          <w:sz w:val="20"/>
          <w:szCs w:val="20"/>
          <w:color w:val="auto"/>
        </w:rPr>
        <w:t>This Agreement constitutes the entire agreement between the parties hereto with respect to the subject matter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hereof and supersedes all prior agreements and understandings, oral, written and implied, between the parties hereto with respect to the subject matter hereof;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this Agreement is a supplement to and in furtherance of the Company’s certificate of incorporation and bylaws and applicable law.</w:t>
      </w:r>
    </w:p>
    <w:p>
      <w:pPr>
        <w:spacing w:after="0" w:line="160" w:lineRule="exact"/>
        <w:rPr>
          <w:rFonts w:ascii="Times New Roman" w:cs="Times New Roman" w:eastAsia="Times New Roman" w:hAnsi="Times New Roman"/>
          <w:sz w:val="20"/>
          <w:szCs w:val="20"/>
          <w:b w:val="1"/>
          <w:bCs w:val="1"/>
          <w:color w:val="auto"/>
        </w:rPr>
      </w:pPr>
    </w:p>
    <w:p>
      <w:pPr>
        <w:ind w:right="60" w:firstLine="517"/>
        <w:spacing w:after="0" w:line="247" w:lineRule="auto"/>
        <w:tabs>
          <w:tab w:leader="none" w:pos="805" w:val="left"/>
        </w:tabs>
        <w:numPr>
          <w:ilvl w:val="0"/>
          <w:numId w:val="1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Modification and Waiver. </w:t>
      </w:r>
      <w:r>
        <w:rPr>
          <w:rFonts w:ascii="Times New Roman" w:cs="Times New Roman" w:eastAsia="Times New Roman" w:hAnsi="Times New Roman"/>
          <w:sz w:val="20"/>
          <w:szCs w:val="20"/>
          <w:color w:val="auto"/>
        </w:rPr>
        <w:t>No supplement, modification or amendment to this Agreement shall be binding unless executed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writing by the parties hereto. No amendment, alteration or repeal of this Agreement shall adversely affect any right of Indemnitee under this Agreement in respect of any action taken or omitted by such Indemnitee in his or her Corporate Status prior to such amendment, alteration or repeal. No waiver of any of the provisions of this Agreement shall constitute or be deemed a waiver of any other provision of this Agreement nor shall any waiver constitute a continuing waiver.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999490</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217" w:name="page218"/>
    <w:bookmarkEnd w:id="217"/>
    <w:p>
      <w:pPr>
        <w:ind w:left="820" w:hanging="303"/>
        <w:spacing w:after="0"/>
        <w:tabs>
          <w:tab w:leader="none" w:pos="820" w:val="left"/>
        </w:tabs>
        <w:numPr>
          <w:ilvl w:val="0"/>
          <w:numId w:val="1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Notices. </w:t>
      </w:r>
      <w:r>
        <w:rPr>
          <w:rFonts w:ascii="Times New Roman" w:cs="Times New Roman" w:eastAsia="Times New Roman" w:hAnsi="Times New Roman"/>
          <w:sz w:val="20"/>
          <w:szCs w:val="20"/>
          <w:color w:val="auto"/>
        </w:rPr>
        <w:t>All notices and other communications required or permitted hereunder shall be in writing and shall be mailed by</w:t>
      </w:r>
    </w:p>
    <w:p>
      <w:pPr>
        <w:spacing w:after="0" w:line="25" w:lineRule="exact"/>
        <w:rPr>
          <w:rFonts w:ascii="Times New Roman" w:cs="Times New Roman" w:eastAsia="Times New Roman" w:hAnsi="Times New Roman"/>
          <w:sz w:val="20"/>
          <w:szCs w:val="20"/>
          <w:b w:val="1"/>
          <w:bCs w:val="1"/>
          <w:color w:val="auto"/>
        </w:rPr>
      </w:pPr>
    </w:p>
    <w:p>
      <w:pPr>
        <w:ind w:right="20"/>
        <w:spacing w:after="0" w:line="245"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registered or certified mail, postage prepaid, sent by facsimile or electronic mail or otherwise delivered by hand, messenger or courier service addressed:</w:t>
      </w:r>
    </w:p>
    <w:p>
      <w:pPr>
        <w:spacing w:after="0" w:line="169" w:lineRule="exact"/>
        <w:rPr>
          <w:rFonts w:ascii="Times New Roman" w:cs="Times New Roman" w:eastAsia="Times New Roman" w:hAnsi="Times New Roman"/>
          <w:sz w:val="20"/>
          <w:szCs w:val="20"/>
          <w:b w:val="1"/>
          <w:bCs w:val="1"/>
          <w:color w:val="auto"/>
        </w:rPr>
      </w:pPr>
    </w:p>
    <w:p>
      <w:pPr>
        <w:ind w:left="1420" w:hanging="267"/>
        <w:spacing w:after="0"/>
        <w:tabs>
          <w:tab w:leader="none" w:pos="1420" w:val="left"/>
        </w:tabs>
        <w:numPr>
          <w:ilvl w:val="1"/>
          <w:numId w:val="1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to Indemnitee, to Indemnitee’s address, facsimile number or electronic mail address set forth below Indemnitee signature</w:t>
      </w:r>
    </w:p>
    <w:p>
      <w:pPr>
        <w:spacing w:after="0" w:line="32"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hereto; or</w:t>
      </w:r>
    </w:p>
    <w:p>
      <w:pPr>
        <w:spacing w:after="0" w:line="166" w:lineRule="exact"/>
        <w:rPr>
          <w:rFonts w:ascii="Times New Roman" w:cs="Times New Roman" w:eastAsia="Times New Roman" w:hAnsi="Times New Roman"/>
          <w:sz w:val="19"/>
          <w:szCs w:val="19"/>
          <w:color w:val="auto"/>
        </w:rPr>
      </w:pPr>
    </w:p>
    <w:p>
      <w:pPr>
        <w:jc w:val="both"/>
        <w:ind w:right="380" w:firstLine="1153"/>
        <w:spacing w:after="0" w:line="273" w:lineRule="auto"/>
        <w:tabs>
          <w:tab w:leader="none" w:pos="1425" w:val="left"/>
        </w:tabs>
        <w:numPr>
          <w:ilvl w:val="1"/>
          <w:numId w:val="1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to the Company, to the attention of the Chief Executive Officer of the Company at Invivyd, Inc., 1601 Trapelo Road, Suite 178, Waltham, MA 02451, or at such other current address as the Company shall have furnished to Indemnitee, with a copy (which shall not constitute notice) to Jill Andersen, Chief Legal Officer, at Invivyd, Inc., 1601 Trapelo Road, Suite 178, Waltham, MA 02451.</w:t>
      </w:r>
    </w:p>
    <w:p>
      <w:pPr>
        <w:spacing w:after="0" w:line="144"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20"/>
          <w:szCs w:val="20"/>
          <w:color w:val="auto"/>
        </w:rPr>
        <w:t xml:space="preserve">Each such notice or other communication shall for all purposes of this Agreement be treated as effective or having been given (i) if delivered by hand, messenger or courier service, when delivered (or if sent </w:t>
      </w:r>
      <w:r>
        <w:rPr>
          <w:rFonts w:ascii="Times New Roman" w:cs="Times New Roman" w:eastAsia="Times New Roman" w:hAnsi="Times New Roman"/>
          <w:sz w:val="20"/>
          <w:szCs w:val="20"/>
          <w:i w:val="1"/>
          <w:iCs w:val="1"/>
          <w:color w:val="auto"/>
        </w:rPr>
        <w:t>via</w:t>
      </w:r>
      <w:r>
        <w:rPr>
          <w:rFonts w:ascii="Times New Roman" w:cs="Times New Roman" w:eastAsia="Times New Roman" w:hAnsi="Times New Roman"/>
          <w:sz w:val="20"/>
          <w:szCs w:val="20"/>
          <w:color w:val="auto"/>
        </w:rPr>
        <w:t xml:space="preserve"> a nationally-recognized overnight courier service, freight prepaid, specifying next-business-day delivery, one business day after deposit with the courier), or (ii) if sent </w:t>
      </w:r>
      <w:r>
        <w:rPr>
          <w:rFonts w:ascii="Times New Roman" w:cs="Times New Roman" w:eastAsia="Times New Roman" w:hAnsi="Times New Roman"/>
          <w:sz w:val="20"/>
          <w:szCs w:val="20"/>
          <w:i w:val="1"/>
          <w:iCs w:val="1"/>
          <w:color w:val="auto"/>
        </w:rPr>
        <w:t>via</w:t>
      </w:r>
      <w:r>
        <w:rPr>
          <w:rFonts w:ascii="Times New Roman" w:cs="Times New Roman" w:eastAsia="Times New Roman" w:hAnsi="Times New Roman"/>
          <w:sz w:val="20"/>
          <w:szCs w:val="20"/>
          <w:color w:val="auto"/>
        </w:rPr>
        <w:t xml:space="preserve"> mail, at the earlier of its receipt or five days after the same has been deposited in a regularly-maintained receptacle for the deposit of the United States mail, addressed and mailed as aforesaid, or (iii) if sent </w:t>
      </w:r>
      <w:r>
        <w:rPr>
          <w:rFonts w:ascii="Times New Roman" w:cs="Times New Roman" w:eastAsia="Times New Roman" w:hAnsi="Times New Roman"/>
          <w:sz w:val="20"/>
          <w:szCs w:val="20"/>
          <w:i w:val="1"/>
          <w:iCs w:val="1"/>
          <w:color w:val="auto"/>
        </w:rPr>
        <w:t>via</w:t>
      </w:r>
      <w:r>
        <w:rPr>
          <w:rFonts w:ascii="Times New Roman" w:cs="Times New Roman" w:eastAsia="Times New Roman" w:hAnsi="Times New Roman"/>
          <w:sz w:val="20"/>
          <w:szCs w:val="20"/>
          <w:color w:val="auto"/>
        </w:rPr>
        <w:t xml:space="preserve"> facsimile, upon confirmation of facsimile transfer or, if sent </w:t>
      </w:r>
      <w:r>
        <w:rPr>
          <w:rFonts w:ascii="Times New Roman" w:cs="Times New Roman" w:eastAsia="Times New Roman" w:hAnsi="Times New Roman"/>
          <w:sz w:val="20"/>
          <w:szCs w:val="20"/>
          <w:i w:val="1"/>
          <w:iCs w:val="1"/>
          <w:color w:val="auto"/>
        </w:rPr>
        <w:t>via</w:t>
      </w:r>
      <w:r>
        <w:rPr>
          <w:rFonts w:ascii="Times New Roman" w:cs="Times New Roman" w:eastAsia="Times New Roman" w:hAnsi="Times New Roman"/>
          <w:sz w:val="20"/>
          <w:szCs w:val="20"/>
          <w:color w:val="auto"/>
        </w:rPr>
        <w:t xml:space="preserve"> electronic mail, upon confirmation of delivery when directed to the relevant electronic mail address, if sent during normal business hours of the recipient, or if not sent during normal business hours of the recipient, then on the recipient’s next business day.</w:t>
      </w:r>
    </w:p>
    <w:p>
      <w:pPr>
        <w:spacing w:after="0" w:line="166" w:lineRule="exact"/>
        <w:rPr>
          <w:sz w:val="20"/>
          <w:szCs w:val="20"/>
          <w:color w:val="auto"/>
        </w:rPr>
      </w:pPr>
    </w:p>
    <w:p>
      <w:pPr>
        <w:ind w:firstLine="517"/>
        <w:spacing w:after="0" w:line="242" w:lineRule="auto"/>
        <w:tabs>
          <w:tab w:leader="none" w:pos="805" w:val="left"/>
        </w:tabs>
        <w:numPr>
          <w:ilvl w:val="0"/>
          <w:numId w:val="1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Applicable Law and Consent to Jurisdiction. </w:t>
      </w:r>
      <w:r>
        <w:rPr>
          <w:rFonts w:ascii="Times New Roman" w:cs="Times New Roman" w:eastAsia="Times New Roman" w:hAnsi="Times New Roman"/>
          <w:sz w:val="20"/>
          <w:szCs w:val="20"/>
          <w:color w:val="auto"/>
        </w:rPr>
        <w:t>This Agreement and the legal relations among the parties shall be governed by,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construed and enforced in accordance with, the laws of the State of Delaware, without regard to its conflict of laws rules. Except with respect to any arbitration commenced by Indemnitee pursuant to Section 12(a) of this Agreement, the Company and Indemnitee hereby irrevocably and unconditionally (i) agree that any action or proceeding arising out of or in connection with this Agreement shall be brought only in the Delaware Court of Chancery, and not in any other state or federal court in the United States of America or any court in any other country, (ii) consent to submit to the exclusive jurisdiction of the Delaware Court of Chancery for purposes of any action or proceeding arising out of or in connection with this Agreement, (iii) appoint, to the extent such party is not otherwise subject to service of process in the State of Delaware, Capitol Services, Inc., Dover, Delaware as its agent in the State of Delaware as such party’s agent for acceptance of legal process in connection with any such action or proceeding against such party with the same legal force and validity as if served upon such party personally within the State of Delaware, (iv) waive any objection to the laying of venue of any such action or proceeding in the Delaware Court of Chancery, and (v) waive, and agree not to plead or to make, any claim that any such action or proceeding brought in the Delaware Court of Chancery has been brought in an improper or inconvenient forum.</w:t>
      </w:r>
    </w:p>
    <w:p>
      <w:pPr>
        <w:spacing w:after="0" w:line="156" w:lineRule="exact"/>
        <w:rPr>
          <w:rFonts w:ascii="Times New Roman" w:cs="Times New Roman" w:eastAsia="Times New Roman" w:hAnsi="Times New Roman"/>
          <w:sz w:val="20"/>
          <w:szCs w:val="20"/>
          <w:b w:val="1"/>
          <w:bCs w:val="1"/>
          <w:color w:val="auto"/>
        </w:rPr>
      </w:pPr>
    </w:p>
    <w:p>
      <w:pPr>
        <w:ind w:right="20" w:firstLine="517"/>
        <w:spacing w:after="0" w:line="247" w:lineRule="auto"/>
        <w:tabs>
          <w:tab w:leader="none" w:pos="805" w:val="left"/>
        </w:tabs>
        <w:numPr>
          <w:ilvl w:val="0"/>
          <w:numId w:val="1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Counterparts. </w:t>
      </w:r>
      <w:r>
        <w:rPr>
          <w:rFonts w:ascii="Times New Roman" w:cs="Times New Roman" w:eastAsia="Times New Roman" w:hAnsi="Times New Roman"/>
          <w:sz w:val="20"/>
          <w:szCs w:val="20"/>
          <w:color w:val="auto"/>
        </w:rPr>
        <w:t>This Agreement may be executed in one or more counterparts, each of which shall for all purposes be deemed to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 original but all of which together shall constitute one and the same Agreement. This Agreement may also be executed and delivered by facsimile signature and in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64" w:lineRule="exact"/>
        <w:rPr>
          <w:rFonts w:ascii="Times New Roman" w:cs="Times New Roman" w:eastAsia="Times New Roman" w:hAnsi="Times New Roman"/>
          <w:sz w:val="20"/>
          <w:szCs w:val="20"/>
          <w:b w:val="1"/>
          <w:bCs w:val="1"/>
          <w:color w:val="auto"/>
        </w:rPr>
      </w:pPr>
    </w:p>
    <w:p>
      <w:pPr>
        <w:ind w:right="740" w:firstLine="517"/>
        <w:spacing w:after="0" w:line="272" w:lineRule="auto"/>
        <w:tabs>
          <w:tab w:leader="none" w:pos="805" w:val="left"/>
        </w:tabs>
        <w:numPr>
          <w:ilvl w:val="0"/>
          <w:numId w:val="1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Captions. </w:t>
      </w:r>
      <w:r>
        <w:rPr>
          <w:rFonts w:ascii="Times New Roman" w:cs="Times New Roman" w:eastAsia="Times New Roman" w:hAnsi="Times New Roman"/>
          <w:sz w:val="20"/>
          <w:szCs w:val="20"/>
          <w:color w:val="auto"/>
        </w:rPr>
        <w:t>The headings of the paragraphs of this Agreement are inserted for convenience only and shall not be deemed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constitute part of this Agreement or to affect the construction thereof.</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1288415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7" w:right="35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20"/>
          <w:szCs w:val="20"/>
          <w:color w:val="auto"/>
        </w:rPr>
        <w:t>The parties are signing this Indemnification Agreement as of the date stated in the introductory sentence.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20"/>
          <w:szCs w:val="20"/>
          <w:b w:val="1"/>
          <w:bCs w:val="1"/>
          <w:color w:val="auto"/>
        </w:rPr>
        <w:t>INVIVYD,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3964305</wp:posOffset>
            </wp:positionH>
            <wp:positionV relativeFrom="paragraph">
              <wp:posOffset>341630</wp:posOffset>
            </wp:positionV>
            <wp:extent cx="283400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2">
                      <a:extLst>
                        <a:ext uri="{28A0092B-C50C-407E-A947-70E740481C1C}"/>
                      </a:extLst>
                    </a:blip>
                    <a:srcRect/>
                    <a:stretch>
                      <a:fillRect/>
                    </a:stretch>
                  </pic:blipFill>
                  <pic:spPr bwMode="auto">
                    <a:xfrm>
                      <a:off x="0" y="0"/>
                      <a:ext cx="2834005" cy="82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3964305</wp:posOffset>
            </wp:positionH>
            <wp:positionV relativeFrom="paragraph">
              <wp:posOffset>341630</wp:posOffset>
            </wp:positionV>
            <wp:extent cx="283400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3">
                      <a:extLst>
                        <a:ext uri="{28A0092B-C50C-407E-A947-70E740481C1C}"/>
                      </a:extLst>
                    </a:blip>
                    <a:srcRect/>
                    <a:stretch>
                      <a:fillRect/>
                    </a:stretch>
                  </pic:blipFill>
                  <pic:spPr bwMode="auto">
                    <a:xfrm>
                      <a:off x="0" y="0"/>
                      <a:ext cx="2834005" cy="82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Print name</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3964305</wp:posOffset>
            </wp:positionH>
            <wp:positionV relativeFrom="paragraph">
              <wp:posOffset>341630</wp:posOffset>
            </wp:positionV>
            <wp:extent cx="283400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4">
                      <a:extLst>
                        <a:ext uri="{28A0092B-C50C-407E-A947-70E740481C1C}"/>
                      </a:extLst>
                    </a:blip>
                    <a:srcRect/>
                    <a:stretch>
                      <a:fillRect/>
                    </a:stretch>
                  </pic:blipFill>
                  <pic:spPr bwMode="auto">
                    <a:xfrm>
                      <a:off x="0" y="0"/>
                      <a:ext cx="2834005" cy="82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Title</w:t>
      </w:r>
      <w:r>
        <w:rPr>
          <w:rFonts w:ascii="Times New Roman" w:cs="Times New Roman" w:eastAsia="Times New Roman" w:hAnsi="Times New Roman"/>
          <w:sz w:val="20"/>
          <w:szCs w:val="20"/>
          <w:color w:val="auto"/>
        </w:rPr>
        <w:t>)</w:t>
      </w:r>
    </w:p>
    <w:p>
      <w:pPr>
        <w:spacing w:after="0" w:line="282"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20"/>
          <w:szCs w:val="20"/>
          <w:b w:val="1"/>
          <w:bCs w:val="1"/>
          <w:color w:val="auto"/>
        </w:rPr>
        <w:t>[INDEMNITEE]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3964305</wp:posOffset>
            </wp:positionH>
            <wp:positionV relativeFrom="paragraph">
              <wp:posOffset>341630</wp:posOffset>
            </wp:positionV>
            <wp:extent cx="283400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5">
                      <a:extLst>
                        <a:ext uri="{28A0092B-C50C-407E-A947-70E740481C1C}"/>
                      </a:extLst>
                    </a:blip>
                    <a:srcRect/>
                    <a:stretch>
                      <a:fillRect/>
                    </a:stretch>
                  </pic:blipFill>
                  <pic:spPr bwMode="auto">
                    <a:xfrm>
                      <a:off x="0" y="0"/>
                      <a:ext cx="2834005" cy="82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3964305</wp:posOffset>
            </wp:positionH>
            <wp:positionV relativeFrom="paragraph">
              <wp:posOffset>341630</wp:posOffset>
            </wp:positionV>
            <wp:extent cx="283400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6">
                      <a:extLst>
                        <a:ext uri="{28A0092B-C50C-407E-A947-70E740481C1C}"/>
                      </a:extLst>
                    </a:blip>
                    <a:srcRect/>
                    <a:stretch>
                      <a:fillRect/>
                    </a:stretch>
                  </pic:blipFill>
                  <pic:spPr bwMode="auto">
                    <a:xfrm>
                      <a:off x="0" y="0"/>
                      <a:ext cx="2834005" cy="82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Print name</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3964305</wp:posOffset>
            </wp:positionH>
            <wp:positionV relativeFrom="paragraph">
              <wp:posOffset>341630</wp:posOffset>
            </wp:positionV>
            <wp:extent cx="283400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7">
                      <a:extLst>
                        <a:ext uri="{28A0092B-C50C-407E-A947-70E740481C1C}"/>
                      </a:extLst>
                    </a:blip>
                    <a:srcRect/>
                    <a:stretch>
                      <a:fillRect/>
                    </a:stretch>
                  </pic:blipFill>
                  <pic:spPr bwMode="auto">
                    <a:xfrm>
                      <a:off x="0" y="0"/>
                      <a:ext cx="2834005" cy="82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Street address</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3964305</wp:posOffset>
            </wp:positionH>
            <wp:positionV relativeFrom="paragraph">
              <wp:posOffset>341630</wp:posOffset>
            </wp:positionV>
            <wp:extent cx="283400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8">
                      <a:extLst>
                        <a:ext uri="{28A0092B-C50C-407E-A947-70E740481C1C}"/>
                      </a:extLst>
                    </a:blip>
                    <a:srcRect/>
                    <a:stretch>
                      <a:fillRect/>
                    </a:stretch>
                  </pic:blipFill>
                  <pic:spPr bwMode="auto">
                    <a:xfrm>
                      <a:off x="0" y="0"/>
                      <a:ext cx="2834005" cy="82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jc w:val="right"/>
        <w:ind w:right="319"/>
        <w:spacing w:after="0"/>
        <w:rPr>
          <w:sz w:val="20"/>
          <w:szCs w:val="20"/>
          <w:color w:val="auto"/>
        </w:rPr>
      </w:pPr>
      <w:r>
        <w:rPr>
          <w:rFonts w:ascii="Times New Roman" w:cs="Times New Roman" w:eastAsia="Times New Roman" w:hAnsi="Times New Roman"/>
          <w:sz w:val="20"/>
          <w:szCs w:val="20"/>
          <w:i w:val="1"/>
          <w:iCs w:val="1"/>
          <w:color w:val="auto"/>
        </w:rPr>
        <w:t>(City, State and ZIP)</w:t>
      </w:r>
    </w:p>
    <w:p>
      <w:pPr>
        <w:spacing w:after="0" w:line="22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to Indemnification Agreement</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894080</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19"/>
          </w:cols>
          <w:pgMar w:left="840" w:top="1412" w:right="1440" w:bottom="1440" w:gutter="0" w:footer="0" w:header="0"/>
        </w:sectPr>
      </w:pPr>
    </w:p>
    <w:bookmarkStart w:id="219" w:name="page220"/>
    <w:bookmarkEnd w:id="219"/>
    <w:p>
      <w:pPr>
        <w:jc w:val="center"/>
        <w:ind w:right="-79"/>
        <w:spacing w:after="0"/>
        <w:rPr>
          <w:sz w:val="20"/>
          <w:szCs w:val="20"/>
          <w:color w:val="auto"/>
        </w:rPr>
      </w:pPr>
      <w:r>
        <w:rPr>
          <w:rFonts w:ascii="Times New Roman" w:cs="Times New Roman" w:eastAsia="Times New Roman" w:hAnsi="Times New Roman"/>
          <w:sz w:val="20"/>
          <w:szCs w:val="20"/>
          <w:b w:val="1"/>
          <w:bCs w:val="1"/>
          <w:u w:val="single" w:color="auto"/>
          <w:color w:val="auto"/>
        </w:rPr>
        <w:t>Schedule of Material Differences to Exhibit 10.4</w:t>
      </w:r>
    </w:p>
    <w:p>
      <w:pPr>
        <w:spacing w:after="0" w:line="219" w:lineRule="exact"/>
        <w:rPr>
          <w:sz w:val="20"/>
          <w:szCs w:val="20"/>
          <w:color w:val="auto"/>
        </w:rPr>
      </w:pPr>
    </w:p>
    <w:p>
      <w:pPr>
        <w:ind w:firstLine="469"/>
        <w:spacing w:after="0" w:line="249" w:lineRule="auto"/>
        <w:rPr>
          <w:sz w:val="20"/>
          <w:szCs w:val="20"/>
          <w:color w:val="auto"/>
        </w:rPr>
      </w:pPr>
      <w:r>
        <w:rPr>
          <w:rFonts w:ascii="Times New Roman" w:cs="Times New Roman" w:eastAsia="Times New Roman" w:hAnsi="Times New Roman"/>
          <w:sz w:val="20"/>
          <w:szCs w:val="20"/>
          <w:color w:val="auto"/>
        </w:rPr>
        <w:t>The following directors and executive officers are parties to an Indemnification Agreement with the Company, each of which are substantially identical in all material respects to the representative Indemnification Agreement filed herewith as Exhibit 10.4 except as to the name of the signatory and the date of each signatory’s Indemnification Agreement. The name of each signatory is listed below. The actual Indemnification Agreements are omitted pursuant to Instruction 2 to Item 601 of Regulation S-K.</w:t>
      </w: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327914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60">
                      <a:extLst>
                        <a:ext uri="{28A0092B-C50C-407E-A947-70E740481C1C}"/>
                      </a:extLst>
                    </a:blip>
                    <a:srcRect/>
                    <a:stretch>
                      <a:fillRect/>
                    </a:stretch>
                  </pic:blipFill>
                  <pic:spPr bwMode="auto">
                    <a:xfrm>
                      <a:off x="0" y="0"/>
                      <a:ext cx="3279140" cy="8255"/>
                    </a:xfrm>
                    <a:prstGeom prst="rect">
                      <a:avLst/>
                    </a:prstGeom>
                    <a:noFill/>
                  </pic:spPr>
                </pic:pic>
              </a:graphicData>
            </a:graphic>
          </wp:anchor>
        </w:drawing>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Tamsin Berry</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Sara Cotter</w:t>
      </w:r>
    </w:p>
    <w:p>
      <w:pPr>
        <w:ind w:left="20"/>
        <w:spacing w:after="0"/>
        <w:rPr>
          <w:sz w:val="20"/>
          <w:szCs w:val="20"/>
          <w:color w:val="auto"/>
        </w:rPr>
      </w:pPr>
      <w:r>
        <w:rPr>
          <w:rFonts w:ascii="Times New Roman" w:cs="Times New Roman" w:eastAsia="Times New Roman" w:hAnsi="Times New Roman"/>
          <w:sz w:val="20"/>
          <w:szCs w:val="20"/>
          <w:color w:val="auto"/>
        </w:rPr>
        <w:t>Marc Elia</w:t>
      </w:r>
    </w:p>
    <w:p>
      <w:pPr>
        <w:ind w:left="20"/>
        <w:spacing w:after="0"/>
        <w:rPr>
          <w:sz w:val="20"/>
          <w:szCs w:val="20"/>
          <w:color w:val="auto"/>
        </w:rPr>
      </w:pPr>
      <w:r>
        <w:rPr>
          <w:rFonts w:ascii="Times New Roman" w:cs="Times New Roman" w:eastAsia="Times New Roman" w:hAnsi="Times New Roman"/>
          <w:sz w:val="20"/>
          <w:szCs w:val="20"/>
          <w:color w:val="auto"/>
        </w:rPr>
        <w:t>David Hering</w:t>
      </w:r>
    </w:p>
    <w:p>
      <w:pPr>
        <w:ind w:left="20"/>
        <w:spacing w:after="0"/>
        <w:rPr>
          <w:sz w:val="20"/>
          <w:szCs w:val="20"/>
          <w:color w:val="auto"/>
        </w:rPr>
      </w:pPr>
      <w:r>
        <w:rPr>
          <w:rFonts w:ascii="Times New Roman" w:cs="Times New Roman" w:eastAsia="Times New Roman" w:hAnsi="Times New Roman"/>
          <w:sz w:val="20"/>
          <w:szCs w:val="20"/>
          <w:color w:val="auto"/>
        </w:rPr>
        <w:t>Tomas Heyman</w:t>
      </w:r>
    </w:p>
    <w:p>
      <w:pPr>
        <w:ind w:left="20"/>
        <w:spacing w:after="0"/>
        <w:rPr>
          <w:sz w:val="20"/>
          <w:szCs w:val="20"/>
          <w:color w:val="auto"/>
        </w:rPr>
      </w:pPr>
      <w:r>
        <w:rPr>
          <w:rFonts w:ascii="Times New Roman" w:cs="Times New Roman" w:eastAsia="Times New Roman" w:hAnsi="Times New Roman"/>
          <w:sz w:val="20"/>
          <w:szCs w:val="20"/>
          <w:color w:val="auto"/>
        </w:rPr>
        <w:t>Terry McGuire</w:t>
      </w:r>
    </w:p>
    <w:p>
      <w:pPr>
        <w:ind w:left="20"/>
        <w:spacing w:after="0"/>
        <w:rPr>
          <w:sz w:val="20"/>
          <w:szCs w:val="20"/>
          <w:color w:val="auto"/>
        </w:rPr>
      </w:pPr>
      <w:r>
        <w:rPr>
          <w:rFonts w:ascii="Times New Roman" w:cs="Times New Roman" w:eastAsia="Times New Roman" w:hAnsi="Times New Roman"/>
          <w:sz w:val="20"/>
          <w:szCs w:val="20"/>
          <w:color w:val="auto"/>
        </w:rPr>
        <w:t>Clive A. Meanwell, M.D.</w:t>
      </w:r>
    </w:p>
    <w:p>
      <w:pPr>
        <w:ind w:left="20"/>
        <w:spacing w:after="0"/>
        <w:rPr>
          <w:sz w:val="20"/>
          <w:szCs w:val="20"/>
          <w:color w:val="auto"/>
        </w:rPr>
      </w:pPr>
      <w:r>
        <w:rPr>
          <w:rFonts w:ascii="Times New Roman" w:cs="Times New Roman" w:eastAsia="Times New Roman" w:hAnsi="Times New Roman"/>
          <w:sz w:val="20"/>
          <w:szCs w:val="20"/>
          <w:color w:val="auto"/>
        </w:rPr>
        <w:t>Christine Lindenboom</w:t>
      </w:r>
    </w:p>
    <w:p>
      <w:pPr>
        <w:ind w:left="20"/>
        <w:spacing w:after="0"/>
        <w:rPr>
          <w:sz w:val="20"/>
          <w:szCs w:val="20"/>
          <w:color w:val="auto"/>
        </w:rPr>
      </w:pPr>
      <w:r>
        <w:rPr>
          <w:rFonts w:ascii="Times New Roman" w:cs="Times New Roman" w:eastAsia="Times New Roman" w:hAnsi="Times New Roman"/>
          <w:sz w:val="20"/>
          <w:szCs w:val="20"/>
          <w:color w:val="auto"/>
        </w:rPr>
        <w:t>Michael S. Wyzga</w:t>
      </w:r>
    </w:p>
    <w:p>
      <w:pPr>
        <w:ind w:left="20"/>
        <w:spacing w:after="0"/>
        <w:rPr>
          <w:sz w:val="20"/>
          <w:szCs w:val="20"/>
          <w:color w:val="auto"/>
        </w:rPr>
      </w:pPr>
      <w:r>
        <w:rPr>
          <w:rFonts w:ascii="Times New Roman" w:cs="Times New Roman" w:eastAsia="Times New Roman" w:hAnsi="Times New Roman"/>
          <w:sz w:val="20"/>
          <w:szCs w:val="20"/>
          <w:color w:val="auto"/>
        </w:rPr>
        <w:t>Robert Allen</w:t>
      </w:r>
    </w:p>
    <w:p>
      <w:pPr>
        <w:ind w:left="20"/>
        <w:spacing w:after="0"/>
        <w:rPr>
          <w:sz w:val="20"/>
          <w:szCs w:val="20"/>
          <w:color w:val="auto"/>
        </w:rPr>
      </w:pPr>
      <w:r>
        <w:rPr>
          <w:rFonts w:ascii="Times New Roman" w:cs="Times New Roman" w:eastAsia="Times New Roman" w:hAnsi="Times New Roman"/>
          <w:sz w:val="20"/>
          <w:szCs w:val="20"/>
          <w:color w:val="auto"/>
        </w:rPr>
        <w:t>Jill Andersen</w:t>
      </w:r>
    </w:p>
    <w:p>
      <w:pPr>
        <w:ind w:left="20"/>
        <w:spacing w:after="0"/>
        <w:rPr>
          <w:sz w:val="20"/>
          <w:szCs w:val="20"/>
          <w:color w:val="auto"/>
        </w:rPr>
      </w:pPr>
      <w:r>
        <w:rPr>
          <w:rFonts w:ascii="Times New Roman" w:cs="Times New Roman" w:eastAsia="Times New Roman" w:hAnsi="Times New Roman"/>
          <w:sz w:val="20"/>
          <w:szCs w:val="20"/>
          <w:color w:val="auto"/>
        </w:rPr>
        <w:t>William Duke, Jr.</w:t>
      </w:r>
    </w:p>
    <w:p>
      <w:pPr>
        <w:ind w:left="20"/>
        <w:spacing w:after="0"/>
        <w:rPr>
          <w:sz w:val="20"/>
          <w:szCs w:val="20"/>
          <w:color w:val="auto"/>
        </w:rPr>
      </w:pPr>
      <w:r>
        <w:rPr>
          <w:rFonts w:ascii="Times New Roman" w:cs="Times New Roman" w:eastAsia="Times New Roman" w:hAnsi="Times New Roman"/>
          <w:sz w:val="20"/>
          <w:szCs w:val="20"/>
          <w:color w:val="auto"/>
        </w:rPr>
        <w:t>Jeremy Gowler</w:t>
      </w:r>
    </w:p>
    <w:p>
      <w:pPr>
        <w:ind w:left="20"/>
        <w:spacing w:after="0"/>
        <w:rPr>
          <w:sz w:val="20"/>
          <w:szCs w:val="20"/>
          <w:color w:val="auto"/>
        </w:rPr>
      </w:pPr>
      <w:r>
        <w:rPr>
          <w:rFonts w:ascii="Times New Roman" w:cs="Times New Roman" w:eastAsia="Times New Roman" w:hAnsi="Times New Roman"/>
          <w:sz w:val="20"/>
          <w:szCs w:val="20"/>
          <w:color w:val="auto"/>
        </w:rPr>
        <w:t>Julie Green</w:t>
      </w:r>
    </w:p>
    <w:p>
      <w:pPr>
        <w:ind w:left="20"/>
        <w:spacing w:after="0"/>
        <w:rPr>
          <w:sz w:val="20"/>
          <w:szCs w:val="20"/>
          <w:color w:val="auto"/>
        </w:rPr>
      </w:pPr>
      <w:r>
        <w:rPr>
          <w:rFonts w:ascii="Times New Roman" w:cs="Times New Roman" w:eastAsia="Times New Roman" w:hAnsi="Times New Roman"/>
          <w:sz w:val="20"/>
          <w:szCs w:val="20"/>
          <w:color w:val="auto"/>
        </w:rPr>
        <w:t>Stacy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1314450</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07" w:right="459" w:bottom="1440" w:gutter="0" w:footer="0" w:header="0"/>
        </w:sectPr>
      </w:pPr>
    </w:p>
    <w:bookmarkStart w:id="220" w:name="page221"/>
    <w:bookmarkEnd w:id="220"/>
    <w:p>
      <w:pPr>
        <w:jc w:val="right"/>
        <w:spacing w:after="0"/>
        <w:rPr>
          <w:sz w:val="20"/>
          <w:szCs w:val="20"/>
          <w:color w:val="auto"/>
        </w:rPr>
      </w:pPr>
      <w:r>
        <w:rPr>
          <w:rFonts w:ascii="Times New Roman" w:cs="Times New Roman" w:eastAsia="Times New Roman" w:hAnsi="Times New Roman"/>
          <w:sz w:val="22"/>
          <w:szCs w:val="22"/>
          <w:b w:val="1"/>
          <w:bCs w:val="1"/>
          <w:color w:val="auto"/>
        </w:rPr>
        <w:t>Exhibit 10.9</w:t>
      </w:r>
    </w:p>
    <w:p>
      <w:pPr>
        <w:spacing w:after="0" w:line="13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b w:val="1"/>
          <w:bCs w:val="1"/>
          <w:color w:val="auto"/>
        </w:rPr>
        <w:t>EMPLOYMENT AGREEMENT</w:t>
      </w:r>
    </w:p>
    <w:p>
      <w:pPr>
        <w:spacing w:after="0" w:line="263" w:lineRule="exact"/>
        <w:rPr>
          <w:sz w:val="20"/>
          <w:szCs w:val="20"/>
          <w:color w:val="auto"/>
        </w:rPr>
      </w:pPr>
    </w:p>
    <w:p>
      <w:pPr>
        <w:ind w:right="220" w:firstLine="747"/>
        <w:spacing w:after="0" w:line="236" w:lineRule="auto"/>
        <w:rPr>
          <w:sz w:val="20"/>
          <w:szCs w:val="20"/>
          <w:color w:val="auto"/>
        </w:rPr>
      </w:pPr>
      <w:r>
        <w:rPr>
          <w:rFonts w:ascii="Times New Roman" w:cs="Times New Roman" w:eastAsia="Times New Roman" w:hAnsi="Times New Roman"/>
          <w:sz w:val="22"/>
          <w:szCs w:val="22"/>
          <w:color w:val="auto"/>
        </w:rPr>
        <w:t>This Employment Agreement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between Adagio Therapeutics,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Peter Schmidt (the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and is effective as of November 9, 2020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Except with respect to the Restrictive Covenants Agreement and the Equity Documents (each as defined below), this Agreement supersedes in all respects all prior agreements between the Executive and the Company regarding the subject matter herein, including without limitation (i) the offer letter between the Executive and the Company dated November 9, 2020 (the “</w:t>
      </w:r>
      <w:r>
        <w:rPr>
          <w:rFonts w:ascii="Times New Roman" w:cs="Times New Roman" w:eastAsia="Times New Roman" w:hAnsi="Times New Roman"/>
          <w:sz w:val="22"/>
          <w:szCs w:val="22"/>
          <w:u w:val="single" w:color="auto"/>
          <w:color w:val="auto"/>
        </w:rPr>
        <w:t>Prior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and (ii) any other offer letter, employment agreement or severance agreement.</w:t>
      </w:r>
    </w:p>
    <w:p>
      <w:pPr>
        <w:spacing w:after="0" w:line="179" w:lineRule="exact"/>
        <w:rPr>
          <w:sz w:val="20"/>
          <w:szCs w:val="20"/>
          <w:color w:val="auto"/>
        </w:rPr>
      </w:pPr>
    </w:p>
    <w:p>
      <w:pPr>
        <w:ind w:right="500" w:firstLine="747"/>
        <w:spacing w:after="0" w:line="258" w:lineRule="auto"/>
        <w:rPr>
          <w:sz w:val="20"/>
          <w:szCs w:val="20"/>
          <w:color w:val="auto"/>
        </w:rPr>
      </w:pPr>
      <w:r>
        <w:rPr>
          <w:rFonts w:ascii="Times New Roman" w:cs="Times New Roman" w:eastAsia="Times New Roman" w:hAnsi="Times New Roman"/>
          <w:sz w:val="22"/>
          <w:szCs w:val="22"/>
          <w:color w:val="auto"/>
        </w:rPr>
        <w:t>WHEREAS, the Company desires to continue to employ the Executive and the Executive desires to continue to be employed by the Company on the new terms and conditions contained herein.</w:t>
      </w:r>
    </w:p>
    <w:p>
      <w:pPr>
        <w:spacing w:after="0" w:line="157" w:lineRule="exact"/>
        <w:rPr>
          <w:sz w:val="20"/>
          <w:szCs w:val="20"/>
          <w:color w:val="auto"/>
        </w:rPr>
      </w:pPr>
    </w:p>
    <w:p>
      <w:pPr>
        <w:ind w:right="320" w:firstLine="747"/>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mutual covenants and agreements herein contained and other good and valuable consideration, the receipt and sufficiency of which is hereby acknowledged, the parties agree as follows:</w:t>
      </w:r>
    </w:p>
    <w:p>
      <w:pPr>
        <w:spacing w:after="0" w:line="157" w:lineRule="exact"/>
        <w:rPr>
          <w:sz w:val="20"/>
          <w:szCs w:val="20"/>
          <w:color w:val="auto"/>
        </w:rPr>
      </w:pPr>
    </w:p>
    <w:p>
      <w:pPr>
        <w:ind w:left="1500" w:hanging="758"/>
        <w:spacing w:after="0"/>
        <w:tabs>
          <w:tab w:leader="none" w:pos="1500"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w:t>
      </w:r>
      <w:r>
        <w:rPr>
          <w:rFonts w:ascii="Times New Roman" w:cs="Times New Roman" w:eastAsia="Times New Roman" w:hAnsi="Times New Roman"/>
          <w:sz w:val="22"/>
          <w:szCs w:val="22"/>
          <w:color w:val="auto"/>
        </w:rPr>
        <w:t>.</w:t>
      </w:r>
    </w:p>
    <w:p>
      <w:pPr>
        <w:spacing w:after="0" w:line="205" w:lineRule="exact"/>
        <w:rPr>
          <w:rFonts w:ascii="Times New Roman" w:cs="Times New Roman" w:eastAsia="Times New Roman" w:hAnsi="Times New Roman"/>
          <w:sz w:val="22"/>
          <w:szCs w:val="22"/>
          <w:color w:val="auto"/>
        </w:rPr>
      </w:pPr>
    </w:p>
    <w:p>
      <w:pPr>
        <w:ind w:right="320" w:firstLine="1490"/>
        <w:spacing w:after="0" w:line="237" w:lineRule="auto"/>
        <w:tabs>
          <w:tab w:leader="none" w:pos="1921" w:val="left"/>
        </w:tabs>
        <w:numPr>
          <w:ilvl w:val="1"/>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The Company shall employ the Executive and the Executive shall be employed by the Company pursuant to this Agreement commencing as of the Effective Date and continuing until such employment is terminated in accordance with the provisions hereof</w:t>
      </w:r>
    </w:p>
    <w:p>
      <w:pPr>
        <w:spacing w:after="0" w:line="2" w:lineRule="exact"/>
        <w:rPr>
          <w:rFonts w:ascii="Times New Roman" w:cs="Times New Roman" w:eastAsia="Times New Roman" w:hAnsi="Times New Roman"/>
          <w:sz w:val="22"/>
          <w:szCs w:val="22"/>
          <w:color w:val="auto"/>
        </w:rPr>
      </w:pPr>
    </w:p>
    <w:p>
      <w:pPr>
        <w:ind w:right="440"/>
        <w:spacing w:after="0" w:line="23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The Executive’s employment with the Company shall continue to be “at will,” meaning that the Executive’s employment may be terminated by the Company or the Executive at any time and for any reason subject to the terms of this Agreement.</w:t>
      </w:r>
    </w:p>
    <w:p>
      <w:pPr>
        <w:spacing w:after="0" w:line="176" w:lineRule="exact"/>
        <w:rPr>
          <w:rFonts w:ascii="Times New Roman" w:cs="Times New Roman" w:eastAsia="Times New Roman" w:hAnsi="Times New Roman"/>
          <w:sz w:val="22"/>
          <w:szCs w:val="22"/>
          <w:color w:val="auto"/>
        </w:rPr>
      </w:pPr>
    </w:p>
    <w:p>
      <w:pPr>
        <w:ind w:right="440" w:firstLine="1490"/>
        <w:spacing w:after="0" w:line="234" w:lineRule="auto"/>
        <w:tabs>
          <w:tab w:leader="none" w:pos="1921" w:val="left"/>
        </w:tabs>
        <w:numPr>
          <w:ilvl w:val="1"/>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Position and Duties</w:t>
      </w:r>
      <w:r>
        <w:rPr>
          <w:rFonts w:ascii="Times New Roman" w:cs="Times New Roman" w:eastAsia="Times New Roman" w:hAnsi="Times New Roman"/>
          <w:sz w:val="22"/>
          <w:szCs w:val="22"/>
          <w:color w:val="auto"/>
        </w:rPr>
        <w:t>. The Executive shall serve as the VP of Clinical Research of the Company and shall have such powers and duties as may from time to time be prescribed by the Chief Executive Officer of the Company (the “</w:t>
      </w:r>
      <w:r>
        <w:rPr>
          <w:rFonts w:ascii="Times New Roman" w:cs="Times New Roman" w:eastAsia="Times New Roman" w:hAnsi="Times New Roman"/>
          <w:sz w:val="22"/>
          <w:szCs w:val="22"/>
          <w:u w:val="single" w:color="auto"/>
          <w:color w:val="auto"/>
        </w:rPr>
        <w:t>CEO</w:t>
      </w:r>
      <w:r>
        <w:rPr>
          <w:rFonts w:ascii="Times New Roman" w:cs="Times New Roman" w:eastAsia="Times New Roman" w:hAnsi="Times New Roman"/>
          <w:sz w:val="22"/>
          <w:szCs w:val="22"/>
          <w:color w:val="auto"/>
        </w:rPr>
        <w:t>”) or other duly authorized executive. The Executive shall devote the Executive’s full working time and efforts to the business and affairs of the Company. Notwithstanding the foregoing, the Executive may serve on other boards of directors, with the approval of the Board of Directors of the Company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or engage in religious, charitable or other community activities as long as such</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services and activities do not interfere with the Executive’s performance of the Executive’s duties to the Company.</w:t>
      </w:r>
    </w:p>
    <w:p>
      <w:pPr>
        <w:spacing w:after="0" w:line="181" w:lineRule="exact"/>
        <w:rPr>
          <w:rFonts w:ascii="Times New Roman" w:cs="Times New Roman" w:eastAsia="Times New Roman" w:hAnsi="Times New Roman"/>
          <w:sz w:val="22"/>
          <w:szCs w:val="22"/>
          <w:color w:val="auto"/>
        </w:rPr>
      </w:pPr>
    </w:p>
    <w:p>
      <w:pPr>
        <w:ind w:left="1500" w:hanging="758"/>
        <w:spacing w:after="0"/>
        <w:tabs>
          <w:tab w:leader="none" w:pos="1500"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and Related Matters</w:t>
      </w:r>
      <w:r>
        <w:rPr>
          <w:rFonts w:ascii="Times New Roman" w:cs="Times New Roman" w:eastAsia="Times New Roman" w:hAnsi="Times New Roman"/>
          <w:sz w:val="22"/>
          <w:szCs w:val="22"/>
          <w:color w:val="auto"/>
        </w:rPr>
        <w:t>.</w:t>
      </w:r>
    </w:p>
    <w:p>
      <w:pPr>
        <w:spacing w:after="0" w:line="205" w:lineRule="exact"/>
        <w:rPr>
          <w:rFonts w:ascii="Times New Roman" w:cs="Times New Roman" w:eastAsia="Times New Roman" w:hAnsi="Times New Roman"/>
          <w:sz w:val="22"/>
          <w:szCs w:val="22"/>
          <w:color w:val="auto"/>
        </w:rPr>
      </w:pPr>
    </w:p>
    <w:p>
      <w:pPr>
        <w:ind w:right="560" w:firstLine="1490"/>
        <w:spacing w:after="0" w:line="271" w:lineRule="auto"/>
        <w:tabs>
          <w:tab w:leader="none" w:pos="1921" w:val="left"/>
        </w:tabs>
        <w:numPr>
          <w:ilvl w:val="1"/>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Base Salary</w:t>
      </w:r>
      <w:r>
        <w:rPr>
          <w:rFonts w:ascii="Times New Roman" w:cs="Times New Roman" w:eastAsia="Times New Roman" w:hAnsi="Times New Roman"/>
          <w:sz w:val="20"/>
          <w:szCs w:val="20"/>
          <w:color w:val="auto"/>
        </w:rPr>
        <w:t>. The Executive’s initial base salary shall be paid at the rate of $330,000 per year. The Executive’s base salary shall be subject to periodic review by the Board or the Compensation Committee of the Board (the “</w:t>
      </w:r>
      <w:r>
        <w:rPr>
          <w:rFonts w:ascii="Times New Roman" w:cs="Times New Roman" w:eastAsia="Times New Roman" w:hAnsi="Times New Roman"/>
          <w:sz w:val="20"/>
          <w:szCs w:val="20"/>
          <w:u w:val="single" w:color="auto"/>
          <w:color w:val="auto"/>
        </w:rPr>
        <w:t>Compensation Committee</w:t>
      </w:r>
      <w:r>
        <w:rPr>
          <w:rFonts w:ascii="Times New Roman" w:cs="Times New Roman" w:eastAsia="Times New Roman" w:hAnsi="Times New Roman"/>
          <w:sz w:val="20"/>
          <w:szCs w:val="20"/>
          <w:color w:val="auto"/>
        </w:rPr>
        <w:t>”). The base salary in effect at any given time is referred to herein as “</w:t>
      </w:r>
      <w:r>
        <w:rPr>
          <w:rFonts w:ascii="Times New Roman" w:cs="Times New Roman" w:eastAsia="Times New Roman" w:hAnsi="Times New Roman"/>
          <w:sz w:val="20"/>
          <w:szCs w:val="20"/>
          <w:u w:val="single" w:color="auto"/>
          <w:color w:val="auto"/>
        </w:rPr>
        <w:t>Base Salary</w:t>
      </w:r>
      <w:r>
        <w:rPr>
          <w:rFonts w:ascii="Times New Roman" w:cs="Times New Roman" w:eastAsia="Times New Roman" w:hAnsi="Times New Roman"/>
          <w:sz w:val="20"/>
          <w:szCs w:val="20"/>
          <w:color w:val="auto"/>
        </w:rPr>
        <w:t>.” The Base Salary shall be payable in a manner that is consistent with the Company’s usual payroll practices for its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920750</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1308" w:right="339" w:bottom="1440" w:gutter="0" w:footer="0" w:header="0"/>
        </w:sectPr>
      </w:pPr>
    </w:p>
    <w:bookmarkStart w:id="221" w:name="page222"/>
    <w:bookmarkEnd w:id="221"/>
    <w:p>
      <w:pPr>
        <w:spacing w:after="0" w:line="89" w:lineRule="exact"/>
        <w:rPr>
          <w:sz w:val="20"/>
          <w:szCs w:val="20"/>
          <w:color w:val="auto"/>
        </w:rPr>
      </w:pPr>
    </w:p>
    <w:p>
      <w:pPr>
        <w:ind w:firstLine="1490"/>
        <w:spacing w:after="0" w:line="233" w:lineRule="auto"/>
        <w:tabs>
          <w:tab w:leader="none" w:pos="1921" w:val="left"/>
        </w:tabs>
        <w:numPr>
          <w:ilvl w:val="1"/>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Incentive Compensation</w:t>
      </w:r>
      <w:r>
        <w:rPr>
          <w:rFonts w:ascii="Times New Roman" w:cs="Times New Roman" w:eastAsia="Times New Roman" w:hAnsi="Times New Roman"/>
          <w:sz w:val="22"/>
          <w:szCs w:val="22"/>
          <w:color w:val="auto"/>
        </w:rPr>
        <w:t>. The Executive shall be eligible to receive cash incentive compensation as determined by the Board or the Compensation Committee from time to time. The amount, terms and conditions of such bonus (if any) will be determined at the sole discretion of the Board or the Compensation Committee. The Executive’s initial target annual incentive bonus shall be 30% of the Executive’s Base Salary, with any bonus payable in respect of calendar year 2020 prorated from the commencement of the Executive’s employment with the Company. Payment of any incentive bonus shall be contingent upon the Executive being employed by the Company as of the payment date of such incentive bonus. The actual bonus</w:t>
      </w:r>
    </w:p>
    <w:p>
      <w:pPr>
        <w:spacing w:after="0" w:line="3" w:lineRule="exact"/>
        <w:rPr>
          <w:rFonts w:ascii="Times New Roman" w:cs="Times New Roman" w:eastAsia="Times New Roman" w:hAnsi="Times New Roman"/>
          <w:sz w:val="22"/>
          <w:szCs w:val="22"/>
          <w:color w:val="auto"/>
        </w:rPr>
      </w:pPr>
    </w:p>
    <w:p>
      <w:pPr>
        <w:ind w:right="60"/>
        <w:spacing w:after="0" w:line="23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is discretionary and will be subject to the Company’s assessment of the Executive’s performance, as well as business conditions at the Company. The bonus will also be subject to the terms of any applicable bonus plan and approval by and adjustment at the discretion of the Board or the Compensation Committee. The bonus, if any, shall be paid by March 15th of the calendar year following the calendar year for which such bonus relates. The Company also may make adjustments, at its sole discretion, in the targeted amount of the Executive’s annual incentive bonus. The target annual incentive bonus in effect at any given time is referred to herein as the “</w:t>
      </w:r>
      <w:r>
        <w:rPr>
          <w:rFonts w:ascii="Times New Roman" w:cs="Times New Roman" w:eastAsia="Times New Roman" w:hAnsi="Times New Roman"/>
          <w:sz w:val="22"/>
          <w:szCs w:val="22"/>
          <w:u w:val="single" w:color="auto"/>
          <w:color w:val="auto"/>
        </w:rPr>
        <w:t>Target Bonus</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ind w:right="20" w:firstLine="1490"/>
        <w:spacing w:after="0" w:line="244" w:lineRule="auto"/>
        <w:tabs>
          <w:tab w:leader="none" w:pos="1921" w:val="left"/>
        </w:tabs>
        <w:numPr>
          <w:ilvl w:val="1"/>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The Executive shall be entitled to receive prompt reimbursement for all reasonable expenses incurred by the Executive during the Term in performing services hereunder, in accordance with the policies and procedures then in effect and established by the Company for its executive officers.</w:t>
      </w:r>
    </w:p>
    <w:p>
      <w:pPr>
        <w:spacing w:after="0" w:line="172" w:lineRule="exact"/>
        <w:rPr>
          <w:rFonts w:ascii="Times New Roman" w:cs="Times New Roman" w:eastAsia="Times New Roman" w:hAnsi="Times New Roman"/>
          <w:sz w:val="22"/>
          <w:szCs w:val="22"/>
          <w:color w:val="auto"/>
        </w:rPr>
      </w:pPr>
    </w:p>
    <w:p>
      <w:pPr>
        <w:ind w:right="960" w:firstLine="1490"/>
        <w:spacing w:after="0" w:line="258" w:lineRule="auto"/>
        <w:tabs>
          <w:tab w:leader="none" w:pos="1921" w:val="left"/>
        </w:tabs>
        <w:numPr>
          <w:ilvl w:val="1"/>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Benefits</w:t>
      </w:r>
      <w:r>
        <w:rPr>
          <w:rFonts w:ascii="Times New Roman" w:cs="Times New Roman" w:eastAsia="Times New Roman" w:hAnsi="Times New Roman"/>
          <w:sz w:val="22"/>
          <w:szCs w:val="22"/>
          <w:color w:val="auto"/>
        </w:rPr>
        <w:t>. The Executive shall be eligible to participate in or receive benefits under the Company’s employee benefit plans in effect from time to time, subject to the terms of such plans.</w:t>
      </w:r>
    </w:p>
    <w:p>
      <w:pPr>
        <w:spacing w:after="0" w:line="157" w:lineRule="exact"/>
        <w:rPr>
          <w:rFonts w:ascii="Times New Roman" w:cs="Times New Roman" w:eastAsia="Times New Roman" w:hAnsi="Times New Roman"/>
          <w:sz w:val="22"/>
          <w:szCs w:val="22"/>
          <w:color w:val="auto"/>
        </w:rPr>
      </w:pPr>
    </w:p>
    <w:p>
      <w:pPr>
        <w:ind w:right="80" w:firstLine="1490"/>
        <w:spacing w:after="0" w:line="258" w:lineRule="auto"/>
        <w:tabs>
          <w:tab w:leader="none" w:pos="1921" w:val="left"/>
        </w:tabs>
        <w:numPr>
          <w:ilvl w:val="1"/>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Paid Time Off</w:t>
      </w:r>
      <w:r>
        <w:rPr>
          <w:rFonts w:ascii="Times New Roman" w:cs="Times New Roman" w:eastAsia="Times New Roman" w:hAnsi="Times New Roman"/>
          <w:sz w:val="22"/>
          <w:szCs w:val="22"/>
          <w:color w:val="auto"/>
        </w:rPr>
        <w:t>. The Executive shall be entitled to take paid time off in accordance with the Company’s applicable paid time off policy for executives, as may be in effect from time to time.</w:t>
      </w:r>
    </w:p>
    <w:p>
      <w:pPr>
        <w:spacing w:after="0" w:line="157" w:lineRule="exact"/>
        <w:rPr>
          <w:rFonts w:ascii="Times New Roman" w:cs="Times New Roman" w:eastAsia="Times New Roman" w:hAnsi="Times New Roman"/>
          <w:sz w:val="22"/>
          <w:szCs w:val="22"/>
          <w:color w:val="auto"/>
        </w:rPr>
      </w:pPr>
    </w:p>
    <w:p>
      <w:pPr>
        <w:ind w:firstLine="1490"/>
        <w:spacing w:after="0" w:line="234" w:lineRule="auto"/>
        <w:tabs>
          <w:tab w:leader="none" w:pos="1921" w:val="left"/>
        </w:tabs>
        <w:numPr>
          <w:ilvl w:val="1"/>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w:t>
      </w:r>
      <w:r>
        <w:rPr>
          <w:rFonts w:ascii="Times New Roman" w:cs="Times New Roman" w:eastAsia="Times New Roman" w:hAnsi="Times New Roman"/>
          <w:sz w:val="22"/>
          <w:szCs w:val="22"/>
          <w:color w:val="auto"/>
        </w:rPr>
        <w:t>. The Executive has been granted a stock option in connection with the commencement of the Executive’s employment (the “</w:t>
      </w:r>
      <w:r>
        <w:rPr>
          <w:rFonts w:ascii="Times New Roman" w:cs="Times New Roman" w:eastAsia="Times New Roman" w:hAnsi="Times New Roman"/>
          <w:sz w:val="22"/>
          <w:szCs w:val="22"/>
          <w:u w:val="single" w:color="auto"/>
          <w:color w:val="auto"/>
        </w:rPr>
        <w:t>Initial Stock Option</w:t>
      </w:r>
      <w:r>
        <w:rPr>
          <w:rFonts w:ascii="Times New Roman" w:cs="Times New Roman" w:eastAsia="Times New Roman" w:hAnsi="Times New Roman"/>
          <w:sz w:val="22"/>
          <w:szCs w:val="22"/>
          <w:color w:val="auto"/>
        </w:rPr>
        <w:t>”). The Initial Stock Option shall continue to be governed by the terms and conditions of the Company’s 2020 Equity Incentive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and the applicable stock option grant notice and stock option agreement (collectively, the “</w:t>
      </w:r>
      <w:r>
        <w:rPr>
          <w:rFonts w:ascii="Times New Roman" w:cs="Times New Roman" w:eastAsia="Times New Roman" w:hAnsi="Times New Roman"/>
          <w:sz w:val="22"/>
          <w:szCs w:val="22"/>
          <w:u w:val="single" w:color="auto"/>
          <w:color w:val="auto"/>
        </w:rPr>
        <w:t>Equity Documents</w:t>
      </w:r>
      <w:r>
        <w:rPr>
          <w:rFonts w:ascii="Times New Roman" w:cs="Times New Roman" w:eastAsia="Times New Roman" w:hAnsi="Times New Roman"/>
          <w:sz w:val="22"/>
          <w:szCs w:val="22"/>
          <w:color w:val="auto"/>
        </w:rPr>
        <w:t>”); provided, however, and notwithstanding anything to the contrary in the Equity Documents, Section 5 and Section 6 of this Agreement, as applicable, shall apply in the event of a termination by the Company without Cause or by the Executive for Good Reason (as such terms are defined below). Notwithstanding anything to the contrary in the Equity Documents, the definition of “Cause” provided in Section 3(c) of this Agreement shall apply to the Equity Documents and to any future equity awards that may be granted to the Executive in lieu of any definition of “Cause” provided under the applicable equity award documents.</w:t>
      </w:r>
    </w:p>
    <w:p>
      <w:pPr>
        <w:spacing w:after="0" w:line="180" w:lineRule="exact"/>
        <w:rPr>
          <w:rFonts w:ascii="Times New Roman" w:cs="Times New Roman" w:eastAsia="Times New Roman" w:hAnsi="Times New Roman"/>
          <w:sz w:val="22"/>
          <w:szCs w:val="22"/>
          <w:color w:val="auto"/>
        </w:rPr>
      </w:pPr>
    </w:p>
    <w:p>
      <w:pPr>
        <w:ind w:left="-120" w:right="360" w:firstLine="757"/>
        <w:spacing w:after="0" w:line="258" w:lineRule="auto"/>
        <w:tabs>
          <w:tab w:leader="none" w:pos="893"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The Executive’s employment hereunder may be terminated without any breach of this Agreement under the following circumstances:</w:t>
      </w:r>
    </w:p>
    <w:p>
      <w:pPr>
        <w:spacing w:after="0" w:line="184" w:lineRule="exact"/>
        <w:rPr>
          <w:rFonts w:ascii="Times New Roman" w:cs="Times New Roman" w:eastAsia="Times New Roman" w:hAnsi="Times New Roman"/>
          <w:sz w:val="22"/>
          <w:szCs w:val="22"/>
          <w:color w:val="auto"/>
        </w:rPr>
      </w:pPr>
    </w:p>
    <w:p>
      <w:pPr>
        <w:ind w:left="1920" w:hanging="430"/>
        <w:spacing w:after="0"/>
        <w:tabs>
          <w:tab w:leader="none" w:pos="1920" w:val="left"/>
        </w:tabs>
        <w:numPr>
          <w:ilvl w:val="1"/>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w:t>
      </w:r>
      <w:r>
        <w:rPr>
          <w:rFonts w:ascii="Times New Roman" w:cs="Times New Roman" w:eastAsia="Times New Roman" w:hAnsi="Times New Roman"/>
          <w:sz w:val="22"/>
          <w:szCs w:val="22"/>
          <w:color w:val="auto"/>
        </w:rPr>
        <w:t>. The Executive’s employment hereunder shall terminate upon death.</w:t>
      </w:r>
    </w:p>
    <w:p>
      <w:pPr>
        <w:spacing w:after="0" w:line="13" w:lineRule="exact"/>
        <w:rPr>
          <w:rFonts w:ascii="Times New Roman" w:cs="Times New Roman" w:eastAsia="Times New Roman" w:hAnsi="Times New Roman"/>
          <w:sz w:val="22"/>
          <w:szCs w:val="22"/>
          <w:color w:val="auto"/>
        </w:rPr>
      </w:pPr>
    </w:p>
    <w:p>
      <w:pPr>
        <w:ind w:left="1920" w:hanging="430"/>
        <w:spacing w:after="0"/>
        <w:tabs>
          <w:tab w:leader="none" w:pos="1920" w:val="left"/>
        </w:tabs>
        <w:numPr>
          <w:ilvl w:val="1"/>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The Company may terminate the Executive’s employment if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805180</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440" w:top="1440" w:right="619" w:bottom="1440" w:gutter="0" w:footer="0" w:header="0"/>
        </w:sectPr>
      </w:pPr>
    </w:p>
    <w:bookmarkStart w:id="222" w:name="page223"/>
    <w:bookmarkEnd w:id="222"/>
    <w:p>
      <w:pPr>
        <w:spacing w:after="0" w:line="233" w:lineRule="auto"/>
        <w:rPr>
          <w:sz w:val="20"/>
          <w:szCs w:val="20"/>
          <w:color w:val="auto"/>
        </w:rPr>
      </w:pPr>
      <w:r>
        <w:rPr>
          <w:rFonts w:ascii="Times New Roman" w:cs="Times New Roman" w:eastAsia="Times New Roman" w:hAnsi="Times New Roman"/>
          <w:sz w:val="22"/>
          <w:szCs w:val="22"/>
          <w:color w:val="auto"/>
        </w:rPr>
        <w:t xml:space="preserve">Executive is disabled and unable to perform or expected to be unable to perform the essential functions of the Executive’s then existing position or positions under this Agreement with or without reasonable accommodation for a period of 180 days (which need not be consecutive) in any 12-month period. If any question shall arise as to whether during any period the Executive is disabled so as to be unable to perform the essential functions of the Executive’s then existing position or positions with or without reasonable accommodation, the Executive may, and at the request of the Company shall, submit to the Company a certification in reasonable detail by a physician selected by the Company to whom the Executive or the Executive’s guardian has no reasonable objection as to whether the Executive is so disabled or how long such disability is expected to continue, and such certification shall for the purposes of this Agreement be conclusive of the issue. The Executive shall cooperate with any reasonable request of the physician in connection with such certification. If such question shall arise and the Executive shall fail to submit such certification, the Company’s determination of such issue shall be binding on the Executive. Nothing in this Section 3(b) shall be construed to waive the Executive’s rights, if any, under existing law including, without limitation, the Family and Medical Leave Act of 1993, 29 U.S.C. §2601 </w:t>
      </w:r>
      <w:r>
        <w:rPr>
          <w:rFonts w:ascii="Times New Roman" w:cs="Times New Roman" w:eastAsia="Times New Roman" w:hAnsi="Times New Roman"/>
          <w:sz w:val="22"/>
          <w:szCs w:val="22"/>
          <w:i w:val="1"/>
          <w:iCs w:val="1"/>
          <w:color w:val="auto"/>
        </w:rPr>
        <w:t>et seq</w:t>
      </w:r>
      <w:r>
        <w:rPr>
          <w:rFonts w:ascii="Times New Roman" w:cs="Times New Roman" w:eastAsia="Times New Roman" w:hAnsi="Times New Roman"/>
          <w:sz w:val="22"/>
          <w:szCs w:val="22"/>
          <w:color w:val="auto"/>
        </w:rPr>
        <w:t xml:space="preserve">. and the Americans with Disabilities Act, 42 U.S.C. §12101 </w:t>
      </w:r>
      <w:r>
        <w:rPr>
          <w:rFonts w:ascii="Times New Roman" w:cs="Times New Roman" w:eastAsia="Times New Roman" w:hAnsi="Times New Roman"/>
          <w:sz w:val="22"/>
          <w:szCs w:val="22"/>
          <w:i w:val="1"/>
          <w:iCs w:val="1"/>
          <w:color w:val="auto"/>
        </w:rPr>
        <w:t>et seq.</w:t>
      </w:r>
    </w:p>
    <w:p>
      <w:pPr>
        <w:spacing w:after="0" w:line="178" w:lineRule="exact"/>
        <w:rPr>
          <w:sz w:val="20"/>
          <w:szCs w:val="20"/>
          <w:color w:val="auto"/>
        </w:rPr>
      </w:pPr>
    </w:p>
    <w:p>
      <w:pPr>
        <w:ind w:right="460" w:firstLine="1490"/>
        <w:spacing w:after="0" w:line="258" w:lineRule="auto"/>
        <w:tabs>
          <w:tab w:leader="none" w:pos="1923"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by the Company for Cause</w:t>
      </w:r>
      <w:r>
        <w:rPr>
          <w:rFonts w:ascii="Times New Roman" w:cs="Times New Roman" w:eastAsia="Times New Roman" w:hAnsi="Times New Roman"/>
          <w:sz w:val="22"/>
          <w:szCs w:val="22"/>
          <w:color w:val="auto"/>
        </w:rPr>
        <w:t>. The Company may terminate the Executive’s employment hereunder for Cause. For purposes of this Agreement, “</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shall mean any of the following:</w:t>
      </w:r>
    </w:p>
    <w:p>
      <w:pPr>
        <w:spacing w:after="0" w:line="157" w:lineRule="exact"/>
        <w:rPr>
          <w:rFonts w:ascii="Times New Roman" w:cs="Times New Roman" w:eastAsia="Times New Roman" w:hAnsi="Times New Roman"/>
          <w:sz w:val="22"/>
          <w:szCs w:val="22"/>
          <w:color w:val="auto"/>
        </w:rPr>
      </w:pPr>
    </w:p>
    <w:p>
      <w:pPr>
        <w:ind w:left="1380" w:right="680" w:firstLine="1503"/>
        <w:spacing w:after="0" w:line="239" w:lineRule="auto"/>
        <w:tabs>
          <w:tab w:leader="none" w:pos="3407" w:val="left"/>
        </w:tabs>
        <w:numPr>
          <w:ilvl w:val="1"/>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unauthorized use or disclosure of confidential information or trade secrets of the Company or any material breach of a written agreement between the Executive and the Company, including without limitation a material breach of this Agreement or any employment, confidentiality, non-compete, non-solicit or similar agreement;</w:t>
      </w:r>
    </w:p>
    <w:p>
      <w:pPr>
        <w:spacing w:after="0" w:line="178" w:lineRule="exact"/>
        <w:rPr>
          <w:rFonts w:ascii="Times New Roman" w:cs="Times New Roman" w:eastAsia="Times New Roman" w:hAnsi="Times New Roman"/>
          <w:sz w:val="22"/>
          <w:szCs w:val="22"/>
          <w:color w:val="auto"/>
        </w:rPr>
      </w:pPr>
    </w:p>
    <w:p>
      <w:pPr>
        <w:ind w:left="1380" w:right="280" w:firstLine="1503"/>
        <w:spacing w:after="0" w:line="239" w:lineRule="auto"/>
        <w:tabs>
          <w:tab w:leader="none" w:pos="3422" w:val="left"/>
        </w:tabs>
        <w:numPr>
          <w:ilvl w:val="1"/>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Executive’s commission of, indictment for or the entry of a plea of guilty or </w:t>
      </w:r>
      <w:r>
        <w:rPr>
          <w:rFonts w:ascii="Times New Roman" w:cs="Times New Roman" w:eastAsia="Times New Roman" w:hAnsi="Times New Roman"/>
          <w:sz w:val="22"/>
          <w:szCs w:val="22"/>
          <w:i w:val="1"/>
          <w:iCs w:val="1"/>
          <w:color w:val="auto"/>
        </w:rPr>
        <w:t xml:space="preserve">nolo contendere </w:t>
      </w:r>
      <w:r>
        <w:rPr>
          <w:rFonts w:ascii="Times New Roman" w:cs="Times New Roman" w:eastAsia="Times New Roman" w:hAnsi="Times New Roman"/>
          <w:sz w:val="22"/>
          <w:szCs w:val="22"/>
          <w:color w:val="auto"/>
        </w:rPr>
        <w:t>by the Executive to, a felony under the laws of the United States or any state thereof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than in connection with a traffic violation that does not result in imprisonment) or any crime involving moral turpitude (or any similar crime in any jurisdiction outside the United States);</w:t>
      </w:r>
    </w:p>
    <w:p>
      <w:pPr>
        <w:spacing w:after="0" w:line="178" w:lineRule="exact"/>
        <w:rPr>
          <w:rFonts w:ascii="Times New Roman" w:cs="Times New Roman" w:eastAsia="Times New Roman" w:hAnsi="Times New Roman"/>
          <w:sz w:val="22"/>
          <w:szCs w:val="22"/>
          <w:color w:val="auto"/>
        </w:rPr>
      </w:pPr>
    </w:p>
    <w:p>
      <w:pPr>
        <w:ind w:left="1380" w:firstLine="1503"/>
        <w:spacing w:after="0" w:line="239" w:lineRule="auto"/>
        <w:tabs>
          <w:tab w:leader="none" w:pos="3437" w:val="left"/>
        </w:tabs>
        <w:numPr>
          <w:ilvl w:val="1"/>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material and willful misconduct in the performance of the Executive’s duties or the Executive’s willful or repeated failure or refusal to substantially perform assigned duties, in any case, which willful misconduct, failure or refusal has continued for more than 30 days following written notice from the CEO of such willful misconduct, failure or refusal;</w:t>
      </w:r>
    </w:p>
    <w:p>
      <w:pPr>
        <w:spacing w:after="0" w:line="44" w:lineRule="exact"/>
        <w:rPr>
          <w:rFonts w:ascii="Times New Roman" w:cs="Times New Roman" w:eastAsia="Times New Roman" w:hAnsi="Times New Roman"/>
          <w:sz w:val="22"/>
          <w:szCs w:val="22"/>
          <w:color w:val="auto"/>
        </w:rPr>
      </w:pPr>
    </w:p>
    <w:p>
      <w:pPr>
        <w:ind w:left="1380" w:right="720" w:firstLine="1503"/>
        <w:spacing w:after="0" w:line="258" w:lineRule="auto"/>
        <w:tabs>
          <w:tab w:leader="none" w:pos="3417" w:val="left"/>
        </w:tabs>
        <w:numPr>
          <w:ilvl w:val="1"/>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 of fraud, embezzlement or material misappropriation committed by the Executive against the Company;</w:t>
      </w:r>
    </w:p>
    <w:p>
      <w:pPr>
        <w:spacing w:after="0" w:line="8" w:lineRule="exact"/>
        <w:rPr>
          <w:rFonts w:ascii="Times New Roman" w:cs="Times New Roman" w:eastAsia="Times New Roman" w:hAnsi="Times New Roman"/>
          <w:sz w:val="22"/>
          <w:szCs w:val="22"/>
          <w:color w:val="auto"/>
        </w:rPr>
      </w:pPr>
    </w:p>
    <w:p>
      <w:pPr>
        <w:ind w:left="3420" w:hanging="537"/>
        <w:spacing w:after="0"/>
        <w:tabs>
          <w:tab w:leader="none" w:pos="3420" w:val="left"/>
        </w:tabs>
        <w:numPr>
          <w:ilvl w:val="1"/>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acts, omissions or statements by the Executive which are materially</w:t>
      </w:r>
    </w:p>
    <w:p>
      <w:pPr>
        <w:spacing w:after="0" w:line="1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detrimental or damaging to the reputation, operations, prospects or business relations of the Company; or</w:t>
      </w:r>
    </w:p>
    <w:p>
      <w:pPr>
        <w:spacing w:after="0" w:line="181" w:lineRule="exact"/>
        <w:rPr>
          <w:sz w:val="20"/>
          <w:szCs w:val="20"/>
          <w:color w:val="auto"/>
        </w:rPr>
      </w:pPr>
    </w:p>
    <w:p>
      <w:pPr>
        <w:ind w:left="1380" w:right="620" w:firstLine="1503"/>
        <w:spacing w:after="0" w:line="258" w:lineRule="auto"/>
        <w:tabs>
          <w:tab w:leader="none" w:pos="3434"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failure to cooperate with a bona fide internal investigation or an investigation by regulatory or law enforcement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789305</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40" w:top="1313" w:right="519" w:bottom="1440" w:gutter="0" w:footer="0" w:header="0"/>
        </w:sectPr>
      </w:pPr>
    </w:p>
    <w:bookmarkStart w:id="223" w:name="page224"/>
    <w:bookmarkEnd w:id="223"/>
    <w:p>
      <w:pPr>
        <w:spacing w:after="0" w:line="89" w:lineRule="exact"/>
        <w:rPr>
          <w:sz w:val="20"/>
          <w:szCs w:val="20"/>
          <w:color w:val="auto"/>
        </w:rPr>
      </w:pPr>
    </w:p>
    <w:p>
      <w:pPr>
        <w:ind w:left="1380" w:right="40"/>
        <w:spacing w:after="0" w:line="280" w:lineRule="auto"/>
        <w:rPr>
          <w:sz w:val="20"/>
          <w:szCs w:val="20"/>
          <w:color w:val="auto"/>
        </w:rPr>
      </w:pPr>
      <w:r>
        <w:rPr>
          <w:rFonts w:ascii="Times New Roman" w:cs="Times New Roman" w:eastAsia="Times New Roman" w:hAnsi="Times New Roman"/>
          <w:sz w:val="20"/>
          <w:szCs w:val="20"/>
          <w:color w:val="auto"/>
        </w:rPr>
        <w:t>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139" w:lineRule="exact"/>
        <w:rPr>
          <w:sz w:val="20"/>
          <w:szCs w:val="20"/>
          <w:color w:val="auto"/>
        </w:rPr>
      </w:pPr>
    </w:p>
    <w:p>
      <w:pPr>
        <w:ind w:right="260" w:firstLine="1490"/>
        <w:spacing w:after="0" w:line="239" w:lineRule="auto"/>
        <w:tabs>
          <w:tab w:leader="none" w:pos="1922"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by the Company without Cause</w:t>
      </w:r>
      <w:r>
        <w:rPr>
          <w:rFonts w:ascii="Times New Roman" w:cs="Times New Roman" w:eastAsia="Times New Roman" w:hAnsi="Times New Roman"/>
          <w:sz w:val="22"/>
          <w:szCs w:val="22"/>
          <w:color w:val="auto"/>
        </w:rPr>
        <w:t>. The Company may terminate the Executive’s employment hereunder at any time without Cause. Any termination by the Company of the Executive’s employment under this Agreement which does not constitute a termination for Cause under Section 3(c) and does not result from the death or disability of the Executive under Section 3(a) or (b) shall be deemed a termination without Cause.</w:t>
      </w:r>
    </w:p>
    <w:p>
      <w:pPr>
        <w:spacing w:after="0" w:line="178" w:lineRule="exact"/>
        <w:rPr>
          <w:rFonts w:ascii="Times New Roman" w:cs="Times New Roman" w:eastAsia="Times New Roman" w:hAnsi="Times New Roman"/>
          <w:sz w:val="22"/>
          <w:szCs w:val="22"/>
          <w:color w:val="auto"/>
        </w:rPr>
      </w:pPr>
    </w:p>
    <w:p>
      <w:pPr>
        <w:ind w:firstLine="1490"/>
        <w:spacing w:after="0" w:line="239" w:lineRule="auto"/>
        <w:tabs>
          <w:tab w:leader="none" w:pos="1922"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by the Executive</w:t>
      </w:r>
      <w:r>
        <w:rPr>
          <w:rFonts w:ascii="Times New Roman" w:cs="Times New Roman" w:eastAsia="Times New Roman" w:hAnsi="Times New Roman"/>
          <w:sz w:val="22"/>
          <w:szCs w:val="22"/>
          <w:color w:val="auto"/>
        </w:rPr>
        <w:t>. The Executive may terminate employment hereunder at any time for any reason, including but not limited to, Good Reason. For purposes of this Agreement, “</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shall mean that the Executive has completed all steps of the Good Reason Process (hereinafter defined) following the occurrence of any of the following events without the Executive’s consent (each, a “</w:t>
      </w:r>
      <w:r>
        <w:rPr>
          <w:rFonts w:ascii="Times New Roman" w:cs="Times New Roman" w:eastAsia="Times New Roman" w:hAnsi="Times New Roman"/>
          <w:sz w:val="22"/>
          <w:szCs w:val="22"/>
          <w:u w:val="single" w:color="auto"/>
          <w:color w:val="auto"/>
        </w:rPr>
        <w:t>Good Reason Condition</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4440" w:hanging="329"/>
        <w:spacing w:after="0"/>
        <w:tabs>
          <w:tab w:leader="none" w:pos="4440"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the Executive’s title, responsibilities,</w:t>
      </w:r>
    </w:p>
    <w:p>
      <w:pPr>
        <w:spacing w:after="0" w:line="13" w:lineRule="exact"/>
        <w:rPr>
          <w:rFonts w:ascii="Times New Roman" w:cs="Times New Roman" w:eastAsia="Times New Roman" w:hAnsi="Times New Roman"/>
          <w:sz w:val="22"/>
          <w:szCs w:val="22"/>
          <w:color w:val="auto"/>
        </w:rPr>
      </w:pPr>
    </w:p>
    <w:p>
      <w:pPr>
        <w:ind w:left="26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authority or duties;</w:t>
      </w:r>
    </w:p>
    <w:p>
      <w:pPr>
        <w:spacing w:after="0" w:line="181" w:lineRule="exact"/>
        <w:rPr>
          <w:rFonts w:ascii="Times New Roman" w:cs="Times New Roman" w:eastAsia="Times New Roman" w:hAnsi="Times New Roman"/>
          <w:sz w:val="22"/>
          <w:szCs w:val="22"/>
          <w:color w:val="auto"/>
        </w:rPr>
      </w:pPr>
    </w:p>
    <w:p>
      <w:pPr>
        <w:ind w:left="2620" w:right="240" w:firstLine="1491"/>
        <w:spacing w:after="0" w:line="280" w:lineRule="auto"/>
        <w:tabs>
          <w:tab w:leader="none" w:pos="4516"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diminution in the Executive’s Base Salary or Target Bonus except for across-the-board salary reductions based on the Company’s financial performance similarly affecting all or substantially all senior management employees of the Company;</w:t>
      </w:r>
    </w:p>
    <w:p>
      <w:pPr>
        <w:spacing w:after="0" w:line="138" w:lineRule="exact"/>
        <w:rPr>
          <w:rFonts w:ascii="Times New Roman" w:cs="Times New Roman" w:eastAsia="Times New Roman" w:hAnsi="Times New Roman"/>
          <w:sz w:val="20"/>
          <w:szCs w:val="20"/>
          <w:color w:val="auto"/>
        </w:rPr>
      </w:pPr>
    </w:p>
    <w:p>
      <w:pPr>
        <w:ind w:left="2620" w:right="160" w:firstLine="1491"/>
        <w:spacing w:after="0" w:line="280" w:lineRule="auto"/>
        <w:tabs>
          <w:tab w:leader="none" w:pos="4522"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change in the geographic location at which the Executive provides services to the Company, such that there is an increase of at least 30 miles of driving distance to such location from the Executive’s principal residence as of such change; or</w:t>
      </w:r>
    </w:p>
    <w:p>
      <w:pPr>
        <w:spacing w:after="0" w:line="138" w:lineRule="exact"/>
        <w:rPr>
          <w:rFonts w:ascii="Times New Roman" w:cs="Times New Roman" w:eastAsia="Times New Roman" w:hAnsi="Times New Roman"/>
          <w:sz w:val="20"/>
          <w:szCs w:val="20"/>
          <w:color w:val="auto"/>
        </w:rPr>
      </w:pPr>
    </w:p>
    <w:p>
      <w:pPr>
        <w:ind w:left="4520" w:hanging="409"/>
        <w:spacing w:after="0"/>
        <w:tabs>
          <w:tab w:leader="none" w:pos="4520"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breach of this Agreement by the Company.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u w:val="single" w:color="auto"/>
          <w:color w:val="auto"/>
        </w:rPr>
        <w:t>Good Reason Process</w:t>
      </w:r>
      <w:r>
        <w:rPr>
          <w:rFonts w:ascii="Times New Roman" w:cs="Times New Roman" w:eastAsia="Times New Roman" w:hAnsi="Times New Roman"/>
          <w:sz w:val="22"/>
          <w:szCs w:val="22"/>
          <w:color w:val="auto"/>
        </w:rPr>
        <w:t>” consists of the following steps:</w:t>
      </w:r>
    </w:p>
    <w:p>
      <w:pPr>
        <w:spacing w:after="0" w:line="205" w:lineRule="exact"/>
        <w:rPr>
          <w:sz w:val="20"/>
          <w:szCs w:val="20"/>
          <w:color w:val="auto"/>
        </w:rPr>
      </w:pPr>
    </w:p>
    <w:p>
      <w:pPr>
        <w:ind w:left="2620" w:right="160" w:firstLine="1491"/>
        <w:spacing w:after="0" w:line="258" w:lineRule="auto"/>
        <w:tabs>
          <w:tab w:leader="none" w:pos="4459"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reasonably determines in good faith that a Good Reason Condition has occurred;</w:t>
      </w:r>
    </w:p>
    <w:p>
      <w:pPr>
        <w:spacing w:after="0" w:line="22" w:lineRule="exact"/>
        <w:rPr>
          <w:rFonts w:ascii="Times New Roman" w:cs="Times New Roman" w:eastAsia="Times New Roman" w:hAnsi="Times New Roman"/>
          <w:sz w:val="22"/>
          <w:szCs w:val="22"/>
          <w:color w:val="auto"/>
        </w:rPr>
      </w:pPr>
    </w:p>
    <w:p>
      <w:pPr>
        <w:ind w:left="2620" w:right="400" w:firstLine="1491"/>
        <w:spacing w:after="0" w:line="288" w:lineRule="auto"/>
        <w:tabs>
          <w:tab w:leader="none" w:pos="4449"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Executive notifies the Company in writing of the first occurrence of the Good Reason Condition within 60 days of the first occurrence of such condition;</w:t>
      </w:r>
    </w:p>
    <w:p>
      <w:pPr>
        <w:jc w:val="both"/>
        <w:ind w:left="2620" w:right="380" w:firstLine="1491"/>
        <w:spacing w:after="0" w:line="244" w:lineRule="auto"/>
        <w:tabs>
          <w:tab w:leader="none" w:pos="4524"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cooperates in good faith with the Company’s efforts, for a period of not less than 30 days following such notice (the “</w:t>
      </w:r>
      <w:r>
        <w:rPr>
          <w:rFonts w:ascii="Times New Roman" w:cs="Times New Roman" w:eastAsia="Times New Roman" w:hAnsi="Times New Roman"/>
          <w:sz w:val="22"/>
          <w:szCs w:val="22"/>
          <w:u w:val="single" w:color="auto"/>
          <w:color w:val="auto"/>
        </w:rPr>
        <w:t>Cure Period</w:t>
      </w:r>
      <w:r>
        <w:rPr>
          <w:rFonts w:ascii="Times New Roman" w:cs="Times New Roman" w:eastAsia="Times New Roman" w:hAnsi="Times New Roman"/>
          <w:sz w:val="22"/>
          <w:szCs w:val="22"/>
          <w:color w:val="auto"/>
        </w:rPr>
        <w:t>”), to remedy the Good Reason Condition;</w:t>
      </w:r>
    </w:p>
    <w:p>
      <w:pPr>
        <w:spacing w:after="0" w:line="172" w:lineRule="exact"/>
        <w:rPr>
          <w:sz w:val="20"/>
          <w:szCs w:val="20"/>
          <w:color w:val="auto"/>
        </w:rPr>
      </w:pPr>
    </w:p>
    <w:p>
      <w:pPr>
        <w:ind w:left="2620" w:right="580" w:firstLine="1498"/>
        <w:spacing w:after="0" w:line="258" w:lineRule="auto"/>
        <w:rPr>
          <w:sz w:val="20"/>
          <w:szCs w:val="20"/>
          <w:color w:val="auto"/>
        </w:rPr>
      </w:pPr>
      <w:r>
        <w:rPr>
          <w:rFonts w:ascii="Times New Roman" w:cs="Times New Roman" w:eastAsia="Times New Roman" w:hAnsi="Times New Roman"/>
          <w:sz w:val="22"/>
          <w:szCs w:val="22"/>
          <w:color w:val="auto"/>
        </w:rPr>
        <w:t>(iv)notwithstanding such efforts, the Good Reason Condition continues to exist at the end of the Cure Period;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789305</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440" w:top="1440" w:right="599" w:bottom="1440" w:gutter="0" w:footer="0" w:header="0"/>
        </w:sectPr>
      </w:pPr>
    </w:p>
    <w:bookmarkStart w:id="224" w:name="page225"/>
    <w:bookmarkEnd w:id="224"/>
    <w:p>
      <w:pPr>
        <w:spacing w:after="0" w:line="8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(v) the Executive terminates employment within 60 days after the end of</w:t>
      </w:r>
    </w:p>
    <w:p>
      <w:pPr>
        <w:spacing w:after="0" w:line="1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the Cure Period.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the Company cures the Good Reason Condition during the Cure Period, Good Reason shall be deemed not to have occurred.</w:t>
      </w:r>
    </w:p>
    <w:p>
      <w:pPr>
        <w:spacing w:after="0" w:line="228" w:lineRule="exact"/>
        <w:rPr>
          <w:sz w:val="20"/>
          <w:szCs w:val="20"/>
          <w:color w:val="auto"/>
        </w:rPr>
      </w:pPr>
    </w:p>
    <w:p>
      <w:pPr>
        <w:ind w:left="1500" w:hanging="758"/>
        <w:spacing w:after="0"/>
        <w:tabs>
          <w:tab w:leader="none" w:pos="1500"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Matters related to Termination</w:t>
      </w:r>
      <w:r>
        <w:rPr>
          <w:rFonts w:ascii="Times New Roman" w:cs="Times New Roman" w:eastAsia="Times New Roman" w:hAnsi="Times New Roman"/>
          <w:sz w:val="22"/>
          <w:szCs w:val="22"/>
          <w:color w:val="auto"/>
        </w:rPr>
        <w:t>.</w:t>
      </w:r>
    </w:p>
    <w:p>
      <w:pPr>
        <w:spacing w:after="0" w:line="205" w:lineRule="exact"/>
        <w:rPr>
          <w:rFonts w:ascii="Times New Roman" w:cs="Times New Roman" w:eastAsia="Times New Roman" w:hAnsi="Times New Roman"/>
          <w:sz w:val="22"/>
          <w:szCs w:val="22"/>
          <w:color w:val="auto"/>
        </w:rPr>
      </w:pPr>
    </w:p>
    <w:p>
      <w:pPr>
        <w:ind w:right="120" w:firstLine="1490"/>
        <w:spacing w:after="0" w:line="239" w:lineRule="auto"/>
        <w:tabs>
          <w:tab w:leader="none" w:pos="1921" w:val="left"/>
        </w:tabs>
        <w:numPr>
          <w:ilvl w:val="1"/>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Termination</w:t>
      </w:r>
      <w:r>
        <w:rPr>
          <w:rFonts w:ascii="Times New Roman" w:cs="Times New Roman" w:eastAsia="Times New Roman" w:hAnsi="Times New Roman"/>
          <w:sz w:val="22"/>
          <w:szCs w:val="22"/>
          <w:color w:val="auto"/>
        </w:rPr>
        <w:t>. Except for termination as specified in Section 3(a), any termination of the Executive’s employment by the Company or any such termination by the Executive shall be communicated by written Notice of Termination to the other party hereto. For purposes of this Agreement, a “</w:t>
      </w:r>
      <w:r>
        <w:rPr>
          <w:rFonts w:ascii="Times New Roman" w:cs="Times New Roman" w:eastAsia="Times New Roman" w:hAnsi="Times New Roman"/>
          <w:sz w:val="22"/>
          <w:szCs w:val="22"/>
          <w:u w:val="single" w:color="auto"/>
          <w:color w:val="auto"/>
        </w:rPr>
        <w:t>Notice of Termination</w:t>
      </w:r>
      <w:r>
        <w:rPr>
          <w:rFonts w:ascii="Times New Roman" w:cs="Times New Roman" w:eastAsia="Times New Roman" w:hAnsi="Times New Roman"/>
          <w:sz w:val="22"/>
          <w:szCs w:val="22"/>
          <w:color w:val="auto"/>
        </w:rPr>
        <w:t>” shall mean a notice which shall indicate the specific termination provision in this Agreement relied upon.</w:t>
      </w:r>
    </w:p>
    <w:p>
      <w:pPr>
        <w:spacing w:after="0" w:line="178" w:lineRule="exact"/>
        <w:rPr>
          <w:rFonts w:ascii="Times New Roman" w:cs="Times New Roman" w:eastAsia="Times New Roman" w:hAnsi="Times New Roman"/>
          <w:sz w:val="22"/>
          <w:szCs w:val="22"/>
          <w:color w:val="auto"/>
        </w:rPr>
      </w:pPr>
    </w:p>
    <w:p>
      <w:pPr>
        <w:ind w:right="100" w:firstLine="1490"/>
        <w:spacing w:after="0" w:line="233" w:lineRule="auto"/>
        <w:tabs>
          <w:tab w:leader="none" w:pos="1921" w:val="left"/>
        </w:tabs>
        <w:numPr>
          <w:ilvl w:val="1"/>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Date of Termination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Date of Termination</w:t>
      </w:r>
      <w:r>
        <w:rPr>
          <w:rFonts w:ascii="Times New Roman" w:cs="Times New Roman" w:eastAsia="Times New Roman" w:hAnsi="Times New Roman"/>
          <w:sz w:val="22"/>
          <w:szCs w:val="22"/>
          <w:color w:val="auto"/>
        </w:rPr>
        <w:t>” shall mean: (i) if the Executive’s employment is terminated by death, the date of death; (ii) if the Executive’s employment is terminated on account of disability under Section 3(b) or by the Company for Cause under Section 3(c), the date on which Notice of Termination is given; (iii) if the Executive’s employment is terminated by the Company without Cause under Section 3(d), the date on which a Notice of Termination is given or the date otherwise specified by the Company in the Notice of Termination; (iv) if the Executive’s employment is terminated by the Executive under Section 3(e) other than for Good Reason, 30 days after the date on which a Notice of Termination is given, and (v) if the Executive’s employment is terminated by the Executive under Section 3(e) for Good Reason, the date on which a Notice of Termination is given after the end of the Cure Period. Notwithstanding the foregoing, in the event that the Executive gives a Notice of Termination to the Company, the Company may unilaterally accelerate the Date of Termination and such acceleration shall not result in a termination by the Company for purposes of this Agreement.</w:t>
      </w:r>
    </w:p>
    <w:p>
      <w:pPr>
        <w:spacing w:after="0" w:line="184" w:lineRule="exact"/>
        <w:rPr>
          <w:rFonts w:ascii="Times New Roman" w:cs="Times New Roman" w:eastAsia="Times New Roman" w:hAnsi="Times New Roman"/>
          <w:sz w:val="22"/>
          <w:szCs w:val="22"/>
          <w:color w:val="auto"/>
        </w:rPr>
      </w:pPr>
    </w:p>
    <w:p>
      <w:pPr>
        <w:ind w:right="300" w:firstLine="1490"/>
        <w:spacing w:after="0" w:line="241" w:lineRule="auto"/>
        <w:tabs>
          <w:tab w:leader="none" w:pos="1921" w:val="left"/>
        </w:tabs>
        <w:numPr>
          <w:ilvl w:val="1"/>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Accrued Obligations</w:t>
      </w:r>
      <w:r>
        <w:rPr>
          <w:rFonts w:ascii="Times New Roman" w:cs="Times New Roman" w:eastAsia="Times New Roman" w:hAnsi="Times New Roman"/>
          <w:sz w:val="22"/>
          <w:szCs w:val="22"/>
          <w:color w:val="auto"/>
        </w:rPr>
        <w:t>. If the Executive’s employment with the Company is terminated for any reason, the Company shall pay or provide to the Executive (or to the</w:t>
      </w:r>
    </w:p>
    <w:p>
      <w:pPr>
        <w:spacing w:after="0" w:line="1" w:lineRule="exact"/>
        <w:rPr>
          <w:rFonts w:ascii="Times New Roman" w:cs="Times New Roman" w:eastAsia="Times New Roman" w:hAnsi="Times New Roman"/>
          <w:sz w:val="22"/>
          <w:szCs w:val="22"/>
          <w:color w:val="auto"/>
        </w:rPr>
      </w:pPr>
    </w:p>
    <w:p>
      <w:pPr>
        <w:ind w:right="40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authorized representative or estate) (i) any Base Salary earned through the Date of Termination; (ii) unpaid expense reimbursements (subject to, and in accordance with, Section 2(c) of this Agreement); and (iii) any vested benefits the Executive may have under any employee benefit plan of the Company through the Date of Termination, which vested benefits shall be paid and/or provided in accordance with the terms of such employee benefit plans</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(collectively, the “</w:t>
      </w:r>
      <w:r>
        <w:rPr>
          <w:rFonts w:ascii="Times New Roman" w:cs="Times New Roman" w:eastAsia="Times New Roman" w:hAnsi="Times New Roman"/>
          <w:sz w:val="22"/>
          <w:szCs w:val="22"/>
          <w:u w:val="single" w:color="auto"/>
          <w:color w:val="auto"/>
        </w:rPr>
        <w:t>Accrued Obligations</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ind w:right="340" w:firstLine="1490"/>
        <w:spacing w:after="0" w:line="239" w:lineRule="auto"/>
        <w:tabs>
          <w:tab w:leader="none" w:pos="1921" w:val="left"/>
        </w:tabs>
        <w:numPr>
          <w:ilvl w:val="1"/>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Resignation of All Other Positions</w:t>
      </w:r>
      <w:r>
        <w:rPr>
          <w:rFonts w:ascii="Times New Roman" w:cs="Times New Roman" w:eastAsia="Times New Roman" w:hAnsi="Times New Roman"/>
          <w:sz w:val="22"/>
          <w:szCs w:val="22"/>
          <w:color w:val="auto"/>
        </w:rPr>
        <w:t>. To the extent applicable, the Executive shall be deemed to have resigned from all officer and board member positions that the Executive holds with the Company or any of its respective subsidiaries and affiliates upon the termination of the Executive’s employment for any reason. The Executive shall execute any documents in reasonable form as may be requested to confirm or effectuate any such resignations.</w:t>
      </w:r>
    </w:p>
    <w:p>
      <w:pPr>
        <w:spacing w:after="0" w:line="179" w:lineRule="exact"/>
        <w:rPr>
          <w:sz w:val="20"/>
          <w:szCs w:val="20"/>
          <w:color w:val="auto"/>
        </w:rPr>
      </w:pPr>
    </w:p>
    <w:p>
      <w:pPr>
        <w:jc w:val="both"/>
        <w:ind w:right="600" w:firstLine="749"/>
        <w:spacing w:after="0" w:line="244" w:lineRule="auto"/>
        <w:rPr>
          <w:sz w:val="20"/>
          <w:szCs w:val="20"/>
          <w:color w:val="auto"/>
        </w:rPr>
      </w:pPr>
      <w:r>
        <w:rPr>
          <w:rFonts w:ascii="Times New Roman" w:cs="Times New Roman" w:eastAsia="Times New Roman" w:hAnsi="Times New Roman"/>
          <w:sz w:val="22"/>
          <w:szCs w:val="22"/>
          <w:color w:val="auto"/>
        </w:rPr>
        <w:t>5.</w:t>
      </w:r>
      <w:r>
        <w:rPr>
          <w:rFonts w:ascii="Times New Roman" w:cs="Times New Roman" w:eastAsia="Times New Roman" w:hAnsi="Times New Roman"/>
          <w:sz w:val="22"/>
          <w:szCs w:val="22"/>
          <w:u w:val="single" w:color="auto"/>
          <w:color w:val="auto"/>
        </w:rPr>
        <w:t>Severance Pay and Benefits Upon Termination by the Company without Cause or by the Executive for Good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Reason</w:t>
      </w:r>
      <w:r>
        <w:rPr>
          <w:rFonts w:ascii="Times New Roman" w:cs="Times New Roman" w:eastAsia="Times New Roman" w:hAnsi="Times New Roman"/>
          <w:sz w:val="22"/>
          <w:szCs w:val="22"/>
          <w:color w:val="auto"/>
        </w:rPr>
        <w:t>. If the Executive’s employment is terminated by the Company without Cause as provided in Section 3(d), or the Executive terminates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798830</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40" w:top="1440" w:right="519" w:bottom="1440" w:gutter="0" w:footer="0" w:header="0"/>
        </w:sectPr>
      </w:pPr>
    </w:p>
    <w:bookmarkStart w:id="225" w:name="page226"/>
    <w:bookmarkEnd w:id="225"/>
    <w:p>
      <w:pPr>
        <w:spacing w:after="0" w:line="89" w:lineRule="exact"/>
        <w:rPr>
          <w:sz w:val="20"/>
          <w:szCs w:val="20"/>
          <w:color w:val="auto"/>
        </w:rPr>
      </w:pPr>
    </w:p>
    <w:p>
      <w:pPr>
        <w:ind w:left="7"/>
        <w:spacing w:after="0" w:line="265" w:lineRule="auto"/>
        <w:rPr>
          <w:sz w:val="20"/>
          <w:szCs w:val="20"/>
          <w:color w:val="auto"/>
        </w:rPr>
      </w:pPr>
      <w:r>
        <w:rPr>
          <w:rFonts w:ascii="Times New Roman" w:cs="Times New Roman" w:eastAsia="Times New Roman" w:hAnsi="Times New Roman"/>
          <w:sz w:val="20"/>
          <w:szCs w:val="20"/>
          <w:color w:val="auto"/>
        </w:rPr>
        <w:t>for Good Reason as provided in Section 3(e), and in either case the Date of Termination is on or after the six (6) month anniversary of the commencement of the Executive’s employment, then, in addition to the Accrued Obligations, and subject to</w:t>
      </w:r>
    </w:p>
    <w:p>
      <w:pPr>
        <w:spacing w:after="0" w:line="2" w:lineRule="exact"/>
        <w:rPr>
          <w:sz w:val="20"/>
          <w:szCs w:val="20"/>
          <w:color w:val="auto"/>
        </w:rPr>
      </w:pPr>
    </w:p>
    <w:p>
      <w:pPr>
        <w:ind w:left="7" w:right="140" w:hanging="7"/>
        <w:spacing w:after="0" w:line="232" w:lineRule="auto"/>
        <w:tabs>
          <w:tab w:leader="none" w:pos="265"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signing a separation agreement and release in a form and manner satisfactory to the Company, which shall include, without limitation, a general release of claims against the Company and all related persons and entities and a reaffirmation of all of the Executive’s Continuing Obligations (as defined below), and shall provide that if the Executive breaches any of the Continuing Obligations, all payments of the Severance Amount shall immediately cease (the “</w:t>
      </w:r>
      <w:r>
        <w:rPr>
          <w:rFonts w:ascii="Times New Roman" w:cs="Times New Roman" w:eastAsia="Times New Roman" w:hAnsi="Times New Roman"/>
          <w:sz w:val="22"/>
          <w:szCs w:val="22"/>
          <w:u w:val="single" w:color="auto"/>
          <w:color w:val="auto"/>
        </w:rPr>
        <w:t>Separation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and (ii) the Separation Agreement becoming irrevocable, all within 60 days after the Date of Termination (or such shorter period as set forth in the Separation Agreement):</w:t>
      </w:r>
    </w:p>
    <w:p>
      <w:pPr>
        <w:spacing w:after="0" w:line="180" w:lineRule="exact"/>
        <w:rPr>
          <w:rFonts w:ascii="Times New Roman" w:cs="Times New Roman" w:eastAsia="Times New Roman" w:hAnsi="Times New Roman"/>
          <w:sz w:val="22"/>
          <w:szCs w:val="22"/>
          <w:color w:val="auto"/>
        </w:rPr>
      </w:pPr>
    </w:p>
    <w:p>
      <w:pPr>
        <w:ind w:left="7" w:right="140" w:firstLine="1490"/>
        <w:spacing w:after="0" w:line="237" w:lineRule="auto"/>
        <w:tabs>
          <w:tab w:leader="none" w:pos="1928" w:val="left"/>
        </w:tabs>
        <w:numPr>
          <w:ilvl w:val="1"/>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pay the Executive an amount equal to nine (9) months of the Executive’s then-current Base Salary (the “</w:t>
      </w:r>
      <w:r>
        <w:rPr>
          <w:rFonts w:ascii="Times New Roman" w:cs="Times New Roman" w:eastAsia="Times New Roman" w:hAnsi="Times New Roman"/>
          <w:sz w:val="22"/>
          <w:szCs w:val="22"/>
          <w:u w:val="single" w:color="auto"/>
          <w:color w:val="auto"/>
        </w:rPr>
        <w:t>Severance Amount</w:t>
      </w:r>
      <w:r>
        <w:rPr>
          <w:rFonts w:ascii="Times New Roman" w:cs="Times New Roman" w:eastAsia="Times New Roman" w:hAnsi="Times New Roman"/>
          <w:sz w:val="22"/>
          <w:szCs w:val="22"/>
          <w:color w:val="auto"/>
        </w:rPr>
        <w:t>”); provided that in the event the Executive is entitled to any payments pursuant to the Restrictive Covenants Agreement, the Severance Amount received in any calendar year will be reduced by the amount the Executive is paid in the same such calendar year pursuant to the Restrictive Covenants Agreement (the “</w:t>
      </w:r>
      <w:r>
        <w:rPr>
          <w:rFonts w:ascii="Times New Roman" w:cs="Times New Roman" w:eastAsia="Times New Roman" w:hAnsi="Times New Roman"/>
          <w:sz w:val="22"/>
          <w:szCs w:val="22"/>
          <w:u w:val="single" w:color="auto"/>
          <w:color w:val="auto"/>
        </w:rPr>
        <w:t>Restrictive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Covenants Agreement Setoff</w:t>
      </w:r>
      <w:r>
        <w:rPr>
          <w:rFonts w:ascii="Times New Roman" w:cs="Times New Roman" w:eastAsia="Times New Roman" w:hAnsi="Times New Roman"/>
          <w:sz w:val="22"/>
          <w:szCs w:val="22"/>
          <w:color w:val="auto"/>
        </w:rPr>
        <w:t>”); and</w:t>
      </w:r>
    </w:p>
    <w:p>
      <w:pPr>
        <w:spacing w:after="0" w:line="180" w:lineRule="exact"/>
        <w:rPr>
          <w:rFonts w:ascii="Times New Roman" w:cs="Times New Roman" w:eastAsia="Times New Roman" w:hAnsi="Times New Roman"/>
          <w:sz w:val="22"/>
          <w:szCs w:val="22"/>
          <w:color w:val="auto"/>
        </w:rPr>
      </w:pPr>
    </w:p>
    <w:p>
      <w:pPr>
        <w:ind w:left="7" w:right="100" w:firstLine="1490"/>
        <w:spacing w:after="0" w:line="233" w:lineRule="auto"/>
        <w:tabs>
          <w:tab w:leader="none" w:pos="1928" w:val="left"/>
        </w:tabs>
        <w:numPr>
          <w:ilvl w:val="1"/>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Executive’s copayment of premium amounts at the applicable active employees’ rate and the Executive’s proper election to receive benefits under the Consolidated Omnibus Budget Reconciliation Act of 1985, as amended (“</w:t>
      </w:r>
      <w:r>
        <w:rPr>
          <w:rFonts w:ascii="Times New Roman" w:cs="Times New Roman" w:eastAsia="Times New Roman" w:hAnsi="Times New Roman"/>
          <w:sz w:val="22"/>
          <w:szCs w:val="22"/>
          <w:u w:val="single" w:color="auto"/>
          <w:color w:val="auto"/>
        </w:rPr>
        <w:t>COBRA</w:t>
      </w:r>
      <w:r>
        <w:rPr>
          <w:rFonts w:ascii="Times New Roman" w:cs="Times New Roman" w:eastAsia="Times New Roman" w:hAnsi="Times New Roman"/>
          <w:sz w:val="22"/>
          <w:szCs w:val="22"/>
          <w:color w:val="auto"/>
        </w:rPr>
        <w:t>”), the Company shall pay to the group health plan provider or the COBRA provider a monthly payment equal to the monthly employer contribution that the Company would have made to provide health insurance to the Executive if the Executive had remained employed by the Company until the earliest of (A) the nine (9) month anniversary of the Date of Termination; (B) the date that the Executive becomes eligible for group medical plan benefits under any other employer’s group medical plan; or (C) the cessation of the Executive’s health continuation rights under COBRA; provided, however, that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the Executive for the time period specified above. Such payments to the Executive shall be subject to tax-related deductions and withholdings and paid on the Company’s regular payroll dates.</w:t>
      </w:r>
    </w:p>
    <w:p>
      <w:pPr>
        <w:spacing w:after="0" w:line="181" w:lineRule="exact"/>
        <w:rPr>
          <w:sz w:val="20"/>
          <w:szCs w:val="20"/>
          <w:color w:val="auto"/>
        </w:rPr>
      </w:pPr>
    </w:p>
    <w:p>
      <w:pPr>
        <w:ind w:left="7" w:right="160"/>
        <w:spacing w:after="0" w:line="239" w:lineRule="auto"/>
        <w:rPr>
          <w:sz w:val="20"/>
          <w:szCs w:val="20"/>
          <w:color w:val="auto"/>
        </w:rPr>
      </w:pPr>
      <w:r>
        <w:rPr>
          <w:rFonts w:ascii="Times New Roman" w:cs="Times New Roman" w:eastAsia="Times New Roman" w:hAnsi="Times New Roman"/>
          <w:sz w:val="22"/>
          <w:szCs w:val="22"/>
          <w:color w:val="auto"/>
        </w:rPr>
        <w:t>Notwithstanding anything to the contrary in this Section 5, if the Executive’s termination is a termination by the Company without Cause due to a role elimination or a reduction in force, then the requirement that the Executive be employed for at least six (6) months prior to the Date of Termination in order to be eligible for the severance pay and benefits set forth in this Section 5 shall be waived.</w:t>
      </w:r>
    </w:p>
    <w:p>
      <w:pPr>
        <w:spacing w:after="0" w:line="179" w:lineRule="exact"/>
        <w:rPr>
          <w:sz w:val="20"/>
          <w:szCs w:val="20"/>
          <w:color w:val="auto"/>
        </w:rPr>
      </w:pPr>
    </w:p>
    <w:p>
      <w:pPr>
        <w:ind w:left="7" w:right="220"/>
        <w:spacing w:after="0" w:line="236" w:lineRule="auto"/>
        <w:rPr>
          <w:sz w:val="20"/>
          <w:szCs w:val="20"/>
          <w:color w:val="auto"/>
        </w:rPr>
      </w:pPr>
      <w:r>
        <w:rPr>
          <w:rFonts w:ascii="Times New Roman" w:cs="Times New Roman" w:eastAsia="Times New Roman" w:hAnsi="Times New Roman"/>
          <w:sz w:val="22"/>
          <w:szCs w:val="22"/>
          <w:color w:val="auto"/>
        </w:rPr>
        <w:t>For the avoidance of doubt, and notwithstanding anything to the contrary in any applicable option agreement or other stock-based award agreement, if the Separation Agreement becomes effective, the unvested portions of all stock options and other stock-based awards held by the Executive that are subject solely to time-based vesting, including, without limitation, the Initial Stock Option (the “</w:t>
      </w:r>
      <w:r>
        <w:rPr>
          <w:rFonts w:ascii="Times New Roman" w:cs="Times New Roman" w:eastAsia="Times New Roman" w:hAnsi="Times New Roman"/>
          <w:sz w:val="22"/>
          <w:szCs w:val="22"/>
          <w:u w:val="single" w:color="auto"/>
          <w:color w:val="auto"/>
        </w:rPr>
        <w:t>Time-Based Equity Awards</w:t>
      </w:r>
      <w:r>
        <w:rPr>
          <w:rFonts w:ascii="Times New Roman" w:cs="Times New Roman" w:eastAsia="Times New Roman" w:hAnsi="Times New Roman"/>
          <w:sz w:val="22"/>
          <w:szCs w:val="22"/>
          <w:color w:val="auto"/>
        </w:rPr>
        <w:t>”) shall not terminate or be forfeited on the Date of Termination, but rather shall be delayed until the earlier of (i) a Change in Control, at which time the Time-Based Equity Awards shall immediately accelerate and become fully vested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803910</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7"/>
          </w:cols>
          <w:pgMar w:left="433" w:top="1440" w:right="539" w:bottom="1440" w:gutter="0" w:footer="0" w:header="0"/>
        </w:sectPr>
      </w:pPr>
    </w:p>
    <w:bookmarkStart w:id="226" w:name="page227"/>
    <w:bookmarkEnd w:id="226"/>
    <w:p>
      <w:pPr>
        <w:spacing w:after="0" w:line="89"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20"/>
          <w:szCs w:val="20"/>
          <w:color w:val="auto"/>
        </w:rPr>
        <w:t>exercisable or nonforfeitable pursuant to Section 6 below and/or pursuant to the applicable option agreement or other stock-based award agreement or (ii) the date immediately following the three (3) month anniversary of the Date of Termination, at which time the unvested portion of the Time-Based Equity Awards will terminate or be forfeited. If the Separation Agreement does not become effective, then the unvested portion of the Time-Based Equity Awards will terminate or be forfeited on the date that the Separation Agreement can no longer become effective. Notwithstanding the foregoing, no additional time-based vesting of the Time-Based Equity Awards shall occur following the Date of Termination.</w:t>
      </w:r>
    </w:p>
    <w:p>
      <w:pPr>
        <w:spacing w:after="0" w:line="154"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22"/>
          <w:szCs w:val="22"/>
          <w:color w:val="auto"/>
        </w:rPr>
        <w:t>The amounts payable under Section 5, to the extent taxable, shall be paid or commence to be paid within 60 days after the Date of Termination; provided, however, that if the 60-day period begins in one calendar year and ends in a second calendar year, such payments to the extent they qualify as “non-qualified deferred compensation” within the meaning of Section 409A of the Internal Revenue Code of 1986, as amended (the “</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shall be paid or commence to be paid in the second calendar year by the last day of such 60-day period. Each payment pursuant to this Agreement is intended to constitute a separate payment for purposes of Treasury Regulation Section 1.409A-2(b)(2).</w:t>
      </w:r>
    </w:p>
    <w:p>
      <w:pPr>
        <w:spacing w:after="0" w:line="179" w:lineRule="exact"/>
        <w:rPr>
          <w:sz w:val="20"/>
          <w:szCs w:val="20"/>
          <w:color w:val="auto"/>
        </w:rPr>
      </w:pPr>
    </w:p>
    <w:p>
      <w:pPr>
        <w:ind w:right="160" w:firstLine="749"/>
        <w:spacing w:after="0" w:line="233" w:lineRule="auto"/>
        <w:rPr>
          <w:sz w:val="20"/>
          <w:szCs w:val="20"/>
          <w:color w:val="auto"/>
        </w:rPr>
      </w:pPr>
      <w:r>
        <w:rPr>
          <w:rFonts w:ascii="Times New Roman" w:cs="Times New Roman" w:eastAsia="Times New Roman" w:hAnsi="Times New Roman"/>
          <w:sz w:val="22"/>
          <w:szCs w:val="22"/>
          <w:color w:val="auto"/>
        </w:rPr>
        <w:t>6.</w:t>
      </w:r>
      <w:r>
        <w:rPr>
          <w:rFonts w:ascii="Times New Roman" w:cs="Times New Roman" w:eastAsia="Times New Roman" w:hAnsi="Times New Roman"/>
          <w:sz w:val="22"/>
          <w:szCs w:val="22"/>
          <w:u w:val="single" w:color="auto"/>
          <w:color w:val="auto"/>
        </w:rPr>
        <w:t>Severance Pay and Benefits Upon Termination by the Company without Cause or by the Executive for Good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Reason within the Change in Control Period</w:t>
      </w:r>
      <w:r>
        <w:rPr>
          <w:rFonts w:ascii="Times New Roman" w:cs="Times New Roman" w:eastAsia="Times New Roman" w:hAnsi="Times New Roman"/>
          <w:sz w:val="22"/>
          <w:szCs w:val="22"/>
          <w:color w:val="auto"/>
        </w:rPr>
        <w:t>. The provisions of this Section 6 shall apply in lieu of, and expressly supersede, the provisions of Section 5 if (i) the Executive’s employment is terminated either (a) by the Company without Cause as provided in Section 3(d), or (b) by the Executive for Good Reason as provided in Section 3(e), and (ii) the Date of Termination is within three (3) months prior to, on or within 12 months after, the occurrence of the first event constituting a Change in Control (such period, the “</w:t>
      </w:r>
      <w:r>
        <w:rPr>
          <w:rFonts w:ascii="Times New Roman" w:cs="Times New Roman" w:eastAsia="Times New Roman" w:hAnsi="Times New Roman"/>
          <w:sz w:val="22"/>
          <w:szCs w:val="22"/>
          <w:u w:val="single" w:color="auto"/>
          <w:color w:val="auto"/>
        </w:rPr>
        <w:t>Change in Control Period</w:t>
      </w:r>
      <w:r>
        <w:rPr>
          <w:rFonts w:ascii="Times New Roman" w:cs="Times New Roman" w:eastAsia="Times New Roman" w:hAnsi="Times New Roman"/>
          <w:sz w:val="22"/>
          <w:szCs w:val="22"/>
          <w:color w:val="auto"/>
        </w:rPr>
        <w:t>”). These provisions shall terminate and be of no further force or effect after the Change in Control Period. For the avoidance of doubt, (i) in no event will the Executive be entitled to severance benefits under both Section 5 and Section 6 of this Agreement, and (ii) if the Company has commenced providing severance pay and benefits to the Executive under Section 5 prior to the date that the Executive becomes eligible to receive severance pay and benefits under this Section 6, the severance pay and benefits previously provided to the Executive under Section 5 shall reduce the severance pay and benefits to be provided under this Section 6.</w:t>
      </w:r>
    </w:p>
    <w:p>
      <w:pPr>
        <w:spacing w:after="0" w:line="184" w:lineRule="exact"/>
        <w:rPr>
          <w:sz w:val="20"/>
          <w:szCs w:val="20"/>
          <w:color w:val="auto"/>
        </w:rPr>
      </w:pPr>
    </w:p>
    <w:p>
      <w:pPr>
        <w:ind w:right="180" w:firstLine="1490"/>
        <w:spacing w:after="0" w:line="234" w:lineRule="auto"/>
        <w:tabs>
          <w:tab w:leader="none" w:pos="1921"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Executive’s employment is terminated by the Company without Cause as provided in Section 3(d) or the Executive terminates employment for Good Reason as provided in Section 3(e) and in each case the Date of Termination occurs during the Change in Control Period, then, in addition to the Accrued Obligations, and subject to the signing of the Separation Agreement by the Executive and the Separation Agreement becoming fully effective, all within the time frame set forth in the Separation Agreement but in no event more than 60 days after the Date of Termination:</w:t>
      </w:r>
    </w:p>
    <w:p>
      <w:pPr>
        <w:spacing w:after="0" w:line="4" w:lineRule="exact"/>
        <w:rPr>
          <w:rFonts w:ascii="Times New Roman" w:cs="Times New Roman" w:eastAsia="Times New Roman" w:hAnsi="Times New Roman"/>
          <w:sz w:val="22"/>
          <w:szCs w:val="22"/>
          <w:color w:val="auto"/>
        </w:rPr>
      </w:pPr>
    </w:p>
    <w:p>
      <w:pPr>
        <w:ind w:left="2620" w:firstLine="1491"/>
        <w:spacing w:after="0" w:line="232" w:lineRule="auto"/>
        <w:tabs>
          <w:tab w:leader="none" w:pos="4472" w:val="left"/>
        </w:tabs>
        <w:numPr>
          <w:ilvl w:val="1"/>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pay the Executive a lump sum in cash in an amount equal to the sum of (A) 12 months of the Executive’s then-current Base Salary (or the Executive’s Base Salary in effect immediately prior to the Change in Control, if higher) plus (B) the Executive’s Target Bonus for the then-current year (or the Executive’s Target Bonus in effect immediately prior to the Change in Control, if higher) (the “</w:t>
      </w:r>
      <w:r>
        <w:rPr>
          <w:rFonts w:ascii="Times New Roman" w:cs="Times New Roman" w:eastAsia="Times New Roman" w:hAnsi="Times New Roman"/>
          <w:sz w:val="22"/>
          <w:szCs w:val="22"/>
          <w:u w:val="single" w:color="auto"/>
          <w:color w:val="auto"/>
        </w:rPr>
        <w:t>Change in Control Payment</w:t>
      </w:r>
      <w:r>
        <w:rPr>
          <w:rFonts w:ascii="Times New Roman" w:cs="Times New Roman" w:eastAsia="Times New Roman" w:hAnsi="Times New Roman"/>
          <w:sz w:val="22"/>
          <w:szCs w:val="22"/>
          <w:color w:val="auto"/>
        </w:rPr>
        <w:t>”); provided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804545</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40" w:top="1440" w:right="519" w:bottom="1440" w:gutter="0" w:footer="0" w:header="0"/>
        </w:sectPr>
      </w:pPr>
    </w:p>
    <w:bookmarkStart w:id="227" w:name="page228"/>
    <w:bookmarkEnd w:id="227"/>
    <w:p>
      <w:pPr>
        <w:ind w:left="2620" w:right="320"/>
        <w:spacing w:after="0" w:line="258" w:lineRule="auto"/>
        <w:rPr>
          <w:sz w:val="20"/>
          <w:szCs w:val="20"/>
          <w:color w:val="auto"/>
        </w:rPr>
      </w:pPr>
      <w:r>
        <w:rPr>
          <w:rFonts w:ascii="Times New Roman" w:cs="Times New Roman" w:eastAsia="Times New Roman" w:hAnsi="Times New Roman"/>
          <w:sz w:val="22"/>
          <w:szCs w:val="22"/>
          <w:color w:val="auto"/>
        </w:rPr>
        <w:t>the Change in Control Payment shall be reduced by the amount of the Restrictive Covenants Agreement Setoff, if applicable; and</w:t>
      </w:r>
    </w:p>
    <w:p>
      <w:pPr>
        <w:spacing w:after="0" w:line="184" w:lineRule="exact"/>
        <w:rPr>
          <w:sz w:val="20"/>
          <w:szCs w:val="20"/>
          <w:color w:val="auto"/>
        </w:rPr>
      </w:pPr>
    </w:p>
    <w:p>
      <w:pPr>
        <w:ind w:left="2620" w:firstLine="1491"/>
        <w:spacing w:after="0" w:line="255" w:lineRule="auto"/>
        <w:tabs>
          <w:tab w:leader="none" w:pos="4469" w:val="left"/>
        </w:tabs>
        <w:numPr>
          <w:ilvl w:val="1"/>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any applicable option agreement or other stock-based award agreement, the Time-Based Equity Awards that have not already accelerated upon the Change in Control pursuant to the applicable option agreement or other stock-based award agreement shall immediately accelerate and become fully vested and exercisable or nonforfeitable as of the later of (i) the Date of Termination (or, if later, the Change in Control) or (ii) the effective date of the Separation Agreement (the “</w:t>
      </w:r>
      <w:r>
        <w:rPr>
          <w:rFonts w:ascii="Times New Roman" w:cs="Times New Roman" w:eastAsia="Times New Roman" w:hAnsi="Times New Roman"/>
          <w:sz w:val="20"/>
          <w:szCs w:val="20"/>
          <w:u w:val="single" w:color="auto"/>
          <w:color w:val="auto"/>
        </w:rPr>
        <w:t>Accelerated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Vesting Date</w:t>
      </w:r>
      <w:r>
        <w:rPr>
          <w:rFonts w:ascii="Times New Roman" w:cs="Times New Roman" w:eastAsia="Times New Roman" w:hAnsi="Times New Roman"/>
          <w:sz w:val="20"/>
          <w:szCs w:val="20"/>
          <w:color w:val="auto"/>
        </w:rPr>
        <w:t>”), provided that in order to effectuate the accelerated vesting contemplated by this subsection, the unvested portion of the Executive’s Time-Based Equity Awards that would otherwise terminate or be forfeited on the Date of Termination will be delayed until the earlier of (A) the effective date of the Separation Agreement (at which time acceleration will occur), or</w:t>
      </w:r>
    </w:p>
    <w:p>
      <w:pPr>
        <w:spacing w:after="0" w:line="7" w:lineRule="exact"/>
        <w:rPr>
          <w:rFonts w:ascii="Times New Roman" w:cs="Times New Roman" w:eastAsia="Times New Roman" w:hAnsi="Times New Roman"/>
          <w:sz w:val="20"/>
          <w:szCs w:val="20"/>
          <w:color w:val="auto"/>
        </w:rPr>
      </w:pPr>
    </w:p>
    <w:p>
      <w:pPr>
        <w:ind w:left="2620" w:right="60" w:hanging="6"/>
        <w:spacing w:after="0" w:line="233" w:lineRule="auto"/>
        <w:tabs>
          <w:tab w:leader="none" w:pos="2961"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that the Separation Agreement can no longer become fully effective (at which time the unvested portion of the Executive’s Time-Based Equity Awards will terminate or be forfeited). Notwithstanding the foregoing, no additional time-based vesting of the Time-Based Equity Awards shall occur during the period between the Date of Termination and the Accelerated Vesting Date; and</w:t>
      </w:r>
    </w:p>
    <w:p>
      <w:pPr>
        <w:spacing w:after="0" w:line="285" w:lineRule="exact"/>
        <w:rPr>
          <w:sz w:val="20"/>
          <w:szCs w:val="20"/>
          <w:color w:val="auto"/>
        </w:rPr>
      </w:pPr>
    </w:p>
    <w:p>
      <w:pPr>
        <w:ind w:left="2620" w:right="100" w:firstLine="1498"/>
        <w:spacing w:after="0" w:line="232" w:lineRule="auto"/>
        <w:rPr>
          <w:sz w:val="20"/>
          <w:szCs w:val="20"/>
          <w:color w:val="auto"/>
        </w:rPr>
      </w:pPr>
      <w:r>
        <w:rPr>
          <w:rFonts w:ascii="Times New Roman" w:cs="Times New Roman" w:eastAsia="Times New Roman" w:hAnsi="Times New Roman"/>
          <w:sz w:val="22"/>
          <w:szCs w:val="22"/>
          <w:color w:val="auto"/>
        </w:rPr>
        <w:t>(iii)subject to the Executive’s copayment of premium amounts at the applicable active employees’ rate and the Executive’s proper election to receive benefits under COBRA, the Company shall pay to the group health plan provider or the COBRA provider a monthly payment equal to the monthly employer contribution that the Company would have made to provide health insurance to the Executive if the Executive had remained employed by the Company until the earliest of (A) the 12 month anniversary of the Date of Termination; (B) the date that the Executive becomes eligible for group medical plan benefits under any other employer’s group medical plan; or (C) the cessation of the Executive’s health continuation rights under COBRA; provided, however, that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the Executive for the time period specified above. Such payments to the Executive shall be subject to tax-related deductions and withholdings and paid on the Company’s regular payroll dates.</w:t>
      </w:r>
    </w:p>
    <w:p>
      <w:pPr>
        <w:spacing w:after="0" w:line="18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2"/>
          <w:szCs w:val="22"/>
          <w:color w:val="auto"/>
        </w:rPr>
        <w:t>The amounts payable under this Section 6(a), to the extent taxable, shall be paid or commence to be paid within 60 days after the Date of Termination or, if later, the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789305</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440" w:top="1312" w:right="559" w:bottom="1440" w:gutter="0" w:footer="0" w:header="0"/>
        </w:sectPr>
      </w:pPr>
    </w:p>
    <w:bookmarkStart w:id="228" w:name="page229"/>
    <w:bookmarkEnd w:id="228"/>
    <w:p>
      <w:pPr>
        <w:spacing w:after="0" w:line="89"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provided, however, that if the 60-day period begins in one calendar year and ends in a second calendar year, such payments to the extent they qualify as “non-qualified deferred compensation” within the meaning of Section 409A of the Code, shall be paid or commence to be paid in the second calendar year by the last day of such 60-day period.</w:t>
      </w:r>
    </w:p>
    <w:p>
      <w:pPr>
        <w:spacing w:after="0" w:line="172" w:lineRule="exact"/>
        <w:rPr>
          <w:sz w:val="20"/>
          <w:szCs w:val="20"/>
          <w:color w:val="auto"/>
        </w:rPr>
      </w:pPr>
    </w:p>
    <w:p>
      <w:pPr>
        <w:ind w:left="1920" w:hanging="430"/>
        <w:spacing w:after="0"/>
        <w:tabs>
          <w:tab w:leader="none" w:pos="1920"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Limitation</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ind w:left="2620" w:right="60" w:firstLine="1491"/>
        <w:spacing w:after="0" w:line="255" w:lineRule="auto"/>
        <w:tabs>
          <w:tab w:leader="none" w:pos="4464"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Anything in this Agreement to the contrary notwithstanding, in the event that the amount of any compensation, payment or distribution by the Company to or for the benefit of the Executive, whether paid or payable or distributed or distributable pursuant to the terms of this Agreement or otherwise, calculated in a manner consistent with Section 280G of the Code, and the applicable regulations thereunder (the “</w:t>
      </w:r>
      <w:r>
        <w:rPr>
          <w:rFonts w:ascii="Times New Roman" w:cs="Times New Roman" w:eastAsia="Times New Roman" w:hAnsi="Times New Roman"/>
          <w:sz w:val="20"/>
          <w:szCs w:val="20"/>
          <w:u w:val="single" w:color="auto"/>
          <w:color w:val="auto"/>
        </w:rPr>
        <w:t>Aggregate Payments</w:t>
      </w:r>
      <w:r>
        <w:rPr>
          <w:rFonts w:ascii="Times New Roman" w:cs="Times New Roman" w:eastAsia="Times New Roman" w:hAnsi="Times New Roman"/>
          <w:sz w:val="20"/>
          <w:szCs w:val="20"/>
          <w:color w:val="auto"/>
        </w:rPr>
        <w:t>”), would be subject to the excise tax imposed by Section 4999 of the Code, then the Aggregate Payments shall be reduced (but not below zero) so that the sum of all of the Aggregate Payments shall be $1.00 less than the amount at which the Executive becomes subject to the excise tax imposed by Section 4999 of the Code; provided that such reduction shall only occur if it would result in the Executive receiving a higher After Tax Amount (as defined below) than the Executive would receive if the Aggregate Payments were not subject to such reduction.</w:t>
      </w:r>
    </w:p>
    <w:p>
      <w:pPr>
        <w:spacing w:after="0" w:line="5" w:lineRule="exact"/>
        <w:rPr>
          <w:rFonts w:ascii="Times New Roman" w:cs="Times New Roman" w:eastAsia="Times New Roman" w:hAnsi="Times New Roman"/>
          <w:sz w:val="20"/>
          <w:szCs w:val="20"/>
          <w:color w:val="auto"/>
        </w:rPr>
      </w:pPr>
    </w:p>
    <w:p>
      <w:pPr>
        <w:ind w:left="2620" w:right="20"/>
        <w:spacing w:after="0" w:line="23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(1) cash payments not subject to Section 409A of the Code; (2) cash payments subject to Section 409A of the Code; (3) equity-based payments and acceleration; and (4) non-cash forms of benefits; provided that in the case of all the foregoing Aggregate Payments all amounts or payments that are not subject to calculation under Treas. Reg. §1.280G-1, Q&amp;A-24(b) or (c) shall be reduced before any amounts that are subject to calculation under Treas. Reg. §1.280G-1, Q&amp;A-24(b) or (c).</w:t>
      </w:r>
    </w:p>
    <w:p>
      <w:pPr>
        <w:spacing w:after="0" w:line="184" w:lineRule="exact"/>
        <w:rPr>
          <w:rFonts w:ascii="Times New Roman" w:cs="Times New Roman" w:eastAsia="Times New Roman" w:hAnsi="Times New Roman"/>
          <w:sz w:val="20"/>
          <w:szCs w:val="20"/>
          <w:color w:val="auto"/>
        </w:rPr>
      </w:pPr>
    </w:p>
    <w:p>
      <w:pPr>
        <w:ind w:left="2620" w:right="160" w:firstLine="1491"/>
        <w:spacing w:after="0" w:line="234" w:lineRule="auto"/>
        <w:tabs>
          <w:tab w:leader="none" w:pos="4464"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Section 6(b), the “</w:t>
      </w:r>
      <w:r>
        <w:rPr>
          <w:rFonts w:ascii="Times New Roman" w:cs="Times New Roman" w:eastAsia="Times New Roman" w:hAnsi="Times New Roman"/>
          <w:sz w:val="22"/>
          <w:szCs w:val="22"/>
          <w:u w:val="single" w:color="auto"/>
          <w:color w:val="auto"/>
        </w:rPr>
        <w:t>After Tax Amount</w:t>
      </w:r>
      <w:r>
        <w:rPr>
          <w:rFonts w:ascii="Times New Roman" w:cs="Times New Roman" w:eastAsia="Times New Roman" w:hAnsi="Times New Roman"/>
          <w:sz w:val="22"/>
          <w:szCs w:val="22"/>
          <w:color w:val="auto"/>
        </w:rPr>
        <w:t>” means the amount of the Aggregate Payments less all federal, state, and local income, excise and employment taxes imposed on the Executive as a result of the Executive’s receipt of the Aggregate Payments. For purposes of determining the After Tax Amount, the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803910</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440" w:top="1440" w:right="599" w:bottom="1440" w:gutter="0" w:footer="0" w:header="0"/>
        </w:sectPr>
      </w:pPr>
    </w:p>
    <w:bookmarkStart w:id="229" w:name="page230"/>
    <w:bookmarkEnd w:id="229"/>
    <w:p>
      <w:pPr>
        <w:spacing w:after="0" w:line="89" w:lineRule="exact"/>
        <w:rPr>
          <w:sz w:val="20"/>
          <w:szCs w:val="20"/>
          <w:color w:val="auto"/>
        </w:rPr>
      </w:pPr>
    </w:p>
    <w:p>
      <w:pPr>
        <w:ind w:left="2620" w:right="80" w:firstLine="1498"/>
        <w:spacing w:after="0" w:line="235" w:lineRule="auto"/>
        <w:rPr>
          <w:sz w:val="20"/>
          <w:szCs w:val="20"/>
          <w:color w:val="auto"/>
        </w:rPr>
      </w:pPr>
      <w:r>
        <w:rPr>
          <w:rFonts w:ascii="Times New Roman" w:cs="Times New Roman" w:eastAsia="Times New Roman" w:hAnsi="Times New Roman"/>
          <w:sz w:val="22"/>
          <w:szCs w:val="22"/>
          <w:color w:val="auto"/>
        </w:rPr>
        <w:t>(iii)The determination as to whether a reduction in the Aggregate Payments shall be made pursuant to Section 6(b)(i) shall be made by a nationally recognized accounting firm selected by the Company (the “</w:t>
      </w:r>
      <w:r>
        <w:rPr>
          <w:rFonts w:ascii="Times New Roman" w:cs="Times New Roman" w:eastAsia="Times New Roman" w:hAnsi="Times New Roman"/>
          <w:sz w:val="22"/>
          <w:szCs w:val="22"/>
          <w:u w:val="single" w:color="auto"/>
          <w:color w:val="auto"/>
        </w:rPr>
        <w:t>Accounting Firm</w:t>
      </w:r>
      <w:r>
        <w:rPr>
          <w:rFonts w:ascii="Times New Roman" w:cs="Times New Roman" w:eastAsia="Times New Roman" w:hAnsi="Times New Roman"/>
          <w:sz w:val="22"/>
          <w:szCs w:val="22"/>
          <w:color w:val="auto"/>
        </w:rPr>
        <w:t>”), which shall provide detailed supporting calculations both to the Company and the Executive within 15 business days of the Date of Termination, if applicable, or at such earlier time as is reasonably requested by the Company or the Executive. Any determination by the Accounting Firm shall be binding upon the Company and the Executive.</w:t>
      </w:r>
    </w:p>
    <w:p>
      <w:pPr>
        <w:spacing w:after="0" w:line="181" w:lineRule="exact"/>
        <w:rPr>
          <w:sz w:val="20"/>
          <w:szCs w:val="20"/>
          <w:color w:val="auto"/>
        </w:rPr>
      </w:pPr>
    </w:p>
    <w:p>
      <w:pPr>
        <w:ind w:left="1920" w:hanging="430"/>
        <w:spacing w:after="0"/>
        <w:tabs>
          <w:tab w:leader="none" w:pos="1920" w:val="left"/>
        </w:tabs>
        <w:numPr>
          <w:ilvl w:val="1"/>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For purposes of this Agreement, “</w:t>
      </w: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shall mean a “Change in Control” as</w:t>
      </w:r>
    </w:p>
    <w:p>
      <w:pPr>
        <w:spacing w:after="0" w:line="36"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defined in the Plan.</w:t>
      </w:r>
    </w:p>
    <w:p>
      <w:pPr>
        <w:spacing w:after="0" w:line="181" w:lineRule="exact"/>
        <w:rPr>
          <w:rFonts w:ascii="Times New Roman" w:cs="Times New Roman" w:eastAsia="Times New Roman" w:hAnsi="Times New Roman"/>
          <w:sz w:val="20"/>
          <w:szCs w:val="20"/>
          <w:color w:val="auto"/>
        </w:rPr>
      </w:pPr>
    </w:p>
    <w:p>
      <w:pPr>
        <w:ind w:left="1500" w:hanging="758"/>
        <w:spacing w:after="0"/>
        <w:tabs>
          <w:tab w:leader="none" w:pos="1500"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w:t>
      </w:r>
    </w:p>
    <w:p>
      <w:pPr>
        <w:spacing w:after="0" w:line="205" w:lineRule="exact"/>
        <w:rPr>
          <w:rFonts w:ascii="Times New Roman" w:cs="Times New Roman" w:eastAsia="Times New Roman" w:hAnsi="Times New Roman"/>
          <w:sz w:val="22"/>
          <w:szCs w:val="22"/>
          <w:color w:val="auto"/>
        </w:rPr>
      </w:pPr>
    </w:p>
    <w:p>
      <w:pPr>
        <w:ind w:firstLine="1490"/>
        <w:spacing w:after="0" w:line="233" w:lineRule="auto"/>
        <w:tabs>
          <w:tab w:leader="none" w:pos="1921" w:val="left"/>
        </w:tabs>
        <w:numPr>
          <w:ilvl w:val="1"/>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Anything in this Agreement to the contrary notwithstanding, if at the time of the Executive’s separation from service within the meaning of Section 409A of the Code, the Company determines that the Executive is a “specified employee” within the meaning of Section 409A(a)(2)(B)(i) of the Code, then to the extent any payment or benefit that the Executive becomes entitled to under this Agreement or otherwise on account of the Executive’s separation from service would be considered deferred compensation otherwise subject to the 20 percent additional tax imposed pursuant to Section 409A(a) of the Code as a result of the application of Section 409A(a)(2)(B)(i) of the Code, such payment shall not be payable and such benefit shall not be provided until the date that is the earlier of (A) six months and one day after the Executive’s separation from service, or (B) the Executive’s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w:t>
      </w:r>
    </w:p>
    <w:p>
      <w:pPr>
        <w:spacing w:after="0" w:line="184" w:lineRule="exact"/>
        <w:rPr>
          <w:rFonts w:ascii="Times New Roman" w:cs="Times New Roman" w:eastAsia="Times New Roman" w:hAnsi="Times New Roman"/>
          <w:sz w:val="22"/>
          <w:szCs w:val="22"/>
          <w:color w:val="auto"/>
        </w:rPr>
      </w:pPr>
    </w:p>
    <w:p>
      <w:pPr>
        <w:ind w:right="220" w:firstLine="1490"/>
        <w:spacing w:after="0" w:line="235" w:lineRule="auto"/>
        <w:tabs>
          <w:tab w:leader="none" w:pos="1921" w:val="left"/>
        </w:tabs>
        <w:numPr>
          <w:ilvl w:val="1"/>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in-kind benefits provided and expenses eligible for reimbursement under this Agreement shall be provided by the Company or incurred by the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w:t>
      </w:r>
    </w:p>
    <w:p>
      <w:pPr>
        <w:spacing w:after="0" w:line="4" w:lineRule="exact"/>
        <w:rPr>
          <w:rFonts w:ascii="Times New Roman" w:cs="Times New Roman" w:eastAsia="Times New Roman" w:hAnsi="Times New Roman"/>
          <w:sz w:val="22"/>
          <w:szCs w:val="22"/>
          <w:color w:val="auto"/>
        </w:rPr>
      </w:pPr>
    </w:p>
    <w:p>
      <w:pPr>
        <w:ind w:right="340"/>
        <w:spacing w:after="0" w:line="23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80" w:lineRule="exact"/>
        <w:rPr>
          <w:rFonts w:ascii="Times New Roman" w:cs="Times New Roman" w:eastAsia="Times New Roman" w:hAnsi="Times New Roman"/>
          <w:sz w:val="22"/>
          <w:szCs w:val="22"/>
          <w:color w:val="auto"/>
        </w:rPr>
      </w:pPr>
    </w:p>
    <w:p>
      <w:pPr>
        <w:ind w:right="160" w:firstLine="1490"/>
        <w:spacing w:after="0" w:line="237" w:lineRule="auto"/>
        <w:tabs>
          <w:tab w:leader="none" w:pos="1921" w:val="left"/>
        </w:tabs>
        <w:numPr>
          <w:ilvl w:val="1"/>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shall be payable only upon the Executive’s “separation from service.” The determination of whether and when a separation from service has occurred shall be made in accordance with the presumptions set forth in Treasury Regulation Section 1.409A-1(h).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803910</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440" w:top="1440" w:right="619" w:bottom="1440" w:gutter="0" w:footer="0" w:header="0"/>
        </w:sectPr>
      </w:pPr>
    </w:p>
    <w:bookmarkStart w:id="230" w:name="page231"/>
    <w:bookmarkEnd w:id="230"/>
    <w:p>
      <w:pPr>
        <w:spacing w:after="0" w:line="89" w:lineRule="exact"/>
        <w:rPr>
          <w:sz w:val="20"/>
          <w:szCs w:val="20"/>
          <w:color w:val="auto"/>
        </w:rPr>
      </w:pPr>
    </w:p>
    <w:p>
      <w:pPr>
        <w:ind w:right="40" w:firstLine="1490"/>
        <w:spacing w:after="0" w:line="234" w:lineRule="auto"/>
        <w:tabs>
          <w:tab w:leader="none" w:pos="1921" w:val="left"/>
        </w:tabs>
        <w:numPr>
          <w:ilvl w:val="1"/>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or the Restrictive Covenants Agreement is intended to constitute a separate payment for purposes of Treasury Regulation Section 1.409A-2(b)(2).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184" w:lineRule="exact"/>
        <w:rPr>
          <w:rFonts w:ascii="Times New Roman" w:cs="Times New Roman" w:eastAsia="Times New Roman" w:hAnsi="Times New Roman"/>
          <w:sz w:val="22"/>
          <w:szCs w:val="22"/>
          <w:color w:val="auto"/>
        </w:rPr>
      </w:pPr>
    </w:p>
    <w:p>
      <w:pPr>
        <w:ind w:right="40" w:firstLine="1490"/>
        <w:spacing w:after="0" w:line="244" w:lineRule="auto"/>
        <w:tabs>
          <w:tab w:leader="none" w:pos="1921" w:val="left"/>
        </w:tabs>
        <w:numPr>
          <w:ilvl w:val="1"/>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w:t>
      </w:r>
    </w:p>
    <w:p>
      <w:pPr>
        <w:spacing w:after="0" w:line="172" w:lineRule="exact"/>
        <w:rPr>
          <w:rFonts w:ascii="Times New Roman" w:cs="Times New Roman" w:eastAsia="Times New Roman" w:hAnsi="Times New Roman"/>
          <w:sz w:val="22"/>
          <w:szCs w:val="22"/>
          <w:color w:val="auto"/>
        </w:rPr>
      </w:pPr>
    </w:p>
    <w:p>
      <w:pPr>
        <w:ind w:left="1500" w:hanging="758"/>
        <w:spacing w:after="0"/>
        <w:tabs>
          <w:tab w:leader="none" w:pos="1500"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Continuing Obligations</w:t>
      </w:r>
      <w:r>
        <w:rPr>
          <w:rFonts w:ascii="Times New Roman" w:cs="Times New Roman" w:eastAsia="Times New Roman" w:hAnsi="Times New Roman"/>
          <w:sz w:val="22"/>
          <w:szCs w:val="22"/>
          <w:color w:val="auto"/>
        </w:rPr>
        <w:t>.</w:t>
      </w:r>
    </w:p>
    <w:p>
      <w:pPr>
        <w:spacing w:after="0" w:line="205" w:lineRule="exact"/>
        <w:rPr>
          <w:rFonts w:ascii="Times New Roman" w:cs="Times New Roman" w:eastAsia="Times New Roman" w:hAnsi="Times New Roman"/>
          <w:sz w:val="22"/>
          <w:szCs w:val="22"/>
          <w:color w:val="auto"/>
        </w:rPr>
      </w:pPr>
    </w:p>
    <w:p>
      <w:pPr>
        <w:ind w:left="1920" w:hanging="430"/>
        <w:spacing w:after="0"/>
        <w:tabs>
          <w:tab w:leader="none" w:pos="1920" w:val="left"/>
        </w:tabs>
        <w:numPr>
          <w:ilvl w:val="1"/>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Restrictive Covenants Agreement</w:t>
      </w:r>
      <w:r>
        <w:rPr>
          <w:rFonts w:ascii="Times New Roman" w:cs="Times New Roman" w:eastAsia="Times New Roman" w:hAnsi="Times New Roman"/>
          <w:sz w:val="20"/>
          <w:szCs w:val="20"/>
          <w:color w:val="auto"/>
        </w:rPr>
        <w:t>. The terms of the Employee Proprietary Information and Inventions</w:t>
      </w:r>
    </w:p>
    <w:p>
      <w:pPr>
        <w:spacing w:after="0" w:line="37" w:lineRule="exact"/>
        <w:rPr>
          <w:sz w:val="20"/>
          <w:szCs w:val="20"/>
          <w:color w:val="auto"/>
        </w:rPr>
      </w:pPr>
    </w:p>
    <w:p>
      <w:pPr>
        <w:ind w:right="260"/>
        <w:spacing w:after="0" w:line="263" w:lineRule="auto"/>
        <w:rPr>
          <w:sz w:val="20"/>
          <w:szCs w:val="20"/>
          <w:color w:val="auto"/>
        </w:rPr>
      </w:pPr>
      <w:r>
        <w:rPr>
          <w:rFonts w:ascii="Times New Roman" w:cs="Times New Roman" w:eastAsia="Times New Roman" w:hAnsi="Times New Roman"/>
          <w:sz w:val="20"/>
          <w:szCs w:val="20"/>
          <w:color w:val="auto"/>
        </w:rPr>
        <w:t>Assignment Agreement, dated (the “</w:t>
      </w:r>
      <w:r>
        <w:rPr>
          <w:rFonts w:ascii="Times New Roman" w:cs="Times New Roman" w:eastAsia="Times New Roman" w:hAnsi="Times New Roman"/>
          <w:sz w:val="20"/>
          <w:szCs w:val="20"/>
          <w:u w:val="single" w:color="auto"/>
          <w:color w:val="auto"/>
        </w:rPr>
        <w:t>Restrictive Covenants Agreement</w:t>
      </w:r>
      <w:r>
        <w:rPr>
          <w:rFonts w:ascii="Times New Roman" w:cs="Times New Roman" w:eastAsia="Times New Roman" w:hAnsi="Times New Roman"/>
          <w:sz w:val="20"/>
          <w:szCs w:val="20"/>
          <w:color w:val="auto"/>
        </w:rPr>
        <w:t xml:space="preserve">”), between the Company and the Executive,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continue to be in full force and effect. For purposes of this Agreement, the obligations in this Section 8 and those that arise in the Restrictive Covenants Agreement and any other agreement relating to confidentiality, assignment of inventions, or other restrictive covenants shall collectively be referred to as the “</w:t>
      </w:r>
      <w:r>
        <w:rPr>
          <w:rFonts w:ascii="Times New Roman" w:cs="Times New Roman" w:eastAsia="Times New Roman" w:hAnsi="Times New Roman"/>
          <w:sz w:val="20"/>
          <w:szCs w:val="20"/>
          <w:u w:val="single" w:color="auto"/>
          <w:color w:val="auto"/>
        </w:rPr>
        <w:t>Continuing Obligations</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1692275</wp:posOffset>
            </wp:positionH>
            <wp:positionV relativeFrom="paragraph">
              <wp:posOffset>-508635</wp:posOffset>
            </wp:positionV>
            <wp:extent cx="22098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2">
                      <a:extLst>
                        <a:ext uri="{28A0092B-C50C-407E-A947-70E740481C1C}"/>
                      </a:extLst>
                    </a:blip>
                    <a:srcRect/>
                    <a:stretch>
                      <a:fillRect/>
                    </a:stretch>
                  </pic:blipFill>
                  <pic:spPr bwMode="auto">
                    <a:xfrm>
                      <a:off x="0" y="0"/>
                      <a:ext cx="220980" cy="8255"/>
                    </a:xfrm>
                    <a:prstGeom prst="rect">
                      <a:avLst/>
                    </a:prstGeom>
                    <a:noFill/>
                  </pic:spPr>
                </pic:pic>
              </a:graphicData>
            </a:graphic>
          </wp:anchor>
        </w:drawing>
      </w:r>
    </w:p>
    <w:p>
      <w:pPr>
        <w:spacing w:after="0" w:line="135" w:lineRule="exact"/>
        <w:rPr>
          <w:sz w:val="20"/>
          <w:szCs w:val="20"/>
          <w:color w:val="auto"/>
        </w:rPr>
      </w:pPr>
    </w:p>
    <w:p>
      <w:pPr>
        <w:ind w:firstLine="1490"/>
        <w:spacing w:after="0" w:line="260" w:lineRule="auto"/>
        <w:tabs>
          <w:tab w:leader="none" w:pos="1921"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Third-Party Agreements and Rights</w:t>
      </w:r>
      <w:r>
        <w:rPr>
          <w:rFonts w:ascii="Times New Roman" w:cs="Times New Roman" w:eastAsia="Times New Roman" w:hAnsi="Times New Roman"/>
          <w:sz w:val="20"/>
          <w:szCs w:val="20"/>
          <w:color w:val="auto"/>
        </w:rPr>
        <w:t>. The Executive hereby confirms that the Executive is not bound by the terms of any agreement with any previous employer or other party which restricts in any way the Executive’s use or disclosure of information, other than confidentiality restrictions (if any), or the Executive’s engagement in any business. The Executive represents to the Company that the Executive’s execution of this Agreement, the Executive’s employment with the Company and the performance of the Executive’s proposed duties for the Company will not violate any obligations the Executive may have to any such previous employer or other party. In the Executive’s work for the Company, the Executive will not disclose or make use of any information in violation of any agreements with or rights of any such previous employer or other party, and the Executive will not bring to the premises of the Company any copies or other tangible embodiments of non-public information belonging to or obtained from any such previous employment or other party.</w:t>
      </w:r>
    </w:p>
    <w:p>
      <w:pPr>
        <w:spacing w:after="0" w:line="157" w:lineRule="exact"/>
        <w:rPr>
          <w:rFonts w:ascii="Times New Roman" w:cs="Times New Roman" w:eastAsia="Times New Roman" w:hAnsi="Times New Roman"/>
          <w:sz w:val="20"/>
          <w:szCs w:val="20"/>
          <w:color w:val="auto"/>
        </w:rPr>
      </w:pPr>
    </w:p>
    <w:p>
      <w:pPr>
        <w:ind w:right="80" w:firstLine="1490"/>
        <w:spacing w:after="0" w:line="262" w:lineRule="auto"/>
        <w:tabs>
          <w:tab w:leader="none" w:pos="1921"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Litigation and Regulatory Cooperation</w:t>
      </w:r>
      <w:r>
        <w:rPr>
          <w:rFonts w:ascii="Times New Roman" w:cs="Times New Roman" w:eastAsia="Times New Roman" w:hAnsi="Times New Roman"/>
          <w:sz w:val="20"/>
          <w:szCs w:val="20"/>
          <w:color w:val="auto"/>
        </w:rPr>
        <w:t>. During and after the Executive’s employment, the Executive shall cooperate fully with the Company in (i) the defense or prosecution of any claims or actions now in existence or which may be brought in the future against or on behalf of the Company which relate to events or occurrences that transpired while the Executive was employed by the Company, and (ii) the investigation, whether internal or external, of any matters about which the Company believes the Executive may have knowledge or information. The Executive’s full cooperation in connection with such claims, actions or investigations shall include, but not be limited to, being available to meet with counsel to answer questions or to prepare for discovery or trial and to act as a witness on behalf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789940</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440" w:top="1440" w:right="639" w:bottom="1440" w:gutter="0" w:footer="0" w:header="0"/>
        </w:sectPr>
      </w:pPr>
    </w:p>
    <w:bookmarkStart w:id="231" w:name="page232"/>
    <w:bookmarkEnd w:id="231"/>
    <w:p>
      <w:pPr>
        <w:spacing w:after="0" w:line="89" w:lineRule="exact"/>
        <w:rPr>
          <w:sz w:val="20"/>
          <w:szCs w:val="20"/>
          <w:color w:val="auto"/>
        </w:rPr>
      </w:pPr>
    </w:p>
    <w:p>
      <w:pPr>
        <w:ind w:right="360"/>
        <w:spacing w:after="0" w:line="237" w:lineRule="auto"/>
        <w:rPr>
          <w:sz w:val="20"/>
          <w:szCs w:val="20"/>
          <w:color w:val="auto"/>
        </w:rPr>
      </w:pPr>
      <w:r>
        <w:rPr>
          <w:rFonts w:ascii="Times New Roman" w:cs="Times New Roman" w:eastAsia="Times New Roman" w:hAnsi="Times New Roman"/>
          <w:sz w:val="22"/>
          <w:szCs w:val="22"/>
          <w:color w:val="auto"/>
        </w:rPr>
        <w:t>Company at mutually convenient times. During and after the Executive’s employment, the Executive also shall cooperate fully with the Company in connection with any investigation or review of any federal, state or local regulatory authority as any such investigation or review relates to events or occurrences that transpired while the Executive was employed by the Company. The Company shall reimburse the Executive for any reasonable out-of-pocket expenses incurred in connection with the Executive’s performance of obligations pursuant to this Section 8(c).</w:t>
      </w:r>
    </w:p>
    <w:p>
      <w:pPr>
        <w:spacing w:after="0" w:line="180" w:lineRule="exact"/>
        <w:rPr>
          <w:sz w:val="20"/>
          <w:szCs w:val="20"/>
          <w:color w:val="auto"/>
        </w:rPr>
      </w:pPr>
    </w:p>
    <w:p>
      <w:pPr>
        <w:ind w:right="140" w:firstLine="1490"/>
        <w:spacing w:after="0" w:line="236" w:lineRule="auto"/>
        <w:tabs>
          <w:tab w:leader="none" w:pos="1921"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Relief</w:t>
      </w:r>
      <w:r>
        <w:rPr>
          <w:rFonts w:ascii="Times New Roman" w:cs="Times New Roman" w:eastAsia="Times New Roman" w:hAnsi="Times New Roman"/>
          <w:sz w:val="22"/>
          <w:szCs w:val="22"/>
          <w:color w:val="auto"/>
        </w:rPr>
        <w:t>. The Executive agrees that it would be difficult to measure any damages caused to the Company which might result from any breach by the Executive of the Continuing Obligations, and that in any event money damages would be an inadequate remedy for any such breach. Accordingly</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Executive agrees that if the Executive breaches, or proposes to breach, any portion of the Continuing Obligations, the Company shall be entitled, in addition to all other remedies that it may have, to an injunction or other appropriate equitable relief to restrain any such breach without showing or proving any actual damage to the Company.</w:t>
      </w:r>
    </w:p>
    <w:p>
      <w:pPr>
        <w:spacing w:after="0" w:line="179" w:lineRule="exact"/>
        <w:rPr>
          <w:sz w:val="20"/>
          <w:szCs w:val="20"/>
          <w:color w:val="auto"/>
        </w:rPr>
      </w:pPr>
    </w:p>
    <w:p>
      <w:pPr>
        <w:ind w:right="100" w:firstLine="749"/>
        <w:spacing w:after="0" w:line="239" w:lineRule="auto"/>
        <w:rPr>
          <w:sz w:val="20"/>
          <w:szCs w:val="20"/>
          <w:color w:val="auto"/>
        </w:rPr>
      </w:pPr>
      <w:r>
        <w:rPr>
          <w:rFonts w:ascii="Times New Roman" w:cs="Times New Roman" w:eastAsia="Times New Roman" w:hAnsi="Times New Roman"/>
          <w:sz w:val="22"/>
          <w:szCs w:val="22"/>
          <w:color w:val="auto"/>
        </w:rPr>
        <w:t>9.</w:t>
      </w:r>
      <w:r>
        <w:rPr>
          <w:rFonts w:ascii="Times New Roman" w:cs="Times New Roman" w:eastAsia="Times New Roman" w:hAnsi="Times New Roman"/>
          <w:sz w:val="22"/>
          <w:szCs w:val="22"/>
          <w:u w:val="single" w:color="auto"/>
          <w:color w:val="auto"/>
        </w:rPr>
        <w:t>Consent to Jurisdiction</w:t>
      </w:r>
      <w:r>
        <w:rPr>
          <w:rFonts w:ascii="Times New Roman" w:cs="Times New Roman" w:eastAsia="Times New Roman" w:hAnsi="Times New Roman"/>
          <w:sz w:val="22"/>
          <w:szCs w:val="22"/>
          <w:color w:val="auto"/>
        </w:rPr>
        <w:t>. The parties hereby consent to the jurisdiction of the state and federal courts of the State of California. Accordingly, with respect to any such court action, the Executive (a) submits to the exclusive personal jurisdiction of such courts; (b) consents to service of process; and (c) waives any other requirement (whether imposed by statute, rule of court, or otherwise) with respect to personal jurisdiction or service of process.</w:t>
      </w:r>
    </w:p>
    <w:p>
      <w:pPr>
        <w:spacing w:after="0" w:line="179" w:lineRule="exact"/>
        <w:rPr>
          <w:sz w:val="20"/>
          <w:szCs w:val="20"/>
          <w:color w:val="auto"/>
        </w:rPr>
      </w:pPr>
    </w:p>
    <w:p>
      <w:pPr>
        <w:ind w:right="420" w:firstLine="749"/>
        <w:spacing w:after="0" w:line="280" w:lineRule="auto"/>
        <w:rPr>
          <w:sz w:val="20"/>
          <w:szCs w:val="20"/>
          <w:color w:val="auto"/>
        </w:rPr>
      </w:pPr>
      <w:r>
        <w:rPr>
          <w:rFonts w:ascii="Times New Roman" w:cs="Times New Roman" w:eastAsia="Times New Roman" w:hAnsi="Times New Roman"/>
          <w:sz w:val="20"/>
          <w:szCs w:val="20"/>
          <w:color w:val="auto"/>
        </w:rPr>
        <w:t>10.</w:t>
      </w:r>
      <w:r>
        <w:rPr>
          <w:rFonts w:ascii="Times New Roman" w:cs="Times New Roman" w:eastAsia="Times New Roman" w:hAnsi="Times New Roman"/>
          <w:sz w:val="20"/>
          <w:szCs w:val="20"/>
          <w:u w:val="single" w:color="auto"/>
          <w:color w:val="auto"/>
        </w:rPr>
        <w:t>Integration</w:t>
      </w:r>
      <w:r>
        <w:rPr>
          <w:rFonts w:ascii="Times New Roman" w:cs="Times New Roman" w:eastAsia="Times New Roman" w:hAnsi="Times New Roman"/>
          <w:sz w:val="20"/>
          <w:szCs w:val="20"/>
          <w:color w:val="auto"/>
        </w:rPr>
        <w:t>. This Agreement constitutes the entire agreement between the parties with respect to the subject matter hereof and supersedes all prior agreements between the parties concerning such subject matter</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including the Prior Agreement, provided that the Restrictive Covenants Agreement and the Equity Documents remain in full force and effect.</w:t>
      </w:r>
    </w:p>
    <w:p>
      <w:pPr>
        <w:spacing w:after="0" w:line="139" w:lineRule="exact"/>
        <w:rPr>
          <w:sz w:val="20"/>
          <w:szCs w:val="20"/>
          <w:color w:val="auto"/>
        </w:rPr>
      </w:pPr>
    </w:p>
    <w:p>
      <w:pPr>
        <w:ind w:right="160" w:firstLine="749"/>
        <w:spacing w:after="0" w:line="239" w:lineRule="auto"/>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2"/>
          <w:szCs w:val="22"/>
          <w:u w:val="single" w:color="auto"/>
          <w:color w:val="auto"/>
        </w:rPr>
        <w:t>Withholding; Tax Effect</w:t>
      </w:r>
      <w:r>
        <w:rPr>
          <w:rFonts w:ascii="Times New Roman" w:cs="Times New Roman" w:eastAsia="Times New Roman" w:hAnsi="Times New Roman"/>
          <w:sz w:val="22"/>
          <w:szCs w:val="22"/>
          <w:color w:val="auto"/>
        </w:rPr>
        <w:t>. All payments made by the Company to the Executive under this Agreement shall be net of any tax or other amounts required to be withheld by the Company under applicable law. Nothing in this Agreement shall be construed to require the Company to make any payments to compensate the Executive for any adverse tax effect associated with any payments or benefits or for any deduction or withholding from any payment or benefit.</w:t>
      </w:r>
    </w:p>
    <w:p>
      <w:pPr>
        <w:spacing w:after="0" w:line="44" w:lineRule="exact"/>
        <w:rPr>
          <w:sz w:val="20"/>
          <w:szCs w:val="20"/>
          <w:color w:val="auto"/>
        </w:rPr>
      </w:pPr>
    </w:p>
    <w:p>
      <w:pPr>
        <w:ind w:firstLine="749"/>
        <w:spacing w:after="0" w:line="233" w:lineRule="auto"/>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Neither the Executive nor the Company may make any assignment of this Agreement or any interest in it, by operation of law or otherwise, without the prior written consent of the other; provided, however, that the Company may assign its rights and obligations under this Agreement (including the Restrictive Covenants Agreement) without the Executive’s consent to any affiliate or to any person or entity with whom the Company shall hereafter effect a reorganization or consolidation, into which the Company merges or to whom it transfers all or substantially all of its properties or assets; provided further that if the Executive remains employed or becomes employed by the Company, the purchaser or any of their affiliates in connection with any such transaction, then the Executive shall not be entitled to any payments, benefits or vesting pursuant to Section 5 or pursuant to Section 6 of this Agreement solely as a result of such transaction. This Agreement shall inure to the benefit of and be binding upon the Executive and the Company, and each of the Executive’s and the Company’s respective successors, executors, administrators, heirs and permitted assigns. In the event of the Executive’s death after the Executive’s termination of employment but prior to the completion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806450</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40" w:top="1440" w:right="519" w:bottom="1440" w:gutter="0" w:footer="0" w:header="0"/>
        </w:sectPr>
      </w:pPr>
    </w:p>
    <w:bookmarkStart w:id="232" w:name="page233"/>
    <w:bookmarkEnd w:id="232"/>
    <w:p>
      <w:pPr>
        <w:spacing w:after="0" w:line="244" w:lineRule="auto"/>
        <w:rPr>
          <w:sz w:val="20"/>
          <w:szCs w:val="20"/>
          <w:color w:val="auto"/>
        </w:rPr>
      </w:pPr>
      <w:r>
        <w:rPr>
          <w:rFonts w:ascii="Times New Roman" w:cs="Times New Roman" w:eastAsia="Times New Roman" w:hAnsi="Times New Roman"/>
          <w:sz w:val="22"/>
          <w:szCs w:val="22"/>
          <w:color w:val="auto"/>
        </w:rPr>
        <w:t>Company of all payments due to the Executive under this Agreement, the Company shall continue such payments to the Executive’s beneficiary designated in writing to the Company prior to the Executive’s death (or to the Executive’s estate, if the Executive fails to make such designation).</w:t>
      </w:r>
    </w:p>
    <w:p>
      <w:pPr>
        <w:spacing w:after="0" w:line="172" w:lineRule="exact"/>
        <w:rPr>
          <w:sz w:val="20"/>
          <w:szCs w:val="20"/>
          <w:color w:val="auto"/>
        </w:rPr>
      </w:pPr>
    </w:p>
    <w:p>
      <w:pPr>
        <w:ind w:right="120" w:firstLine="749"/>
        <w:spacing w:after="0" w:line="237" w:lineRule="auto"/>
        <w:rPr>
          <w:sz w:val="20"/>
          <w:szCs w:val="20"/>
          <w:color w:val="auto"/>
        </w:rPr>
      </w:pPr>
      <w:r>
        <w:rPr>
          <w:rFonts w:ascii="Times New Roman" w:cs="Times New Roman" w:eastAsia="Times New Roman" w:hAnsi="Times New Roman"/>
          <w:sz w:val="22"/>
          <w:szCs w:val="22"/>
          <w:color w:val="auto"/>
        </w:rPr>
        <w:t>13.</w:t>
      </w:r>
      <w:r>
        <w:rPr>
          <w:rFonts w:ascii="Times New Roman" w:cs="Times New Roman" w:eastAsia="Times New Roman" w:hAnsi="Times New Roman"/>
          <w:sz w:val="22"/>
          <w:szCs w:val="22"/>
          <w:u w:val="single" w:color="auto"/>
          <w:color w:val="auto"/>
        </w:rPr>
        <w:t>Enforceability</w:t>
      </w:r>
      <w:r>
        <w:rPr>
          <w:rFonts w:ascii="Times New Roman" w:cs="Times New Roman" w:eastAsia="Times New Roman" w:hAnsi="Times New Roman"/>
          <w:sz w:val="22"/>
          <w:szCs w:val="22"/>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80" w:lineRule="exact"/>
        <w:rPr>
          <w:sz w:val="20"/>
          <w:szCs w:val="20"/>
          <w:color w:val="auto"/>
        </w:rPr>
      </w:pPr>
    </w:p>
    <w:p>
      <w:pPr>
        <w:ind w:right="1140" w:firstLine="749"/>
        <w:spacing w:after="0" w:line="258" w:lineRule="auto"/>
        <w:rPr>
          <w:sz w:val="20"/>
          <w:szCs w:val="20"/>
          <w:color w:val="auto"/>
        </w:rPr>
      </w:pPr>
      <w:r>
        <w:rPr>
          <w:rFonts w:ascii="Times New Roman" w:cs="Times New Roman" w:eastAsia="Times New Roman" w:hAnsi="Times New Roman"/>
          <w:sz w:val="22"/>
          <w:szCs w:val="22"/>
          <w:color w:val="auto"/>
        </w:rPr>
        <w:t>14.</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The provisions of this Agreement shall survive the termination of this Agreement and/or the termination of the Executive’s employment to the extent necessary to effectuate the terms contained herein.</w:t>
      </w:r>
    </w:p>
    <w:p>
      <w:pPr>
        <w:spacing w:after="0" w:line="157" w:lineRule="exact"/>
        <w:rPr>
          <w:sz w:val="20"/>
          <w:szCs w:val="20"/>
          <w:color w:val="auto"/>
        </w:rPr>
      </w:pPr>
    </w:p>
    <w:p>
      <w:pPr>
        <w:ind w:right="300" w:firstLine="749"/>
        <w:spacing w:after="0" w:line="239" w:lineRule="auto"/>
        <w:rPr>
          <w:sz w:val="20"/>
          <w:szCs w:val="20"/>
          <w:color w:val="auto"/>
        </w:rPr>
      </w:pPr>
      <w:r>
        <w:rPr>
          <w:rFonts w:ascii="Times New Roman" w:cs="Times New Roman" w:eastAsia="Times New Roman" w:hAnsi="Times New Roman"/>
          <w:sz w:val="22"/>
          <w:szCs w:val="22"/>
          <w:color w:val="auto"/>
        </w:rPr>
        <w:t>15.</w:t>
      </w: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179" w:lineRule="exact"/>
        <w:rPr>
          <w:sz w:val="20"/>
          <w:szCs w:val="20"/>
          <w:color w:val="auto"/>
        </w:rPr>
      </w:pPr>
    </w:p>
    <w:p>
      <w:pPr>
        <w:ind w:right="360" w:firstLine="749"/>
        <w:spacing w:after="0" w:line="236" w:lineRule="auto"/>
        <w:rPr>
          <w:sz w:val="20"/>
          <w:szCs w:val="20"/>
          <w:color w:val="auto"/>
        </w:rPr>
      </w:pPr>
      <w:r>
        <w:rPr>
          <w:rFonts w:ascii="Times New Roman" w:cs="Times New Roman" w:eastAsia="Times New Roman" w:hAnsi="Times New Roman"/>
          <w:sz w:val="22"/>
          <w:szCs w:val="22"/>
          <w:color w:val="auto"/>
        </w:rPr>
        <w:t>16.</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notices, requests, demands and other communications provided for by this Agreement shall be sufficient if in writing and (i) delivered in person, (ii)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of the Board or (iii) sent via email to the Executive at the Executive’s Company email address or, in the case of the Company, to the CEO’s Company email address.</w:t>
      </w:r>
    </w:p>
    <w:p>
      <w:pPr>
        <w:spacing w:after="0" w:line="179" w:lineRule="exact"/>
        <w:rPr>
          <w:sz w:val="20"/>
          <w:szCs w:val="20"/>
          <w:color w:val="auto"/>
        </w:rPr>
      </w:pPr>
    </w:p>
    <w:p>
      <w:pPr>
        <w:ind w:right="1080" w:firstLine="749"/>
        <w:spacing w:after="0" w:line="258" w:lineRule="auto"/>
        <w:rPr>
          <w:sz w:val="20"/>
          <w:szCs w:val="20"/>
          <w:color w:val="auto"/>
        </w:rPr>
      </w:pPr>
      <w:r>
        <w:rPr>
          <w:rFonts w:ascii="Times New Roman" w:cs="Times New Roman" w:eastAsia="Times New Roman" w:hAnsi="Times New Roman"/>
          <w:sz w:val="22"/>
          <w:szCs w:val="22"/>
          <w:color w:val="auto"/>
        </w:rPr>
        <w:t>17.</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This Agreement may be amended or modified only by a written instrument signed by the Executive and by a duly authorized representative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789305</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40" w:top="1393" w:right="519" w:bottom="1440" w:gutter="0" w:footer="0" w:header="0"/>
        </w:sectPr>
      </w:pPr>
    </w:p>
    <w:bookmarkStart w:id="233" w:name="page234"/>
    <w:bookmarkEnd w:id="233"/>
    <w:p>
      <w:pPr>
        <w:ind w:right="40" w:firstLine="750"/>
        <w:spacing w:after="0" w:line="259" w:lineRule="auto"/>
        <w:rPr>
          <w:sz w:val="20"/>
          <w:szCs w:val="20"/>
          <w:color w:val="auto"/>
        </w:rPr>
      </w:pPr>
      <w:r>
        <w:rPr>
          <w:rFonts w:ascii="Times New Roman" w:cs="Times New Roman" w:eastAsia="Times New Roman" w:hAnsi="Times New Roman"/>
          <w:sz w:val="20"/>
          <w:szCs w:val="20"/>
          <w:color w:val="auto"/>
        </w:rPr>
        <w:t>18.</w:t>
      </w:r>
      <w:r>
        <w:rPr>
          <w:rFonts w:ascii="Times New Roman" w:cs="Times New Roman" w:eastAsia="Times New Roman" w:hAnsi="Times New Roman"/>
          <w:sz w:val="20"/>
          <w:szCs w:val="20"/>
          <w:u w:val="single" w:color="auto"/>
          <w:color w:val="auto"/>
        </w:rPr>
        <w:t>Effect on Other Plans and Agreements</w:t>
      </w:r>
      <w:r>
        <w:rPr>
          <w:rFonts w:ascii="Times New Roman" w:cs="Times New Roman" w:eastAsia="Times New Roman" w:hAnsi="Times New Roman"/>
          <w:sz w:val="20"/>
          <w:szCs w:val="20"/>
          <w:color w:val="auto"/>
        </w:rPr>
        <w:t>. An election by the Executive to resign for Good Reason under the provisions of this Agreement shall not be deemed a voluntary termination of employment by the Executive for the purpose of interpreting the provisions of any of the Company's benefit plans, programs or policies. Nothing in this Agreement shall be construed to limit the rights of the Executive under the Company’s benefit plans, programs or policies except as otherwise provided in Section 8 hereof, and except that the Executive shall have no rights to any severance benefits under any Company severance pay plan, offer letter or otherwise. Except for the Restrictive Covenants Agreement, in the event that the Executive is party to an agreement with the Company providing for payments or benefits under such plan or agreement and under this Agreement, the terms of this Agreement shall govern and the Executive may receive payment under this Agreement only and not both. Further, Section 5 and Section 6 of this Agreement are mutually exclusive and in no event shall the Executive be entitled to payments or benefits pursuant to both Section 5 and Section 6 of this Agreement.</w:t>
      </w:r>
    </w:p>
    <w:p>
      <w:pPr>
        <w:spacing w:after="0" w:line="161" w:lineRule="exact"/>
        <w:rPr>
          <w:sz w:val="20"/>
          <w:szCs w:val="20"/>
          <w:color w:val="auto"/>
        </w:rPr>
      </w:pPr>
    </w:p>
    <w:p>
      <w:pPr>
        <w:ind w:firstLine="749"/>
        <w:spacing w:after="0" w:line="239" w:lineRule="auto"/>
        <w:rPr>
          <w:sz w:val="20"/>
          <w:szCs w:val="20"/>
          <w:color w:val="auto"/>
        </w:rPr>
      </w:pPr>
      <w:r>
        <w:rPr>
          <w:rFonts w:ascii="Times New Roman" w:cs="Times New Roman" w:eastAsia="Times New Roman" w:hAnsi="Times New Roman"/>
          <w:sz w:val="22"/>
          <w:szCs w:val="22"/>
          <w:color w:val="auto"/>
        </w:rPr>
        <w:t>19.</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is a California contract and shall be construed under and be governed in all respects by the laws of the State of California, without giving effect to the conflict of laws principles thereof. With respect to any disputes concerning federal law, such disputes shall be determined in accordance with the law as it would be interpreted and applied by the United States Court of Appeals for the Ninth Circuit.</w:t>
      </w:r>
    </w:p>
    <w:p>
      <w:pPr>
        <w:spacing w:after="0" w:line="179" w:lineRule="exact"/>
        <w:rPr>
          <w:sz w:val="20"/>
          <w:szCs w:val="20"/>
          <w:color w:val="auto"/>
        </w:rPr>
      </w:pPr>
    </w:p>
    <w:p>
      <w:pPr>
        <w:ind w:right="600" w:firstLine="749"/>
        <w:spacing w:after="0" w:line="244" w:lineRule="auto"/>
        <w:rPr>
          <w:sz w:val="20"/>
          <w:szCs w:val="20"/>
          <w:color w:val="auto"/>
        </w:rPr>
      </w:pPr>
      <w:r>
        <w:rPr>
          <w:rFonts w:ascii="Times New Roman" w:cs="Times New Roman" w:eastAsia="Times New Roman" w:hAnsi="Times New Roman"/>
          <w:sz w:val="22"/>
          <w:szCs w:val="22"/>
          <w:color w:val="auto"/>
        </w:rPr>
        <w:t>20.</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any number of counterparts, each of which when so executed and delivered shall be taken to be an original; but such counterparts shall together constitute one and the same document.</w:t>
      </w:r>
    </w:p>
    <w:p>
      <w:pPr>
        <w:spacing w:after="0" w:line="17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IN WITNESS WHEREOF, the parties have executed this Agreement effective on the Effective Date.</w:t>
      </w:r>
    </w:p>
    <w:p>
      <w:pPr>
        <w:spacing w:after="0" w:line="20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b w:val="1"/>
          <w:bCs w:val="1"/>
          <w:color w:val="auto"/>
        </w:rPr>
        <w:t>ADAGIO THERAPEUTICS, INC.</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Halley E. Gilbert</w:t>
      </w:r>
    </w:p>
    <w:p>
      <w:pPr>
        <w:spacing w:after="0" w:line="1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Its: COO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3295015</wp:posOffset>
            </wp:positionH>
            <wp:positionV relativeFrom="paragraph">
              <wp:posOffset>-29210</wp:posOffset>
            </wp:positionV>
            <wp:extent cx="61277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6">
                      <a:extLst>
                        <a:ext uri="{28A0092B-C50C-407E-A947-70E740481C1C}"/>
                      </a:extLst>
                    </a:blip>
                    <a:srcRect/>
                    <a:stretch>
                      <a:fillRect/>
                    </a:stretch>
                  </pic:blipFill>
                  <pic:spPr bwMode="auto">
                    <a:xfrm>
                      <a:off x="0" y="0"/>
                      <a:ext cx="6127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00" w:lineRule="exact"/>
        <w:rPr>
          <w:sz w:val="20"/>
          <w:szCs w:val="20"/>
          <w:color w:val="auto"/>
        </w:rPr>
      </w:pPr>
    </w:p>
    <w:p>
      <w:pPr>
        <w:spacing w:after="0" w:line="27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b w:val="1"/>
          <w:bCs w:val="1"/>
          <w:u w:val="single" w:color="auto"/>
          <w:color w:val="auto"/>
        </w:rPr>
        <w: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Peter Schmidt</w:t>
      </w:r>
      <w:r>
        <w:rPr>
          <w:rFonts w:ascii="Times New Roman" w:cs="Times New Roman" w:eastAsia="Times New Roman" w:hAnsi="Times New Roman"/>
          <w:sz w:val="22"/>
          <w:szCs w:val="22"/>
          <w:b w:val="1"/>
          <w:bCs w:val="1"/>
          <w:color w:val="auto"/>
        </w:rPr>
        <w:t>__________________________</w:t>
      </w:r>
    </w:p>
    <w:p>
      <w:pPr>
        <w:spacing w:after="0" w:line="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Peter Schmidt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1036320</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440" w:top="1393" w:right="559" w:bottom="1440" w:gutter="0" w:footer="0" w:header="0"/>
        </w:sectPr>
      </w:pPr>
    </w:p>
    <w:bookmarkStart w:id="234" w:name="page235"/>
    <w:bookmarkEnd w:id="234"/>
    <w:p>
      <w:pPr>
        <w:jc w:val="center"/>
        <w:ind w:right="5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Restrictive Covenants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640715</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389" w:right="1440" w:bottom="1440" w:gutter="0" w:footer="0" w:header="0"/>
        </w:sectPr>
      </w:pPr>
    </w:p>
    <w:bookmarkStart w:id="235" w:name="page236"/>
    <w:bookmarkEnd w:id="235"/>
    <w:p>
      <w:pPr>
        <w:jc w:val="right"/>
        <w:spacing w:after="0"/>
        <w:rPr>
          <w:sz w:val="20"/>
          <w:szCs w:val="20"/>
          <w:color w:val="auto"/>
        </w:rPr>
      </w:pPr>
      <w:r>
        <w:rPr>
          <w:rFonts w:ascii="Times New Roman" w:cs="Times New Roman" w:eastAsia="Times New Roman" w:hAnsi="Times New Roman"/>
          <w:sz w:val="22"/>
          <w:szCs w:val="22"/>
          <w:b w:val="1"/>
          <w:bCs w:val="1"/>
          <w:color w:val="auto"/>
        </w:rPr>
        <w:t>Exhibit 10.10</w:t>
      </w:r>
    </w:p>
    <w:p>
      <w:pPr>
        <w:spacing w:after="0" w:line="1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FIRST AMENDMENT TO THE</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EMPLOYMENT AGREEMENT OF PETER SCHMIDT</w:t>
      </w:r>
    </w:p>
    <w:p>
      <w:pPr>
        <w:spacing w:after="0" w:line="202"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2"/>
          <w:szCs w:val="22"/>
          <w:color w:val="auto"/>
        </w:rPr>
        <w:t>This F</w:t>
      </w:r>
      <w:r>
        <w:rPr>
          <w:rFonts w:ascii="Times New Roman" w:cs="Times New Roman" w:eastAsia="Times New Roman" w:hAnsi="Times New Roman"/>
          <w:sz w:val="14"/>
          <w:szCs w:val="14"/>
          <w:color w:val="auto"/>
        </w:rPr>
        <w:t>irst</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mendment to the</w:t>
      </w:r>
      <w:r>
        <w:rPr>
          <w:rFonts w:ascii="Times New Roman" w:cs="Times New Roman" w:eastAsia="Times New Roman" w:hAnsi="Times New Roman"/>
          <w:sz w:val="22"/>
          <w:szCs w:val="22"/>
          <w:color w:val="auto"/>
        </w:rPr>
        <w:t xml:space="preserve"> E</w:t>
      </w:r>
      <w:r>
        <w:rPr>
          <w:rFonts w:ascii="Times New Roman" w:cs="Times New Roman" w:eastAsia="Times New Roman" w:hAnsi="Times New Roman"/>
          <w:sz w:val="14"/>
          <w:szCs w:val="14"/>
          <w:color w:val="auto"/>
        </w:rPr>
        <w:t>mployment</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 of</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eter</w:t>
      </w:r>
      <w:r>
        <w:rPr>
          <w:rFonts w:ascii="Times New Roman" w:cs="Times New Roman" w:eastAsia="Times New Roman" w:hAnsi="Times New Roman"/>
          <w:sz w:val="22"/>
          <w:szCs w:val="22"/>
          <w:color w:val="auto"/>
        </w:rPr>
        <w:t xml:space="preserve"> S</w:t>
      </w:r>
      <w:r>
        <w:rPr>
          <w:rFonts w:ascii="Times New Roman" w:cs="Times New Roman" w:eastAsia="Times New Roman" w:hAnsi="Times New Roman"/>
          <w:sz w:val="14"/>
          <w:szCs w:val="14"/>
          <w:color w:val="auto"/>
        </w:rPr>
        <w:t>chmidt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i w:val="1"/>
          <w:iCs w:val="1"/>
          <w:color w:val="auto"/>
        </w:rPr>
        <w:t>Amendment</w:t>
      </w:r>
      <w:r>
        <w:rPr>
          <w:rFonts w:ascii="Times New Roman" w:cs="Times New Roman" w:eastAsia="Times New Roman" w:hAnsi="Times New Roman"/>
          <w:sz w:val="22"/>
          <w:szCs w:val="22"/>
          <w:color w:val="auto"/>
        </w:rPr>
        <w:t>”) is entered into this 6th day of December 2022 (the “</w:t>
      </w:r>
      <w:r>
        <w:rPr>
          <w:rFonts w:ascii="Times New Roman" w:cs="Times New Roman" w:eastAsia="Times New Roman" w:hAnsi="Times New Roman"/>
          <w:sz w:val="22"/>
          <w:szCs w:val="22"/>
          <w:b w:val="1"/>
          <w:bCs w:val="1"/>
          <w:i w:val="1"/>
          <w:iCs w:val="1"/>
          <w:color w:val="auto"/>
        </w:rPr>
        <w:t>Amendment Effective Date</w:t>
      </w:r>
      <w:r>
        <w:rPr>
          <w:rFonts w:ascii="Times New Roman" w:cs="Times New Roman" w:eastAsia="Times New Roman" w:hAnsi="Times New Roman"/>
          <w:sz w:val="22"/>
          <w:szCs w:val="22"/>
          <w:color w:val="auto"/>
        </w:rPr>
        <w:t>”), by and between P</w:t>
      </w:r>
      <w:r>
        <w:rPr>
          <w:rFonts w:ascii="Times New Roman" w:cs="Times New Roman" w:eastAsia="Times New Roman" w:hAnsi="Times New Roman"/>
          <w:sz w:val="14"/>
          <w:szCs w:val="14"/>
          <w:color w:val="auto"/>
        </w:rPr>
        <w:t>eter</w:t>
      </w:r>
      <w:r>
        <w:rPr>
          <w:rFonts w:ascii="Times New Roman" w:cs="Times New Roman" w:eastAsia="Times New Roman" w:hAnsi="Times New Roman"/>
          <w:sz w:val="22"/>
          <w:szCs w:val="22"/>
          <w:color w:val="auto"/>
        </w:rPr>
        <w:t xml:space="preserve"> S</w:t>
      </w:r>
      <w:r>
        <w:rPr>
          <w:rFonts w:ascii="Times New Roman" w:cs="Times New Roman" w:eastAsia="Times New Roman" w:hAnsi="Times New Roman"/>
          <w:sz w:val="14"/>
          <w:szCs w:val="14"/>
          <w:color w:val="auto"/>
        </w:rPr>
        <w:t>chmidt</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i w:val="1"/>
          <w:iCs w:val="1"/>
          <w:color w:val="auto"/>
        </w:rPr>
        <w:t>Executive</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nvivyd</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w:t>
      </w:r>
      <w:r>
        <w:rPr>
          <w:rFonts w:ascii="Times New Roman" w:cs="Times New Roman" w:eastAsia="Times New Roman" w:hAnsi="Times New Roman"/>
          <w:sz w:val="14"/>
          <w:szCs w:val="14"/>
          <w:b w:val="1"/>
          <w:bCs w:val="1"/>
          <w:color w:val="auto"/>
        </w:rPr>
        <w:t>ecitals</w:t>
      </w:r>
    </w:p>
    <w:p>
      <w:pPr>
        <w:spacing w:after="0" w:line="205"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the Company and the Executive have entered into that certain Employment Agreement dated November 9,</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2020 (the “</w:t>
      </w:r>
      <w:r>
        <w:rPr>
          <w:rFonts w:ascii="Times New Roman" w:cs="Times New Roman" w:eastAsia="Times New Roman" w:hAnsi="Times New Roman"/>
          <w:sz w:val="22"/>
          <w:szCs w:val="22"/>
          <w:b w:val="1"/>
          <w:bCs w:val="1"/>
          <w:i w:val="1"/>
          <w:iCs w:val="1"/>
          <w:color w:val="auto"/>
        </w:rPr>
        <w:t>Executive Agreement</w:t>
      </w:r>
      <w:r>
        <w:rPr>
          <w:rFonts w:ascii="Times New Roman" w:cs="Times New Roman" w:eastAsia="Times New Roman" w:hAnsi="Times New Roman"/>
          <w:sz w:val="22"/>
          <w:szCs w:val="22"/>
          <w:color w:val="auto"/>
        </w:rPr>
        <w:t>”); and</w:t>
      </w:r>
    </w:p>
    <w:p>
      <w:pPr>
        <w:spacing w:after="0" w:line="151"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the Company desires to continue to employ Executive, promoting Executive to the role of Chief Medical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Officer, and the Executive desires to accept such employment and to perform the duties to the Company on the terms and conditions hereinafter set forth in this Amendment; and</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WHEREAS, </w:t>
      </w:r>
      <w:r>
        <w:rPr>
          <w:rFonts w:ascii="Times New Roman" w:cs="Times New Roman" w:eastAsia="Times New Roman" w:hAnsi="Times New Roman"/>
          <w:sz w:val="20"/>
          <w:szCs w:val="20"/>
          <w:color w:val="auto"/>
        </w:rPr>
        <w:t>the Company and the Executive wish to amend the Executive Agreement as set forth in this Amendment;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w:t>
      </w:r>
    </w:p>
    <w:p>
      <w:pPr>
        <w:spacing w:after="0" w:line="17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and the Executive desire to enter into a new Employee Proprietary Information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Inventions Assignment Agreement (“</w:t>
      </w:r>
      <w:r>
        <w:rPr>
          <w:rFonts w:ascii="Times New Roman" w:cs="Times New Roman" w:eastAsia="Times New Roman" w:hAnsi="Times New Roman"/>
          <w:sz w:val="22"/>
          <w:szCs w:val="22"/>
          <w:b w:val="1"/>
          <w:bCs w:val="1"/>
          <w:i w:val="1"/>
          <w:iCs w:val="1"/>
          <w:color w:val="auto"/>
        </w:rPr>
        <w:t>PIIA Agreement</w:t>
      </w:r>
      <w:r>
        <w:rPr>
          <w:rFonts w:ascii="Times New Roman" w:cs="Times New Roman" w:eastAsia="Times New Roman" w:hAnsi="Times New Roman"/>
          <w:sz w:val="22"/>
          <w:szCs w:val="22"/>
          <w:color w:val="auto"/>
        </w:rPr>
        <w:t>”), which shall replace in its entirety the Restrictive Covenants Agreement attached as exhibit A to the Executive Agreement, effective as of the Amendment Effective Date.</w:t>
      </w:r>
    </w:p>
    <w:p>
      <w:pPr>
        <w:spacing w:after="0" w:line="166"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mutual covenants contained herein and other valid consideration,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sufficiency of which is acknowledged, the parties hereto agree as follows: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greement</w:t>
      </w:r>
    </w:p>
    <w:p>
      <w:pPr>
        <w:spacing w:after="0" w:line="205" w:lineRule="exact"/>
        <w:rPr>
          <w:sz w:val="20"/>
          <w:szCs w:val="20"/>
          <w:color w:val="auto"/>
        </w:rPr>
      </w:pPr>
    </w:p>
    <w:p>
      <w:pPr>
        <w:ind w:left="380" w:hanging="372"/>
        <w:spacing w:after="0"/>
        <w:tabs>
          <w:tab w:leader="none" w:pos="380" w:val="left"/>
        </w:tabs>
        <w:numPr>
          <w:ilvl w:val="0"/>
          <w:numId w:val="19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Amendment to Section 1(b)</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1(b) of the Executive Agreement is hereby replaced in its entirety as follows:</w:t>
      </w:r>
    </w:p>
    <w:p>
      <w:pPr>
        <w:spacing w:after="0" w:line="96" w:lineRule="exact"/>
        <w:rPr>
          <w:sz w:val="20"/>
          <w:szCs w:val="20"/>
          <w:color w:val="auto"/>
        </w:rPr>
      </w:pPr>
    </w:p>
    <w:p>
      <w:pPr>
        <w:jc w:val="both"/>
        <w:ind w:left="760" w:right="740"/>
        <w:spacing w:after="0" w:line="235" w:lineRule="auto"/>
        <w:rPr>
          <w:sz w:val="20"/>
          <w:szCs w:val="20"/>
          <w:color w:val="auto"/>
        </w:rPr>
      </w:pPr>
      <w:r>
        <w:rPr>
          <w:rFonts w:ascii="Times New Roman" w:cs="Times New Roman" w:eastAsia="Times New Roman" w:hAnsi="Times New Roman"/>
          <w:sz w:val="22"/>
          <w:szCs w:val="22"/>
          <w:color w:val="auto"/>
        </w:rPr>
        <w:t>As of December 6, 2022 (the “</w:t>
      </w:r>
      <w:r>
        <w:rPr>
          <w:rFonts w:ascii="Times New Roman" w:cs="Times New Roman" w:eastAsia="Times New Roman" w:hAnsi="Times New Roman"/>
          <w:sz w:val="22"/>
          <w:szCs w:val="22"/>
          <w:b w:val="1"/>
          <w:bCs w:val="1"/>
          <w:i w:val="1"/>
          <w:iCs w:val="1"/>
          <w:color w:val="auto"/>
        </w:rPr>
        <w:t>Amendment Effective Date</w:t>
      </w:r>
      <w:r>
        <w:rPr>
          <w:rFonts w:ascii="Times New Roman" w:cs="Times New Roman" w:eastAsia="Times New Roman" w:hAnsi="Times New Roman"/>
          <w:sz w:val="22"/>
          <w:szCs w:val="22"/>
          <w:color w:val="auto"/>
        </w:rPr>
        <w:t>”), the Executive shall serve as the Chief Medical Officer of the Company and shall have such powers and duties as customarily associated with this role, and as may from time to time be prescribed by the Chief Executive Officer of the Company (the “</w:t>
      </w:r>
      <w:r>
        <w:rPr>
          <w:rFonts w:ascii="Times New Roman" w:cs="Times New Roman" w:eastAsia="Times New Roman" w:hAnsi="Times New Roman"/>
          <w:sz w:val="22"/>
          <w:szCs w:val="22"/>
          <w:b w:val="1"/>
          <w:bCs w:val="1"/>
          <w:i w:val="1"/>
          <w:iCs w:val="1"/>
          <w:color w:val="auto"/>
        </w:rPr>
        <w:t>CEO</w:t>
      </w:r>
      <w:r>
        <w:rPr>
          <w:rFonts w:ascii="Times New Roman" w:cs="Times New Roman" w:eastAsia="Times New Roman" w:hAnsi="Times New Roman"/>
          <w:sz w:val="22"/>
          <w:szCs w:val="22"/>
          <w:color w:val="auto"/>
        </w:rPr>
        <w:t>”) or other duly authorized executive. The Executive shall devote the Executive’s full working time and efforts to the business and affairs of the Company. Notwithstanding the foregoing, the Executive may serve on other boards of directors, with the approval of the Board of Directors of the Company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or engage in religious, charitable or other community activities as long as such services and activities do not interfere with the Executive’s performance of the Executive’s duties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1284605</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236" w:name="page237"/>
    <w:bookmarkEnd w:id="236"/>
    <w:p>
      <w:pPr>
        <w:ind w:left="372" w:hanging="372"/>
        <w:spacing w:after="0"/>
        <w:tabs>
          <w:tab w:leader="none" w:pos="372" w:val="left"/>
        </w:tabs>
        <w:numPr>
          <w:ilvl w:val="0"/>
          <w:numId w:val="1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Amendment to Section 2.</w:t>
      </w:r>
    </w:p>
    <w:p>
      <w:pPr>
        <w:spacing w:after="0" w:line="205" w:lineRule="exact"/>
        <w:rPr>
          <w:rFonts w:ascii="Times New Roman" w:cs="Times New Roman" w:eastAsia="Times New Roman" w:hAnsi="Times New Roman"/>
          <w:sz w:val="22"/>
          <w:szCs w:val="22"/>
          <w:b w:val="1"/>
          <w:bCs w:val="1"/>
          <w:color w:val="auto"/>
        </w:rPr>
      </w:pPr>
    </w:p>
    <w:p>
      <w:pPr>
        <w:ind w:left="1492"/>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20"/>
          <w:szCs w:val="20"/>
          <w:color w:val="auto"/>
        </w:rPr>
        <w:t>Section 2(a) is hereby replaced in its entirety as follows:</w:t>
      </w:r>
    </w:p>
    <w:p>
      <w:pPr>
        <w:spacing w:after="0" w:line="209" w:lineRule="exact"/>
        <w:rPr>
          <w:sz w:val="20"/>
          <w:szCs w:val="20"/>
          <w:color w:val="auto"/>
        </w:rPr>
      </w:pPr>
    </w:p>
    <w:p>
      <w:pPr>
        <w:jc w:val="both"/>
        <w:ind w:left="752"/>
        <w:spacing w:after="0" w:line="234" w:lineRule="auto"/>
        <w:rPr>
          <w:sz w:val="20"/>
          <w:szCs w:val="20"/>
          <w:color w:val="auto"/>
        </w:rPr>
      </w:pP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The Company will pay Executive, as compensation for the performance of the Executive’s duties and obligations hereunder, salary at the rate of $440,000 per year, less applicable deductions and withholdings. The Executive’s salary shall be subject to annual review not later than March 31st of each year for possible increase by the Board or the Compensation Committee of the Board (the “</w:t>
      </w:r>
      <w:r>
        <w:rPr>
          <w:rFonts w:ascii="Times New Roman" w:cs="Times New Roman" w:eastAsia="Times New Roman" w:hAnsi="Times New Roman"/>
          <w:sz w:val="22"/>
          <w:szCs w:val="22"/>
          <w:b w:val="1"/>
          <w:bCs w:val="1"/>
          <w:i w:val="1"/>
          <w:iCs w:val="1"/>
          <w:color w:val="auto"/>
        </w:rPr>
        <w:t>Compensation Committee</w:t>
      </w:r>
      <w:r>
        <w:rPr>
          <w:rFonts w:ascii="Times New Roman" w:cs="Times New Roman" w:eastAsia="Times New Roman" w:hAnsi="Times New Roman"/>
          <w:sz w:val="22"/>
          <w:szCs w:val="22"/>
          <w:color w:val="auto"/>
        </w:rPr>
        <w:t>”), which may be adjusted from time to time. For the avoidance of doubt, Executive will not be eligible for a salary increase for the calendar year 2022 compensation cycle. The base salary in effect at any given time is referred to herein as “</w:t>
      </w:r>
      <w:r>
        <w:rPr>
          <w:rFonts w:ascii="Times New Roman" w:cs="Times New Roman" w:eastAsia="Times New Roman" w:hAnsi="Times New Roman"/>
          <w:sz w:val="22"/>
          <w:szCs w:val="22"/>
          <w:b w:val="1"/>
          <w:bCs w:val="1"/>
          <w:i w:val="1"/>
          <w:iCs w:val="1"/>
          <w:color w:val="auto"/>
        </w:rPr>
        <w:t>Base Salary</w:t>
      </w:r>
      <w:r>
        <w:rPr>
          <w:rFonts w:ascii="Times New Roman" w:cs="Times New Roman" w:eastAsia="Times New Roman" w:hAnsi="Times New Roman"/>
          <w:sz w:val="22"/>
          <w:szCs w:val="22"/>
          <w:color w:val="auto"/>
        </w:rPr>
        <w:t>.” The Base Salary shall be payable in a manner that is consistent with the Company’s usual payroll practices for its executive officers.</w:t>
      </w:r>
    </w:p>
    <w:p>
      <w:pPr>
        <w:spacing w:after="0" w:line="184" w:lineRule="exact"/>
        <w:rPr>
          <w:sz w:val="20"/>
          <w:szCs w:val="20"/>
          <w:color w:val="auto"/>
        </w:rPr>
      </w:pPr>
    </w:p>
    <w:p>
      <w:pPr>
        <w:ind w:left="2252" w:hanging="755"/>
        <w:spacing w:after="0"/>
        <w:tabs>
          <w:tab w:leader="none" w:pos="2252" w:val="left"/>
        </w:tabs>
        <w:numPr>
          <w:ilvl w:val="0"/>
          <w:numId w:val="1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Section 2(b) is hereby replaced in its entirety as follows:</w:t>
      </w:r>
    </w:p>
    <w:p>
      <w:pPr>
        <w:spacing w:after="0" w:line="205" w:lineRule="exact"/>
        <w:rPr>
          <w:sz w:val="20"/>
          <w:szCs w:val="20"/>
          <w:color w:val="auto"/>
        </w:rPr>
      </w:pPr>
    </w:p>
    <w:p>
      <w:pPr>
        <w:jc w:val="both"/>
        <w:ind w:left="752"/>
        <w:spacing w:after="0" w:line="232" w:lineRule="auto"/>
        <w:rPr>
          <w:sz w:val="20"/>
          <w:szCs w:val="20"/>
          <w:color w:val="auto"/>
        </w:rPr>
      </w:pPr>
      <w:r>
        <w:rPr>
          <w:rFonts w:ascii="Times New Roman" w:cs="Times New Roman" w:eastAsia="Times New Roman" w:hAnsi="Times New Roman"/>
          <w:sz w:val="22"/>
          <w:szCs w:val="22"/>
          <w:u w:val="single" w:color="auto"/>
          <w:color w:val="auto"/>
        </w:rPr>
        <w:t>Incentive Compensation</w:t>
      </w:r>
      <w:r>
        <w:rPr>
          <w:rFonts w:ascii="Times New Roman" w:cs="Times New Roman" w:eastAsia="Times New Roman" w:hAnsi="Times New Roman"/>
          <w:sz w:val="22"/>
          <w:szCs w:val="22"/>
          <w:color w:val="auto"/>
        </w:rPr>
        <w:t>. The Executive shall be eligible to receive cash incentive compensation as determined by the Board or the Compensation Committee from time to time. The amount, terms and conditions of such bonus (if any) will be determined at the sole discretion of the Board or the Compensation Committee. Beginning in calendar year 2023, the Executive’s initial target annual incentive bonus shall be 40% of the Executive’s Base Salary. Payment of any incentive bonus shall be contingent upon the Executive being employed by the Company as of the payment date of such incentive bonus. The actual bonus amount is discretionary and will be subject to the Company’s assessment of the Executive’s performance, as well as business conditions at the Company. The bonus will also be subject to the terms of any applicable bonus plan and approval by and adjustment at the discretion of the Board or the Compensation Committee. The bonus, if any, shall be paid by March 15th of the calendar year following the calendar year for which such bonus relates. The Company also may make adjustments, at its sole discretion, in the targeted amount of the Executive’s annual incentive bonus. The target annual incentive bonus in effect at any given time is referred to herein as the “Target Bonus.” For the avoidance of doubt, nothing herein shall affect Executive’s entitlement to Executive’s 2022 bonus, if any, which shall remain subject to the aforementioned conditions at a target annual incentive of 30% of Executive’s Base Salary in existence as of December 5, 2022.</w:t>
      </w:r>
    </w:p>
    <w:p>
      <w:pPr>
        <w:spacing w:after="0" w:line="188" w:lineRule="exact"/>
        <w:rPr>
          <w:sz w:val="20"/>
          <w:szCs w:val="20"/>
          <w:color w:val="auto"/>
        </w:rPr>
      </w:pPr>
    </w:p>
    <w:p>
      <w:pPr>
        <w:ind w:left="2252" w:hanging="755"/>
        <w:spacing w:after="0"/>
        <w:tabs>
          <w:tab w:leader="none" w:pos="2252" w:val="left"/>
        </w:tabs>
        <w:numPr>
          <w:ilvl w:val="0"/>
          <w:numId w:val="2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Section 2(f) is hereby amended to include a second paragraph as follows:</w:t>
      </w:r>
    </w:p>
    <w:p>
      <w:pPr>
        <w:spacing w:after="0" w:line="205" w:lineRule="exact"/>
        <w:rPr>
          <w:sz w:val="20"/>
          <w:szCs w:val="20"/>
          <w:color w:val="auto"/>
        </w:rPr>
      </w:pPr>
    </w:p>
    <w:p>
      <w:pPr>
        <w:jc w:val="both"/>
        <w:ind w:left="752"/>
        <w:spacing w:after="0" w:line="266" w:lineRule="auto"/>
        <w:rPr>
          <w:sz w:val="20"/>
          <w:szCs w:val="20"/>
          <w:color w:val="auto"/>
        </w:rPr>
      </w:pPr>
      <w:r>
        <w:rPr>
          <w:rFonts w:ascii="Times New Roman" w:cs="Times New Roman" w:eastAsia="Times New Roman" w:hAnsi="Times New Roman"/>
          <w:sz w:val="20"/>
          <w:szCs w:val="20"/>
          <w:color w:val="auto"/>
        </w:rPr>
        <w:t>The Executive has been granted a stock option in connection with the First Amendment to the Employment Agreement (“</w:t>
      </w:r>
      <w:r>
        <w:rPr>
          <w:rFonts w:ascii="Times New Roman" w:cs="Times New Roman" w:eastAsia="Times New Roman" w:hAnsi="Times New Roman"/>
          <w:sz w:val="20"/>
          <w:szCs w:val="20"/>
          <w:b w:val="1"/>
          <w:bCs w:val="1"/>
          <w:i w:val="1"/>
          <w:iCs w:val="1"/>
          <w:color w:val="auto"/>
        </w:rPr>
        <w:t>Promotional Stock Option</w:t>
      </w:r>
      <w:r>
        <w:rPr>
          <w:rFonts w:ascii="Times New Roman" w:cs="Times New Roman" w:eastAsia="Times New Roman" w:hAnsi="Times New Roman"/>
          <w:sz w:val="20"/>
          <w:szCs w:val="20"/>
          <w:color w:val="auto"/>
        </w:rPr>
        <w:t>”). The Promotional Stock Option shall be governed by the terms and conditions of the Company’s 2021 Equity Incentive Plan and the applicable stock option grant notice and stock option agreement (collectively, the “</w:t>
      </w:r>
      <w:r>
        <w:rPr>
          <w:rFonts w:ascii="Times New Roman" w:cs="Times New Roman" w:eastAsia="Times New Roman" w:hAnsi="Times New Roman"/>
          <w:sz w:val="20"/>
          <w:szCs w:val="20"/>
          <w:b w:val="1"/>
          <w:bCs w:val="1"/>
          <w:i w:val="1"/>
          <w:iCs w:val="1"/>
          <w:color w:val="auto"/>
        </w:rPr>
        <w:t>Promotional Equity Documents</w:t>
      </w:r>
      <w:r>
        <w:rPr>
          <w:rFonts w:ascii="Times New Roman" w:cs="Times New Roman" w:eastAsia="Times New Roman" w:hAnsi="Times New Roman"/>
          <w:sz w:val="20"/>
          <w:szCs w:val="20"/>
          <w:color w:val="auto"/>
        </w:rPr>
        <w:t>”); provided, however, and notwithstanding anything to the contrary in the Promotional Equity Documents, Section 5 and Section 6 of this Agreement,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856615</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92"/>
          </w:cols>
          <w:pgMar w:left="328" w:top="1376" w:right="1079" w:bottom="1440" w:gutter="0" w:footer="0" w:header="0"/>
        </w:sectPr>
      </w:pPr>
    </w:p>
    <w:bookmarkStart w:id="237" w:name="page238"/>
    <w:bookmarkEnd w:id="237"/>
    <w:p>
      <w:pPr>
        <w:jc w:val="both"/>
        <w:ind w:left="752" w:right="740"/>
        <w:spacing w:after="0" w:line="237" w:lineRule="auto"/>
        <w:rPr>
          <w:sz w:val="20"/>
          <w:szCs w:val="20"/>
          <w:color w:val="auto"/>
        </w:rPr>
      </w:pPr>
      <w:r>
        <w:rPr>
          <w:rFonts w:ascii="Times New Roman" w:cs="Times New Roman" w:eastAsia="Times New Roman" w:hAnsi="Times New Roman"/>
          <w:sz w:val="22"/>
          <w:szCs w:val="22"/>
          <w:color w:val="auto"/>
        </w:rPr>
        <w:t>applicable, shall apply in the event of a termination by the Company without Cause or by the Executive for Good Reason (as such terms are defined below). Notwithstanding anything to the contrary in the 2021 Promotional Equity Documents, the definition of “Cause” provided in Section 3(c) of this Agreement shall apply to the Promotional Equity Documents and to any future equity awards that may be granted to the Executive in lieu of any definition of “Cause” provided under the applicable equity award documents.</w:t>
      </w:r>
    </w:p>
    <w:p>
      <w:pPr>
        <w:spacing w:after="0" w:line="176" w:lineRule="exact"/>
        <w:rPr>
          <w:sz w:val="20"/>
          <w:szCs w:val="20"/>
          <w:color w:val="auto"/>
        </w:rPr>
      </w:pPr>
    </w:p>
    <w:p>
      <w:pPr>
        <w:ind w:left="372" w:hanging="372"/>
        <w:spacing w:after="0" w:line="261" w:lineRule="auto"/>
        <w:tabs>
          <w:tab w:leader="none" w:pos="372" w:val="left"/>
        </w:tabs>
        <w:numPr>
          <w:ilvl w:val="0"/>
          <w:numId w:val="2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Amendment to Section 5</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fifth paragraph of Section 5 (beginning with the words “For the avoidance of doubt,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notwithstanding anything to the contrary…”) is replaced in its entirety as follows:</w:t>
      </w:r>
    </w:p>
    <w:p>
      <w:pPr>
        <w:spacing w:after="0" w:line="155" w:lineRule="exact"/>
        <w:rPr>
          <w:sz w:val="20"/>
          <w:szCs w:val="20"/>
          <w:color w:val="auto"/>
        </w:rPr>
      </w:pPr>
    </w:p>
    <w:p>
      <w:pPr>
        <w:jc w:val="both"/>
        <w:ind w:left="752" w:right="740"/>
        <w:spacing w:after="0" w:line="255" w:lineRule="auto"/>
        <w:rPr>
          <w:sz w:val="20"/>
          <w:szCs w:val="20"/>
          <w:color w:val="auto"/>
        </w:rPr>
      </w:pPr>
      <w:r>
        <w:rPr>
          <w:rFonts w:ascii="Times New Roman" w:cs="Times New Roman" w:eastAsia="Times New Roman" w:hAnsi="Times New Roman"/>
          <w:sz w:val="20"/>
          <w:szCs w:val="20"/>
          <w:u w:val="single" w:color="auto"/>
          <w:color w:val="auto"/>
        </w:rPr>
        <w:t>Delayed Forfeiture of Time-Based Equity Awards</w:t>
      </w:r>
      <w:r>
        <w:rPr>
          <w:rFonts w:ascii="Times New Roman" w:cs="Times New Roman" w:eastAsia="Times New Roman" w:hAnsi="Times New Roman"/>
          <w:sz w:val="20"/>
          <w:szCs w:val="20"/>
          <w:color w:val="auto"/>
        </w:rPr>
        <w:t>. For the avoidance of doubt, and notwithstanding anything in to the contrary in any stock options and other stock-based awards held by the Executive that are subject solely to time-based vesting, including, without limitation, the Initial Stock Option or the Promotional Stock Option (the “</w:t>
      </w:r>
      <w:r>
        <w:rPr>
          <w:rFonts w:ascii="Times New Roman" w:cs="Times New Roman" w:eastAsia="Times New Roman" w:hAnsi="Times New Roman"/>
          <w:sz w:val="20"/>
          <w:szCs w:val="20"/>
          <w:b w:val="1"/>
          <w:bCs w:val="1"/>
          <w:i w:val="1"/>
          <w:iCs w:val="1"/>
          <w:color w:val="auto"/>
        </w:rPr>
        <w:t>Time-Based Equity Awards</w:t>
      </w:r>
      <w:r>
        <w:rPr>
          <w:rFonts w:ascii="Times New Roman" w:cs="Times New Roman" w:eastAsia="Times New Roman" w:hAnsi="Times New Roman"/>
          <w:sz w:val="20"/>
          <w:szCs w:val="20"/>
          <w:color w:val="auto"/>
        </w:rPr>
        <w:t>”), the unvested portions of all Time-Based Equity Awards shall not terminate or be forfeited on the Date of Termination, but rather shall remain outstanding until ninety (90) days after the Date of Termination (the “</w:t>
      </w:r>
      <w:r>
        <w:rPr>
          <w:rFonts w:ascii="Times New Roman" w:cs="Times New Roman" w:eastAsia="Times New Roman" w:hAnsi="Times New Roman"/>
          <w:sz w:val="20"/>
          <w:szCs w:val="20"/>
          <w:b w:val="1"/>
          <w:bCs w:val="1"/>
          <w:i w:val="1"/>
          <w:iCs w:val="1"/>
          <w:color w:val="auto"/>
        </w:rPr>
        <w:t>Pre-CIC Protection Period</w:t>
      </w:r>
      <w:r>
        <w:rPr>
          <w:rFonts w:ascii="Times New Roman" w:cs="Times New Roman" w:eastAsia="Times New Roman" w:hAnsi="Times New Roman"/>
          <w:sz w:val="20"/>
          <w:szCs w:val="20"/>
          <w:color w:val="auto"/>
        </w:rPr>
        <w:t>”). If the Company has not, prior to the end of the Pre-CIC Protection Period, entered into a definitive agreement that, if closed, would result in a Change in Control (as defined herein) (a “</w:t>
      </w:r>
      <w:r>
        <w:rPr>
          <w:rFonts w:ascii="Times New Roman" w:cs="Times New Roman" w:eastAsia="Times New Roman" w:hAnsi="Times New Roman"/>
          <w:sz w:val="20"/>
          <w:szCs w:val="20"/>
          <w:b w:val="1"/>
          <w:bCs w:val="1"/>
          <w:i w:val="1"/>
          <w:iCs w:val="1"/>
          <w:color w:val="auto"/>
        </w:rPr>
        <w:t>P&amp;S Agreement</w:t>
      </w:r>
      <w:r>
        <w:rPr>
          <w:rFonts w:ascii="Times New Roman" w:cs="Times New Roman" w:eastAsia="Times New Roman" w:hAnsi="Times New Roman"/>
          <w:sz w:val="20"/>
          <w:szCs w:val="20"/>
          <w:color w:val="auto"/>
        </w:rPr>
        <w:t>”) then the unvested portion of the Time-Based Equity Awards shall terminate and be forfeited as of the end of the Pre-CIC Protection Period. If the Company, prior to the end of the Pre-CIC Protection Period, enters into a P&amp;S Agreement, then the Time-Based Equity Awards shall remain outstanding and, to the extent unvested, become fully vested upon a Change in Control resulting from such agreement, and all such awards that are assumed or continued in the Change in Control transaction shall remain outstanding until the later of (i) the end of the Pre-CIC Protection Period and (ii) ninety (90) days after such Change in Control. Unvested Time Based Equity Awards shall terminate and be forfeited if the Company abandons a sale of the Company as contemplated under the P&amp;S Agreement entered into during the Pre-CIC Protection Period. No additional vesting of the Time-Based Equity Awards shall occur following the Date of Termination except on account of a Change in Control during or after the Pre-CIC Protection Period as specifically provided herein. For the avoidance of doubt, all other unvested equity awards, including but not limited to performance stock units vesting based on achieving pre-established performance goals (collectively, the “</w:t>
      </w:r>
      <w:r>
        <w:rPr>
          <w:rFonts w:ascii="Times New Roman" w:cs="Times New Roman" w:eastAsia="Times New Roman" w:hAnsi="Times New Roman"/>
          <w:sz w:val="20"/>
          <w:szCs w:val="20"/>
          <w:b w:val="1"/>
          <w:bCs w:val="1"/>
          <w:i w:val="1"/>
          <w:iCs w:val="1"/>
          <w:color w:val="auto"/>
        </w:rPr>
        <w:t>Performance-Based Equity Awards</w:t>
      </w:r>
      <w:r>
        <w:rPr>
          <w:rFonts w:ascii="Times New Roman" w:cs="Times New Roman" w:eastAsia="Times New Roman" w:hAnsi="Times New Roman"/>
          <w:sz w:val="20"/>
          <w:szCs w:val="20"/>
          <w:color w:val="auto"/>
        </w:rPr>
        <w:t>”) shall terminate and be forfeited on the Date of Termination unless otherwise provided by the terms of the Plan, Promotional Equity Documents or the applicable award agreement. Notwithstanding anything herein to the contrary, no Time-Based Awards shall remain outstanding following the original expiration date of such award, as set forth in the applicable award agreement.</w:t>
      </w:r>
    </w:p>
    <w:p>
      <w:pPr>
        <w:spacing w:after="0" w:line="200" w:lineRule="exact"/>
        <w:rPr>
          <w:sz w:val="20"/>
          <w:szCs w:val="20"/>
          <w:color w:val="auto"/>
        </w:rPr>
      </w:pPr>
    </w:p>
    <w:p>
      <w:pPr>
        <w:spacing w:after="0" w:line="218" w:lineRule="exact"/>
        <w:rPr>
          <w:sz w:val="20"/>
          <w:szCs w:val="20"/>
          <w:color w:val="auto"/>
        </w:rPr>
      </w:pPr>
    </w:p>
    <w:p>
      <w:pPr>
        <w:ind w:left="372" w:hanging="372"/>
        <w:spacing w:after="0" w:line="261" w:lineRule="auto"/>
        <w:tabs>
          <w:tab w:leader="none" w:pos="372" w:val="left"/>
        </w:tabs>
        <w:numPr>
          <w:ilvl w:val="0"/>
          <w:numId w:val="2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Amendment to Exhibit A; references to Restrictive Covenants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Exhibit A to the Executive Agreement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hereby replaced in its entirety by the PIIA Agreement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925195</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380" w:right="339" w:bottom="1440" w:gutter="0" w:footer="0" w:header="0"/>
        </w:sectPr>
      </w:pPr>
    </w:p>
    <w:bookmarkStart w:id="238" w:name="page239"/>
    <w:bookmarkEnd w:id="238"/>
    <w:p>
      <w:pPr>
        <w:ind w:left="380" w:right="20"/>
        <w:spacing w:after="0" w:line="263" w:lineRule="auto"/>
        <w:rPr>
          <w:sz w:val="20"/>
          <w:szCs w:val="20"/>
          <w:color w:val="auto"/>
        </w:rPr>
      </w:pPr>
      <w:r>
        <w:rPr>
          <w:rFonts w:ascii="Times New Roman" w:cs="Times New Roman" w:eastAsia="Times New Roman" w:hAnsi="Times New Roman"/>
          <w:sz w:val="22"/>
          <w:szCs w:val="22"/>
          <w:color w:val="auto"/>
        </w:rPr>
        <w:t>hereto as Exhibit 1. References throughout the Executive Agreement to the “</w:t>
      </w:r>
      <w:r>
        <w:rPr>
          <w:rFonts w:ascii="Times New Roman" w:cs="Times New Roman" w:eastAsia="Times New Roman" w:hAnsi="Times New Roman"/>
          <w:sz w:val="22"/>
          <w:szCs w:val="22"/>
          <w:b w:val="1"/>
          <w:bCs w:val="1"/>
          <w:i w:val="1"/>
          <w:iCs w:val="1"/>
          <w:color w:val="auto"/>
        </w:rPr>
        <w:t>Restrictive Covenants Agreement</w:t>
      </w:r>
      <w:r>
        <w:rPr>
          <w:rFonts w:ascii="Times New Roman" w:cs="Times New Roman" w:eastAsia="Times New Roman" w:hAnsi="Times New Roman"/>
          <w:sz w:val="22"/>
          <w:szCs w:val="22"/>
          <w:color w:val="auto"/>
        </w:rPr>
        <w:t>” shall be referred to as the “</w:t>
      </w:r>
      <w:r>
        <w:rPr>
          <w:rFonts w:ascii="Times New Roman" w:cs="Times New Roman" w:eastAsia="Times New Roman" w:hAnsi="Times New Roman"/>
          <w:sz w:val="22"/>
          <w:szCs w:val="22"/>
          <w:b w:val="1"/>
          <w:bCs w:val="1"/>
          <w:i w:val="1"/>
          <w:iCs w:val="1"/>
          <w:color w:val="auto"/>
        </w:rPr>
        <w:t>PIIA Agreement</w:t>
      </w:r>
      <w:r>
        <w:rPr>
          <w:rFonts w:ascii="Times New Roman" w:cs="Times New Roman" w:eastAsia="Times New Roman" w:hAnsi="Times New Roman"/>
          <w:sz w:val="22"/>
          <w:szCs w:val="22"/>
          <w:color w:val="auto"/>
        </w:rPr>
        <w:t>.”</w:t>
      </w:r>
    </w:p>
    <w:p>
      <w:pPr>
        <w:spacing w:after="0" w:line="45" w:lineRule="exact"/>
        <w:rPr>
          <w:sz w:val="20"/>
          <w:szCs w:val="20"/>
          <w:color w:val="auto"/>
        </w:rPr>
      </w:pPr>
    </w:p>
    <w:p>
      <w:pPr>
        <w:jc w:val="both"/>
        <w:ind w:left="380" w:hanging="372"/>
        <w:spacing w:after="0" w:line="244" w:lineRule="auto"/>
        <w:tabs>
          <w:tab w:leader="none" w:pos="380" w:val="left"/>
        </w:tabs>
        <w:numPr>
          <w:ilvl w:val="0"/>
          <w:numId w:val="2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and the Executive further agree that this Amendment does not constitute grounds for “Good Reason” pursuant to Section 3(e) of the Executive Agreement, or otherwise constitute any trigger for the Company’s payment of any severance benefits to Executive pursuant to the Executive Agreement.</w:t>
      </w:r>
    </w:p>
    <w:p>
      <w:pPr>
        <w:spacing w:after="0" w:line="199" w:lineRule="exact"/>
        <w:rPr>
          <w:rFonts w:ascii="Times New Roman" w:cs="Times New Roman" w:eastAsia="Times New Roman" w:hAnsi="Times New Roman"/>
          <w:sz w:val="22"/>
          <w:szCs w:val="22"/>
          <w:b w:val="1"/>
          <w:bCs w:val="1"/>
          <w:color w:val="auto"/>
        </w:rPr>
      </w:pPr>
    </w:p>
    <w:p>
      <w:pPr>
        <w:jc w:val="both"/>
        <w:ind w:left="380" w:hanging="372"/>
        <w:spacing w:after="0" w:line="237" w:lineRule="auto"/>
        <w:tabs>
          <w:tab w:leader="none" w:pos="380" w:val="left"/>
        </w:tabs>
        <w:numPr>
          <w:ilvl w:val="0"/>
          <w:numId w:val="2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Except as modified or amended in this Amendment, no other term or provision of the Executive Agreement is amended or modified in any respect. Executive remains employed “at will.” The Executive Agreement and its exhibits, the PIIA Agreement, and this Amendment, set forth the entire understanding between the parties with regard to the subject matter hereof and supersedes any prior oral discussions or written communications and agreements. This Amendment cannot be modified or amended except in writing signed by the Executive and an authorized officer of the Company.</w:t>
      </w:r>
    </w:p>
    <w:p>
      <w:pPr>
        <w:spacing w:after="0" w:line="20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The parties have executed this </w:t>
      </w:r>
      <w:r>
        <w:rPr>
          <w:rFonts w:ascii="Times New Roman" w:cs="Times New Roman" w:eastAsia="Times New Roman" w:hAnsi="Times New Roman"/>
          <w:sz w:val="22"/>
          <w:szCs w:val="22"/>
          <w:b w:val="1"/>
          <w:bCs w:val="1"/>
          <w:color w:val="auto"/>
        </w:rPr>
        <w:t>F</w:t>
      </w:r>
      <w:r>
        <w:rPr>
          <w:rFonts w:ascii="Times New Roman" w:cs="Times New Roman" w:eastAsia="Times New Roman" w:hAnsi="Times New Roman"/>
          <w:sz w:val="14"/>
          <w:szCs w:val="14"/>
          <w:b w:val="1"/>
          <w:bCs w:val="1"/>
          <w:color w:val="auto"/>
        </w:rPr>
        <w:t>irst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mendment to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mployment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greement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4"/>
          <w:szCs w:val="14"/>
          <w:b w:val="1"/>
          <w:bCs w:val="1"/>
          <w:color w:val="auto"/>
        </w:rPr>
        <w:t>eter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chmidt</w:t>
      </w:r>
      <w:r>
        <w:rPr>
          <w:rFonts w:ascii="Times New Roman" w:cs="Times New Roman" w:eastAsia="Times New Roman" w:hAnsi="Times New Roman"/>
          <w:sz w:val="22"/>
          <w:szCs w:val="22"/>
          <w:color w:val="auto"/>
        </w:rPr>
        <w:t xml:space="preserve"> on the day and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year first written above.</w:t>
      </w:r>
    </w:p>
    <w:p>
      <w:pPr>
        <w:spacing w:after="0" w:line="200" w:lineRule="exact"/>
        <w:rPr>
          <w:sz w:val="20"/>
          <w:szCs w:val="20"/>
          <w:color w:val="auto"/>
        </w:rPr>
      </w:pPr>
    </w:p>
    <w:p>
      <w:pPr>
        <w:spacing w:after="0" w:line="24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nvivyd</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color w:val="auto"/>
        </w:rPr>
        <w:t>.</w:t>
      </w:r>
    </w:p>
    <w:p>
      <w:pPr>
        <w:spacing w:after="0" w:line="23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/s/ David Hering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-13970</wp:posOffset>
            </wp:positionV>
            <wp:extent cx="219202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2">
                      <a:extLst>
                        <a:ext uri="{28A0092B-C50C-407E-A947-70E740481C1C}"/>
                      </a:extLst>
                    </a:blip>
                    <a:srcRect/>
                    <a:stretch>
                      <a:fillRect/>
                    </a:stretch>
                  </pic:blipFill>
                  <pic:spPr bwMode="auto">
                    <a:xfrm>
                      <a:off x="0" y="0"/>
                      <a:ext cx="2192020" cy="825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2"/>
          <w:szCs w:val="22"/>
          <w:color w:val="auto"/>
        </w:rPr>
        <w:t>David Hering</w:t>
      </w:r>
    </w:p>
    <w:p>
      <w:pPr>
        <w:spacing w:after="0" w:line="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CEO</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xecutive</w:t>
      </w:r>
    </w:p>
    <w:p>
      <w:pPr>
        <w:spacing w:after="0" w:line="200" w:lineRule="exact"/>
        <w:rPr>
          <w:sz w:val="20"/>
          <w:szCs w:val="20"/>
          <w:color w:val="auto"/>
        </w:rPr>
      </w:pPr>
    </w:p>
    <w:p>
      <w:pPr>
        <w:spacing w:after="0" w:line="27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/s/ Peter Schmidt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-13970</wp:posOffset>
            </wp:positionV>
            <wp:extent cx="219202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3">
                      <a:extLst>
                        <a:ext uri="{28A0092B-C50C-407E-A947-70E740481C1C}"/>
                      </a:extLst>
                    </a:blip>
                    <a:srcRect/>
                    <a:stretch>
                      <a:fillRect/>
                    </a:stretch>
                  </pic:blipFill>
                  <pic:spPr bwMode="auto">
                    <a:xfrm>
                      <a:off x="0" y="0"/>
                      <a:ext cx="2192020" cy="825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2"/>
          <w:szCs w:val="22"/>
          <w:color w:val="auto"/>
        </w:rPr>
        <w:t>Peter Schmidt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1318895</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4" w:right="339" w:bottom="1440" w:gutter="0" w:footer="0" w:header="0"/>
        </w:sectPr>
      </w:pPr>
    </w:p>
    <w:bookmarkStart w:id="239" w:name="page240"/>
    <w:bookmarkEnd w:id="239"/>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Exhibit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1042670</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3" w:right="1440" w:bottom="1440" w:gutter="0" w:footer="0" w:header="0"/>
        </w:sectPr>
      </w:pPr>
    </w:p>
    <w:bookmarkStart w:id="240" w:name="page241"/>
    <w:bookmarkEnd w:id="240"/>
    <w:p>
      <w:pPr>
        <w:jc w:val="right"/>
        <w:spacing w:after="0"/>
        <w:rPr>
          <w:sz w:val="20"/>
          <w:szCs w:val="20"/>
          <w:color w:val="auto"/>
        </w:rPr>
      </w:pPr>
      <w:r>
        <w:rPr>
          <w:rFonts w:ascii="Times New Roman" w:cs="Times New Roman" w:eastAsia="Times New Roman" w:hAnsi="Times New Roman"/>
          <w:sz w:val="22"/>
          <w:szCs w:val="22"/>
          <w:b w:val="1"/>
          <w:bCs w:val="1"/>
          <w:color w:val="auto"/>
        </w:rPr>
        <w:t>Exhibit 10.11</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EMPLOYMENT AGREEMENT</w:t>
      </w:r>
    </w:p>
    <w:p>
      <w:pPr>
        <w:spacing w:after="0" w:line="326" w:lineRule="exact"/>
        <w:rPr>
          <w:sz w:val="20"/>
          <w:szCs w:val="20"/>
          <w:color w:val="auto"/>
        </w:rPr>
      </w:pPr>
    </w:p>
    <w:p>
      <w:pPr>
        <w:ind w:right="160" w:firstLine="749"/>
        <w:spacing w:after="0" w:line="263" w:lineRule="auto"/>
        <w:rPr>
          <w:sz w:val="20"/>
          <w:szCs w:val="20"/>
          <w:color w:val="auto"/>
        </w:rPr>
      </w:pPr>
      <w:r>
        <w:rPr>
          <w:rFonts w:ascii="Times New Roman" w:cs="Times New Roman" w:eastAsia="Times New Roman" w:hAnsi="Times New Roman"/>
          <w:sz w:val="22"/>
          <w:szCs w:val="22"/>
          <w:color w:val="auto"/>
        </w:rPr>
        <w:t>This Employment Agreement (“</w:t>
      </w:r>
      <w:r>
        <w:rPr>
          <w:rFonts w:ascii="Times New Roman" w:cs="Times New Roman" w:eastAsia="Times New Roman" w:hAnsi="Times New Roman"/>
          <w:sz w:val="22"/>
          <w:szCs w:val="22"/>
          <w:b w:val="1"/>
          <w:bCs w:val="1"/>
          <w:i w:val="1"/>
          <w:iCs w:val="1"/>
          <w:u w:val="single" w:color="auto"/>
          <w:color w:val="auto"/>
        </w:rPr>
        <w:t>Agreement</w:t>
      </w:r>
      <w:r>
        <w:rPr>
          <w:rFonts w:ascii="Times New Roman" w:cs="Times New Roman" w:eastAsia="Times New Roman" w:hAnsi="Times New Roman"/>
          <w:sz w:val="22"/>
          <w:szCs w:val="22"/>
          <w:color w:val="auto"/>
        </w:rPr>
        <w:t>”) is made between Invivyd, Inc., a Delaware corporation (the “</w:t>
      </w:r>
      <w:r>
        <w:rPr>
          <w:rFonts w:ascii="Times New Roman" w:cs="Times New Roman" w:eastAsia="Times New Roman" w:hAnsi="Times New Roman"/>
          <w:sz w:val="22"/>
          <w:szCs w:val="22"/>
          <w:b w:val="1"/>
          <w:bCs w:val="1"/>
          <w:i w:val="1"/>
          <w:iCs w:val="1"/>
          <w:u w:val="single" w:color="auto"/>
          <w:color w:val="auto"/>
        </w:rPr>
        <w:t>Company</w:t>
      </w:r>
      <w:r>
        <w:rPr>
          <w:rFonts w:ascii="Times New Roman" w:cs="Times New Roman" w:eastAsia="Times New Roman" w:hAnsi="Times New Roman"/>
          <w:sz w:val="22"/>
          <w:szCs w:val="22"/>
          <w:color w:val="auto"/>
        </w:rPr>
        <w:t>”), and Stacy Price (“</w:t>
      </w:r>
      <w:r>
        <w:rPr>
          <w:rFonts w:ascii="Times New Roman" w:cs="Times New Roman" w:eastAsia="Times New Roman" w:hAnsi="Times New Roman"/>
          <w:sz w:val="22"/>
          <w:szCs w:val="22"/>
          <w:b w:val="1"/>
          <w:bCs w:val="1"/>
          <w:i w:val="1"/>
          <w:iCs w:val="1"/>
          <w:u w:val="single" w:color="auto"/>
          <w:color w:val="auto"/>
        </w:rPr>
        <w:t>Executive</w:t>
      </w:r>
      <w:r>
        <w:rPr>
          <w:rFonts w:ascii="Times New Roman" w:cs="Times New Roman" w:eastAsia="Times New Roman" w:hAnsi="Times New Roman"/>
          <w:sz w:val="22"/>
          <w:szCs w:val="22"/>
          <w:color w:val="auto"/>
        </w:rPr>
        <w:t>”), this 3rd day of February, 2023.</w:t>
      </w:r>
    </w:p>
    <w:p>
      <w:pPr>
        <w:spacing w:after="0" w:line="149" w:lineRule="exact"/>
        <w:rPr>
          <w:sz w:val="20"/>
          <w:szCs w:val="20"/>
          <w:color w:val="auto"/>
        </w:rPr>
      </w:pPr>
    </w:p>
    <w:p>
      <w:pPr>
        <w:jc w:val="both"/>
        <w:ind w:right="20"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22"/>
          <w:szCs w:val="22"/>
          <w:color w:val="auto"/>
        </w:rPr>
        <w:t>, the Company desires for Executive to provide services to the Company, and wishes to provide Executive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certain compensation and benefits in return for such employment services, and Executive wishes to be employed by the Company and to provide personal services to the Company in return for certain compensation and benefits; and</w:t>
      </w:r>
    </w:p>
    <w:p>
      <w:pPr>
        <w:spacing w:after="0" w:line="166" w:lineRule="exact"/>
        <w:rPr>
          <w:sz w:val="20"/>
          <w:szCs w:val="20"/>
          <w:color w:val="auto"/>
        </w:rPr>
      </w:pPr>
    </w:p>
    <w:p>
      <w:pPr>
        <w:ind w:right="260" w:firstLine="749"/>
        <w:spacing w:after="0" w:line="245" w:lineRule="auto"/>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and Executive desire for this Agreement to be effective as of March 27, 2023; the actual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effective date of this Agreement shall be Executive’s first day of employment (the “</w:t>
      </w:r>
      <w:r>
        <w:rPr>
          <w:rFonts w:ascii="Times New Roman" w:cs="Times New Roman" w:eastAsia="Times New Roman" w:hAnsi="Times New Roman"/>
          <w:sz w:val="22"/>
          <w:szCs w:val="22"/>
          <w:b w:val="1"/>
          <w:bCs w:val="1"/>
          <w:i w:val="1"/>
          <w:iCs w:val="1"/>
          <w:u w:val="single" w:color="auto"/>
          <w:color w:val="auto"/>
        </w:rPr>
        <w:t>Effective Date</w:t>
      </w:r>
      <w:r>
        <w:rPr>
          <w:rFonts w:ascii="Times New Roman" w:cs="Times New Roman" w:eastAsia="Times New Roman" w:hAnsi="Times New Roman"/>
          <w:sz w:val="22"/>
          <w:szCs w:val="22"/>
          <w:color w:val="auto"/>
        </w:rPr>
        <w:t>”); provided however, if Executive is unable to start employment with and provide services to the Company on the terms and conditions set forth herein on or before March 27, 2023, this Agreement shall be deemed null and void.</w:t>
      </w:r>
    </w:p>
    <w:p>
      <w:pPr>
        <w:spacing w:after="0" w:line="167" w:lineRule="exact"/>
        <w:rPr>
          <w:sz w:val="20"/>
          <w:szCs w:val="20"/>
          <w:color w:val="auto"/>
        </w:rPr>
      </w:pPr>
    </w:p>
    <w:p>
      <w:pPr>
        <w:ind w:right="280" w:firstLine="749"/>
        <w:spacing w:after="0" w:line="261"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mutual covenants and agreements herein contained and other good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valuable consideration, the receipt and sufficiency of which is hereby acknowledged, the parties agree as follows:</w:t>
      </w:r>
    </w:p>
    <w:p>
      <w:pPr>
        <w:spacing w:after="0" w:line="155" w:lineRule="exact"/>
        <w:rPr>
          <w:sz w:val="20"/>
          <w:szCs w:val="20"/>
          <w:color w:val="auto"/>
        </w:rPr>
      </w:pPr>
    </w:p>
    <w:p>
      <w:pPr>
        <w:ind w:left="1020" w:hanging="263"/>
        <w:spacing w:after="0"/>
        <w:tabs>
          <w:tab w:leader="none" w:pos="1020"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w:t>
      </w:r>
      <w:r>
        <w:rPr>
          <w:rFonts w:ascii="Times New Roman" w:cs="Times New Roman" w:eastAsia="Times New Roman" w:hAnsi="Times New Roman"/>
          <w:sz w:val="22"/>
          <w:szCs w:val="22"/>
          <w:color w:val="auto"/>
        </w:rPr>
        <w:t>.</w:t>
      </w:r>
    </w:p>
    <w:p>
      <w:pPr>
        <w:spacing w:after="0" w:line="205" w:lineRule="exact"/>
        <w:rPr>
          <w:rFonts w:ascii="Times New Roman" w:cs="Times New Roman" w:eastAsia="Times New Roman" w:hAnsi="Times New Roman"/>
          <w:sz w:val="22"/>
          <w:szCs w:val="22"/>
          <w:color w:val="auto"/>
        </w:rPr>
      </w:pPr>
    </w:p>
    <w:p>
      <w:pPr>
        <w:ind w:right="100" w:firstLine="1505"/>
        <w:spacing w:after="0" w:line="237" w:lineRule="auto"/>
        <w:tabs>
          <w:tab w:leader="none" w:pos="2037" w:val="left"/>
        </w:tabs>
        <w:numPr>
          <w:ilvl w:val="1"/>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The Company shall employ Executive and Executive shall be employed by the Company pursuant to this Agreement commencing as of the Effective Date and continuing until such employment is terminated in accordance with the provisions hereof (the “</w:t>
      </w:r>
      <w:r>
        <w:rPr>
          <w:rFonts w:ascii="Times New Roman" w:cs="Times New Roman" w:eastAsia="Times New Roman" w:hAnsi="Times New Roman"/>
          <w:sz w:val="22"/>
          <w:szCs w:val="22"/>
          <w:b w:val="1"/>
          <w:bCs w:val="1"/>
          <w:i w:val="1"/>
          <w:iCs w:val="1"/>
          <w:u w:val="single" w:color="auto"/>
          <w:color w:val="auto"/>
        </w:rPr>
        <w:t>Term</w:t>
      </w:r>
      <w:r>
        <w:rPr>
          <w:rFonts w:ascii="Times New Roman" w:cs="Times New Roman" w:eastAsia="Times New Roman" w:hAnsi="Times New Roman"/>
          <w:sz w:val="22"/>
          <w:szCs w:val="22"/>
          <w:color w:val="auto"/>
        </w:rPr>
        <w:t>”). Executive’s employment with the Company shall be “at will,” meaning that Executive’s employment may be terminated by the Company or Executive at any time and for any reason subject to the terms of this Agreement.</w:t>
      </w:r>
    </w:p>
    <w:p>
      <w:pPr>
        <w:spacing w:after="0" w:line="180" w:lineRule="exact"/>
        <w:rPr>
          <w:rFonts w:ascii="Times New Roman" w:cs="Times New Roman" w:eastAsia="Times New Roman" w:hAnsi="Times New Roman"/>
          <w:sz w:val="22"/>
          <w:szCs w:val="22"/>
          <w:color w:val="auto"/>
        </w:rPr>
      </w:pPr>
    </w:p>
    <w:p>
      <w:pPr>
        <w:ind w:right="160" w:firstLine="1505"/>
        <w:spacing w:after="0" w:line="237" w:lineRule="auto"/>
        <w:tabs>
          <w:tab w:leader="none" w:pos="2037" w:val="left"/>
        </w:tabs>
        <w:numPr>
          <w:ilvl w:val="1"/>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Position and Duties</w:t>
      </w:r>
      <w:r>
        <w:rPr>
          <w:rFonts w:ascii="Times New Roman" w:cs="Times New Roman" w:eastAsia="Times New Roman" w:hAnsi="Times New Roman"/>
          <w:sz w:val="22"/>
          <w:szCs w:val="22"/>
          <w:color w:val="auto"/>
        </w:rPr>
        <w:t>. Executive shall serve as the Chief Technology and Manufacturing Officer and shall have such powers and duties as customarily associated with the office of Chief Technology and Manufacturing Officer, and as may from time to time be prescribed by the Chief Executive Officer of the Company (the “</w:t>
      </w:r>
      <w:r>
        <w:rPr>
          <w:rFonts w:ascii="Times New Roman" w:cs="Times New Roman" w:eastAsia="Times New Roman" w:hAnsi="Times New Roman"/>
          <w:sz w:val="22"/>
          <w:szCs w:val="22"/>
          <w:b w:val="1"/>
          <w:bCs w:val="1"/>
          <w:i w:val="1"/>
          <w:iCs w:val="1"/>
          <w:u w:val="single" w:color="auto"/>
          <w:color w:val="auto"/>
        </w:rPr>
        <w:t>CEO</w:t>
      </w:r>
      <w:r>
        <w:rPr>
          <w:rFonts w:ascii="Times New Roman" w:cs="Times New Roman" w:eastAsia="Times New Roman" w:hAnsi="Times New Roman"/>
          <w:sz w:val="22"/>
          <w:szCs w:val="22"/>
          <w:color w:val="auto"/>
        </w:rPr>
        <w:t>”) or the Company’s Board of Directors (the “</w:t>
      </w:r>
      <w:r>
        <w:rPr>
          <w:rFonts w:ascii="Times New Roman" w:cs="Times New Roman" w:eastAsia="Times New Roman" w:hAnsi="Times New Roman"/>
          <w:sz w:val="22"/>
          <w:szCs w:val="22"/>
          <w:b w:val="1"/>
          <w:bCs w:val="1"/>
          <w:i w:val="1"/>
          <w:iCs w:val="1"/>
          <w:u w:val="single" w:color="auto"/>
          <w:color w:val="auto"/>
        </w:rPr>
        <w:t>Board</w:t>
      </w:r>
      <w:r>
        <w:rPr>
          <w:rFonts w:ascii="Times New Roman" w:cs="Times New Roman" w:eastAsia="Times New Roman" w:hAnsi="Times New Roman"/>
          <w:sz w:val="22"/>
          <w:szCs w:val="22"/>
          <w:color w:val="auto"/>
        </w:rPr>
        <w:t>”). Executive shall report to the CEO and shall be subject to the direction and control of the CEO and the Board.</w:t>
      </w:r>
    </w:p>
    <w:p>
      <w:pPr>
        <w:spacing w:after="0" w:line="180" w:lineRule="exact"/>
        <w:rPr>
          <w:rFonts w:ascii="Times New Roman" w:cs="Times New Roman" w:eastAsia="Times New Roman" w:hAnsi="Times New Roman"/>
          <w:sz w:val="22"/>
          <w:szCs w:val="22"/>
          <w:color w:val="auto"/>
        </w:rPr>
      </w:pPr>
    </w:p>
    <w:p>
      <w:pPr>
        <w:ind w:right="80" w:firstLine="1505"/>
        <w:spacing w:after="0" w:line="235" w:lineRule="auto"/>
        <w:tabs>
          <w:tab w:leader="none" w:pos="2037" w:val="left"/>
        </w:tabs>
        <w:numPr>
          <w:ilvl w:val="1"/>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Outside Activities</w:t>
      </w:r>
      <w:r>
        <w:rPr>
          <w:rFonts w:ascii="Times New Roman" w:cs="Times New Roman" w:eastAsia="Times New Roman" w:hAnsi="Times New Roman"/>
          <w:sz w:val="22"/>
          <w:szCs w:val="22"/>
          <w:color w:val="auto"/>
        </w:rPr>
        <w:t>. Executive will use good faith efforts to discharge Executive’s obligations under this Agreement to the best of Executive’s ability. Executive will devote substantially all of Executive’s business efforts and time to the Company. Executive agrees not to engage actively in any other employment, occupation, or consulting activity for any direct or indirect remuneration which may or could potentially constitute a conflict of interest or otherwise interfere with Executive’s obligations to the Company without the prior approval of the CEO or Board; provided, however, that Executive may, without such approval, serve in any capacity with any civic, educational, or charitable organization, participate in industry affairs and manage Executive’s personal passive investments, and engage in the activities set forth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1061085</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241" w:name="page242"/>
    <w:bookmarkEnd w:id="241"/>
    <w:p>
      <w:pPr>
        <w:ind w:right="40"/>
        <w:spacing w:after="0" w:line="237" w:lineRule="auto"/>
        <w:rPr>
          <w:sz w:val="20"/>
          <w:szCs w:val="20"/>
          <w:color w:val="auto"/>
        </w:rPr>
      </w:pP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xml:space="preserve"> to this Agreement, provided that in each case such services do not materially interfere with Executive’s obligations to the Company, create a conflict of interest, violate any of Executive’s Continuing Obligations (as defined in Section 9 below) or cause any reputational damage to the Company as reasonably determined by the Board. Executive may retain any compensation or benefits received as a result of any such consented to service without any offset in respect of any compensation or benefits to be provided hereunder.</w:t>
      </w:r>
    </w:p>
    <w:p>
      <w:pPr>
        <w:spacing w:after="0" w:line="180" w:lineRule="exact"/>
        <w:rPr>
          <w:sz w:val="20"/>
          <w:szCs w:val="20"/>
          <w:color w:val="auto"/>
        </w:rPr>
      </w:pPr>
    </w:p>
    <w:p>
      <w:pPr>
        <w:ind w:right="720" w:firstLine="757"/>
        <w:spacing w:after="0" w:line="258" w:lineRule="auto"/>
        <w:tabs>
          <w:tab w:leader="none" w:pos="1018"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and Related Matters</w:t>
      </w:r>
      <w:r>
        <w:rPr>
          <w:rFonts w:ascii="Times New Roman" w:cs="Times New Roman" w:eastAsia="Times New Roman" w:hAnsi="Times New Roman"/>
          <w:sz w:val="22"/>
          <w:szCs w:val="22"/>
          <w:color w:val="auto"/>
        </w:rPr>
        <w:t>. This Section 2 sets forth the compensation and benefits to be provided to Executive during the Term.</w:t>
      </w:r>
    </w:p>
    <w:p>
      <w:pPr>
        <w:spacing w:after="0" w:line="157" w:lineRule="exact"/>
        <w:rPr>
          <w:rFonts w:ascii="Times New Roman" w:cs="Times New Roman" w:eastAsia="Times New Roman" w:hAnsi="Times New Roman"/>
          <w:sz w:val="22"/>
          <w:szCs w:val="22"/>
          <w:color w:val="auto"/>
        </w:rPr>
      </w:pPr>
    </w:p>
    <w:p>
      <w:pPr>
        <w:ind w:right="240" w:firstLine="1505"/>
        <w:spacing w:after="0" w:line="236" w:lineRule="auto"/>
        <w:tabs>
          <w:tab w:leader="none" w:pos="2037" w:val="left"/>
        </w:tabs>
        <w:numPr>
          <w:ilvl w:val="1"/>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The Company will pay Executive, as compensation for the performance of Executive’s duties and obligations hereunder, a base salary at the rate of $420,000 per year. Except for the 2023 calendar year, Executive’s salary shall be subject to annual review not later than March 31</w:t>
      </w:r>
      <w:r>
        <w:rPr>
          <w:rFonts w:ascii="Times New Roman" w:cs="Times New Roman" w:eastAsia="Times New Roman" w:hAnsi="Times New Roman"/>
          <w:sz w:val="14"/>
          <w:szCs w:val="14"/>
          <w:color w:val="auto"/>
        </w:rPr>
        <w:t>st</w:t>
      </w:r>
      <w:r>
        <w:rPr>
          <w:rFonts w:ascii="Times New Roman" w:cs="Times New Roman" w:eastAsia="Times New Roman" w:hAnsi="Times New Roman"/>
          <w:sz w:val="22"/>
          <w:szCs w:val="22"/>
          <w:color w:val="auto"/>
        </w:rPr>
        <w:t xml:space="preserve"> of each year for possible increase by the Board or the Compensation Committee of the Board (the “</w:t>
      </w:r>
      <w:r>
        <w:rPr>
          <w:rFonts w:ascii="Times New Roman" w:cs="Times New Roman" w:eastAsia="Times New Roman" w:hAnsi="Times New Roman"/>
          <w:sz w:val="22"/>
          <w:szCs w:val="22"/>
          <w:b w:val="1"/>
          <w:bCs w:val="1"/>
          <w:i w:val="1"/>
          <w:iCs w:val="1"/>
          <w:u w:val="single" w:color="auto"/>
          <w:color w:val="auto"/>
        </w:rPr>
        <w:t>Compensation Committee</w:t>
      </w:r>
      <w:r>
        <w:rPr>
          <w:rFonts w:ascii="Times New Roman" w:cs="Times New Roman" w:eastAsia="Times New Roman" w:hAnsi="Times New Roman"/>
          <w:sz w:val="22"/>
          <w:szCs w:val="22"/>
          <w:color w:val="auto"/>
        </w:rPr>
        <w:t>”), which may be adjusted from time to time. The base salary in effect at any given time is referred to herein as “</w:t>
      </w:r>
      <w:r>
        <w:rPr>
          <w:rFonts w:ascii="Times New Roman" w:cs="Times New Roman" w:eastAsia="Times New Roman" w:hAnsi="Times New Roman"/>
          <w:sz w:val="22"/>
          <w:szCs w:val="22"/>
          <w:b w:val="1"/>
          <w:bCs w:val="1"/>
          <w:i w:val="1"/>
          <w:iCs w:val="1"/>
          <w:u w:val="single" w:color="auto"/>
          <w:color w:val="auto"/>
        </w:rPr>
        <w:t>Base Salary</w:t>
      </w:r>
      <w:r>
        <w:rPr>
          <w:rFonts w:ascii="Times New Roman" w:cs="Times New Roman" w:eastAsia="Times New Roman" w:hAnsi="Times New Roman"/>
          <w:sz w:val="22"/>
          <w:szCs w:val="22"/>
          <w:color w:val="auto"/>
        </w:rPr>
        <w:t>.” The Base Salary shall be payable in a manner that is consistent with the Company’s usual payroll practices for its executive officers.</w:t>
      </w:r>
    </w:p>
    <w:p>
      <w:pPr>
        <w:spacing w:after="0" w:line="179" w:lineRule="exact"/>
        <w:rPr>
          <w:rFonts w:ascii="Times New Roman" w:cs="Times New Roman" w:eastAsia="Times New Roman" w:hAnsi="Times New Roman"/>
          <w:sz w:val="22"/>
          <w:szCs w:val="22"/>
          <w:color w:val="auto"/>
        </w:rPr>
      </w:pPr>
    </w:p>
    <w:p>
      <w:pPr>
        <w:jc w:val="both"/>
        <w:ind w:firstLine="1505"/>
        <w:spacing w:after="0" w:line="233" w:lineRule="auto"/>
        <w:tabs>
          <w:tab w:leader="none" w:pos="2037" w:val="left"/>
        </w:tabs>
        <w:numPr>
          <w:ilvl w:val="1"/>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Incentive Compensation</w:t>
      </w:r>
      <w:r>
        <w:rPr>
          <w:rFonts w:ascii="Times New Roman" w:cs="Times New Roman" w:eastAsia="Times New Roman" w:hAnsi="Times New Roman"/>
          <w:sz w:val="22"/>
          <w:szCs w:val="22"/>
          <w:color w:val="auto"/>
        </w:rPr>
        <w:t>. Executive shall be eligible to participate in an annual cash incentive compensation plan that the Company offers to its executive officers (the “</w:t>
      </w:r>
      <w:r>
        <w:rPr>
          <w:rFonts w:ascii="Times New Roman" w:cs="Times New Roman" w:eastAsia="Times New Roman" w:hAnsi="Times New Roman"/>
          <w:sz w:val="22"/>
          <w:szCs w:val="22"/>
          <w:b w:val="1"/>
          <w:bCs w:val="1"/>
          <w:i w:val="1"/>
          <w:iCs w:val="1"/>
          <w:u w:val="single" w:color="auto"/>
          <w:color w:val="auto"/>
        </w:rPr>
        <w:t>Annual Bonus Plan</w:t>
      </w:r>
      <w:r>
        <w:rPr>
          <w:rFonts w:ascii="Times New Roman" w:cs="Times New Roman" w:eastAsia="Times New Roman" w:hAnsi="Times New Roman"/>
          <w:sz w:val="22"/>
          <w:szCs w:val="22"/>
          <w:color w:val="auto"/>
        </w:rPr>
        <w:t>”). Executive will be eligible to earn an annual bonus for each full calendar year completed (the “</w:t>
      </w:r>
      <w:r>
        <w:rPr>
          <w:rFonts w:ascii="Times New Roman" w:cs="Times New Roman" w:eastAsia="Times New Roman" w:hAnsi="Times New Roman"/>
          <w:sz w:val="22"/>
          <w:szCs w:val="22"/>
          <w:b w:val="1"/>
          <w:bCs w:val="1"/>
          <w:i w:val="1"/>
          <w:iCs w:val="1"/>
          <w:u w:val="single" w:color="auto"/>
          <w:color w:val="auto"/>
        </w:rPr>
        <w:t>Annual Bonus</w:t>
      </w:r>
      <w:r>
        <w:rPr>
          <w:rFonts w:ascii="Times New Roman" w:cs="Times New Roman" w:eastAsia="Times New Roman" w:hAnsi="Times New Roman"/>
          <w:sz w:val="22"/>
          <w:szCs w:val="22"/>
          <w:color w:val="auto"/>
        </w:rPr>
        <w:t>”). Executive’s target Annual Bonus will be 40% percent of Executive’s Base Salary (the “</w:t>
      </w:r>
      <w:r>
        <w:rPr>
          <w:rFonts w:ascii="Times New Roman" w:cs="Times New Roman" w:eastAsia="Times New Roman" w:hAnsi="Times New Roman"/>
          <w:sz w:val="22"/>
          <w:szCs w:val="22"/>
          <w:b w:val="1"/>
          <w:bCs w:val="1"/>
          <w:i w:val="1"/>
          <w:iCs w:val="1"/>
          <w:u w:val="single" w:color="auto"/>
          <w:color w:val="auto"/>
        </w:rPr>
        <w:t>Target Bonus</w:t>
      </w:r>
      <w:r>
        <w:rPr>
          <w:rFonts w:ascii="Times New Roman" w:cs="Times New Roman" w:eastAsia="Times New Roman" w:hAnsi="Times New Roman"/>
          <w:sz w:val="22"/>
          <w:szCs w:val="22"/>
          <w:color w:val="auto"/>
        </w:rPr>
        <w:t>”) in effect on January 1st of the applicable performance period. The actual Annual Bonus payable to Executive with respect to a performance period will be determined by the Compensation Committee based on achieving performance goals and objectives for such calendar year as reasonably determined by the Compensation Committee. Executive’s Annual Bonus shall be paid as soon as administratively practicable after the end of the performance period, but in no event later than the March 15</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xml:space="preserve"> immediately following such period; provided, that Executive must remain continuously employed by the Company through the date on which the Annual Bonus is paid, subject to any recoupment as set forth in Section 23 of this Agreement, in order to be eligible to earn and receive the Annual Bonus (except as otherwise provided in Section 4(c) or 5(a)). For calendar year 2023, Executive will be eligible to earn a pro-rated Target Bonus based on Executive’s Base Salary as of the Effective Date.</w:t>
      </w:r>
    </w:p>
    <w:p>
      <w:pPr>
        <w:spacing w:after="0" w:line="181" w:lineRule="exact"/>
        <w:rPr>
          <w:rFonts w:ascii="Times New Roman" w:cs="Times New Roman" w:eastAsia="Times New Roman" w:hAnsi="Times New Roman"/>
          <w:sz w:val="22"/>
          <w:szCs w:val="22"/>
          <w:color w:val="auto"/>
        </w:rPr>
      </w:pPr>
    </w:p>
    <w:p>
      <w:pPr>
        <w:ind w:right="40" w:firstLine="1505"/>
        <w:spacing w:after="0" w:line="234" w:lineRule="auto"/>
        <w:tabs>
          <w:tab w:leader="none" w:pos="2037" w:val="left"/>
        </w:tabs>
        <w:numPr>
          <w:ilvl w:val="1"/>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 Award</w:t>
      </w:r>
      <w:r>
        <w:rPr>
          <w:rFonts w:ascii="Times New Roman" w:cs="Times New Roman" w:eastAsia="Times New Roman" w:hAnsi="Times New Roman"/>
          <w:sz w:val="22"/>
          <w:szCs w:val="22"/>
          <w:color w:val="auto"/>
        </w:rPr>
        <w:t>. Subject to approval by the Board (or any authorized committee thereof), the Company shall grant Executive an option (the “</w:t>
      </w:r>
      <w:r>
        <w:rPr>
          <w:rFonts w:ascii="Times New Roman" w:cs="Times New Roman" w:eastAsia="Times New Roman" w:hAnsi="Times New Roman"/>
          <w:sz w:val="22"/>
          <w:szCs w:val="22"/>
          <w:b w:val="1"/>
          <w:bCs w:val="1"/>
          <w:i w:val="1"/>
          <w:iCs w:val="1"/>
          <w:u w:val="single" w:color="auto"/>
          <w:color w:val="auto"/>
        </w:rPr>
        <w:t>Option</w:t>
      </w:r>
      <w:r>
        <w:rPr>
          <w:rFonts w:ascii="Times New Roman" w:cs="Times New Roman" w:eastAsia="Times New Roman" w:hAnsi="Times New Roman"/>
          <w:sz w:val="22"/>
          <w:szCs w:val="22"/>
          <w:color w:val="auto"/>
        </w:rPr>
        <w:t>”) to purchase 475,000 shares of the Company’s common stock, with an exercise price equal to the fair market value of a share of the Company’s common stock on the grant date, as determined by the Board (or any authorized committee thereof), pursuant to the terms and conditions of the Company’s 2021 Equity Incentive Plan (the “</w:t>
      </w:r>
      <w:r>
        <w:rPr>
          <w:rFonts w:ascii="Times New Roman" w:cs="Times New Roman" w:eastAsia="Times New Roman" w:hAnsi="Times New Roman"/>
          <w:sz w:val="22"/>
          <w:szCs w:val="22"/>
          <w:b w:val="1"/>
          <w:bCs w:val="1"/>
          <w:i w:val="1"/>
          <w:iCs w:val="1"/>
          <w:u w:val="single" w:color="auto"/>
          <w:color w:val="auto"/>
        </w:rPr>
        <w:t>Plan</w:t>
      </w:r>
      <w:r>
        <w:rPr>
          <w:rFonts w:ascii="Times New Roman" w:cs="Times New Roman" w:eastAsia="Times New Roman" w:hAnsi="Times New Roman"/>
          <w:sz w:val="22"/>
          <w:szCs w:val="22"/>
          <w:color w:val="auto"/>
        </w:rPr>
        <w:t>”) and the applicable stock option grant notice and stock option agreement to be provided to Executive (together with the Plan, the “</w:t>
      </w:r>
      <w:r>
        <w:rPr>
          <w:rFonts w:ascii="Times New Roman" w:cs="Times New Roman" w:eastAsia="Times New Roman" w:hAnsi="Times New Roman"/>
          <w:sz w:val="22"/>
          <w:szCs w:val="22"/>
          <w:b w:val="1"/>
          <w:bCs w:val="1"/>
          <w:i w:val="1"/>
          <w:iCs w:val="1"/>
          <w:u w:val="single" w:color="auto"/>
          <w:color w:val="auto"/>
        </w:rPr>
        <w:t>Equity Documents</w:t>
      </w:r>
      <w:r>
        <w:rPr>
          <w:rFonts w:ascii="Times New Roman" w:cs="Times New Roman" w:eastAsia="Times New Roman" w:hAnsi="Times New Roman"/>
          <w:sz w:val="22"/>
          <w:szCs w:val="22"/>
          <w:color w:val="auto"/>
        </w:rPr>
        <w:t>”); provided, however, and notwithstanding anything to the contrary in the Equity Documents, Section 5 and Section 6 of this Agreement, as applicable, shall apply in the event of a termination by the Company without Cause or by Executive for Good Reason (as such terms are defined below). Except as otherwise provided in this Agreement, the Option will vest subject to the terms and conditions of the Equity Documents, with 25% of the shares subject to the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1061085</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42" w:name="page243"/>
    <w:bookmarkEnd w:id="242"/>
    <w:p>
      <w:pPr>
        <w:ind w:right="260"/>
        <w:spacing w:after="0" w:line="244" w:lineRule="auto"/>
        <w:rPr>
          <w:sz w:val="20"/>
          <w:szCs w:val="20"/>
          <w:color w:val="auto"/>
        </w:rPr>
      </w:pPr>
      <w:r>
        <w:rPr>
          <w:rFonts w:ascii="Times New Roman" w:cs="Times New Roman" w:eastAsia="Times New Roman" w:hAnsi="Times New Roman"/>
          <w:sz w:val="22"/>
          <w:szCs w:val="22"/>
          <w:color w:val="auto"/>
        </w:rPr>
        <w:t>vesting upon the first anniversary of the Effective Date and the remaining 75% of the shares subject to the Option vesting over the subsequent 3-year period in substantially equal monthly installments at a rate of 1/48th of the total shares subject to the Option each month, subject to Executive’s continuous service to the Company as of each such vesting date.</w:t>
      </w:r>
    </w:p>
    <w:p>
      <w:pPr>
        <w:spacing w:after="0" w:line="172" w:lineRule="exact"/>
        <w:rPr>
          <w:sz w:val="20"/>
          <w:szCs w:val="20"/>
          <w:color w:val="auto"/>
        </w:rPr>
      </w:pPr>
    </w:p>
    <w:p>
      <w:pPr>
        <w:jc w:val="both"/>
        <w:ind w:firstLine="1505"/>
        <w:spacing w:after="0" w:line="271" w:lineRule="auto"/>
        <w:tabs>
          <w:tab w:leader="none" w:pos="2037" w:val="left"/>
        </w:tabs>
        <w:numPr>
          <w:ilvl w:val="1"/>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Expenses</w:t>
      </w:r>
      <w:r>
        <w:rPr>
          <w:rFonts w:ascii="Times New Roman" w:cs="Times New Roman" w:eastAsia="Times New Roman" w:hAnsi="Times New Roman"/>
          <w:sz w:val="20"/>
          <w:szCs w:val="20"/>
          <w:color w:val="auto"/>
        </w:rPr>
        <w:t>. The Company shall promptly pay or reimburse Executive for all reasonable expenses incurred by Executive while performing services hereunder, including but not limited to travel expenses and attendance at industry events, in accordance with the policies and procedures then in effect and established by the Company for its executive officers, but in no event later than thirty (30) days submission of a reimbursement request in accordance with such policies or procedures.</w:t>
      </w:r>
    </w:p>
    <w:p>
      <w:pPr>
        <w:spacing w:after="0" w:line="147" w:lineRule="exact"/>
        <w:rPr>
          <w:rFonts w:ascii="Times New Roman" w:cs="Times New Roman" w:eastAsia="Times New Roman" w:hAnsi="Times New Roman"/>
          <w:sz w:val="20"/>
          <w:szCs w:val="20"/>
          <w:color w:val="auto"/>
        </w:rPr>
      </w:pPr>
    </w:p>
    <w:p>
      <w:pPr>
        <w:ind w:right="480" w:firstLine="1505"/>
        <w:spacing w:after="0" w:line="258" w:lineRule="auto"/>
        <w:tabs>
          <w:tab w:leader="none" w:pos="2037" w:val="left"/>
        </w:tabs>
        <w:numPr>
          <w:ilvl w:val="1"/>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Benefits</w:t>
      </w:r>
      <w:r>
        <w:rPr>
          <w:rFonts w:ascii="Times New Roman" w:cs="Times New Roman" w:eastAsia="Times New Roman" w:hAnsi="Times New Roman"/>
          <w:sz w:val="22"/>
          <w:szCs w:val="22"/>
          <w:color w:val="auto"/>
        </w:rPr>
        <w:t>. Executive shall be eligible to participate in or receive benefits under the Company’s employee benefit plans in effect from time to time, subject to the terms of such plans.</w:t>
      </w:r>
    </w:p>
    <w:p>
      <w:pPr>
        <w:spacing w:after="0" w:line="157" w:lineRule="exact"/>
        <w:rPr>
          <w:rFonts w:ascii="Times New Roman" w:cs="Times New Roman" w:eastAsia="Times New Roman" w:hAnsi="Times New Roman"/>
          <w:sz w:val="22"/>
          <w:szCs w:val="22"/>
          <w:color w:val="auto"/>
        </w:rPr>
      </w:pPr>
    </w:p>
    <w:p>
      <w:pPr>
        <w:ind w:right="620" w:firstLine="1505"/>
        <w:spacing w:after="0" w:line="258" w:lineRule="auto"/>
        <w:tabs>
          <w:tab w:leader="none" w:pos="2037" w:val="left"/>
        </w:tabs>
        <w:numPr>
          <w:ilvl w:val="1"/>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Paid Time Off</w:t>
      </w:r>
      <w:r>
        <w:rPr>
          <w:rFonts w:ascii="Times New Roman" w:cs="Times New Roman" w:eastAsia="Times New Roman" w:hAnsi="Times New Roman"/>
          <w:sz w:val="22"/>
          <w:szCs w:val="22"/>
          <w:color w:val="auto"/>
        </w:rPr>
        <w:t>. Executive shall be entitled to take paid time off in accordance with the Company’s applicable paid time off policy for executives, as may be in effect from time to time.</w:t>
      </w:r>
    </w:p>
    <w:p>
      <w:pPr>
        <w:spacing w:after="0" w:line="157" w:lineRule="exact"/>
        <w:rPr>
          <w:rFonts w:ascii="Times New Roman" w:cs="Times New Roman" w:eastAsia="Times New Roman" w:hAnsi="Times New Roman"/>
          <w:sz w:val="22"/>
          <w:szCs w:val="22"/>
          <w:color w:val="auto"/>
        </w:rPr>
      </w:pPr>
    </w:p>
    <w:p>
      <w:pPr>
        <w:ind w:right="200" w:firstLine="1505"/>
        <w:spacing w:after="0" w:line="258" w:lineRule="auto"/>
        <w:tabs>
          <w:tab w:leader="none" w:pos="2037" w:val="left"/>
        </w:tabs>
        <w:numPr>
          <w:ilvl w:val="1"/>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Ownership Guidelines</w:t>
      </w:r>
      <w:r>
        <w:rPr>
          <w:rFonts w:ascii="Times New Roman" w:cs="Times New Roman" w:eastAsia="Times New Roman" w:hAnsi="Times New Roman"/>
          <w:sz w:val="22"/>
          <w:szCs w:val="22"/>
          <w:color w:val="auto"/>
        </w:rPr>
        <w:t>. Executive shall be subject to the Company’s Executive Stock Ownership Guidelines while providing services under this Agreement.</w:t>
      </w:r>
    </w:p>
    <w:p>
      <w:pPr>
        <w:spacing w:after="0" w:line="157" w:lineRule="exact"/>
        <w:rPr>
          <w:rFonts w:ascii="Times New Roman" w:cs="Times New Roman" w:eastAsia="Times New Roman" w:hAnsi="Times New Roman"/>
          <w:sz w:val="22"/>
          <w:szCs w:val="22"/>
          <w:color w:val="auto"/>
        </w:rPr>
      </w:pPr>
    </w:p>
    <w:p>
      <w:pPr>
        <w:ind w:right="80" w:firstLine="1505"/>
        <w:spacing w:after="0" w:line="266" w:lineRule="auto"/>
        <w:tabs>
          <w:tab w:leader="none" w:pos="2037" w:val="left"/>
        </w:tabs>
        <w:numPr>
          <w:ilvl w:val="1"/>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Treatment of Equity Awards upon a Change in Control</w:t>
      </w:r>
      <w:r>
        <w:rPr>
          <w:rFonts w:ascii="Times New Roman" w:cs="Times New Roman" w:eastAsia="Times New Roman" w:hAnsi="Times New Roman"/>
          <w:sz w:val="20"/>
          <w:szCs w:val="20"/>
          <w:color w:val="auto"/>
        </w:rPr>
        <w:t>. The following provisions shall apply to any award granted under the Plan or any other plan, agreement or arrangement based on the value of a share of the Company’s common stock on or after the Effective Date (collectively, the “</w:t>
      </w:r>
      <w:r>
        <w:rPr>
          <w:rFonts w:ascii="Times New Roman" w:cs="Times New Roman" w:eastAsia="Times New Roman" w:hAnsi="Times New Roman"/>
          <w:sz w:val="20"/>
          <w:szCs w:val="20"/>
          <w:b w:val="1"/>
          <w:bCs w:val="1"/>
          <w:i w:val="1"/>
          <w:iCs w:val="1"/>
          <w:u w:val="single" w:color="auto"/>
          <w:color w:val="auto"/>
        </w:rPr>
        <w:t>Equity Awards</w:t>
      </w:r>
      <w:r>
        <w:rPr>
          <w:rFonts w:ascii="Times New Roman" w:cs="Times New Roman" w:eastAsia="Times New Roman" w:hAnsi="Times New Roman"/>
          <w:sz w:val="20"/>
          <w:szCs w:val="20"/>
          <w:color w:val="auto"/>
        </w:rPr>
        <w:t>”) to the extent the Equity Awards are assumed, continued or substituted by the surviving or acquiring entity (or its parent) in connection with a Change in Control (as defined in the Plan) and Executive continues to provide services to the Company or its successor following such Change in Control:</w:t>
      </w:r>
    </w:p>
    <w:p>
      <w:pPr>
        <w:spacing w:after="0" w:line="154" w:lineRule="exact"/>
        <w:rPr>
          <w:rFonts w:ascii="Times New Roman" w:cs="Times New Roman" w:eastAsia="Times New Roman" w:hAnsi="Times New Roman"/>
          <w:sz w:val="20"/>
          <w:szCs w:val="20"/>
          <w:color w:val="auto"/>
        </w:rPr>
      </w:pPr>
    </w:p>
    <w:p>
      <w:pPr>
        <w:ind w:left="760" w:firstLine="1494"/>
        <w:spacing w:after="0" w:line="271" w:lineRule="auto"/>
        <w:tabs>
          <w:tab w:leader="none" w:pos="2557" w:val="left"/>
        </w:tabs>
        <w:numPr>
          <w:ilvl w:val="2"/>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provided in the Change in Control transaction’s definitive agreement, the Plan or the applicable award agreement, or as set forth in Section 6 below, Equity Awards subject to vesting solely on account of completing periods of covered employment or service (collectively, the “</w:t>
      </w:r>
      <w:r>
        <w:rPr>
          <w:rFonts w:ascii="Times New Roman" w:cs="Times New Roman" w:eastAsia="Times New Roman" w:hAnsi="Times New Roman"/>
          <w:sz w:val="20"/>
          <w:szCs w:val="20"/>
          <w:b w:val="1"/>
          <w:bCs w:val="1"/>
          <w:i w:val="1"/>
          <w:iCs w:val="1"/>
          <w:u w:val="single" w:color="auto"/>
          <w:color w:val="auto"/>
        </w:rPr>
        <w:t>Time-Based Equity Awards</w:t>
      </w:r>
      <w:r>
        <w:rPr>
          <w:rFonts w:ascii="Times New Roman" w:cs="Times New Roman" w:eastAsia="Times New Roman" w:hAnsi="Times New Roman"/>
          <w:sz w:val="20"/>
          <w:szCs w:val="20"/>
          <w:color w:val="auto"/>
        </w:rPr>
        <w:t>”) shall not immediately accelerate and become fully vested and exercisable or non-forfeitable on such a Change in Control, and</w:t>
      </w:r>
    </w:p>
    <w:p>
      <w:pPr>
        <w:spacing w:after="0" w:line="147" w:lineRule="exact"/>
        <w:rPr>
          <w:rFonts w:ascii="Times New Roman" w:cs="Times New Roman" w:eastAsia="Times New Roman" w:hAnsi="Times New Roman"/>
          <w:sz w:val="20"/>
          <w:szCs w:val="20"/>
          <w:color w:val="auto"/>
        </w:rPr>
      </w:pPr>
    </w:p>
    <w:p>
      <w:pPr>
        <w:ind w:left="760" w:right="60" w:firstLine="1494"/>
        <w:spacing w:after="0" w:line="244" w:lineRule="auto"/>
        <w:tabs>
          <w:tab w:leader="none" w:pos="2611" w:val="left"/>
        </w:tabs>
        <w:numPr>
          <w:ilvl w:val="2"/>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other Equity Awards, including but not limited to performance stock units vesting based on achieving pre-established performance goals (collectively, the “</w:t>
      </w:r>
      <w:r>
        <w:rPr>
          <w:rFonts w:ascii="Times New Roman" w:cs="Times New Roman" w:eastAsia="Times New Roman" w:hAnsi="Times New Roman"/>
          <w:sz w:val="22"/>
          <w:szCs w:val="22"/>
          <w:b w:val="1"/>
          <w:bCs w:val="1"/>
          <w:i w:val="1"/>
          <w:iCs w:val="1"/>
          <w:u w:val="single" w:color="auto"/>
          <w:color w:val="auto"/>
        </w:rPr>
        <w:t>Performance-Based Equity Awards</w:t>
      </w:r>
      <w:r>
        <w:rPr>
          <w:rFonts w:ascii="Times New Roman" w:cs="Times New Roman" w:eastAsia="Times New Roman" w:hAnsi="Times New Roman"/>
          <w:sz w:val="22"/>
          <w:szCs w:val="22"/>
          <w:color w:val="auto"/>
        </w:rPr>
        <w:t>”) shall be governed by the terms of the Plan and the applicable award agreement.</w:t>
      </w:r>
    </w:p>
    <w:p>
      <w:pPr>
        <w:spacing w:after="0" w:line="172" w:lineRule="exact"/>
        <w:rPr>
          <w:rFonts w:ascii="Times New Roman" w:cs="Times New Roman" w:eastAsia="Times New Roman" w:hAnsi="Times New Roman"/>
          <w:sz w:val="22"/>
          <w:szCs w:val="22"/>
          <w:color w:val="auto"/>
        </w:rPr>
      </w:pPr>
    </w:p>
    <w:p>
      <w:pPr>
        <w:ind w:right="40" w:firstLine="757"/>
        <w:spacing w:after="0" w:line="258" w:lineRule="auto"/>
        <w:tabs>
          <w:tab w:leader="none" w:pos="1018"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Executive’s employment hereunder may be terminated without any breach of this Agreement under the following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1046480</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7" w:right="399" w:bottom="1440" w:gutter="0" w:footer="0" w:header="0"/>
        </w:sectPr>
      </w:pPr>
    </w:p>
    <w:bookmarkStart w:id="243" w:name="page244"/>
    <w:bookmarkEnd w:id="243"/>
    <w:p>
      <w:pPr>
        <w:ind w:left="920" w:hanging="535"/>
        <w:spacing w:after="0"/>
        <w:tabs>
          <w:tab w:leader="none" w:pos="920"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w:t>
      </w:r>
      <w:r>
        <w:rPr>
          <w:rFonts w:ascii="Times New Roman" w:cs="Times New Roman" w:eastAsia="Times New Roman" w:hAnsi="Times New Roman"/>
          <w:sz w:val="22"/>
          <w:szCs w:val="22"/>
          <w:color w:val="auto"/>
        </w:rPr>
        <w:t>. Executive’s employment hereunder shall terminate upon death.</w:t>
      </w:r>
    </w:p>
    <w:p>
      <w:pPr>
        <w:spacing w:after="0" w:line="205" w:lineRule="exact"/>
        <w:rPr>
          <w:rFonts w:ascii="Times New Roman" w:cs="Times New Roman" w:eastAsia="Times New Roman" w:hAnsi="Times New Roman"/>
          <w:sz w:val="22"/>
          <w:szCs w:val="22"/>
          <w:color w:val="auto"/>
        </w:rPr>
      </w:pPr>
    </w:p>
    <w:p>
      <w:pPr>
        <w:ind w:left="-1120" w:right="20" w:firstLine="1505"/>
        <w:spacing w:after="0" w:line="233" w:lineRule="auto"/>
        <w:tabs>
          <w:tab w:leader="none" w:pos="917"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The Company may terminate Executive’s employment if Executive is disabled and unable to perform or expected to be unable to perform the essential functions of Executive’s then existing position or positions under this Agreement with or without reasonable accommodation for a period of 180 days (which need not be consecutive) in any 12-month period. If any question shall arise as to whether during any period Executive is disabled so as to be unable to perform the essential functions of Executive’s then existing position or positions with or without reasonable accommodation, Executive may, and at the request of the Company shall, submit to the Company a certification in reasonable detail by a physician selected by the Company to whom Executive or Executive’s guardian has no reasonable objection as to whether Executive is so disabled or how long such disability is expected to continue, and such certification shall for the purposes of this Agreement be conclusive of the issue. Executive shall cooperate with any reasonable request of the physician in connection with such certification. If such question shall arise and Executive shall fail to submit such certification, the Company’s determination of such issue shall be binding on Executive.</w:t>
      </w:r>
    </w:p>
    <w:p>
      <w:pPr>
        <w:spacing w:after="0" w:line="184" w:lineRule="exact"/>
        <w:rPr>
          <w:rFonts w:ascii="Times New Roman" w:cs="Times New Roman" w:eastAsia="Times New Roman" w:hAnsi="Times New Roman"/>
          <w:sz w:val="22"/>
          <w:szCs w:val="22"/>
          <w:color w:val="auto"/>
        </w:rPr>
      </w:pPr>
    </w:p>
    <w:p>
      <w:pPr>
        <w:ind w:left="-1120" w:right="880" w:firstLine="1505"/>
        <w:spacing w:after="0" w:line="258" w:lineRule="auto"/>
        <w:tabs>
          <w:tab w:leader="none" w:pos="917"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by the Company for Cause</w:t>
      </w:r>
      <w:r>
        <w:rPr>
          <w:rFonts w:ascii="Times New Roman" w:cs="Times New Roman" w:eastAsia="Times New Roman" w:hAnsi="Times New Roman"/>
          <w:sz w:val="22"/>
          <w:szCs w:val="22"/>
          <w:color w:val="auto"/>
        </w:rPr>
        <w:t>. The Company may terminate Executive’s employment hereunder for Cause. For purposes of this Agreement, “</w:t>
      </w:r>
      <w:r>
        <w:rPr>
          <w:rFonts w:ascii="Times New Roman" w:cs="Times New Roman" w:eastAsia="Times New Roman" w:hAnsi="Times New Roman"/>
          <w:sz w:val="22"/>
          <w:szCs w:val="22"/>
          <w:b w:val="1"/>
          <w:bCs w:val="1"/>
          <w:i w:val="1"/>
          <w:iCs w:val="1"/>
          <w:u w:val="single" w:color="auto"/>
          <w:color w:val="auto"/>
        </w:rPr>
        <w:t>Cause</w:t>
      </w:r>
      <w:r>
        <w:rPr>
          <w:rFonts w:ascii="Times New Roman" w:cs="Times New Roman" w:eastAsia="Times New Roman" w:hAnsi="Times New Roman"/>
          <w:sz w:val="22"/>
          <w:szCs w:val="22"/>
          <w:color w:val="auto"/>
        </w:rPr>
        <w:t>” shall mean any of the following:</w:t>
      </w:r>
    </w:p>
    <w:p>
      <w:pPr>
        <w:spacing w:after="0" w:line="157" w:lineRule="exact"/>
        <w:rPr>
          <w:rFonts w:ascii="Times New Roman" w:cs="Times New Roman" w:eastAsia="Times New Roman" w:hAnsi="Times New Roman"/>
          <w:sz w:val="22"/>
          <w:szCs w:val="22"/>
          <w:color w:val="auto"/>
        </w:rPr>
      </w:pPr>
    </w:p>
    <w:p>
      <w:pPr>
        <w:ind w:left="380" w:right="20" w:firstLine="754"/>
        <w:spacing w:after="0" w:line="239" w:lineRule="auto"/>
        <w:tabs>
          <w:tab w:leader="none" w:pos="1428" w:val="left"/>
        </w:tabs>
        <w:numPr>
          <w:ilvl w:val="1"/>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unauthorized use or disclosure of confidential information or trade secrets of the Company for Executive’s or another’s benefit or any material breach of a written agreement between Executive and the Company, including without limitation a material breach of this Agreement or the Restrictive Covenants Agreement;</w:t>
      </w:r>
    </w:p>
    <w:p>
      <w:pPr>
        <w:spacing w:after="0" w:line="178" w:lineRule="exact"/>
        <w:rPr>
          <w:rFonts w:ascii="Times New Roman" w:cs="Times New Roman" w:eastAsia="Times New Roman" w:hAnsi="Times New Roman"/>
          <w:sz w:val="22"/>
          <w:szCs w:val="22"/>
          <w:color w:val="auto"/>
        </w:rPr>
      </w:pPr>
    </w:p>
    <w:p>
      <w:pPr>
        <w:ind w:left="380" w:right="100" w:firstLine="754"/>
        <w:spacing w:after="0" w:line="244" w:lineRule="auto"/>
        <w:tabs>
          <w:tab w:leader="none" w:pos="1428" w:val="left"/>
        </w:tabs>
        <w:numPr>
          <w:ilvl w:val="1"/>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conviction of, or pleading no contest to, a felony under the laws of the United States or any state thereof (other than in connection with a traffic violation that does not result in imprisonment) or any crime that results in Executive’s incarceration in a federal, state, or local jail or prison;</w:t>
      </w:r>
    </w:p>
    <w:p>
      <w:pPr>
        <w:spacing w:after="0" w:line="172" w:lineRule="exact"/>
        <w:rPr>
          <w:sz w:val="20"/>
          <w:szCs w:val="20"/>
          <w:color w:val="auto"/>
        </w:rPr>
      </w:pPr>
    </w:p>
    <w:p>
      <w:pPr>
        <w:ind w:left="380" w:firstLine="749"/>
        <w:spacing w:after="0" w:line="237" w:lineRule="auto"/>
        <w:rPr>
          <w:sz w:val="20"/>
          <w:szCs w:val="20"/>
          <w:color w:val="auto"/>
        </w:rPr>
      </w:pPr>
      <w:r>
        <w:rPr>
          <w:rFonts w:ascii="Times New Roman" w:cs="Times New Roman" w:eastAsia="Times New Roman" w:hAnsi="Times New Roman"/>
          <w:sz w:val="22"/>
          <w:szCs w:val="22"/>
          <w:color w:val="auto"/>
        </w:rPr>
        <w:t>(iii)Executive’s material and willful misconduct in the performance of Executive’s duties or Executive’s willful or repeated failure or refusal to substantially perform assigned duties (other than any such failure of refusal resulting from Executive’s incapacity due to physical or mental illness), in any case, which willful misconduct, failure or refusal has continued for more than thirty (30) days following written notice from the CEO of such willful misconduct, failure or refusal;</w:t>
      </w:r>
    </w:p>
    <w:p>
      <w:pPr>
        <w:spacing w:after="0" w:line="180" w:lineRule="exact"/>
        <w:rPr>
          <w:sz w:val="20"/>
          <w:szCs w:val="20"/>
          <w:color w:val="auto"/>
        </w:rPr>
      </w:pPr>
    </w:p>
    <w:p>
      <w:pPr>
        <w:ind w:left="380" w:right="280" w:firstLine="749"/>
        <w:spacing w:after="0" w:line="258" w:lineRule="auto"/>
        <w:rPr>
          <w:sz w:val="20"/>
          <w:szCs w:val="20"/>
          <w:color w:val="auto"/>
        </w:rPr>
      </w:pPr>
      <w:r>
        <w:rPr>
          <w:rFonts w:ascii="Times New Roman" w:cs="Times New Roman" w:eastAsia="Times New Roman" w:hAnsi="Times New Roman"/>
          <w:sz w:val="22"/>
          <w:szCs w:val="22"/>
          <w:color w:val="auto"/>
        </w:rPr>
        <w:t>(iv)any act of fraud, embezzlement or material misappropriation committed by Executive against the Company (other than good faith expense account disputes);</w:t>
      </w:r>
    </w:p>
    <w:p>
      <w:pPr>
        <w:spacing w:after="0" w:line="157" w:lineRule="exact"/>
        <w:rPr>
          <w:sz w:val="20"/>
          <w:szCs w:val="20"/>
          <w:color w:val="auto"/>
        </w:rPr>
      </w:pPr>
    </w:p>
    <w:p>
      <w:pPr>
        <w:ind w:left="380" w:right="280" w:firstLine="754"/>
        <w:spacing w:after="0" w:line="258" w:lineRule="auto"/>
        <w:tabs>
          <w:tab w:leader="none" w:pos="1428"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willful engaging by Executive in any act that brings or is reasonably likely to bring the Company into public disrepute or disgrace or causes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1046480</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440" w:top="1407" w:right="359" w:bottom="1440" w:gutter="0" w:footer="0" w:header="0"/>
        </w:sectPr>
      </w:pPr>
    </w:p>
    <w:bookmarkStart w:id="244" w:name="page245"/>
    <w:bookmarkEnd w:id="244"/>
    <w:p>
      <w:pPr>
        <w:jc w:val="center"/>
        <w:ind w:right="160"/>
        <w:spacing w:after="0"/>
        <w:rPr>
          <w:sz w:val="20"/>
          <w:szCs w:val="20"/>
          <w:color w:val="auto"/>
        </w:rPr>
      </w:pPr>
      <w:r>
        <w:rPr>
          <w:rFonts w:ascii="Times New Roman" w:cs="Times New Roman" w:eastAsia="Times New Roman" w:hAnsi="Times New Roman"/>
          <w:sz w:val="22"/>
          <w:szCs w:val="22"/>
          <w:color w:val="auto"/>
        </w:rPr>
        <w:t>material harm to the customer relations, operations or business prospects of the Company; or</w:t>
      </w:r>
    </w:p>
    <w:p>
      <w:pPr>
        <w:spacing w:after="0" w:line="205" w:lineRule="exact"/>
        <w:rPr>
          <w:sz w:val="20"/>
          <w:szCs w:val="20"/>
          <w:color w:val="auto"/>
        </w:rPr>
      </w:pPr>
    </w:p>
    <w:p>
      <w:pPr>
        <w:ind w:left="1500" w:right="40" w:firstLine="749"/>
        <w:spacing w:after="0" w:line="237" w:lineRule="auto"/>
        <w:rPr>
          <w:sz w:val="20"/>
          <w:szCs w:val="20"/>
          <w:color w:val="auto"/>
        </w:rPr>
      </w:pPr>
      <w:r>
        <w:rPr>
          <w:rFonts w:ascii="Times New Roman" w:cs="Times New Roman" w:eastAsia="Times New Roman" w:hAnsi="Times New Roman"/>
          <w:sz w:val="22"/>
          <w:szCs w:val="22"/>
          <w:color w:val="auto"/>
        </w:rPr>
        <w:t>(vi)Executive’s failure to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180"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2"/>
          <w:szCs w:val="22"/>
          <w:color w:val="auto"/>
        </w:rPr>
        <w:t>For purposes of this Section 3(c), no act, or failure to act, on Executive’s part shall be deemed “willful” if done, or omitted to be done, by Executive in good faith and with reasonable belief that Executive’s act, or failure to act, was in the best interest of the Company.</w:t>
      </w:r>
    </w:p>
    <w:p>
      <w:pPr>
        <w:spacing w:after="0" w:line="172"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22"/>
          <w:szCs w:val="22"/>
          <w:color w:val="auto"/>
        </w:rPr>
        <w:t>In the case of any termination for Cause, the Company shall provide written notice to Executive setting forth to a reasonable extent at least the principal acts or omissions of Executive giving rise to Cause for termination. It is agreed to by the parties that the below par or below average financial performance of the Company and/or its subsidiaries, in and of itself shall not constitute Cause for employment termination under this Agreement.</w:t>
      </w:r>
    </w:p>
    <w:p>
      <w:pPr>
        <w:spacing w:after="0" w:line="179" w:lineRule="exact"/>
        <w:rPr>
          <w:sz w:val="20"/>
          <w:szCs w:val="20"/>
          <w:color w:val="auto"/>
        </w:rPr>
      </w:pPr>
    </w:p>
    <w:p>
      <w:pPr>
        <w:ind w:right="160"/>
        <w:spacing w:after="0" w:line="236" w:lineRule="auto"/>
        <w:rPr>
          <w:sz w:val="20"/>
          <w:szCs w:val="20"/>
          <w:color w:val="auto"/>
        </w:rPr>
      </w:pPr>
      <w:r>
        <w:rPr>
          <w:rFonts w:ascii="Times New Roman" w:cs="Times New Roman" w:eastAsia="Times New Roman" w:hAnsi="Times New Roman"/>
          <w:sz w:val="22"/>
          <w:szCs w:val="22"/>
          <w:color w:val="auto"/>
        </w:rPr>
        <w:t>A termination for Cause under this Section 3(c) (other than with respect to Section 3(c)(ii)) shall in no event become effective under the Agreement unless the provisions of this paragraph are complied with. Executive must be given written notice by the Board of the intention to terminate Executive’s employment for Cause, such notice to be given within three (3) months of the Board learning of such act or acts or failure or failures to act. Executive shall have ten (10) days after the date that such written notice has been given to Executive in which to cure such conduct, to the extent such cure is possible. If Executive fails to cure such conduct, Executive shall thereupon be terminated for Cause.</w:t>
      </w:r>
    </w:p>
    <w:p>
      <w:pPr>
        <w:spacing w:after="0" w:line="179" w:lineRule="exact"/>
        <w:rPr>
          <w:sz w:val="20"/>
          <w:szCs w:val="20"/>
          <w:color w:val="auto"/>
        </w:rPr>
      </w:pPr>
    </w:p>
    <w:p>
      <w:pPr>
        <w:ind w:firstLine="1505"/>
        <w:spacing w:after="0" w:line="239" w:lineRule="auto"/>
        <w:tabs>
          <w:tab w:leader="none" w:pos="2037"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by the Company without Cause</w:t>
      </w:r>
      <w:r>
        <w:rPr>
          <w:rFonts w:ascii="Times New Roman" w:cs="Times New Roman" w:eastAsia="Times New Roman" w:hAnsi="Times New Roman"/>
          <w:sz w:val="22"/>
          <w:szCs w:val="22"/>
          <w:color w:val="auto"/>
        </w:rPr>
        <w:t>. The Company may terminate Executive’s employment hereunder at any time without Cause. Any termination by the Company of Executive’s employment under this Agreement which does not constitute a termination for Cause under Section 3(c) and does not result from the death or disability of Executive under Section 3(a) or 3(b) shall be deemed a termination without Cause.</w:t>
      </w:r>
    </w:p>
    <w:p>
      <w:pPr>
        <w:spacing w:after="0" w:line="178" w:lineRule="exact"/>
        <w:rPr>
          <w:rFonts w:ascii="Times New Roman" w:cs="Times New Roman" w:eastAsia="Times New Roman" w:hAnsi="Times New Roman"/>
          <w:sz w:val="22"/>
          <w:szCs w:val="22"/>
          <w:color w:val="auto"/>
        </w:rPr>
      </w:pPr>
    </w:p>
    <w:p>
      <w:pPr>
        <w:ind w:right="180" w:firstLine="1505"/>
        <w:spacing w:after="0" w:line="239" w:lineRule="auto"/>
        <w:tabs>
          <w:tab w:leader="none" w:pos="2037"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by Executive</w:t>
      </w:r>
      <w:r>
        <w:rPr>
          <w:rFonts w:ascii="Times New Roman" w:cs="Times New Roman" w:eastAsia="Times New Roman" w:hAnsi="Times New Roman"/>
          <w:sz w:val="22"/>
          <w:szCs w:val="22"/>
          <w:color w:val="auto"/>
        </w:rPr>
        <w:t>. Executive may terminate employment hereunder at any time for any reason, including but not limited to, Good Reason. For purposes of this Agreement, “</w:t>
      </w:r>
      <w:r>
        <w:rPr>
          <w:rFonts w:ascii="Times New Roman" w:cs="Times New Roman" w:eastAsia="Times New Roman" w:hAnsi="Times New Roman"/>
          <w:sz w:val="22"/>
          <w:szCs w:val="22"/>
          <w:b w:val="1"/>
          <w:bCs w:val="1"/>
          <w:i w:val="1"/>
          <w:iCs w:val="1"/>
          <w:u w:val="single" w:color="auto"/>
          <w:color w:val="auto"/>
        </w:rPr>
        <w:t>Good Reason</w:t>
      </w:r>
      <w:r>
        <w:rPr>
          <w:rFonts w:ascii="Times New Roman" w:cs="Times New Roman" w:eastAsia="Times New Roman" w:hAnsi="Times New Roman"/>
          <w:sz w:val="22"/>
          <w:szCs w:val="22"/>
          <w:color w:val="auto"/>
        </w:rPr>
        <w:t>” shall mean that Executive has completed all steps of the Good Reason Process (hereinafter defined) following the occurrence of any of the following events without Executive’s consent (each, a “</w:t>
      </w:r>
      <w:r>
        <w:rPr>
          <w:rFonts w:ascii="Times New Roman" w:cs="Times New Roman" w:eastAsia="Times New Roman" w:hAnsi="Times New Roman"/>
          <w:sz w:val="22"/>
          <w:szCs w:val="22"/>
          <w:b w:val="1"/>
          <w:bCs w:val="1"/>
          <w:i w:val="1"/>
          <w:iCs w:val="1"/>
          <w:u w:val="single" w:color="auto"/>
          <w:color w:val="auto"/>
        </w:rPr>
        <w:t>Good Reason Condition</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auto"/>
        </w:rPr>
      </w:pPr>
    </w:p>
    <w:p>
      <w:pPr>
        <w:ind w:left="1500" w:right="640" w:firstLine="754"/>
        <w:spacing w:after="0" w:line="307" w:lineRule="auto"/>
        <w:tabs>
          <w:tab w:leader="none" w:pos="2548" w:val="left"/>
        </w:tabs>
        <w:numPr>
          <w:ilvl w:val="1"/>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diminution in Executive’s title, responsibilities, authority or duties; or a material reduction in the authority, duties, or responsibilities of the CEO to whom Executive is required to report;</w:t>
      </w:r>
    </w:p>
    <w:p>
      <w:pPr>
        <w:spacing w:after="0" w:line="112" w:lineRule="exact"/>
        <w:rPr>
          <w:rFonts w:ascii="Times New Roman" w:cs="Times New Roman" w:eastAsia="Times New Roman" w:hAnsi="Times New Roman"/>
          <w:sz w:val="20"/>
          <w:szCs w:val="20"/>
          <w:color w:val="auto"/>
        </w:rPr>
      </w:pPr>
    </w:p>
    <w:p>
      <w:pPr>
        <w:ind w:left="1500" w:right="360" w:firstLine="754"/>
        <w:spacing w:after="0" w:line="258" w:lineRule="auto"/>
        <w:tabs>
          <w:tab w:leader="none" w:pos="2548" w:val="left"/>
        </w:tabs>
        <w:numPr>
          <w:ilvl w:val="1"/>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Control following which either: (A) there is a material reduction in the budget over which Executive retains authority or (B) Executive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1046480</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7" w:right="399" w:bottom="1440" w:gutter="0" w:footer="0" w:header="0"/>
        </w:sectPr>
      </w:pPr>
    </w:p>
    <w:bookmarkStart w:id="245" w:name="page246"/>
    <w:bookmarkEnd w:id="245"/>
    <w:p>
      <w:pPr>
        <w:ind w:left="1500" w:right="100"/>
        <w:spacing w:after="0" w:line="244" w:lineRule="auto"/>
        <w:rPr>
          <w:sz w:val="20"/>
          <w:szCs w:val="20"/>
          <w:color w:val="auto"/>
        </w:rPr>
      </w:pPr>
      <w:r>
        <w:rPr>
          <w:rFonts w:ascii="Times New Roman" w:cs="Times New Roman" w:eastAsia="Times New Roman" w:hAnsi="Times New Roman"/>
          <w:sz w:val="22"/>
          <w:szCs w:val="22"/>
          <w:color w:val="auto"/>
        </w:rPr>
        <w:t>not Chief Technology and Manufacturing Officer of the Company or, (C) if the Company becomes a subsidiary of one or more entities following the Change in Control, the post-consummation ultimate parent entity of the Company; or</w:t>
      </w:r>
    </w:p>
    <w:p>
      <w:pPr>
        <w:spacing w:after="0" w:line="172" w:lineRule="exact"/>
        <w:rPr>
          <w:sz w:val="20"/>
          <w:szCs w:val="20"/>
          <w:color w:val="auto"/>
        </w:rPr>
      </w:pPr>
    </w:p>
    <w:p>
      <w:pPr>
        <w:ind w:left="1500" w:right="120" w:firstLine="754"/>
        <w:spacing w:after="0" w:line="235" w:lineRule="auto"/>
        <w:tabs>
          <w:tab w:leader="none" w:pos="2626" w:val="left"/>
        </w:tabs>
        <w:numPr>
          <w:ilvl w:val="1"/>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breach of this Agreement by the Company, including without limitation, a reduction of Executive’s Base Salary or Target Bonus in violation of Section 2(a) or 2(b) (except for across-the-board salary reductions of not more than ten percent (10%) similarly affecting all or substantially all senior management employees of the Company), a relocation of Executive’s principal place of employment to any location that is greater than twenty (20) miles from Executive’s then-current home office, or the failure of the Company to obtain the assumption in writing of the Company’s obligations to Executive under this Agreement by any successor as required under Section 13 below.</w:t>
      </w:r>
    </w:p>
    <w:p>
      <w:pPr>
        <w:spacing w:after="0" w:line="174"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Good Reason Process</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b w:val="1"/>
          <w:bCs w:val="1"/>
          <w:i w:val="1"/>
          <w:iCs w:val="1"/>
          <w:u w:val="single" w:color="auto"/>
          <w:color w:val="auto"/>
        </w:rPr>
        <w:t>Good Reason Process</w:t>
      </w:r>
      <w:r>
        <w:rPr>
          <w:rFonts w:ascii="Times New Roman" w:cs="Times New Roman" w:eastAsia="Times New Roman" w:hAnsi="Times New Roman"/>
          <w:sz w:val="22"/>
          <w:szCs w:val="22"/>
          <w:color w:val="auto"/>
        </w:rPr>
        <w:t>” consists of the following steps:</w:t>
      </w:r>
    </w:p>
    <w:p>
      <w:pPr>
        <w:spacing w:after="0" w:line="211" w:lineRule="exact"/>
        <w:rPr>
          <w:rFonts w:ascii="Times New Roman" w:cs="Times New Roman" w:eastAsia="Times New Roman" w:hAnsi="Times New Roman"/>
          <w:sz w:val="22"/>
          <w:szCs w:val="22"/>
          <w:color w:val="auto"/>
        </w:rPr>
      </w:pPr>
    </w:p>
    <w:p>
      <w:pPr>
        <w:ind w:left="2560" w:hanging="306"/>
        <w:spacing w:after="0"/>
        <w:tabs>
          <w:tab w:leader="none" w:pos="2560" w:val="left"/>
        </w:tabs>
        <w:numPr>
          <w:ilvl w:val="1"/>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reasonably determines in good faith that a Good Reason Condition has occurred;</w:t>
      </w:r>
    </w:p>
    <w:p>
      <w:pPr>
        <w:spacing w:after="0" w:line="205" w:lineRule="exact"/>
        <w:rPr>
          <w:sz w:val="20"/>
          <w:szCs w:val="20"/>
          <w:color w:val="auto"/>
        </w:rPr>
      </w:pPr>
    </w:p>
    <w:p>
      <w:pPr>
        <w:ind w:left="1500" w:right="300" w:firstLine="754"/>
        <w:spacing w:after="0" w:line="258" w:lineRule="auto"/>
        <w:tabs>
          <w:tab w:leader="none" w:pos="2602"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notifies the Company in writing of the first occurrence of the Good Reason Condition within sixty (60) days of the first occurrence of such condition;</w:t>
      </w:r>
    </w:p>
    <w:p>
      <w:pPr>
        <w:spacing w:after="0" w:line="15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(iii)Executive cooperates in good faith with the Company’s efforts, for a period of not less than thirty</w:t>
      </w:r>
    </w:p>
    <w:p>
      <w:pPr>
        <w:spacing w:after="0" w:line="14" w:lineRule="exact"/>
        <w:rPr>
          <w:sz w:val="20"/>
          <w:szCs w:val="20"/>
          <w:color w:val="auto"/>
        </w:rPr>
      </w:pPr>
    </w:p>
    <w:p>
      <w:pPr>
        <w:ind w:left="1500" w:right="120" w:firstLine="5"/>
        <w:spacing w:after="0" w:line="237" w:lineRule="auto"/>
        <w:tabs>
          <w:tab w:leader="none" w:pos="1913"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following such notice (the “</w:t>
      </w:r>
      <w:r>
        <w:rPr>
          <w:rFonts w:ascii="Times New Roman" w:cs="Times New Roman" w:eastAsia="Times New Roman" w:hAnsi="Times New Roman"/>
          <w:sz w:val="22"/>
          <w:szCs w:val="22"/>
          <w:b w:val="1"/>
          <w:bCs w:val="1"/>
          <w:i w:val="1"/>
          <w:iCs w:val="1"/>
          <w:u w:val="single" w:color="auto"/>
          <w:color w:val="auto"/>
        </w:rPr>
        <w:t>Cure Period</w:t>
      </w:r>
      <w:r>
        <w:rPr>
          <w:rFonts w:ascii="Times New Roman" w:cs="Times New Roman" w:eastAsia="Times New Roman" w:hAnsi="Times New Roman"/>
          <w:sz w:val="22"/>
          <w:szCs w:val="22"/>
          <w:color w:val="auto"/>
        </w:rPr>
        <w:t>”), to remedy the Good Reason Condition (to the extent such cure is possible);</w:t>
      </w:r>
    </w:p>
    <w:p>
      <w:pPr>
        <w:spacing w:after="0" w:line="178" w:lineRule="exact"/>
        <w:rPr>
          <w:sz w:val="20"/>
          <w:szCs w:val="20"/>
          <w:color w:val="auto"/>
        </w:rPr>
      </w:pPr>
    </w:p>
    <w:p>
      <w:pPr>
        <w:ind w:left="1500" w:right="200" w:firstLine="749"/>
        <w:spacing w:after="0" w:line="258" w:lineRule="auto"/>
        <w:rPr>
          <w:sz w:val="20"/>
          <w:szCs w:val="20"/>
          <w:color w:val="auto"/>
        </w:rPr>
      </w:pPr>
      <w:r>
        <w:rPr>
          <w:rFonts w:ascii="Times New Roman" w:cs="Times New Roman" w:eastAsia="Times New Roman" w:hAnsi="Times New Roman"/>
          <w:sz w:val="22"/>
          <w:szCs w:val="22"/>
          <w:color w:val="auto"/>
        </w:rPr>
        <w:t>(iv)notwithstanding such efforts, the Good Reason Condition continues to exist at the end of the Cure Period; and</w:t>
      </w:r>
    </w:p>
    <w:p>
      <w:pPr>
        <w:spacing w:after="0" w:line="15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(v) Executive terminates employment within sixty (60) days after the end of the Cure Period.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the Company cures the Good Reason Condition during the Cure Period, Good Reason shall be deemed not to have occurred.</w:t>
      </w:r>
    </w:p>
    <w:p>
      <w:pPr>
        <w:spacing w:after="0" w:line="205" w:lineRule="exact"/>
        <w:rPr>
          <w:sz w:val="20"/>
          <w:szCs w:val="20"/>
          <w:color w:val="auto"/>
        </w:rPr>
      </w:pPr>
    </w:p>
    <w:p>
      <w:pPr>
        <w:ind w:left="1020" w:hanging="263"/>
        <w:spacing w:after="0"/>
        <w:tabs>
          <w:tab w:leader="none" w:pos="1020"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Matters Related to Termination</w:t>
      </w:r>
      <w:r>
        <w:rPr>
          <w:rFonts w:ascii="Times New Roman" w:cs="Times New Roman" w:eastAsia="Times New Roman" w:hAnsi="Times New Roman"/>
          <w:sz w:val="22"/>
          <w:szCs w:val="22"/>
          <w:color w:val="auto"/>
        </w:rPr>
        <w:t>.</w:t>
      </w:r>
    </w:p>
    <w:p>
      <w:pPr>
        <w:spacing w:after="0" w:line="205" w:lineRule="exact"/>
        <w:rPr>
          <w:rFonts w:ascii="Times New Roman" w:cs="Times New Roman" w:eastAsia="Times New Roman" w:hAnsi="Times New Roman"/>
          <w:sz w:val="22"/>
          <w:szCs w:val="22"/>
          <w:color w:val="auto"/>
        </w:rPr>
      </w:pPr>
    </w:p>
    <w:p>
      <w:pPr>
        <w:ind w:firstLine="1505"/>
        <w:spacing w:after="0" w:line="239" w:lineRule="auto"/>
        <w:tabs>
          <w:tab w:leader="none" w:pos="2037" w:val="left"/>
        </w:tabs>
        <w:numPr>
          <w:ilvl w:val="1"/>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Termination</w:t>
      </w:r>
      <w:r>
        <w:rPr>
          <w:rFonts w:ascii="Times New Roman" w:cs="Times New Roman" w:eastAsia="Times New Roman" w:hAnsi="Times New Roman"/>
          <w:sz w:val="22"/>
          <w:szCs w:val="22"/>
          <w:color w:val="auto"/>
        </w:rPr>
        <w:t>. Except for termination as specified in Section 3(a), any termination of Executive’s employment by the Company or any such termination by Executive shall be communicated by written Notice of Termination to the other party hereto. For purposes of this Agreement, a “</w:t>
      </w:r>
      <w:r>
        <w:rPr>
          <w:rFonts w:ascii="Times New Roman" w:cs="Times New Roman" w:eastAsia="Times New Roman" w:hAnsi="Times New Roman"/>
          <w:sz w:val="22"/>
          <w:szCs w:val="22"/>
          <w:b w:val="1"/>
          <w:bCs w:val="1"/>
          <w:i w:val="1"/>
          <w:iCs w:val="1"/>
          <w:u w:val="single" w:color="auto"/>
          <w:color w:val="auto"/>
        </w:rPr>
        <w:t>Notice of Termination</w:t>
      </w:r>
      <w:r>
        <w:rPr>
          <w:rFonts w:ascii="Times New Roman" w:cs="Times New Roman" w:eastAsia="Times New Roman" w:hAnsi="Times New Roman"/>
          <w:sz w:val="22"/>
          <w:szCs w:val="22"/>
          <w:color w:val="auto"/>
        </w:rPr>
        <w:t>” shall mean a notice which shall indicate the specific termination provision in this Agreement relied upon.</w:t>
      </w:r>
    </w:p>
    <w:p>
      <w:pPr>
        <w:spacing w:after="0" w:line="172" w:lineRule="exact"/>
        <w:rPr>
          <w:rFonts w:ascii="Times New Roman" w:cs="Times New Roman" w:eastAsia="Times New Roman" w:hAnsi="Times New Roman"/>
          <w:sz w:val="22"/>
          <w:szCs w:val="22"/>
          <w:color w:val="auto"/>
        </w:rPr>
      </w:pPr>
    </w:p>
    <w:p>
      <w:pPr>
        <w:ind w:right="100" w:firstLine="1505"/>
        <w:spacing w:after="0" w:line="263" w:lineRule="auto"/>
        <w:tabs>
          <w:tab w:leader="none" w:pos="2037" w:val="left"/>
        </w:tabs>
        <w:numPr>
          <w:ilvl w:val="1"/>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Date of Termination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u w:val="single" w:color="auto"/>
          <w:color w:val="auto"/>
        </w:rPr>
        <w:t>Date of Termination</w:t>
      </w:r>
      <w:r>
        <w:rPr>
          <w:rFonts w:ascii="Times New Roman" w:cs="Times New Roman" w:eastAsia="Times New Roman" w:hAnsi="Times New Roman"/>
          <w:sz w:val="22"/>
          <w:szCs w:val="22"/>
          <w:color w:val="auto"/>
        </w:rPr>
        <w:t>” shall mean: (i) if Executive’s employment is terminated by death, the date of death; (ii) if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1043305</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7" w:right="359" w:bottom="1440" w:gutter="0" w:footer="0" w:header="0"/>
        </w:sectPr>
      </w:pPr>
    </w:p>
    <w:bookmarkStart w:id="246" w:name="page247"/>
    <w:bookmarkEnd w:id="246"/>
    <w:p>
      <w:pPr>
        <w:ind w:right="60"/>
        <w:spacing w:after="0" w:line="234" w:lineRule="auto"/>
        <w:rPr>
          <w:sz w:val="20"/>
          <w:szCs w:val="20"/>
          <w:color w:val="auto"/>
        </w:rPr>
      </w:pPr>
      <w:r>
        <w:rPr>
          <w:rFonts w:ascii="Times New Roman" w:cs="Times New Roman" w:eastAsia="Times New Roman" w:hAnsi="Times New Roman"/>
          <w:sz w:val="22"/>
          <w:szCs w:val="22"/>
          <w:color w:val="auto"/>
        </w:rPr>
        <w:t>employment is terminated on account of disability under Section 3(b) or by the Company for Cause under Section 3(c), the date on which Notice of Termination is given; (iii) if Executive’s employment is terminated by the Company without Cause under Section 3(d), thirty (30) days after the date on which a Notice of Termination is given or a later date otherwise specified by the Company in the Notice of Termination; (iv) if Executive’s employment is terminated by Executive under Section 3(e) other than for Good Reason, thirty (30) days after the date on which a Notice of Termination is given, and (v) if Executive’s employment is terminated by Executive under Section 3(e) for Good Reason, the date on which a Notice of Termination is given after the end of the Cure Period. Notwithstanding the foregoing, in the event that Executive gives a Notice of Termination to the Company, the Company may unilaterally accelerate the Date of Termination and such acceleration shall not result in a termination by the Company for purposes of this Agreement.</w:t>
      </w:r>
    </w:p>
    <w:p>
      <w:pPr>
        <w:spacing w:after="0" w:line="180" w:lineRule="exact"/>
        <w:rPr>
          <w:sz w:val="20"/>
          <w:szCs w:val="20"/>
          <w:color w:val="auto"/>
        </w:rPr>
      </w:pPr>
    </w:p>
    <w:p>
      <w:pPr>
        <w:ind w:right="40" w:firstLine="1505"/>
        <w:spacing w:after="0" w:line="234" w:lineRule="auto"/>
        <w:tabs>
          <w:tab w:leader="none" w:pos="2037" w:val="left"/>
        </w:tabs>
        <w:numPr>
          <w:ilvl w:val="1"/>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Accrued Obligations</w:t>
      </w:r>
      <w:r>
        <w:rPr>
          <w:rFonts w:ascii="Times New Roman" w:cs="Times New Roman" w:eastAsia="Times New Roman" w:hAnsi="Times New Roman"/>
          <w:sz w:val="22"/>
          <w:szCs w:val="22"/>
          <w:color w:val="auto"/>
        </w:rPr>
        <w:t>. If Executive’s employment with the Company is terminated for any reason, the Company shall pay or provide to Executive (or to Executive’s authorized representative or estate) (i) any Base Salary earned through the Date of Termination; (ii) unpaid expense reimbursements (subject to, and in accordance with, Section 2(c) of this Agreement); and (iii) any vested benefits Executive may have under any employee benefit plan or compensation arrangement of the Company (including equity compensation plans and insurance coverages) through the Date of Termination, which vested benefits shall be paid and/or provided in accordance with the terms of such employee benefit plans. In the event that Executive terminates employment due to death or disability, in accordance with Sections 3(a) and 3(b) above, Executive (or in the case of death, Executive’s estate) shall be entitled to receive the Earned Bonus (as defined in Section 5(a)) at the same time bonuses are paid to other employees who are actively employed by the Company. The amounts described under this Section 4(c) are referred to below as the “</w:t>
      </w:r>
      <w:r>
        <w:rPr>
          <w:rFonts w:ascii="Times New Roman" w:cs="Times New Roman" w:eastAsia="Times New Roman" w:hAnsi="Times New Roman"/>
          <w:sz w:val="22"/>
          <w:szCs w:val="22"/>
          <w:b w:val="1"/>
          <w:bCs w:val="1"/>
          <w:i w:val="1"/>
          <w:iCs w:val="1"/>
          <w:u w:val="single" w:color="auto"/>
          <w:color w:val="auto"/>
        </w:rPr>
        <w:t>Accrued Obligations</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ind w:right="60" w:firstLine="1505"/>
        <w:spacing w:after="0" w:line="239" w:lineRule="auto"/>
        <w:tabs>
          <w:tab w:leader="none" w:pos="2037" w:val="left"/>
        </w:tabs>
        <w:numPr>
          <w:ilvl w:val="1"/>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Resignation of All Other Positions</w:t>
      </w:r>
      <w:r>
        <w:rPr>
          <w:rFonts w:ascii="Times New Roman" w:cs="Times New Roman" w:eastAsia="Times New Roman" w:hAnsi="Times New Roman"/>
          <w:sz w:val="22"/>
          <w:szCs w:val="22"/>
          <w:color w:val="auto"/>
        </w:rPr>
        <w:t>. To the extent applicable, Executive shall be deemed to have resigned from all officer and board member positions that Executive holds with the Company or any of its respective subsidiaries and affiliates upon the termination of Executive’s employment for any reason. Executive shall execute any documents in reasonable form as may be requested to confirm or effectuate any such resignations.</w:t>
      </w:r>
    </w:p>
    <w:p>
      <w:pPr>
        <w:spacing w:after="0" w:line="178" w:lineRule="exact"/>
        <w:rPr>
          <w:rFonts w:ascii="Times New Roman" w:cs="Times New Roman" w:eastAsia="Times New Roman" w:hAnsi="Times New Roman"/>
          <w:sz w:val="22"/>
          <w:szCs w:val="22"/>
          <w:color w:val="auto"/>
        </w:rPr>
      </w:pPr>
    </w:p>
    <w:p>
      <w:pPr>
        <w:ind w:firstLine="757"/>
        <w:spacing w:after="0" w:line="234" w:lineRule="auto"/>
        <w:tabs>
          <w:tab w:leader="none" w:pos="1018"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 Pay and Benefits Upon Termination by the Company without Cause or by Executive for Good Reason</w:t>
      </w:r>
      <w:r>
        <w:rPr>
          <w:rFonts w:ascii="Times New Roman" w:cs="Times New Roman" w:eastAsia="Times New Roman" w:hAnsi="Times New Roman"/>
          <w:sz w:val="22"/>
          <w:szCs w:val="22"/>
          <w:color w:val="auto"/>
        </w:rPr>
        <w:t xml:space="preserve">. If Executive’s employment is terminated by the Company without Cause as provided in Section 3(d), or Executive terminates employment for Good Reason as provided in Section 3(e), then, in addition to the Accrued Obligations, and subject to (i) Executive signing and allowing to become effective a separation agreement and release in a form substantially the same as set forth in </w:t>
      </w:r>
      <w:r>
        <w:rPr>
          <w:rFonts w:ascii="Times New Roman" w:cs="Times New Roman" w:eastAsia="Times New Roman" w:hAnsi="Times New Roman"/>
          <w:sz w:val="22"/>
          <w:szCs w:val="22"/>
          <w:u w:val="single" w:color="auto"/>
          <w:color w:val="auto"/>
        </w:rPr>
        <w:t>Appendix B</w:t>
      </w:r>
      <w:r>
        <w:rPr>
          <w:rFonts w:ascii="Times New Roman" w:cs="Times New Roman" w:eastAsia="Times New Roman" w:hAnsi="Times New Roman"/>
          <w:sz w:val="22"/>
          <w:szCs w:val="22"/>
          <w:color w:val="auto"/>
        </w:rPr>
        <w:t xml:space="preserve"> to this Agreement (the “</w:t>
      </w:r>
      <w:r>
        <w:rPr>
          <w:rFonts w:ascii="Times New Roman" w:cs="Times New Roman" w:eastAsia="Times New Roman" w:hAnsi="Times New Roman"/>
          <w:sz w:val="22"/>
          <w:szCs w:val="22"/>
          <w:b w:val="1"/>
          <w:bCs w:val="1"/>
          <w:i w:val="1"/>
          <w:iCs w:val="1"/>
          <w:u w:val="single" w:color="auto"/>
          <w:color w:val="auto"/>
        </w:rPr>
        <w:t>Separation Agreement</w:t>
      </w:r>
      <w:r>
        <w:rPr>
          <w:rFonts w:ascii="Times New Roman" w:cs="Times New Roman" w:eastAsia="Times New Roman" w:hAnsi="Times New Roman"/>
          <w:sz w:val="22"/>
          <w:szCs w:val="22"/>
          <w:color w:val="auto"/>
        </w:rPr>
        <w:t>”), which provides that if Executive materially breaches any of the Continuing Obligations, all payments of the Severance Amount shall immediately cease, and (ii) the Separation Agreement becoming irrevocable, all within sixty (60) days after the Date of Termination (or such shorter period as set forth in the Separation Agreement):</w:t>
      </w:r>
    </w:p>
    <w:p>
      <w:pPr>
        <w:spacing w:after="0" w:line="184" w:lineRule="exact"/>
        <w:rPr>
          <w:rFonts w:ascii="Times New Roman" w:cs="Times New Roman" w:eastAsia="Times New Roman" w:hAnsi="Times New Roman"/>
          <w:sz w:val="22"/>
          <w:szCs w:val="22"/>
          <w:color w:val="auto"/>
        </w:rPr>
      </w:pPr>
    </w:p>
    <w:p>
      <w:pPr>
        <w:ind w:right="80" w:firstLine="1505"/>
        <w:spacing w:after="0" w:line="244" w:lineRule="auto"/>
        <w:tabs>
          <w:tab w:leader="none" w:pos="2037" w:val="left"/>
        </w:tabs>
        <w:numPr>
          <w:ilvl w:val="1"/>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 Severance</w:t>
      </w:r>
      <w:r>
        <w:rPr>
          <w:rFonts w:ascii="Times New Roman" w:cs="Times New Roman" w:eastAsia="Times New Roman" w:hAnsi="Times New Roman"/>
          <w:sz w:val="22"/>
          <w:szCs w:val="22"/>
          <w:color w:val="auto"/>
        </w:rPr>
        <w:t>. The Company shall pay Executive an amount equal to nine (9) months’ of Executive’s Base Salary (the “</w:t>
      </w:r>
      <w:r>
        <w:rPr>
          <w:rFonts w:ascii="Times New Roman" w:cs="Times New Roman" w:eastAsia="Times New Roman" w:hAnsi="Times New Roman"/>
          <w:sz w:val="22"/>
          <w:szCs w:val="22"/>
          <w:b w:val="1"/>
          <w:bCs w:val="1"/>
          <w:i w:val="1"/>
          <w:iCs w:val="1"/>
          <w:u w:val="single" w:color="auto"/>
          <w:color w:val="auto"/>
        </w:rPr>
        <w:t>Severance Amount</w:t>
      </w:r>
      <w:r>
        <w:rPr>
          <w:rFonts w:ascii="Times New Roman" w:cs="Times New Roman" w:eastAsia="Times New Roman" w:hAnsi="Times New Roman"/>
          <w:sz w:val="22"/>
          <w:szCs w:val="22"/>
          <w:color w:val="auto"/>
        </w:rPr>
        <w:t>”) and, in the event that Executive’s employment is terminated after the end of the calendar year but prior to the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1056005</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7" w:right="379" w:bottom="1440" w:gutter="0" w:footer="0" w:header="0"/>
        </w:sectPr>
      </w:pPr>
    </w:p>
    <w:bookmarkStart w:id="247" w:name="page248"/>
    <w:bookmarkEnd w:id="247"/>
    <w:p>
      <w:pPr>
        <w:ind w:right="100"/>
        <w:spacing w:after="0" w:line="239" w:lineRule="auto"/>
        <w:rPr>
          <w:sz w:val="20"/>
          <w:szCs w:val="20"/>
          <w:color w:val="auto"/>
        </w:rPr>
      </w:pPr>
      <w:r>
        <w:rPr>
          <w:rFonts w:ascii="Times New Roman" w:cs="Times New Roman" w:eastAsia="Times New Roman" w:hAnsi="Times New Roman"/>
          <w:sz w:val="22"/>
          <w:szCs w:val="22"/>
          <w:color w:val="auto"/>
        </w:rPr>
        <w:t>of any Annual Bonus for the immediately preceding calendar year, Executive shall be entitled to receive a lump sum payment of any unpaid Annual Bonus that Executive would otherwise have been eligible for based on achievement of the applicable performance goals and objectives, without any reduction for individual performance, with respect to such immediately preceding calendar year (the “</w:t>
      </w:r>
      <w:r>
        <w:rPr>
          <w:rFonts w:ascii="Times New Roman" w:cs="Times New Roman" w:eastAsia="Times New Roman" w:hAnsi="Times New Roman"/>
          <w:sz w:val="22"/>
          <w:szCs w:val="22"/>
          <w:b w:val="1"/>
          <w:bCs w:val="1"/>
          <w:i w:val="1"/>
          <w:iCs w:val="1"/>
          <w:u w:val="single" w:color="auto"/>
          <w:color w:val="auto"/>
        </w:rPr>
        <w:t>Earned Bonus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right="180" w:firstLine="1505"/>
        <w:spacing w:after="0" w:line="233" w:lineRule="auto"/>
        <w:tabs>
          <w:tab w:leader="none" w:pos="2037"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COBRA Premiums</w:t>
      </w:r>
      <w:r>
        <w:rPr>
          <w:rFonts w:ascii="Times New Roman" w:cs="Times New Roman" w:eastAsia="Times New Roman" w:hAnsi="Times New Roman"/>
          <w:sz w:val="22"/>
          <w:szCs w:val="22"/>
          <w:color w:val="auto"/>
        </w:rPr>
        <w:t>. Subject to Executive’s copayment of premium amounts at the applicable active employees’ rate and Executive’s proper election to receive benefits under the Consolidated Omnibus Budget Reconciliation Act of 1985, as amended (“</w:t>
      </w:r>
      <w:r>
        <w:rPr>
          <w:rFonts w:ascii="Times New Roman" w:cs="Times New Roman" w:eastAsia="Times New Roman" w:hAnsi="Times New Roman"/>
          <w:sz w:val="22"/>
          <w:szCs w:val="22"/>
          <w:b w:val="1"/>
          <w:bCs w:val="1"/>
          <w:i w:val="1"/>
          <w:iCs w:val="1"/>
          <w:u w:val="single" w:color="auto"/>
          <w:color w:val="auto"/>
        </w:rPr>
        <w:t>COBRA</w:t>
      </w:r>
      <w:r>
        <w:rPr>
          <w:rFonts w:ascii="Times New Roman" w:cs="Times New Roman" w:eastAsia="Times New Roman" w:hAnsi="Times New Roman"/>
          <w:sz w:val="22"/>
          <w:szCs w:val="22"/>
          <w:color w:val="auto"/>
        </w:rPr>
        <w:t>”), the Company shall pay to the group health plan provider or the COBRA provider a monthly payment equal to the monthly employer contribution that the Company would have made to provide health insurance to Executive if Executive had remained employed by the Company until the earliest of (A) the nine (9) month anniversary of the Date of Termination; (B) the date that Executive becomes eligible for group medical plan benefits under any other employer’s group medical plan; or (C) the cessation of Executive’s health continuation rights under COBRA; provided, however, that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Executive for the time period specified above. Such payments to Executive shall be subject to tax-related deductions and withholdings and paid on the Company’s regular payroll dates.</w:t>
      </w:r>
    </w:p>
    <w:p>
      <w:pPr>
        <w:spacing w:after="0" w:line="181" w:lineRule="exact"/>
        <w:rPr>
          <w:rFonts w:ascii="Times New Roman" w:cs="Times New Roman" w:eastAsia="Times New Roman" w:hAnsi="Times New Roman"/>
          <w:sz w:val="22"/>
          <w:szCs w:val="22"/>
          <w:color w:val="auto"/>
        </w:rPr>
      </w:pPr>
    </w:p>
    <w:p>
      <w:pPr>
        <w:ind w:firstLine="1505"/>
        <w:spacing w:after="0" w:line="232" w:lineRule="auto"/>
        <w:tabs>
          <w:tab w:leader="none" w:pos="2037"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Delayed Forfeiture of Time-Based Equity Awards</w:t>
      </w:r>
      <w:r>
        <w:rPr>
          <w:rFonts w:ascii="Times New Roman" w:cs="Times New Roman" w:eastAsia="Times New Roman" w:hAnsi="Times New Roman"/>
          <w:sz w:val="22"/>
          <w:szCs w:val="22"/>
          <w:color w:val="auto"/>
        </w:rPr>
        <w:t>. Notwithstanding anything to the contrary in any Time-Based Equity Awards, if the Separation Agreement becomes effective, the unvested portions of all Time-Based Equity Awards shall not terminate or be forfeited on the Date of Termination, but rather shall remain outstanding until 3 months after the Date of Termination (the “</w:t>
      </w:r>
      <w:r>
        <w:rPr>
          <w:rFonts w:ascii="Times New Roman" w:cs="Times New Roman" w:eastAsia="Times New Roman" w:hAnsi="Times New Roman"/>
          <w:sz w:val="22"/>
          <w:szCs w:val="22"/>
          <w:b w:val="1"/>
          <w:bCs w:val="1"/>
          <w:i w:val="1"/>
          <w:iCs w:val="1"/>
          <w:u w:val="single" w:color="auto"/>
          <w:color w:val="auto"/>
        </w:rPr>
        <w:t>Pre-CIC Protection Period</w:t>
      </w:r>
      <w:r>
        <w:rPr>
          <w:rFonts w:ascii="Times New Roman" w:cs="Times New Roman" w:eastAsia="Times New Roman" w:hAnsi="Times New Roman"/>
          <w:sz w:val="22"/>
          <w:szCs w:val="22"/>
          <w:color w:val="auto"/>
        </w:rPr>
        <w:t>”). If the Company has not, prior to the end of the Pre-CIC Protection Period, entered into a definitive agreement that, if closed, would result in a Change in Control (a “</w:t>
      </w:r>
      <w:r>
        <w:rPr>
          <w:rFonts w:ascii="Times New Roman" w:cs="Times New Roman" w:eastAsia="Times New Roman" w:hAnsi="Times New Roman"/>
          <w:sz w:val="22"/>
          <w:szCs w:val="22"/>
          <w:b w:val="1"/>
          <w:bCs w:val="1"/>
          <w:i w:val="1"/>
          <w:iCs w:val="1"/>
          <w:u w:val="single" w:color="auto"/>
          <w:color w:val="auto"/>
        </w:rPr>
        <w:t>P&amp;S Agreement</w:t>
      </w:r>
      <w:r>
        <w:rPr>
          <w:rFonts w:ascii="Times New Roman" w:cs="Times New Roman" w:eastAsia="Times New Roman" w:hAnsi="Times New Roman"/>
          <w:sz w:val="22"/>
          <w:szCs w:val="22"/>
          <w:color w:val="auto"/>
        </w:rPr>
        <w:t>”), then the unvested portion of the Time-Based Equity Awards shall terminate and be forfeited as of the end of the Pre-CIC Protection Period.. If the Company, prior to the end of the Pre-CIC Protection Period, enters into a P&amp;S Agreement, then the Time-Based Equity Awards shall remain outstanding and become fully vested upon a Change in Control resulting from such agreement, and all such awards that are assumed or continued in the Change in Control resulting from such agreement, and all such awards that are assumed or continued in the Change in Control transaction shall remain outstanding until the later of (i) the end of the Pre-CIC Protection Period and (ii) ninety (90) days after such Change in Control. Unvested Time-Based Equity Awards shall terminate and be forfeited if the Company abandons a sale of the Company as contemplated under the P&amp;S Agreement entered into during the Pre-CIC Protection Period. No additional vesting of the Time-Based Equity Awards shall occur following the Date of Termination except on account of a Change in Control during or after the Pre-CIC Protection Period as specifically provided above. For the avoidance of doubt, any unvested Performance-Based Equity Awards shall terminate and be forfeited on the Date of Termination unless otherwise provided by the terms of the Plan or the applicable award agreement. Notwithstanding anything herein to the contrary, no Time-Based Awards shall remain outstanding following the original expiration date of such award, as set forth in the applicable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1062355</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48" w:name="page249"/>
    <w:bookmarkEnd w:id="248"/>
    <w:p>
      <w:pPr>
        <w:ind w:right="20" w:firstLine="1505"/>
        <w:spacing w:after="0" w:line="234" w:lineRule="auto"/>
        <w:tabs>
          <w:tab w:leader="none" w:pos="2037" w:val="left"/>
        </w:tabs>
        <w:numPr>
          <w:ilvl w:val="2"/>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 Payment Timing</w:t>
      </w:r>
      <w:r>
        <w:rPr>
          <w:rFonts w:ascii="Times New Roman" w:cs="Times New Roman" w:eastAsia="Times New Roman" w:hAnsi="Times New Roman"/>
          <w:sz w:val="22"/>
          <w:szCs w:val="22"/>
          <w:color w:val="auto"/>
        </w:rPr>
        <w:t>. The amounts payable under Section 5, (other than the Earned Bonus, as applicable), to the extent taxable, shall be paid or commence to be paid within thirty (30) days after the Date of Termination (or such longer period as required in order to have an enforceable release, but in no event later than seventy (70) days after the Date of Termination); provided, however, that if the period applicable to Executive’s termination of employment begins in one calendar year and ends in a second calendar year, such payments to the extent they qualify as “non-qualified deferred compensation” within the meaning of Section 409A of the Internal Revenue Code of 1986, as amended (the “</w:t>
      </w:r>
      <w:r>
        <w:rPr>
          <w:rFonts w:ascii="Times New Roman" w:cs="Times New Roman" w:eastAsia="Times New Roman" w:hAnsi="Times New Roman"/>
          <w:sz w:val="22"/>
          <w:szCs w:val="22"/>
          <w:b w:val="1"/>
          <w:bCs w:val="1"/>
          <w:i w:val="1"/>
          <w:iCs w:val="1"/>
          <w:u w:val="single" w:color="auto"/>
          <w:color w:val="auto"/>
        </w:rPr>
        <w:t>Code</w:t>
      </w:r>
      <w:r>
        <w:rPr>
          <w:rFonts w:ascii="Times New Roman" w:cs="Times New Roman" w:eastAsia="Times New Roman" w:hAnsi="Times New Roman"/>
          <w:sz w:val="22"/>
          <w:szCs w:val="22"/>
          <w:color w:val="auto"/>
        </w:rPr>
        <w:t>”), shall be paid or commence to be paid in the second calendar year by the last day of such period. The Severance Amount shall be paid in a single lump sum and the Earned Bonus, if any, shall be paid at the same time as if Executive had remained employed with the Company through the payment date.</w:t>
      </w:r>
    </w:p>
    <w:p>
      <w:pPr>
        <w:spacing w:after="0" w:line="180" w:lineRule="exact"/>
        <w:rPr>
          <w:rFonts w:ascii="Times New Roman" w:cs="Times New Roman" w:eastAsia="Times New Roman" w:hAnsi="Times New Roman"/>
          <w:sz w:val="22"/>
          <w:szCs w:val="22"/>
          <w:color w:val="auto"/>
        </w:rPr>
      </w:pPr>
    </w:p>
    <w:p>
      <w:pPr>
        <w:ind w:right="20" w:firstLine="757"/>
        <w:spacing w:after="0" w:line="258" w:lineRule="auto"/>
        <w:tabs>
          <w:tab w:leader="none" w:pos="1018" w:val="left"/>
        </w:tabs>
        <w:numPr>
          <w:ilvl w:val="1"/>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Severance Pay and Benefits Upon Termination by the Company without Cause or by Executive for Good Reason within the Change in Control Period</w:t>
      </w:r>
      <w:r>
        <w:rPr>
          <w:rFonts w:ascii="Times New Roman" w:cs="Times New Roman" w:eastAsia="Times New Roman" w:hAnsi="Times New Roman"/>
          <w:sz w:val="20"/>
          <w:szCs w:val="20"/>
          <w:color w:val="auto"/>
        </w:rPr>
        <w:t>. The provisions of this Section 6 shall apply in lieu of, and expressly supersede, the provisions of Section 5 if (i) Executive’s employment is terminated either (a) by the Company without Cause as provided in Section 3(d), or (b) by Executive for Good Reason as provided in Section 3(e), and (ii) the Date of Termination is during the Change in Control Period. The “</w:t>
      </w:r>
      <w:r>
        <w:rPr>
          <w:rFonts w:ascii="Times New Roman" w:cs="Times New Roman" w:eastAsia="Times New Roman" w:hAnsi="Times New Roman"/>
          <w:sz w:val="20"/>
          <w:szCs w:val="20"/>
          <w:b w:val="1"/>
          <w:bCs w:val="1"/>
          <w:i w:val="1"/>
          <w:iCs w:val="1"/>
          <w:u w:val="single" w:color="auto"/>
          <w:color w:val="auto"/>
        </w:rPr>
        <w:t>Change in Control Period</w:t>
      </w:r>
      <w:r>
        <w:rPr>
          <w:rFonts w:ascii="Times New Roman" w:cs="Times New Roman" w:eastAsia="Times New Roman" w:hAnsi="Times New Roman"/>
          <w:sz w:val="20"/>
          <w:szCs w:val="20"/>
          <w:color w:val="auto"/>
        </w:rPr>
        <w:t>” shall begin on the earlier of (a) the signing of a P&amp;S Agreement and</w:t>
      </w:r>
    </w:p>
    <w:p>
      <w:pPr>
        <w:spacing w:after="0" w:line="1" w:lineRule="exact"/>
        <w:rPr>
          <w:rFonts w:ascii="Times New Roman" w:cs="Times New Roman" w:eastAsia="Times New Roman" w:hAnsi="Times New Roman"/>
          <w:sz w:val="20"/>
          <w:szCs w:val="20"/>
          <w:color w:val="auto"/>
        </w:rPr>
      </w:pPr>
    </w:p>
    <w:p>
      <w:pPr>
        <w:ind w:firstLine="8"/>
        <w:spacing w:after="0" w:line="232" w:lineRule="auto"/>
        <w:tabs>
          <w:tab w:leader="none" w:pos="306"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that is 3 months prior to the closing of a Change in Control and shall end on the date that is twelve (12) months after the occurrence of the first event constituting a Change in Control. These provisions shall terminate and be of no further force or effect after the Change in Control Period. In no event will Executive be entitled to severance benefits under both Section 5 and Section 6 of this Agreement. If the Company has commenced providing severance pay and benefits to Executive under Section 5 prior to the date that Executive becomes eligible to receive severance pay and benefits under this Section 6, the severance pay and benefits previously provided to Executive under Section 5 shall reduce the severance pay and benefits to be provided under this Section 6.</w:t>
      </w:r>
    </w:p>
    <w:p>
      <w:pPr>
        <w:spacing w:after="0" w:line="179"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22"/>
          <w:szCs w:val="22"/>
          <w:color w:val="auto"/>
        </w:rPr>
        <w:t>If Executive’s employment is terminated by the Company without Cause as provided in Section 3(d) or Executive terminates employment for Good Reason as provided in Section 3(e) and in each case the Date of Termination occurs during the Change in Control Period, then, in addition to the Accrued Obligations, and subject to the signing of the Separation Agreement by Executive and the Separation Agreement becoming fully effective, all within the time frame set forth in the Separation Agreement but in no event more than sixty (60) days after the Date of Termination:</w:t>
      </w:r>
    </w:p>
    <w:p>
      <w:pPr>
        <w:spacing w:after="0" w:line="180" w:lineRule="exact"/>
        <w:rPr>
          <w:sz w:val="20"/>
          <w:szCs w:val="20"/>
          <w:color w:val="auto"/>
        </w:rPr>
      </w:pPr>
    </w:p>
    <w:p>
      <w:pPr>
        <w:ind w:left="2040" w:hanging="535"/>
        <w:spacing w:after="0"/>
        <w:tabs>
          <w:tab w:leader="none" w:pos="2040" w:val="left"/>
        </w:tabs>
        <w:numPr>
          <w:ilvl w:val="1"/>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 Severance</w:t>
      </w:r>
      <w:r>
        <w:rPr>
          <w:rFonts w:ascii="Times New Roman" w:cs="Times New Roman" w:eastAsia="Times New Roman" w:hAnsi="Times New Roman"/>
          <w:sz w:val="20"/>
          <w:szCs w:val="20"/>
          <w:color w:val="auto"/>
        </w:rPr>
        <w:t>. The Company shall pay Executive a lump sum in cash in an amount equal to the sum of</w:t>
      </w:r>
    </w:p>
    <w:p>
      <w:pPr>
        <w:spacing w:after="0" w:line="36" w:lineRule="exact"/>
        <w:rPr>
          <w:rFonts w:ascii="Times New Roman" w:cs="Times New Roman" w:eastAsia="Times New Roman" w:hAnsi="Times New Roman"/>
          <w:sz w:val="20"/>
          <w:szCs w:val="20"/>
          <w:color w:val="auto"/>
        </w:rPr>
      </w:pPr>
    </w:p>
    <w:p>
      <w:pPr>
        <w:ind w:right="200" w:firstLine="8"/>
        <w:spacing w:after="0" w:line="233" w:lineRule="auto"/>
        <w:tabs>
          <w:tab w:leader="none" w:pos="353"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twelve (12) months’ of Executive’s then-current Base Salary (or Executive’s Base Salary in effect immediately prior to the Change in Control, if higher), and (B) Executive’s Target Bonus for the then-current year (or Executive’s Target Bonus in effect immediately prior to the Change in Control, if higher), plus, if applicable, any Earned Bonus (the “</w:t>
      </w:r>
      <w:r>
        <w:rPr>
          <w:rFonts w:ascii="Times New Roman" w:cs="Times New Roman" w:eastAsia="Times New Roman" w:hAnsi="Times New Roman"/>
          <w:sz w:val="22"/>
          <w:szCs w:val="22"/>
          <w:b w:val="1"/>
          <w:bCs w:val="1"/>
          <w:i w:val="1"/>
          <w:iCs w:val="1"/>
          <w:u w:val="single" w:color="auto"/>
          <w:color w:val="auto"/>
        </w:rPr>
        <w:t>Change in Control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u w:val="single" w:color="auto"/>
          <w:color w:val="auto"/>
        </w:rPr>
        <w:t>Payment</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ind w:right="220" w:firstLine="1505"/>
        <w:spacing w:after="0" w:line="239" w:lineRule="auto"/>
        <w:tabs>
          <w:tab w:leader="none" w:pos="2037" w:val="left"/>
        </w:tabs>
        <w:numPr>
          <w:ilvl w:val="1"/>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COBRA Premiums</w:t>
      </w:r>
      <w:r>
        <w:rPr>
          <w:rFonts w:ascii="Times New Roman" w:cs="Times New Roman" w:eastAsia="Times New Roman" w:hAnsi="Times New Roman"/>
          <w:sz w:val="22"/>
          <w:szCs w:val="22"/>
          <w:color w:val="auto"/>
        </w:rPr>
        <w:t>. Subject to Executive’s copayment of premium amounts at the applicable active employees’ rate and Executive’s proper election to receive benefits under COBRA, the Company shall pay to the group health plan provider or the COBRA provider a monthly payment equal to the monthly employer contribution that the Company would have made to provide health insurance to Executive if Executive had remained employed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1060450</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49" w:name="page250"/>
    <w:bookmarkEnd w:id="249"/>
    <w:p>
      <w:pPr>
        <w:ind w:right="100"/>
        <w:spacing w:after="0" w:line="235" w:lineRule="auto"/>
        <w:rPr>
          <w:sz w:val="20"/>
          <w:szCs w:val="20"/>
          <w:color w:val="auto"/>
        </w:rPr>
      </w:pPr>
      <w:r>
        <w:rPr>
          <w:rFonts w:ascii="Times New Roman" w:cs="Times New Roman" w:eastAsia="Times New Roman" w:hAnsi="Times New Roman"/>
          <w:sz w:val="22"/>
          <w:szCs w:val="22"/>
          <w:color w:val="auto"/>
        </w:rPr>
        <w:t>by the Company until the earliest of (A) the twelve (12) month anniversary of the Date of Termination; (B) the date that Executive becomes eligible for group medical plan benefits under any other employer’s group medical plan; or (C) the cessation of Executive’s health continuation rights under COBRA; provided, however, that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Executive for the time period specified above. Such payments to Executive shall be subject to tax-related deductions and withholdings and paid on the Company’s regular payroll dates.</w:t>
      </w:r>
    </w:p>
    <w:p>
      <w:pPr>
        <w:spacing w:after="0" w:line="181" w:lineRule="exact"/>
        <w:rPr>
          <w:sz w:val="20"/>
          <w:szCs w:val="20"/>
          <w:color w:val="auto"/>
        </w:rPr>
      </w:pPr>
    </w:p>
    <w:p>
      <w:pPr>
        <w:ind w:right="20" w:firstLine="1505"/>
        <w:spacing w:after="0" w:line="259" w:lineRule="auto"/>
        <w:tabs>
          <w:tab w:leader="none" w:pos="2037" w:val="left"/>
        </w:tabs>
        <w:numPr>
          <w:ilvl w:val="1"/>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Accelerated Vesting of Equity Awards</w:t>
      </w:r>
      <w:r>
        <w:rPr>
          <w:rFonts w:ascii="Times New Roman" w:cs="Times New Roman" w:eastAsia="Times New Roman" w:hAnsi="Times New Roman"/>
          <w:sz w:val="20"/>
          <w:szCs w:val="20"/>
          <w:color w:val="auto"/>
        </w:rPr>
        <w:t>. Notwithstanding anything to the contrary in any Equity Award, the Time-Based Equity Awards shall immediately accelerate and become fully vested and exercisable or nonforfeitable as if Executive had remained employed with the Company as of the later of (i) the Date of Termination (or, if later, the Change in Control) or (ii) the effective date of the Separation Agreement (the “</w:t>
      </w:r>
      <w:r>
        <w:rPr>
          <w:rFonts w:ascii="Times New Roman" w:cs="Times New Roman" w:eastAsia="Times New Roman" w:hAnsi="Times New Roman"/>
          <w:sz w:val="20"/>
          <w:szCs w:val="20"/>
          <w:b w:val="1"/>
          <w:bCs w:val="1"/>
          <w:i w:val="1"/>
          <w:iCs w:val="1"/>
          <w:u w:val="single" w:color="auto"/>
          <w:color w:val="auto"/>
        </w:rPr>
        <w:t>Accelerated Vesting Date</w:t>
      </w:r>
      <w:r>
        <w:rPr>
          <w:rFonts w:ascii="Times New Roman" w:cs="Times New Roman" w:eastAsia="Times New Roman" w:hAnsi="Times New Roman"/>
          <w:sz w:val="20"/>
          <w:szCs w:val="20"/>
          <w:color w:val="auto"/>
        </w:rPr>
        <w:t>”), provided that in order to effectuate the accelerated vesting contemplated by this subsection, the unvested portion of such Equity Awards that would otherwise terminate or be forfeited on the Date of Termination will be delayed until the earlier of (A) the effective date of the Separation Agreement (at which time acceleration will occur), or (B) the date that the Separation Agreement can no longer become fully effective (at which time the unvested portion of Executive’s Time-Based Equity Awards will terminate or be forfeited). Notwithstanding the foregoing, no additional time-based vesting of the Time-Based Equity Awards shall occur during the period between the Date of Termination and the Accelerated Vesting Date except as specifically provided in this Section 6(c).</w:t>
      </w:r>
    </w:p>
    <w:p>
      <w:pPr>
        <w:spacing w:after="0" w:line="161" w:lineRule="exact"/>
        <w:rPr>
          <w:rFonts w:ascii="Times New Roman" w:cs="Times New Roman" w:eastAsia="Times New Roman" w:hAnsi="Times New Roman"/>
          <w:sz w:val="20"/>
          <w:szCs w:val="20"/>
          <w:color w:val="auto"/>
        </w:rPr>
      </w:pPr>
    </w:p>
    <w:p>
      <w:pPr>
        <w:ind w:firstLine="1505"/>
        <w:spacing w:after="0" w:line="237" w:lineRule="auto"/>
        <w:tabs>
          <w:tab w:leader="none" w:pos="2037" w:val="left"/>
        </w:tabs>
        <w:numPr>
          <w:ilvl w:val="1"/>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 Payment Timing</w:t>
      </w:r>
      <w:r>
        <w:rPr>
          <w:rFonts w:ascii="Times New Roman" w:cs="Times New Roman" w:eastAsia="Times New Roman" w:hAnsi="Times New Roman"/>
          <w:sz w:val="22"/>
          <w:szCs w:val="22"/>
          <w:color w:val="auto"/>
        </w:rPr>
        <w:t>. The amounts payable under this Section 6, to the extent taxable, shall be paid or commence to be paid within seventy (70) days after the Date of Termination or, if later, the Change in Control; provided, however, that if the 60-day period begins in one calendar year and ends in a second calendar year, such payments to the extent they qualify as “non-qualified deferred compensation” within the meaning of Section 409A of the Code, shall be paid or commence to be paid in the second calendar year by the last day of such 60-day period.</w:t>
      </w:r>
    </w:p>
    <w:p>
      <w:pPr>
        <w:spacing w:after="0" w:line="180"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280G Limitation</w:t>
      </w:r>
      <w:r>
        <w:rPr>
          <w:rFonts w:ascii="Times New Roman" w:cs="Times New Roman" w:eastAsia="Times New Roman" w:hAnsi="Times New Roman"/>
          <w:sz w:val="22"/>
          <w:szCs w:val="22"/>
          <w:color w:val="auto"/>
        </w:rPr>
        <w:t>.</w:t>
      </w:r>
    </w:p>
    <w:p>
      <w:pPr>
        <w:spacing w:after="0" w:line="205" w:lineRule="exact"/>
        <w:rPr>
          <w:rFonts w:ascii="Times New Roman" w:cs="Times New Roman" w:eastAsia="Times New Roman" w:hAnsi="Times New Roman"/>
          <w:sz w:val="22"/>
          <w:szCs w:val="22"/>
          <w:color w:val="auto"/>
        </w:rPr>
      </w:pPr>
    </w:p>
    <w:p>
      <w:pPr>
        <w:ind w:right="60" w:firstLine="1505"/>
        <w:spacing w:after="0" w:line="234" w:lineRule="auto"/>
        <w:tabs>
          <w:tab w:leader="none" w:pos="2037" w:val="left"/>
        </w:tabs>
        <w:numPr>
          <w:ilvl w:val="1"/>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Anything in this Agreement to the contrary notwithstanding, in the event that the amount of any compensation, payment or distribution by the Company to or for the benefit of Executive, whether paid or payable or distributed or distributable pursuant to the terms of this Agreement or otherwise, calculated in a manner consistent with Section 280G of the Code, and the applicable regulations thereunder (the “</w:t>
      </w:r>
      <w:r>
        <w:rPr>
          <w:rFonts w:ascii="Times New Roman" w:cs="Times New Roman" w:eastAsia="Times New Roman" w:hAnsi="Times New Roman"/>
          <w:sz w:val="22"/>
          <w:szCs w:val="22"/>
          <w:b w:val="1"/>
          <w:bCs w:val="1"/>
          <w:i w:val="1"/>
          <w:iCs w:val="1"/>
          <w:u w:val="single" w:color="auto"/>
          <w:color w:val="auto"/>
        </w:rPr>
        <w:t>Aggregate Payments</w:t>
      </w:r>
      <w:r>
        <w:rPr>
          <w:rFonts w:ascii="Times New Roman" w:cs="Times New Roman" w:eastAsia="Times New Roman" w:hAnsi="Times New Roman"/>
          <w:sz w:val="22"/>
          <w:szCs w:val="22"/>
          <w:color w:val="auto"/>
        </w:rPr>
        <w:t>”), would be subject to the excise tax imposed by Section 4999 of the Code, then the Aggregate Payments shall be reduced (but not below zero) so that the sum of all of the Aggregate Payments shall be $1.00 less than the amount at which Executive becomes subject to the excise tax imposed by Section 4999 of the Code; provided that such reduction shall only occur if it would result in Executive receiving a higher After Tax Amount (as defined below) than Executive would receive if the Aggregate Payments were not subject to such reduction. In such event, the Aggregate Payments shall be reduced in the following order, in each case, in reverse chronological order beginning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1058545</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7" w:right="399" w:bottom="1440" w:gutter="0" w:footer="0" w:header="0"/>
        </w:sectPr>
      </w:pPr>
    </w:p>
    <w:bookmarkStart w:id="250" w:name="page251"/>
    <w:bookmarkEnd w:id="250"/>
    <w:p>
      <w:pPr>
        <w:spacing w:after="0" w:line="236" w:lineRule="auto"/>
        <w:rPr>
          <w:sz w:val="20"/>
          <w:szCs w:val="20"/>
          <w:color w:val="auto"/>
        </w:rPr>
      </w:pPr>
      <w:r>
        <w:rPr>
          <w:rFonts w:ascii="Times New Roman" w:cs="Times New Roman" w:eastAsia="Times New Roman" w:hAnsi="Times New Roman"/>
          <w:sz w:val="22"/>
          <w:szCs w:val="22"/>
          <w:color w:val="auto"/>
        </w:rPr>
        <w:t>with the Aggregate Payments that are to be paid the furthest in time from consummation of the transaction that is subject to Section 280G of the Code: (1) cash payments not subject to Section 409A of the Code; (2) cash payments subject to Section 409A of the Code; (3) equity-based payments and acceleration; and (4) non-cash forms of benefits; provided that in the case of all the foregoing Aggregate Payments all amounts or payments that are not subject to calculation under Treas. Reg. §1.280G-1, Q&amp;A-24(b) or (c) shall be reduced before any amounts that are subject to calculation under Treas. Reg. §1.280G-1, Q&amp;A-24(b) or (c).</w:t>
      </w:r>
    </w:p>
    <w:p>
      <w:pPr>
        <w:spacing w:after="0" w:line="173" w:lineRule="exact"/>
        <w:rPr>
          <w:sz w:val="20"/>
          <w:szCs w:val="20"/>
          <w:color w:val="auto"/>
        </w:rPr>
      </w:pPr>
    </w:p>
    <w:p>
      <w:pPr>
        <w:ind w:right="200" w:firstLine="1505"/>
        <w:spacing w:after="0" w:line="236" w:lineRule="auto"/>
        <w:tabs>
          <w:tab w:leader="none" w:pos="2037" w:val="left"/>
        </w:tabs>
        <w:numPr>
          <w:ilvl w:val="1"/>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Section 7, the “</w:t>
      </w:r>
      <w:r>
        <w:rPr>
          <w:rFonts w:ascii="Times New Roman" w:cs="Times New Roman" w:eastAsia="Times New Roman" w:hAnsi="Times New Roman"/>
          <w:sz w:val="22"/>
          <w:szCs w:val="22"/>
          <w:b w:val="1"/>
          <w:bCs w:val="1"/>
          <w:i w:val="1"/>
          <w:iCs w:val="1"/>
          <w:u w:val="single" w:color="auto"/>
          <w:color w:val="auto"/>
        </w:rPr>
        <w:t>After Tax Amount</w:t>
      </w:r>
      <w:r>
        <w:rPr>
          <w:rFonts w:ascii="Times New Roman" w:cs="Times New Roman" w:eastAsia="Times New Roman" w:hAnsi="Times New Roman"/>
          <w:sz w:val="22"/>
          <w:szCs w:val="22"/>
          <w:color w:val="auto"/>
        </w:rPr>
        <w:t>” means the amount of the Aggregate Payments less all federal, state, and local income, excise and employment taxes imposed on Executive as a result of Executive’s receipt of the Aggregate Payments. For purposes of determining the After Tax Amount,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179" w:lineRule="exact"/>
        <w:rPr>
          <w:rFonts w:ascii="Times New Roman" w:cs="Times New Roman" w:eastAsia="Times New Roman" w:hAnsi="Times New Roman"/>
          <w:sz w:val="22"/>
          <w:szCs w:val="22"/>
          <w:color w:val="auto"/>
        </w:rPr>
      </w:pPr>
    </w:p>
    <w:p>
      <w:pPr>
        <w:ind w:firstLine="1505"/>
        <w:spacing w:after="0" w:line="232" w:lineRule="auto"/>
        <w:tabs>
          <w:tab w:leader="none" w:pos="2037" w:val="left"/>
        </w:tabs>
        <w:numPr>
          <w:ilvl w:val="1"/>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determining whether and the extent to which the Aggregate Payments will be subject to the excise tax, (i) no portion of the Aggregate Payments the receipt or enjoyment of which Executive shall have waived at such time and in such manner as not to constitute a “payment” within the meaning of Section 280G(b) of the Code shall be taken into account, (ii) no portion of the Aggregate Payments shall be taken into account which, in the written opinion of independent auditors or advisors of nationally recognized standing (“</w:t>
      </w:r>
      <w:r>
        <w:rPr>
          <w:rFonts w:ascii="Times New Roman" w:cs="Times New Roman" w:eastAsia="Times New Roman" w:hAnsi="Times New Roman"/>
          <w:sz w:val="22"/>
          <w:szCs w:val="22"/>
          <w:b w:val="1"/>
          <w:bCs w:val="1"/>
          <w:i w:val="1"/>
          <w:iCs w:val="1"/>
          <w:color w:val="auto"/>
        </w:rPr>
        <w:t>Independent Advisors</w:t>
      </w:r>
      <w:r>
        <w:rPr>
          <w:rFonts w:ascii="Times New Roman" w:cs="Times New Roman" w:eastAsia="Times New Roman" w:hAnsi="Times New Roman"/>
          <w:sz w:val="22"/>
          <w:szCs w:val="22"/>
          <w:color w:val="auto"/>
        </w:rPr>
        <w:t>”) selected by the Company prior to a Change in Control, does not constitute a “parachute payment” within the meaning of Section 280G(b)(2) of the Code (including by reason of Section 280G(b)(4)(A) of the Code) and, in calculating the excise tax, no portion of such Aggregate Payments shall be taken into account which, in the opinion of Independent Advisors, constitutes reasonable compensation for services actually rendered, within the meaning of Section 280G(b)(4)(B) of the Code, in excess of the “base amount” (as defined in Section 280G(b)(3) of the Code) allocable to such reasonable compensation, and (iii) the value of any non-cash benefit or any deferred payment or benefit included in the Aggregate Payments shall be determined by the Independent Advisors in accordance with the principles of Sections 280G(d)(3) and (4) of the Code. The Independent Advisors shall provide detailed supporting calculations both to the Company and Executive within fifteen (15) business days of the Date of Termination, if applicable, or at such earlier time as is reasonably requested by the Company or Executive. Any determination by the Independent Advisors shall be binding upon the Company and Executive.</w:t>
      </w:r>
    </w:p>
    <w:p>
      <w:pPr>
        <w:spacing w:after="0" w:line="188"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w:t>
      </w:r>
    </w:p>
    <w:p>
      <w:pPr>
        <w:spacing w:after="0" w:line="205" w:lineRule="exact"/>
        <w:rPr>
          <w:rFonts w:ascii="Times New Roman" w:cs="Times New Roman" w:eastAsia="Times New Roman" w:hAnsi="Times New Roman"/>
          <w:sz w:val="22"/>
          <w:szCs w:val="22"/>
          <w:color w:val="auto"/>
        </w:rPr>
      </w:pPr>
    </w:p>
    <w:p>
      <w:pPr>
        <w:ind w:right="120" w:firstLine="1505"/>
        <w:spacing w:after="0" w:line="237" w:lineRule="auto"/>
        <w:tabs>
          <w:tab w:leader="none" w:pos="2037" w:val="left"/>
        </w:tabs>
        <w:numPr>
          <w:ilvl w:val="1"/>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Anything in this Agreement to the contrary notwithstanding, if at the time of Executive’s separation from service within the meaning of Section 409A of the Code, the Company determines that Executive is a “specified employee” within the meaning of Section 409A(a)(2)(B)(i) of the Code, then to the extent any payment or benefit that Executive becomes entitled to under this Agreement or otherwise on account of Executive’s separation from service would be considered deferred compensation otherwise subject to the 20% additional tax imposed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1061085</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51" w:name="page252"/>
    <w:bookmarkEnd w:id="251"/>
    <w:p>
      <w:pPr>
        <w:ind w:right="60"/>
        <w:spacing w:after="0" w:line="236" w:lineRule="auto"/>
        <w:rPr>
          <w:sz w:val="20"/>
          <w:szCs w:val="20"/>
          <w:color w:val="auto"/>
        </w:rPr>
      </w:pPr>
      <w:r>
        <w:rPr>
          <w:rFonts w:ascii="Times New Roman" w:cs="Times New Roman" w:eastAsia="Times New Roman" w:hAnsi="Times New Roman"/>
          <w:sz w:val="22"/>
          <w:szCs w:val="22"/>
          <w:color w:val="auto"/>
        </w:rPr>
        <w:t>pursuant to Section 409A(a) of the Code as a result of the application of Section 409A(a)(2)(B)(i) of the Code, such payment shall not be payable and such benefit shall not be provided until the date that is the earlier of (A) six (6) months and one day after Executive’s separation from service, or (B) Executive’s death. If any such delayed cash payment is otherwise payable on an installment basis, the first payment shall include a catch-up payment covering amounts that would otherwise have been paid during the 6-month period but for the application of this provision, and the balance of the installments shall be payable in accordance with their original schedule.</w:t>
      </w:r>
    </w:p>
    <w:p>
      <w:pPr>
        <w:spacing w:after="0" w:line="179" w:lineRule="exact"/>
        <w:rPr>
          <w:sz w:val="20"/>
          <w:szCs w:val="20"/>
          <w:color w:val="auto"/>
        </w:rPr>
      </w:pPr>
    </w:p>
    <w:p>
      <w:pPr>
        <w:ind w:right="40" w:firstLine="1505"/>
        <w:spacing w:after="0" w:line="235" w:lineRule="auto"/>
        <w:tabs>
          <w:tab w:leader="none" w:pos="2037"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in-kind benefits provided and expenses eligible for reimbursement under this Agreement shall be provided by the Company or incurred by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80" w:lineRule="exact"/>
        <w:rPr>
          <w:rFonts w:ascii="Times New Roman" w:cs="Times New Roman" w:eastAsia="Times New Roman" w:hAnsi="Times New Roman"/>
          <w:sz w:val="22"/>
          <w:szCs w:val="22"/>
          <w:color w:val="auto"/>
        </w:rPr>
      </w:pPr>
    </w:p>
    <w:p>
      <w:pPr>
        <w:ind w:right="100" w:firstLine="1505"/>
        <w:spacing w:after="0" w:line="260" w:lineRule="exact"/>
        <w:tabs>
          <w:tab w:leader="none" w:pos="2037"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any payment or benefit described in this Agreement constitutes “non-qualified deferred compensation” under Section 409A of the Code, and to the extent that such payment or benefit is payable upon Executive’s termination of employment, then such payments or benefits shall be payable only upon Executive’s “separation from service.” The determination of whether and when a separation from service has occurred shall be made in accordance with the presumptions set forth in Treasury Regulation Section 1.409A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1(h).</w:t>
      </w:r>
    </w:p>
    <w:p>
      <w:pPr>
        <w:spacing w:after="0" w:line="146" w:lineRule="exact"/>
        <w:rPr>
          <w:rFonts w:ascii="Times New Roman" w:cs="Times New Roman" w:eastAsia="Times New Roman" w:hAnsi="Times New Roman"/>
          <w:sz w:val="22"/>
          <w:szCs w:val="22"/>
          <w:color w:val="auto"/>
        </w:rPr>
      </w:pPr>
    </w:p>
    <w:p>
      <w:pPr>
        <w:ind w:firstLine="1505"/>
        <w:spacing w:after="0" w:line="249" w:lineRule="exact"/>
        <w:tabs>
          <w:tab w:leader="none" w:pos="2037"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intend that this Agreement will be administered in a manner not intended to violate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 1.409A</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2(b)(2). Any such payment that may be excluded from Section 409A either as separation pay due to an involuntary separation from service or as a short-term deferral (each as described in Treasury regulations issued under Section 409A) shall be excluded from Section 409A to the greatest extent possible.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179" w:lineRule="exact"/>
        <w:rPr>
          <w:rFonts w:ascii="Times New Roman" w:cs="Times New Roman" w:eastAsia="Times New Roman" w:hAnsi="Times New Roman"/>
          <w:sz w:val="20"/>
          <w:szCs w:val="20"/>
          <w:color w:val="auto"/>
        </w:rPr>
      </w:pPr>
    </w:p>
    <w:p>
      <w:pPr>
        <w:ind w:right="240" w:firstLine="1505"/>
        <w:spacing w:after="0" w:line="244" w:lineRule="auto"/>
        <w:tabs>
          <w:tab w:leader="none" w:pos="2037"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makes no representation or warranty and shall have no liability to Executive or any other person if any provisions of this Agreement are determined to constitute deferred compensation subject to Section 409A of the Code but do not satisfy an exemption from, or the conditions of, such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1056005</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52" w:name="page253"/>
    <w:bookmarkEnd w:id="252"/>
    <w:p>
      <w:pPr>
        <w:ind w:left="263" w:hanging="263"/>
        <w:spacing w:after="0"/>
        <w:tabs>
          <w:tab w:leader="none" w:pos="263"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Continuing Obligations</w:t>
      </w:r>
      <w:r>
        <w:rPr>
          <w:rFonts w:ascii="Times New Roman" w:cs="Times New Roman" w:eastAsia="Times New Roman" w:hAnsi="Times New Roman"/>
          <w:sz w:val="22"/>
          <w:szCs w:val="22"/>
          <w:color w:val="auto"/>
        </w:rPr>
        <w:t>.</w:t>
      </w:r>
    </w:p>
    <w:p>
      <w:pPr>
        <w:spacing w:after="0" w:line="205" w:lineRule="exact"/>
        <w:rPr>
          <w:rFonts w:ascii="Times New Roman" w:cs="Times New Roman" w:eastAsia="Times New Roman" w:hAnsi="Times New Roman"/>
          <w:sz w:val="22"/>
          <w:szCs w:val="22"/>
          <w:color w:val="auto"/>
        </w:rPr>
      </w:pPr>
    </w:p>
    <w:p>
      <w:pPr>
        <w:ind w:left="-757" w:right="80" w:firstLine="1505"/>
        <w:spacing w:after="0" w:line="266" w:lineRule="auto"/>
        <w:tabs>
          <w:tab w:leader="none" w:pos="1280" w:val="left"/>
        </w:tabs>
        <w:numPr>
          <w:ilvl w:val="1"/>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Restrictive Covenants Agreement</w:t>
      </w:r>
      <w:r>
        <w:rPr>
          <w:rFonts w:ascii="Times New Roman" w:cs="Times New Roman" w:eastAsia="Times New Roman" w:hAnsi="Times New Roman"/>
          <w:sz w:val="20"/>
          <w:szCs w:val="20"/>
          <w:color w:val="auto"/>
        </w:rPr>
        <w:t>. As a condition of entering into this Agreement, Executive agrees to execute and deliver, on the Effective Date, the Employee Proprietary Information and Inventions Assignment Agreement (the “</w:t>
      </w:r>
      <w:r>
        <w:rPr>
          <w:rFonts w:ascii="Times New Roman" w:cs="Times New Roman" w:eastAsia="Times New Roman" w:hAnsi="Times New Roman"/>
          <w:sz w:val="20"/>
          <w:szCs w:val="20"/>
          <w:b w:val="1"/>
          <w:bCs w:val="1"/>
          <w:i w:val="1"/>
          <w:iCs w:val="1"/>
          <w:u w:val="single" w:color="auto"/>
          <w:color w:val="auto"/>
        </w:rPr>
        <w:t>Restrictive Covenants Agreement</w:t>
      </w:r>
      <w:r>
        <w:rPr>
          <w:rFonts w:ascii="Times New Roman" w:cs="Times New Roman" w:eastAsia="Times New Roman" w:hAnsi="Times New Roman"/>
          <w:sz w:val="20"/>
          <w:szCs w:val="20"/>
          <w:color w:val="auto"/>
        </w:rPr>
        <w:t>”). For purposes of this Agreement, the obligations in this Section 9 and those that arise in the Restrictive Covenants Agreement and any other agreement relating to confidentiality, assignment of inventions, or other restrictive covenants that may later be agreed to by Executive shall collectively be referred to as the “</w:t>
      </w:r>
      <w:r>
        <w:rPr>
          <w:rFonts w:ascii="Times New Roman" w:cs="Times New Roman" w:eastAsia="Times New Roman" w:hAnsi="Times New Roman"/>
          <w:sz w:val="20"/>
          <w:szCs w:val="20"/>
          <w:b w:val="1"/>
          <w:bCs w:val="1"/>
          <w:i w:val="1"/>
          <w:iCs w:val="1"/>
          <w:u w:val="single" w:color="auto"/>
          <w:color w:val="auto"/>
        </w:rPr>
        <w:t>Continuing Obligations</w:t>
      </w:r>
      <w:r>
        <w:rPr>
          <w:rFonts w:ascii="Times New Roman" w:cs="Times New Roman" w:eastAsia="Times New Roman" w:hAnsi="Times New Roman"/>
          <w:sz w:val="20"/>
          <w:szCs w:val="20"/>
          <w:color w:val="auto"/>
        </w:rPr>
        <w:t>.”</w:t>
      </w:r>
    </w:p>
    <w:p>
      <w:pPr>
        <w:spacing w:after="0" w:line="154" w:lineRule="exact"/>
        <w:rPr>
          <w:rFonts w:ascii="Times New Roman" w:cs="Times New Roman" w:eastAsia="Times New Roman" w:hAnsi="Times New Roman"/>
          <w:sz w:val="20"/>
          <w:szCs w:val="20"/>
          <w:color w:val="auto"/>
        </w:rPr>
      </w:pPr>
    </w:p>
    <w:p>
      <w:pPr>
        <w:ind w:left="-757" w:right="60" w:firstLine="1505"/>
        <w:spacing w:after="0" w:line="234" w:lineRule="auto"/>
        <w:tabs>
          <w:tab w:leader="none" w:pos="1280" w:val="left"/>
        </w:tabs>
        <w:numPr>
          <w:ilvl w:val="1"/>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Third-Party Agreements and Rights</w:t>
      </w:r>
      <w:r>
        <w:rPr>
          <w:rFonts w:ascii="Times New Roman" w:cs="Times New Roman" w:eastAsia="Times New Roman" w:hAnsi="Times New Roman"/>
          <w:sz w:val="22"/>
          <w:szCs w:val="22"/>
          <w:color w:val="auto"/>
        </w:rPr>
        <w:t>. Executive hereby confirms that Executive is not bound by the terms of any agreement with any previous employer or other party which restricts in any way Executive’s use or disclosure of information, other than confidentiality restrictions (if any), or Executive’s engagement in any business. Executive represents to the Company that Executive’s execution of this Agreement to be effective as of the Effective Date, Executive’s employment with the Company and the performance of Executive’s proposed duties for the Company will not violate any obligations Executive may have to any such previous employer or other party. In Executive’s work for the Company, Executive will not disclose or make use of any information in violation of any agreements with or rights of any such previous employer or other party, and Executive will not bring to the premises of the Company any copies or other tangible embodiments of non-public information belonging to or obtained from any such previous employment or other party.</w:t>
      </w:r>
    </w:p>
    <w:p>
      <w:pPr>
        <w:spacing w:after="0" w:line="180" w:lineRule="exact"/>
        <w:rPr>
          <w:rFonts w:ascii="Times New Roman" w:cs="Times New Roman" w:eastAsia="Times New Roman" w:hAnsi="Times New Roman"/>
          <w:sz w:val="22"/>
          <w:szCs w:val="22"/>
          <w:color w:val="auto"/>
        </w:rPr>
      </w:pPr>
    </w:p>
    <w:p>
      <w:pPr>
        <w:ind w:left="-757" w:right="120" w:firstLine="1505"/>
        <w:spacing w:after="0" w:line="247" w:lineRule="exact"/>
        <w:tabs>
          <w:tab w:leader="none" w:pos="1280" w:val="left"/>
        </w:tabs>
        <w:numPr>
          <w:ilvl w:val="1"/>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Litigation and Regulatory Cooperation</w:t>
      </w:r>
      <w:r>
        <w:rPr>
          <w:rFonts w:ascii="Times New Roman" w:cs="Times New Roman" w:eastAsia="Times New Roman" w:hAnsi="Times New Roman"/>
          <w:sz w:val="22"/>
          <w:szCs w:val="22"/>
          <w:color w:val="auto"/>
        </w:rPr>
        <w:t>. During and after Executive’s employment, Executive shall cooperate fully with the Company in (i) the defense or prosecution of any claims or actions now in existence or which may be brought in the future against or on behalf of the Company which relate to events or occurrences that transpired while Executive was employed by the Company, and (ii) the investigation, whether internal or external, of any matters about which the Company believes Executive may have knowledge or information. Executive’s full cooperation in connection with such claims, actions or investigations shall include, but not be limited to, being available to meet with counsel upon reasonable notice to answer questions or to prepare for discovery or trial and to act as a witness on behalf of the Company at mutually convenient times. During and after Executive’s employment, Executive also shall cooperate fully with the Company in connection with any investigation or review of any federal, state or local regulatory authority as any such investigation or review relates to events or occurrences that transpired while Executive was employed by the Company. The Company shall reimburse Executive for any reasonable out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of</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pocket expenses incurred in connection with Executive’s performance of obligations pursuant to this Section 9(c), which shall be in addition to its obligations to provide indemnification to Executive.</w:t>
      </w:r>
    </w:p>
    <w:p>
      <w:pPr>
        <w:spacing w:after="0" w:line="181" w:lineRule="exact"/>
        <w:rPr>
          <w:rFonts w:ascii="Times New Roman" w:cs="Times New Roman" w:eastAsia="Times New Roman" w:hAnsi="Times New Roman"/>
          <w:sz w:val="22"/>
          <w:szCs w:val="22"/>
          <w:color w:val="auto"/>
        </w:rPr>
      </w:pPr>
    </w:p>
    <w:p>
      <w:pPr>
        <w:ind w:left="-757" w:firstLine="1505"/>
        <w:spacing w:after="0" w:line="236" w:lineRule="auto"/>
        <w:tabs>
          <w:tab w:leader="none" w:pos="1280" w:val="left"/>
        </w:tabs>
        <w:numPr>
          <w:ilvl w:val="1"/>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Non-Disparagement</w:t>
      </w:r>
      <w:r>
        <w:rPr>
          <w:rFonts w:ascii="Times New Roman" w:cs="Times New Roman" w:eastAsia="Times New Roman" w:hAnsi="Times New Roman"/>
          <w:sz w:val="22"/>
          <w:szCs w:val="22"/>
          <w:color w:val="auto"/>
        </w:rPr>
        <w:t>. You agree not to disparage the Company, and/or the Company’s attorneys, directors, managers, partners, employees, agents and affiliates, in any manner likely to be harmful to them or their business, business reputation or personal reputation; provided that you may respond accurately and fully to any question, inquiry or request for information when required by legal process. You further agree that, by no later than the Effective Date, you shall delete or otherwise remove any and all disparaging public comments or statements that you made prior to the Effective Date about or relating to the Company,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1060450</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1495425</wp:posOffset>
            </wp:positionH>
            <wp:positionV relativeFrom="paragraph">
              <wp:posOffset>-5519420</wp:posOffset>
            </wp:positionV>
            <wp:extent cx="3429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9">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ectPr>
          <w:pgSz w:w="11900" w:h="16838" w:orient="portrait"/>
          <w:cols w:equalWidth="0" w:num="1">
            <w:col w:w="10463"/>
          </w:cols>
          <w:pgMar w:left="1077" w:top="1407" w:right="359" w:bottom="1440" w:gutter="0" w:footer="0" w:header="0"/>
        </w:sectPr>
      </w:pPr>
    </w:p>
    <w:bookmarkStart w:id="253" w:name="page254"/>
    <w:bookmarkEnd w:id="253"/>
    <w:p>
      <w:pPr>
        <w:ind w:right="560"/>
        <w:spacing w:after="0" w:line="258" w:lineRule="auto"/>
        <w:rPr>
          <w:sz w:val="20"/>
          <w:szCs w:val="20"/>
          <w:color w:val="auto"/>
        </w:rPr>
      </w:pPr>
      <w:r>
        <w:rPr>
          <w:rFonts w:ascii="Times New Roman" w:cs="Times New Roman" w:eastAsia="Times New Roman" w:hAnsi="Times New Roman"/>
          <w:sz w:val="22"/>
          <w:szCs w:val="22"/>
          <w:color w:val="auto"/>
        </w:rPr>
        <w:t>but not limited to, comments in online forums or on websites (including, but not limited to, Facebook, Glassdoor, Yelp, and LinkedIn), as applicable.</w:t>
      </w:r>
    </w:p>
    <w:p>
      <w:pPr>
        <w:spacing w:after="0" w:line="157" w:lineRule="exact"/>
        <w:rPr>
          <w:sz w:val="20"/>
          <w:szCs w:val="20"/>
          <w:color w:val="auto"/>
        </w:rPr>
      </w:pPr>
    </w:p>
    <w:p>
      <w:pPr>
        <w:ind w:right="40" w:firstLine="1505"/>
        <w:spacing w:after="0" w:line="236" w:lineRule="auto"/>
        <w:tabs>
          <w:tab w:leader="none" w:pos="2037"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Relief</w:t>
      </w:r>
      <w:r>
        <w:rPr>
          <w:rFonts w:ascii="Times New Roman" w:cs="Times New Roman" w:eastAsia="Times New Roman" w:hAnsi="Times New Roman"/>
          <w:sz w:val="22"/>
          <w:szCs w:val="22"/>
          <w:color w:val="auto"/>
        </w:rPr>
        <w:t>. Executive agrees that it would be difficult to measure any damages caused to the Company which might result from any breach by Executive of the Continuing Obligations, and that in any event monetary damages would be an inadequate remedy for any such breach. Accordingly</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Executive agrees that if Executive breaches, or proposes to breach, any portion of the Continuing Obligations, the Company shall be entitled, in addition to all other remedies that it may have, to an injunction or other appropriate equitable relief to restrain any such breach without showing or proving any actual damage to the Company.</w:t>
      </w:r>
    </w:p>
    <w:p>
      <w:pPr>
        <w:spacing w:after="0" w:line="179" w:lineRule="exact"/>
        <w:rPr>
          <w:sz w:val="20"/>
          <w:szCs w:val="20"/>
          <w:color w:val="auto"/>
        </w:rPr>
      </w:pPr>
    </w:p>
    <w:p>
      <w:pPr>
        <w:ind w:right="20" w:firstLine="749"/>
        <w:spacing w:after="0" w:line="271" w:lineRule="auto"/>
        <w:rPr>
          <w:sz w:val="20"/>
          <w:szCs w:val="20"/>
          <w:color w:val="auto"/>
        </w:rPr>
      </w:pPr>
      <w:r>
        <w:rPr>
          <w:rFonts w:ascii="Times New Roman" w:cs="Times New Roman" w:eastAsia="Times New Roman" w:hAnsi="Times New Roman"/>
          <w:sz w:val="20"/>
          <w:szCs w:val="20"/>
          <w:color w:val="auto"/>
        </w:rPr>
        <w:t>10.</w:t>
      </w:r>
      <w:r>
        <w:rPr>
          <w:rFonts w:ascii="Times New Roman" w:cs="Times New Roman" w:eastAsia="Times New Roman" w:hAnsi="Times New Roman"/>
          <w:sz w:val="20"/>
          <w:szCs w:val="20"/>
          <w:u w:val="single" w:color="auto"/>
          <w:color w:val="auto"/>
        </w:rPr>
        <w:t>Consent to Jurisdiction</w:t>
      </w:r>
      <w:r>
        <w:rPr>
          <w:rFonts w:ascii="Times New Roman" w:cs="Times New Roman" w:eastAsia="Times New Roman" w:hAnsi="Times New Roman"/>
          <w:sz w:val="20"/>
          <w:szCs w:val="20"/>
          <w:color w:val="auto"/>
        </w:rPr>
        <w:t>. The parties hereby consent to the jurisdiction of the state and federal courts of Massachusetts in connection with any court action relating to this Agreement. Accordingly, with respect to any such court action, Executive (a) submits to the exclusive personal jurisdiction of such courts; (b) consents to service of process; and (c) waives any other requirement (whether imposed by statute, rule of court, or otherwise) with respect to personal jurisdiction or service of process.</w:t>
      </w:r>
    </w:p>
    <w:p>
      <w:pPr>
        <w:spacing w:after="0" w:line="148" w:lineRule="exact"/>
        <w:rPr>
          <w:sz w:val="20"/>
          <w:szCs w:val="20"/>
          <w:color w:val="auto"/>
        </w:rPr>
      </w:pPr>
    </w:p>
    <w:p>
      <w:pPr>
        <w:ind w:right="260" w:firstLine="749"/>
        <w:spacing w:after="0" w:line="244" w:lineRule="auto"/>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2"/>
          <w:szCs w:val="22"/>
          <w:u w:val="single" w:color="auto"/>
          <w:color w:val="auto"/>
        </w:rPr>
        <w:t>Integration</w:t>
      </w:r>
      <w:r>
        <w:rPr>
          <w:rFonts w:ascii="Times New Roman" w:cs="Times New Roman" w:eastAsia="Times New Roman" w:hAnsi="Times New Roman"/>
          <w:sz w:val="22"/>
          <w:szCs w:val="22"/>
          <w:color w:val="auto"/>
        </w:rPr>
        <w:t>. This Agreement constitutes the entire agreement between the parties with respect to the subject matter hereof and supersedes all prior agreements between the parties concerning such subject matter</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provided that the Restrictive Covenants Agreement and the agreements governing any Equity Awards remain in full force and effect.</w:t>
      </w:r>
    </w:p>
    <w:p>
      <w:pPr>
        <w:spacing w:after="0" w:line="172" w:lineRule="exact"/>
        <w:rPr>
          <w:sz w:val="20"/>
          <w:szCs w:val="20"/>
          <w:color w:val="auto"/>
        </w:rPr>
      </w:pPr>
    </w:p>
    <w:p>
      <w:pPr>
        <w:ind w:right="80" w:firstLine="749"/>
        <w:spacing w:after="0" w:line="239" w:lineRule="auto"/>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u w:val="single" w:color="auto"/>
          <w:color w:val="auto"/>
        </w:rPr>
        <w:t>Withholding; Tax Effect</w:t>
      </w:r>
      <w:r>
        <w:rPr>
          <w:rFonts w:ascii="Times New Roman" w:cs="Times New Roman" w:eastAsia="Times New Roman" w:hAnsi="Times New Roman"/>
          <w:sz w:val="22"/>
          <w:szCs w:val="22"/>
          <w:color w:val="auto"/>
        </w:rPr>
        <w:t>. All payments made by the Company to Executive under this Agreement shall be net of any tax or other amounts required to be withheld by the Company under applicable law. Nothing in this Agreement shall be construed to require the Company to make any payments to compensate Executive for any adverse tax effect associated with any payments or benefits or for any deduction or withholding from any payment or benefit.</w:t>
      </w:r>
    </w:p>
    <w:p>
      <w:pPr>
        <w:spacing w:after="0" w:line="179" w:lineRule="exact"/>
        <w:rPr>
          <w:sz w:val="20"/>
          <w:szCs w:val="20"/>
          <w:color w:val="auto"/>
        </w:rPr>
      </w:pPr>
    </w:p>
    <w:p>
      <w:pPr>
        <w:ind w:firstLine="749"/>
        <w:spacing w:after="0" w:line="232" w:lineRule="auto"/>
        <w:rPr>
          <w:sz w:val="20"/>
          <w:szCs w:val="20"/>
          <w:color w:val="auto"/>
        </w:rPr>
      </w:pPr>
      <w:r>
        <w:rPr>
          <w:rFonts w:ascii="Times New Roman" w:cs="Times New Roman" w:eastAsia="Times New Roman" w:hAnsi="Times New Roman"/>
          <w:sz w:val="22"/>
          <w:szCs w:val="22"/>
          <w:color w:val="auto"/>
        </w:rPr>
        <w:t>13.</w:t>
      </w: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This Agreement will be binding upon and inure to the benefit of (a) the heirs, executors, and legal representatives of Executive upon Executive’s death as well as any beneficiaries duly designated by Executive prior to death in accordance with the terms hereof, and (b) any successor of the Company. Any such successor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 The Company shall require its respective successors to expressly assume and agree to perform this Agreement in the same manner and to the same extent that the Company would be required to perform it if no such succession had taken place. Notwithstanding the foregoing, the Company shall remain, with such successor, jointly and severally liable for all of their obligations hereunder. Except as herein provided, this Agreement may not otherwise be assigned by the Company and any attempted assignment in contravention hereof will be null and void. In the event of Executive’s death after Executive’s termination of employment but prior to the completion by the Company of all payments due to Executive under this Agreement, the Company shall continue such payments to Executive’s beneficiary designated in writing to the Company prior to Executive’s death (or to Executive’s estate, if Executive fails to make such designation). Executive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1067435</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7" w:right="359" w:bottom="1440" w:gutter="0" w:footer="0" w:header="0"/>
        </w:sectPr>
      </w:pPr>
    </w:p>
    <w:bookmarkStart w:id="254" w:name="page255"/>
    <w:bookmarkEnd w:id="254"/>
    <w:p>
      <w:pPr>
        <w:ind w:right="460"/>
        <w:spacing w:after="0" w:line="264" w:lineRule="auto"/>
        <w:rPr>
          <w:sz w:val="20"/>
          <w:szCs w:val="20"/>
          <w:color w:val="auto"/>
        </w:rPr>
      </w:pPr>
      <w:r>
        <w:rPr>
          <w:rFonts w:ascii="Times New Roman" w:cs="Times New Roman" w:eastAsia="Times New Roman" w:hAnsi="Times New Roman"/>
          <w:sz w:val="20"/>
          <w:szCs w:val="20"/>
          <w:color w:val="auto"/>
        </w:rPr>
        <w:t>designate one or more persons or entities as the primary or contingent beneficiaries of any amounts to be received under this Agreement. Such designation must be in the form of a signed writing reasonably acceptable to the Board or the Board’s designee. Executive may make or change such designation at any time. Except as approved by the Board or the Board’s designee, none of the rights of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spacing w:after="0" w:line="154" w:lineRule="exact"/>
        <w:rPr>
          <w:sz w:val="20"/>
          <w:szCs w:val="20"/>
          <w:color w:val="auto"/>
        </w:rPr>
      </w:pPr>
    </w:p>
    <w:p>
      <w:pPr>
        <w:ind w:right="80" w:firstLine="749"/>
        <w:spacing w:after="0" w:line="237" w:lineRule="auto"/>
        <w:rPr>
          <w:sz w:val="20"/>
          <w:szCs w:val="20"/>
          <w:color w:val="auto"/>
        </w:rPr>
      </w:pPr>
      <w:r>
        <w:rPr>
          <w:rFonts w:ascii="Times New Roman" w:cs="Times New Roman" w:eastAsia="Times New Roman" w:hAnsi="Times New Roman"/>
          <w:sz w:val="22"/>
          <w:szCs w:val="22"/>
          <w:color w:val="auto"/>
        </w:rPr>
        <w:t>14.</w:t>
      </w:r>
      <w:r>
        <w:rPr>
          <w:rFonts w:ascii="Times New Roman" w:cs="Times New Roman" w:eastAsia="Times New Roman" w:hAnsi="Times New Roman"/>
          <w:sz w:val="22"/>
          <w:szCs w:val="22"/>
          <w:u w:val="single" w:color="auto"/>
          <w:color w:val="auto"/>
        </w:rPr>
        <w:t>Enforceability</w:t>
      </w:r>
      <w:r>
        <w:rPr>
          <w:rFonts w:ascii="Times New Roman" w:cs="Times New Roman" w:eastAsia="Times New Roman" w:hAnsi="Times New Roman"/>
          <w:sz w:val="22"/>
          <w:szCs w:val="22"/>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80" w:lineRule="exact"/>
        <w:rPr>
          <w:sz w:val="20"/>
          <w:szCs w:val="20"/>
          <w:color w:val="auto"/>
        </w:rPr>
      </w:pPr>
    </w:p>
    <w:p>
      <w:pPr>
        <w:ind w:right="40" w:firstLine="749"/>
        <w:spacing w:after="0" w:line="239" w:lineRule="auto"/>
        <w:rPr>
          <w:sz w:val="20"/>
          <w:szCs w:val="20"/>
          <w:color w:val="auto"/>
        </w:rPr>
      </w:pPr>
      <w:r>
        <w:rPr>
          <w:rFonts w:ascii="Times New Roman" w:cs="Times New Roman" w:eastAsia="Times New Roman" w:hAnsi="Times New Roman"/>
          <w:sz w:val="22"/>
          <w:szCs w:val="22"/>
          <w:color w:val="auto"/>
        </w:rPr>
        <w:t>15.</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The provisions of this Agreement shall survive the termination of this Agreement and/or the termination of Executive’s employment to the extent necessary to effectuate the terms contained herein, including but not limited to the Company’s obligation to make severance payments or provide indemnification and Executive’s obligations to comply with the Continuing Obligations.</w:t>
      </w:r>
    </w:p>
    <w:p>
      <w:pPr>
        <w:spacing w:after="0" w:line="179"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16.</w:t>
      </w: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179" w:lineRule="exact"/>
        <w:rPr>
          <w:sz w:val="20"/>
          <w:szCs w:val="20"/>
          <w:color w:val="auto"/>
        </w:rPr>
      </w:pPr>
    </w:p>
    <w:p>
      <w:pPr>
        <w:ind w:firstLine="749"/>
        <w:spacing w:after="0" w:line="237" w:lineRule="auto"/>
        <w:rPr>
          <w:sz w:val="20"/>
          <w:szCs w:val="20"/>
          <w:color w:val="auto"/>
        </w:rPr>
      </w:pPr>
      <w:r>
        <w:rPr>
          <w:rFonts w:ascii="Times New Roman" w:cs="Times New Roman" w:eastAsia="Times New Roman" w:hAnsi="Times New Roman"/>
          <w:sz w:val="22"/>
          <w:szCs w:val="22"/>
          <w:color w:val="auto"/>
        </w:rPr>
        <w:t>17.</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notices, requests, demands and other communications provided for by this Agreement shall be sufficient if in writing and (i) delivered in person, (ii) sent by a nationally recognized overnight courier service or by registered or certified mail, postage prepaid, return receipt requested, to Executive at the last address Executive has filed in writing with the Company or, in the case of the Company, at its main offices, attention of the Board or (iii) sent via email to Executive at Executive’s Company email address or, in the case of the Company, to the CEO’s Company email address.</w:t>
      </w:r>
    </w:p>
    <w:p>
      <w:pPr>
        <w:spacing w:after="0" w:line="180"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22"/>
          <w:szCs w:val="22"/>
          <w:color w:val="auto"/>
        </w:rPr>
        <w:t>18.</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This Agreement may be amended or modified only by a written instrument signed by Executive and by a duly authorized representative of the Company.</w:t>
      </w:r>
    </w:p>
    <w:p>
      <w:pPr>
        <w:spacing w:after="0" w:line="157" w:lineRule="exact"/>
        <w:rPr>
          <w:sz w:val="20"/>
          <w:szCs w:val="20"/>
          <w:color w:val="auto"/>
        </w:rPr>
      </w:pPr>
    </w:p>
    <w:p>
      <w:pPr>
        <w:ind w:right="60" w:firstLine="749"/>
        <w:spacing w:after="0" w:line="236" w:lineRule="auto"/>
        <w:rPr>
          <w:sz w:val="20"/>
          <w:szCs w:val="20"/>
          <w:color w:val="auto"/>
        </w:rPr>
      </w:pPr>
      <w:r>
        <w:rPr>
          <w:rFonts w:ascii="Times New Roman" w:cs="Times New Roman" w:eastAsia="Times New Roman" w:hAnsi="Times New Roman"/>
          <w:sz w:val="22"/>
          <w:szCs w:val="22"/>
          <w:color w:val="auto"/>
        </w:rPr>
        <w:t>19.</w:t>
      </w: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The Company will (i) indemnify Executive with respect to claims arising out of any action taken or not taken in Executive’s capacity as an officer or employee of the Company or its subsidiaries; provided, that Executive acted in good faith and in a manner that Executive reasonably believed to be in or not opposed to the best interests of the Company and, with respect to any criminal action or proceeding, had no reasonable cause to believe that Executive’s conduct was unlawful, (ii) advance to Executive all reasonable and documented out of pocket costs and expenses incurred by Executive in connection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1060450</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7" w:right="379" w:bottom="1440" w:gutter="0" w:footer="0" w:header="0"/>
        </w:sectPr>
      </w:pPr>
    </w:p>
    <w:bookmarkStart w:id="255" w:name="page256"/>
    <w:bookmarkEnd w:id="255"/>
    <w:p>
      <w:pPr>
        <w:spacing w:after="0" w:line="234" w:lineRule="auto"/>
        <w:rPr>
          <w:sz w:val="20"/>
          <w:szCs w:val="20"/>
          <w:color w:val="auto"/>
        </w:rPr>
      </w:pPr>
      <w:r>
        <w:rPr>
          <w:rFonts w:ascii="Times New Roman" w:cs="Times New Roman" w:eastAsia="Times New Roman" w:hAnsi="Times New Roman"/>
          <w:sz w:val="22"/>
          <w:szCs w:val="22"/>
          <w:color w:val="auto"/>
        </w:rPr>
        <w:t>foregoing clause (i), including but not limited to attorneys’ fees, and (iii) provide for Executive to be covered by D&amp;O insurance, with respect to clauses (i) and (ii), on the same terms as are made available to the CEO and/or members of the Board, as applicable; provided that, this Agreement constitutes an undertaking that amounts advanced under clause (ii) shall be promptly repaid to the Company by Executive if it shall ultimately be determined that Executive is not entitled to be indemnified by the Company pursuant to this Section 19. Nothing herein shall limit any right that Executive may have in respect of indemnification, advancement or liability insurance coverage under any other policy, plan, contract or arrangement of the Company or its subsidiaries or under applicable law with respect to his or her services as an officer or employee for the Company or its subsidiaries, and the Company shall not change any right to such indemnification or advancement with respect to Executive after his or her termination of employment.</w:t>
      </w:r>
    </w:p>
    <w:p>
      <w:pPr>
        <w:spacing w:after="0" w:line="180" w:lineRule="exact"/>
        <w:rPr>
          <w:sz w:val="20"/>
          <w:szCs w:val="20"/>
          <w:color w:val="auto"/>
        </w:rPr>
      </w:pPr>
    </w:p>
    <w:p>
      <w:pPr>
        <w:ind w:right="260" w:firstLine="749"/>
        <w:spacing w:after="0" w:line="237" w:lineRule="auto"/>
        <w:rPr>
          <w:sz w:val="20"/>
          <w:szCs w:val="20"/>
          <w:color w:val="auto"/>
        </w:rPr>
      </w:pPr>
      <w:r>
        <w:rPr>
          <w:rFonts w:ascii="Times New Roman" w:cs="Times New Roman" w:eastAsia="Times New Roman" w:hAnsi="Times New Roman"/>
          <w:sz w:val="22"/>
          <w:szCs w:val="22"/>
          <w:color w:val="auto"/>
        </w:rPr>
        <w:t>20.</w:t>
      </w:r>
      <w:r>
        <w:rPr>
          <w:rFonts w:ascii="Times New Roman" w:cs="Times New Roman" w:eastAsia="Times New Roman" w:hAnsi="Times New Roman"/>
          <w:sz w:val="22"/>
          <w:szCs w:val="22"/>
          <w:u w:val="single" w:color="auto"/>
          <w:color w:val="auto"/>
        </w:rPr>
        <w:t>No Mitigation; Offset</w:t>
      </w:r>
      <w:r>
        <w:rPr>
          <w:rFonts w:ascii="Times New Roman" w:cs="Times New Roman" w:eastAsia="Times New Roman" w:hAnsi="Times New Roman"/>
          <w:sz w:val="22"/>
          <w:szCs w:val="22"/>
          <w:color w:val="auto"/>
        </w:rPr>
        <w:t>. In the event of any termination of employment and service hereunder, Executive shall be under no obligation to seek other employment, and there shall be no offset against any amounts due Executive under this Agreement on account of any remuneration attributable to any subsequent employment that Executive may obtain. The preceding sentence shall not limit the Company’s right to enforce the termination provisions set forth in Section 4 above or the repayment or recoupment provisions in Section 22(d) and Section 23 below.</w:t>
      </w:r>
    </w:p>
    <w:p>
      <w:pPr>
        <w:spacing w:after="0" w:line="180" w:lineRule="exact"/>
        <w:rPr>
          <w:sz w:val="20"/>
          <w:szCs w:val="20"/>
          <w:color w:val="auto"/>
        </w:rPr>
      </w:pPr>
    </w:p>
    <w:p>
      <w:pPr>
        <w:ind w:firstLine="749"/>
        <w:spacing w:after="0" w:line="234" w:lineRule="auto"/>
        <w:rPr>
          <w:sz w:val="20"/>
          <w:szCs w:val="20"/>
          <w:color w:val="auto"/>
        </w:rPr>
      </w:pPr>
      <w:r>
        <w:rPr>
          <w:rFonts w:ascii="Times New Roman" w:cs="Times New Roman" w:eastAsia="Times New Roman" w:hAnsi="Times New Roman"/>
          <w:sz w:val="22"/>
          <w:szCs w:val="22"/>
          <w:color w:val="auto"/>
        </w:rPr>
        <w:t>21.</w:t>
      </w:r>
      <w:r>
        <w:rPr>
          <w:rFonts w:ascii="Times New Roman" w:cs="Times New Roman" w:eastAsia="Times New Roman" w:hAnsi="Times New Roman"/>
          <w:sz w:val="22"/>
          <w:szCs w:val="22"/>
          <w:u w:val="single" w:color="auto"/>
          <w:color w:val="auto"/>
        </w:rPr>
        <w:t>Effect on Other Plans and Agreements</w:t>
      </w:r>
      <w:r>
        <w:rPr>
          <w:rFonts w:ascii="Times New Roman" w:cs="Times New Roman" w:eastAsia="Times New Roman" w:hAnsi="Times New Roman"/>
          <w:sz w:val="22"/>
          <w:szCs w:val="22"/>
          <w:color w:val="auto"/>
        </w:rPr>
        <w:t>. An election by Executive to resign for Good Reason under the provisions of this Agreement shall not be deemed a voluntary termination of employment by Executive for the purpose of interpreting the provisions of any of the Company's benefit plans, programs or policies. Nothing in this Agreement shall be construed to limit the rights of Executive under the Company’s benefit plans, programs or policies except to the extent specifically provided in Section 7 hereof, and except that Executive shall have no rights to continue any severance benefits under any Company severance pay plan, offer letter or otherwise. Except for the Restrictive Covenants Agreement, in the event that Executive is party to an agreement with the Company providing for payments or benefits under such plan or agreement and under this Agreement, the terms of this Agreement shall govern and Executive may receive payment under this Agreement only and not both. Further, Section 5 and Section 6 of this Agreement are mutually exclusive and in no event shall Executive be entitled to cash severance payments or benefits pursuant to both Section 5 and Section 6 of this Agreement.</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22.</w:t>
      </w:r>
      <w:r>
        <w:rPr>
          <w:rFonts w:ascii="Times New Roman" w:cs="Times New Roman" w:eastAsia="Times New Roman" w:hAnsi="Times New Roman"/>
          <w:sz w:val="22"/>
          <w:szCs w:val="22"/>
          <w:u w:val="single" w:color="auto"/>
          <w:color w:val="auto"/>
        </w:rPr>
        <w:t>Governing Law; Venue and Enforcement</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ind w:right="40" w:firstLine="1505"/>
        <w:spacing w:after="0" w:line="237" w:lineRule="auto"/>
        <w:tabs>
          <w:tab w:leader="none" w:pos="2037"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will be governed by and construed in accordance with applicable federal laws and, to the extent not inconsistent therewith or preempted thereby, with the laws of Massachusetts, including any applicable statutes of limitation, without regard to any otherwise applicable principles of conflicts of laws or choice of law rules (whether of the Commonwealth of Massachusetts or any other jurisdiction) that would result in the application of the substantive or procedural rules or law of any other jurisdiction.</w:t>
      </w:r>
    </w:p>
    <w:p>
      <w:pPr>
        <w:spacing w:after="0" w:line="180"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7"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agrees that any controversy or claim arising out of or relating to this Agreement or the alleged breach hereof shall be instituted in the United States District Court for the District of Massachusetts, or if that court does not have or will not accept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1056005</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7" w:right="379" w:bottom="1440" w:gutter="0" w:footer="0" w:header="0"/>
        </w:sectPr>
      </w:pPr>
    </w:p>
    <w:bookmarkStart w:id="256" w:name="page257"/>
    <w:bookmarkEnd w:id="256"/>
    <w:p>
      <w:pPr>
        <w:ind w:right="20"/>
        <w:spacing w:after="0" w:line="239" w:lineRule="auto"/>
        <w:rPr>
          <w:sz w:val="20"/>
          <w:szCs w:val="20"/>
          <w:color w:val="auto"/>
        </w:rPr>
      </w:pPr>
      <w:r>
        <w:rPr>
          <w:rFonts w:ascii="Times New Roman" w:cs="Times New Roman" w:eastAsia="Times New Roman" w:hAnsi="Times New Roman"/>
          <w:sz w:val="22"/>
          <w:szCs w:val="22"/>
          <w:color w:val="auto"/>
        </w:rPr>
        <w:t>jurisdiction, in any court of general jurisdiction in the Commonwealth of Massachusetts located in Suffolk County, and Executive and the Company hereby consent to the personal and exclusive jurisdiction of such court(s) and hereby waive any objection(s) that any such party may have to personal jurisdiction, the laying of venue of any such proceedings and any claim or defense of inconvenient forum.</w:t>
      </w:r>
    </w:p>
    <w:p>
      <w:pPr>
        <w:spacing w:after="0" w:line="179" w:lineRule="exact"/>
        <w:rPr>
          <w:sz w:val="20"/>
          <w:szCs w:val="20"/>
          <w:color w:val="auto"/>
        </w:rPr>
      </w:pPr>
    </w:p>
    <w:p>
      <w:pPr>
        <w:ind w:right="220" w:firstLine="1505"/>
        <w:spacing w:after="0" w:line="237" w:lineRule="auto"/>
        <w:tabs>
          <w:tab w:leader="none" w:pos="2037"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award shall be payable to Executive no later than the end of Executive’s first taxable year in which the Company either concede the amount (or portion of the amount) payable or are required to make payment pursuant to a judgment by a court, and shall include interest on any amounts due and payable to Executive from the date due to the date of payment, calculated at one hundred and ten percent (110%) of the base lending in effect at Citibank, N.A. (or any successor thereto) on the first of each month.</w:t>
      </w:r>
    </w:p>
    <w:p>
      <w:pPr>
        <w:spacing w:after="0" w:line="180" w:lineRule="exact"/>
        <w:rPr>
          <w:rFonts w:ascii="Times New Roman" w:cs="Times New Roman" w:eastAsia="Times New Roman" w:hAnsi="Times New Roman"/>
          <w:sz w:val="22"/>
          <w:szCs w:val="22"/>
          <w:color w:val="auto"/>
        </w:rPr>
      </w:pPr>
    </w:p>
    <w:p>
      <w:pPr>
        <w:ind w:right="140" w:firstLine="1505"/>
        <w:spacing w:after="0" w:line="233" w:lineRule="auto"/>
        <w:tabs>
          <w:tab w:leader="none" w:pos="2037"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it is necessary or desirable for Executive to retain legal counsel or incur other costs and expenses in connection with the enforcement of any or all of Executive’s rights under this Agreement, the Company shall, within thirty (30) days after receipt of an invoice certifying payment by Executive of such attorney fees, or payment of such other costs and expenses, reimburse Executive’s reasonable attorneys’ fees and costs and such other expenses, including expenses of any expert witnesses, in connection with the enforcement of said rights in an amount not to exceed $100,000; provided, that to the extent (and only to the extent) such expenses are subject to Section 409A, in no event shall any payment of Executive’s fees, costs, and expenses be made after the last day of Executive’s taxable year following the taxable year in which the expense was incurred; provided, further, that Executive shall repay any such advance of fees, costs, and expenses (and no additional advances or reimbursements shall be made) (i) if there is a specific judicial finding that Executive’s request to litigate was frivolous, unreasonable or without foundation; (ii) if it has been finally determined that Executive’s termination of employment for Cause was proper; or (iii) if the Board determines in good faith that as of the date of Executive’s termination of employment and service, grounds for an involuntary termination for Cause had existed.</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23.</w:t>
      </w:r>
      <w:r>
        <w:rPr>
          <w:rFonts w:ascii="Times New Roman" w:cs="Times New Roman" w:eastAsia="Times New Roman" w:hAnsi="Times New Roman"/>
          <w:sz w:val="20"/>
          <w:szCs w:val="20"/>
          <w:u w:val="single" w:color="auto"/>
          <w:color w:val="auto"/>
        </w:rPr>
        <w:t>Recoupment</w:t>
      </w:r>
      <w:r>
        <w:rPr>
          <w:rFonts w:ascii="Times New Roman" w:cs="Times New Roman" w:eastAsia="Times New Roman" w:hAnsi="Times New Roman"/>
          <w:sz w:val="20"/>
          <w:szCs w:val="20"/>
          <w:color w:val="auto"/>
        </w:rPr>
        <w:t>. Executive shall be required to repay incentive pay to the Company as described in this Section 23, and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may offset payments otherwise due and payable under this Agreement by the amounts required to be repaid under</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Section 23. Repayment of incentive pay shall be required if, and to the extent that, the Compensation Committee determines,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its sole discretion, that repayment is due on account of a restatement of the Company’s financial statements or otherwise</w:t>
      </w:r>
    </w:p>
    <w:p>
      <w:pPr>
        <w:spacing w:after="0" w:line="230" w:lineRule="auto"/>
        <w:rPr>
          <w:sz w:val="20"/>
          <w:szCs w:val="20"/>
          <w:color w:val="auto"/>
        </w:rPr>
      </w:pPr>
      <w:r>
        <w:rPr>
          <w:rFonts w:ascii="Times New Roman" w:cs="Times New Roman" w:eastAsia="Times New Roman" w:hAnsi="Times New Roman"/>
          <w:sz w:val="22"/>
          <w:szCs w:val="22"/>
          <w:color w:val="auto"/>
        </w:rPr>
        <w:t>pursuant to any clawback or compensation recoupment policy as may be in effect or amended from time to time) (the</w:t>
      </w:r>
    </w:p>
    <w:p>
      <w:pPr>
        <w:spacing w:after="0" w:line="23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Recoupment Policy</w:t>
      </w:r>
      <w:r>
        <w:rPr>
          <w:rFonts w:ascii="Times New Roman" w:cs="Times New Roman" w:eastAsia="Times New Roman" w:hAnsi="Times New Roman"/>
          <w:sz w:val="22"/>
          <w:szCs w:val="22"/>
          <w:color w:val="auto"/>
        </w:rPr>
        <w:t>”). Where the result of a performance measure was a factor in determining the compensation awarded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paid, but (i) the subsequently-restated performance measure was not the only factor used to determine the compensation awarded</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or paid, or (ii) the incentive-based compensation is not awarded or paid on a formulaic basis, the Committee will determine in its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discretion the amount, if any, by which the payment or award should be reduced. If the Committee seeks to recover payment of</w:t>
      </w:r>
    </w:p>
    <w:p>
      <w:pPr>
        <w:spacing w:after="0" w:line="230" w:lineRule="auto"/>
        <w:rPr>
          <w:sz w:val="20"/>
          <w:szCs w:val="20"/>
          <w:color w:val="auto"/>
        </w:rPr>
      </w:pPr>
      <w:r>
        <w:rPr>
          <w:rFonts w:ascii="Times New Roman" w:cs="Times New Roman" w:eastAsia="Times New Roman" w:hAnsi="Times New Roman"/>
          <w:sz w:val="22"/>
          <w:szCs w:val="22"/>
          <w:color w:val="auto"/>
        </w:rPr>
        <w:t>incentive pay as a result of a restatement of the Company’s financial statements or otherwise under the Recoupment Policy,</w:t>
      </w:r>
    </w:p>
    <w:p>
      <w:pPr>
        <w:spacing w:after="0"/>
        <w:rPr>
          <w:sz w:val="20"/>
          <w:szCs w:val="20"/>
          <w:color w:val="auto"/>
        </w:rPr>
      </w:pPr>
      <w:r>
        <w:rPr>
          <w:rFonts w:ascii="Times New Roman" w:cs="Times New Roman" w:eastAsia="Times New Roman" w:hAnsi="Times New Roman"/>
          <w:sz w:val="20"/>
          <w:szCs w:val="20"/>
          <w:color w:val="auto"/>
        </w:rPr>
        <w:t>Executive shall pay to the Company, as applicable, (A) all or a portion (as determined by the Committee in its sole discretion)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amount by which the payment received by Executive exceeds the amount that would have been paid to Executive based on</w:t>
      </w:r>
    </w:p>
    <w:p>
      <w:pPr>
        <w:spacing w:after="0"/>
        <w:rPr>
          <w:sz w:val="20"/>
          <w:szCs w:val="20"/>
          <w:color w:val="auto"/>
        </w:rPr>
      </w:pPr>
      <w:r>
        <w:rPr>
          <w:rFonts w:ascii="Times New Roman" w:cs="Times New Roman" w:eastAsia="Times New Roman" w:hAnsi="Times New Roman"/>
          <w:sz w:val="22"/>
          <w:szCs w:val="22"/>
          <w:color w:val="auto"/>
        </w:rPr>
        <w:t>the restated financial statements, or (B) the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1061720</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7" w:right="359" w:bottom="1440" w:gutter="0" w:footer="0" w:header="0"/>
        </w:sectPr>
      </w:pPr>
    </w:p>
    <w:bookmarkStart w:id="257" w:name="page258"/>
    <w:bookmarkEnd w:id="257"/>
    <w:p>
      <w:pPr>
        <w:ind w:right="80"/>
        <w:spacing w:after="0" w:line="258" w:lineRule="auto"/>
        <w:rPr>
          <w:sz w:val="20"/>
          <w:szCs w:val="20"/>
          <w:color w:val="auto"/>
        </w:rPr>
      </w:pPr>
      <w:r>
        <w:rPr>
          <w:rFonts w:ascii="Times New Roman" w:cs="Times New Roman" w:eastAsia="Times New Roman" w:hAnsi="Times New Roman"/>
          <w:sz w:val="22"/>
          <w:szCs w:val="22"/>
          <w:color w:val="auto"/>
        </w:rPr>
        <w:t>(as determined by the Committee in its sole discretion) to be repaid pursuant to the Recoupment Policy. Nothing in this Section 23 shall preclude the Company (or any other person) from taking any other action.</w:t>
      </w:r>
    </w:p>
    <w:p>
      <w:pPr>
        <w:spacing w:after="0" w:line="15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24.</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any number of counterparts, each of which when so executed and delivered shall be taken to be an original; but such counterparts shall together constitute one and the same document.</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IN WITNESS WHEREOF, the parties have executed this Agreement effective on the Effective Date.</w:t>
      </w:r>
    </w:p>
    <w:p>
      <w:pPr>
        <w:spacing w:after="0" w:line="20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b w:val="1"/>
          <w:bCs w:val="1"/>
          <w:color w:val="auto"/>
        </w:rPr>
        <w:t>INVIVYD, INC.</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By: /s/ J.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3369310</wp:posOffset>
            </wp:positionH>
            <wp:positionV relativeFrom="paragraph">
              <wp:posOffset>-13970</wp:posOffset>
            </wp:positionV>
            <wp:extent cx="82169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04">
                      <a:extLst>
                        <a:ext uri="{28A0092B-C50C-407E-A947-70E740481C1C}"/>
                      </a:extLst>
                    </a:blip>
                    <a:srcRect/>
                    <a:stretch>
                      <a:fillRect/>
                    </a:stretch>
                  </pic:blipFill>
                  <pic:spPr bwMode="auto">
                    <a:xfrm>
                      <a:off x="0" y="0"/>
                      <a:ext cx="821690" cy="8255"/>
                    </a:xfrm>
                    <a:prstGeom prst="rect">
                      <a:avLst/>
                    </a:prstGeom>
                    <a:noFill/>
                  </pic:spPr>
                </pic:pic>
              </a:graphicData>
            </a:graphic>
          </wp:anchor>
        </w:drawing>
      </w:r>
    </w:p>
    <w:p>
      <w:pPr>
        <w:ind w:left="4880"/>
        <w:spacing w:after="0"/>
        <w:rPr>
          <w:sz w:val="20"/>
          <w:szCs w:val="20"/>
          <w:color w:val="auto"/>
        </w:rPr>
      </w:pPr>
      <w:r>
        <w:rPr>
          <w:rFonts w:ascii="Times New Roman" w:cs="Times New Roman" w:eastAsia="Times New Roman" w:hAnsi="Times New Roman"/>
          <w:sz w:val="22"/>
          <w:szCs w:val="22"/>
          <w:color w:val="auto"/>
        </w:rPr>
        <w:t>Its:  Senior Vice President, Human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3369310</wp:posOffset>
            </wp:positionH>
            <wp:positionV relativeFrom="paragraph">
              <wp:posOffset>-29210</wp:posOffset>
            </wp:positionV>
            <wp:extent cx="246570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05">
                      <a:extLst>
                        <a:ext uri="{28A0092B-C50C-407E-A947-70E740481C1C}"/>
                      </a:extLst>
                    </a:blip>
                    <a:srcRect/>
                    <a:stretch>
                      <a:fillRect/>
                    </a:stretch>
                  </pic:blipFill>
                  <pic:spPr bwMode="auto">
                    <a:xfrm>
                      <a:off x="0" y="0"/>
                      <a:ext cx="24657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STACY PRICE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u w:val="single" w:color="auto"/>
          <w:color w:val="auto"/>
        </w:rPr>
        <w:t>/s/ Stacy Price</w:t>
      </w:r>
    </w:p>
    <w:p>
      <w:pPr>
        <w:spacing w:after="0" w:line="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w:t>
      </w:r>
    </w:p>
    <w:p>
      <w:pPr>
        <w:ind w:left="488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924560</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07" w:right="459" w:bottom="1440" w:gutter="0" w:footer="0" w:header="0"/>
        </w:sectPr>
      </w:pPr>
    </w:p>
    <w:bookmarkStart w:id="258" w:name="page259"/>
    <w:bookmarkEnd w:id="258"/>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Appendix A</w:t>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Outside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7207885</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3" w:right="1440" w:bottom="1440" w:gutter="0" w:footer="0" w:header="0"/>
        </w:sectPr>
      </w:pPr>
    </w:p>
    <w:bookmarkStart w:id="259" w:name="page260"/>
    <w:bookmarkEnd w:id="259"/>
    <w:p>
      <w:pPr>
        <w:jc w:val="center"/>
        <w:spacing w:after="0"/>
        <w:rPr>
          <w:sz w:val="20"/>
          <w:szCs w:val="20"/>
          <w:color w:val="auto"/>
        </w:rPr>
      </w:pPr>
      <w:r>
        <w:rPr>
          <w:rFonts w:ascii="Times New Roman" w:cs="Times New Roman" w:eastAsia="Times New Roman" w:hAnsi="Times New Roman"/>
          <w:sz w:val="22"/>
          <w:szCs w:val="22"/>
          <w:b w:val="1"/>
          <w:bCs w:val="1"/>
          <w:color w:val="auto"/>
        </w:rPr>
        <w:t>Appendix B</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SEPARATION AGREEMENT</w:t>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[Date]</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 Separation Agreement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[Name]:</w:t>
      </w:r>
    </w:p>
    <w:p>
      <w:pPr>
        <w:spacing w:after="0" w:line="205" w:lineRule="exact"/>
        <w:rPr>
          <w:sz w:val="20"/>
          <w:szCs w:val="20"/>
          <w:color w:val="auto"/>
        </w:rPr>
      </w:pPr>
    </w:p>
    <w:p>
      <w:pPr>
        <w:ind w:right="700"/>
        <w:spacing w:after="0" w:line="258" w:lineRule="auto"/>
        <w:rPr>
          <w:sz w:val="20"/>
          <w:szCs w:val="20"/>
          <w:color w:val="auto"/>
        </w:rPr>
      </w:pPr>
      <w:r>
        <w:rPr>
          <w:rFonts w:ascii="Times New Roman" w:cs="Times New Roman" w:eastAsia="Times New Roman" w:hAnsi="Times New Roman"/>
          <w:sz w:val="22"/>
          <w:szCs w:val="22"/>
          <w:color w:val="auto"/>
        </w:rPr>
        <w:t>This letter sets forth the substance of the separation agreement (the “Agreement”) which Invivyd, Inc. (the “Company”) is offering to you to aid in your employment transition.</w:t>
      </w:r>
    </w:p>
    <w:p>
      <w:pPr>
        <w:spacing w:after="0" w:line="153" w:lineRule="exact"/>
        <w:rPr>
          <w:sz w:val="20"/>
          <w:szCs w:val="20"/>
          <w:color w:val="auto"/>
        </w:rPr>
      </w:pPr>
    </w:p>
    <w:p>
      <w:pPr>
        <w:ind w:firstLine="8"/>
        <w:spacing w:after="0" w:line="261" w:lineRule="auto"/>
        <w:tabs>
          <w:tab w:leader="none" w:pos="509" w:val="left"/>
        </w:tabs>
        <w:numPr>
          <w:ilvl w:val="0"/>
          <w:numId w:val="2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Separation. </w:t>
      </w:r>
      <w:r>
        <w:rPr>
          <w:rFonts w:ascii="Times New Roman" w:cs="Times New Roman" w:eastAsia="Times New Roman" w:hAnsi="Times New Roman"/>
          <w:sz w:val="22"/>
          <w:szCs w:val="22"/>
          <w:color w:val="auto"/>
        </w:rPr>
        <w:t>Your last day of work with the Company and your employment termination date will be [Date]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“Separation Date”).</w:t>
      </w:r>
    </w:p>
    <w:p>
      <w:pPr>
        <w:spacing w:after="0" w:line="150" w:lineRule="exact"/>
        <w:rPr>
          <w:rFonts w:ascii="Times New Roman" w:cs="Times New Roman" w:eastAsia="Times New Roman" w:hAnsi="Times New Roman"/>
          <w:sz w:val="22"/>
          <w:szCs w:val="22"/>
          <w:b w:val="1"/>
          <w:bCs w:val="1"/>
          <w:color w:val="auto"/>
        </w:rPr>
      </w:pPr>
    </w:p>
    <w:p>
      <w:pPr>
        <w:jc w:val="both"/>
        <w:ind w:firstLine="8"/>
        <w:spacing w:after="0" w:line="246" w:lineRule="auto"/>
        <w:tabs>
          <w:tab w:leader="none" w:pos="509" w:val="left"/>
        </w:tabs>
        <w:numPr>
          <w:ilvl w:val="0"/>
          <w:numId w:val="2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Accrued Salary. </w:t>
      </w:r>
      <w:r>
        <w:rPr>
          <w:rFonts w:ascii="Times New Roman" w:cs="Times New Roman" w:eastAsia="Times New Roman" w:hAnsi="Times New Roman"/>
          <w:sz w:val="22"/>
          <w:szCs w:val="22"/>
          <w:color w:val="auto"/>
        </w:rPr>
        <w:t>On the Separation Date, the Company will pay you all accrued salary earned through the Separation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standard payroll deductions and withholdings. You will receive these payments regardless of whether or not you sign this Agreement.</w:t>
      </w:r>
    </w:p>
    <w:p>
      <w:pPr>
        <w:spacing w:after="0" w:line="165" w:lineRule="exact"/>
        <w:rPr>
          <w:rFonts w:ascii="Times New Roman" w:cs="Times New Roman" w:eastAsia="Times New Roman" w:hAnsi="Times New Roman"/>
          <w:sz w:val="22"/>
          <w:szCs w:val="22"/>
          <w:b w:val="1"/>
          <w:bCs w:val="1"/>
          <w:color w:val="auto"/>
        </w:rPr>
      </w:pPr>
    </w:p>
    <w:p>
      <w:pPr>
        <w:ind w:firstLine="8"/>
        <w:spacing w:after="0" w:line="261" w:lineRule="auto"/>
        <w:tabs>
          <w:tab w:leader="none" w:pos="509" w:val="left"/>
        </w:tabs>
        <w:numPr>
          <w:ilvl w:val="0"/>
          <w:numId w:val="2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Severance Benefits. </w:t>
      </w:r>
      <w:r>
        <w:rPr>
          <w:rFonts w:ascii="Times New Roman" w:cs="Times New Roman" w:eastAsia="Times New Roman" w:hAnsi="Times New Roman"/>
          <w:sz w:val="22"/>
          <w:szCs w:val="22"/>
          <w:color w:val="auto"/>
        </w:rPr>
        <w:t>If you execute and do not revoke this Agreement set forth below in Section 13, the Company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 you with the following Severance Benefits pursuant to the terms of your [month, date, year] Employment Agreement.</w:t>
      </w:r>
    </w:p>
    <w:p>
      <w:pPr>
        <w:spacing w:after="0" w:line="155" w:lineRule="exact"/>
        <w:rPr>
          <w:sz w:val="20"/>
          <w:szCs w:val="20"/>
          <w:color w:val="auto"/>
        </w:rPr>
      </w:pPr>
    </w:p>
    <w:p>
      <w:pPr>
        <w:ind w:right="60" w:firstLine="749"/>
        <w:spacing w:after="0" w:line="236" w:lineRule="auto"/>
        <w:rPr>
          <w:sz w:val="20"/>
          <w:szCs w:val="20"/>
          <w:color w:val="auto"/>
        </w:rPr>
      </w:pPr>
      <w:r>
        <w:rPr>
          <w:rFonts w:ascii="Times New Roman" w:cs="Times New Roman" w:eastAsia="Times New Roman" w:hAnsi="Times New Roman"/>
          <w:sz w:val="22"/>
          <w:szCs w:val="22"/>
          <w:color w:val="auto"/>
        </w:rPr>
        <w:t>The Company is offering severance to you in reliance on Treasury Regulation Section 1.409A-1(b)(9) and the short term deferral exemption in Treasury Regulation Section 1.409A-1(b)(4). Any payments made in reliance on Treasury Regulation Section 1.409A-1(b)(4) will be made not later than March 15, 20__. For purposes of Code Section 409A, your right to receive any installment payments under this Agreement (whether severance payments, reimbursements or otherwise) shall be treated as a right to receive a series of separate payments and, accordingly, each installment payment hereunder shall at all times be considered a separate and distinct payment.</w:t>
      </w:r>
    </w:p>
    <w:p>
      <w:pPr>
        <w:spacing w:after="0" w:line="175" w:lineRule="exact"/>
        <w:rPr>
          <w:sz w:val="20"/>
          <w:szCs w:val="20"/>
          <w:color w:val="auto"/>
        </w:rPr>
      </w:pPr>
    </w:p>
    <w:p>
      <w:pPr>
        <w:ind w:left="520" w:hanging="512"/>
        <w:spacing w:after="0"/>
        <w:tabs>
          <w:tab w:leader="none" w:pos="520" w:val="left"/>
        </w:tabs>
        <w:numPr>
          <w:ilvl w:val="0"/>
          <w:numId w:val="2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Benefit Plans.</w:t>
      </w:r>
    </w:p>
    <w:p>
      <w:pPr>
        <w:spacing w:after="0" w:line="209"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22"/>
          <w:szCs w:val="22"/>
          <w:color w:val="auto"/>
        </w:rPr>
        <w:t xml:space="preserve">If you are currently participating in the Company’s group health insurance plans, your participation as an employee will end on [the Separation Date] </w:t>
      </w:r>
      <w:r>
        <w:rPr>
          <w:rFonts w:ascii="Times New Roman" w:cs="Times New Roman" w:eastAsia="Times New Roman" w:hAnsi="Times New Roman"/>
          <w:sz w:val="22"/>
          <w:szCs w:val="22"/>
          <w:i w:val="1"/>
          <w:iCs w:val="1"/>
          <w:color w:val="auto"/>
        </w:rPr>
        <w:t>or</w:t>
      </w:r>
      <w:r>
        <w:rPr>
          <w:rFonts w:ascii="Times New Roman" w:cs="Times New Roman" w:eastAsia="Times New Roman" w:hAnsi="Times New Roman"/>
          <w:sz w:val="22"/>
          <w:szCs w:val="22"/>
          <w:color w:val="auto"/>
        </w:rPr>
        <w:t xml:space="preserve"> [the last day of the month in which separation occurs]. Thereafter, to the extent provided by the federal COBRA law or, if applicable, state insurance laws, and by the Company’s current group health insurance policies, you will be eligible to continue your group health insurance benefits at your own expense. Later, you may be able to convert to an individual policy through the provider of the Company’s health insurance, if you wish.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1061085</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260" w:name="page261"/>
    <w:bookmarkEnd w:id="260"/>
    <w:p>
      <w:pPr>
        <w:ind w:right="40"/>
        <w:spacing w:after="0" w:line="258" w:lineRule="auto"/>
        <w:rPr>
          <w:sz w:val="20"/>
          <w:szCs w:val="20"/>
          <w:color w:val="auto"/>
        </w:rPr>
      </w:pPr>
      <w:r>
        <w:rPr>
          <w:rFonts w:ascii="Times New Roman" w:cs="Times New Roman" w:eastAsia="Times New Roman" w:hAnsi="Times New Roman"/>
          <w:sz w:val="22"/>
          <w:szCs w:val="22"/>
          <w:color w:val="auto"/>
        </w:rPr>
        <w:t>Deductions for the 401(k) Plan will end with your last regular paycheck. You will receive information by mail concerning 401(k) plan rollover procedures should you be a participant in this program.</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You may be eligible for unemployment insurance benefits after the Separation Date.</w:t>
      </w:r>
    </w:p>
    <w:p>
      <w:pPr>
        <w:spacing w:after="0" w:line="201" w:lineRule="exact"/>
        <w:rPr>
          <w:sz w:val="20"/>
          <w:szCs w:val="20"/>
          <w:color w:val="auto"/>
        </w:rPr>
      </w:pPr>
    </w:p>
    <w:p>
      <w:pPr>
        <w:jc w:val="both"/>
        <w:ind w:right="20" w:firstLine="8"/>
        <w:spacing w:after="0" w:line="246" w:lineRule="auto"/>
        <w:tabs>
          <w:tab w:leader="none" w:pos="509" w:val="left"/>
        </w:tabs>
        <w:numPr>
          <w:ilvl w:val="0"/>
          <w:numId w:val="2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Stock Options. </w:t>
      </w:r>
      <w:r>
        <w:rPr>
          <w:rFonts w:ascii="Times New Roman" w:cs="Times New Roman" w:eastAsia="Times New Roman" w:hAnsi="Times New Roman"/>
          <w:sz w:val="22"/>
          <w:szCs w:val="22"/>
          <w:color w:val="auto"/>
        </w:rPr>
        <w:t>You were granted an option to purchase ________ shares of the Company’s common stock, pursuant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Company’s [correct name of Stock or incentive plan] (the “Plan”). Under the terms of the Plan and your stock option grant, vesting will cease as of the Separation Date.</w:t>
      </w:r>
    </w:p>
    <w:p>
      <w:pPr>
        <w:spacing w:after="0" w:line="165" w:lineRule="exact"/>
        <w:rPr>
          <w:rFonts w:ascii="Times New Roman" w:cs="Times New Roman" w:eastAsia="Times New Roman" w:hAnsi="Times New Roman"/>
          <w:sz w:val="22"/>
          <w:szCs w:val="22"/>
          <w:b w:val="1"/>
          <w:bCs w:val="1"/>
          <w:color w:val="auto"/>
        </w:rPr>
      </w:pPr>
    </w:p>
    <w:p>
      <w:pPr>
        <w:jc w:val="both"/>
        <w:ind w:firstLine="8"/>
        <w:spacing w:after="0"/>
        <w:tabs>
          <w:tab w:leader="none" w:pos="509" w:val="left"/>
        </w:tabs>
        <w:numPr>
          <w:ilvl w:val="0"/>
          <w:numId w:val="2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Other Compensation or Benefits. </w:t>
      </w:r>
      <w:r>
        <w:rPr>
          <w:rFonts w:ascii="Times New Roman" w:cs="Times New Roman" w:eastAsia="Times New Roman" w:hAnsi="Times New Roman"/>
          <w:sz w:val="22"/>
          <w:szCs w:val="22"/>
          <w:color w:val="auto"/>
        </w:rPr>
        <w:t>You acknowledge that, except as expressly provided in this Agreement, as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Separation Date, you have been fully paid any and all compensation, severance, benefits due to you, including all wages, salary, commissions, bonuses, options, shares, stock, incentive payments, equity interests, profit-sharing payments, expense reimbursements, accrued but unused vacation pay, leave or other benefits.</w:t>
      </w:r>
    </w:p>
    <w:p>
      <w:pPr>
        <w:spacing w:after="0" w:line="174" w:lineRule="exact"/>
        <w:rPr>
          <w:rFonts w:ascii="Times New Roman" w:cs="Times New Roman" w:eastAsia="Times New Roman" w:hAnsi="Times New Roman"/>
          <w:sz w:val="22"/>
          <w:szCs w:val="22"/>
          <w:b w:val="1"/>
          <w:bCs w:val="1"/>
          <w:color w:val="auto"/>
        </w:rPr>
      </w:pPr>
    </w:p>
    <w:p>
      <w:pPr>
        <w:jc w:val="both"/>
        <w:ind w:firstLine="8"/>
        <w:spacing w:after="0"/>
        <w:tabs>
          <w:tab w:leader="none" w:pos="509" w:val="left"/>
        </w:tabs>
        <w:numPr>
          <w:ilvl w:val="0"/>
          <w:numId w:val="2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Expense Reimbursements. </w:t>
      </w:r>
      <w:r>
        <w:rPr>
          <w:rFonts w:ascii="Times New Roman" w:cs="Times New Roman" w:eastAsia="Times New Roman" w:hAnsi="Times New Roman"/>
          <w:sz w:val="22"/>
          <w:szCs w:val="22"/>
          <w:color w:val="auto"/>
        </w:rPr>
        <w:t>You agree that, within ten (10) days of the Separation Date, you will submit your final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documented expense reimbursement statement reflecting all business expenses you incurred through the Separation Date, if any, for which you seek reimbursement. The Company will reimburse you for reasonable business expenses pursuant to its regular business practice.</w:t>
      </w:r>
    </w:p>
    <w:p>
      <w:pPr>
        <w:spacing w:after="0" w:line="174" w:lineRule="exact"/>
        <w:rPr>
          <w:rFonts w:ascii="Times New Roman" w:cs="Times New Roman" w:eastAsia="Times New Roman" w:hAnsi="Times New Roman"/>
          <w:sz w:val="22"/>
          <w:szCs w:val="22"/>
          <w:b w:val="1"/>
          <w:bCs w:val="1"/>
          <w:color w:val="auto"/>
        </w:rPr>
      </w:pPr>
    </w:p>
    <w:p>
      <w:pPr>
        <w:jc w:val="both"/>
        <w:ind w:firstLine="8"/>
        <w:spacing w:after="0" w:line="263" w:lineRule="auto"/>
        <w:tabs>
          <w:tab w:leader="none" w:pos="509" w:val="left"/>
        </w:tabs>
        <w:numPr>
          <w:ilvl w:val="0"/>
          <w:numId w:val="23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Return of Company Property. </w:t>
      </w:r>
      <w:r>
        <w:rPr>
          <w:rFonts w:ascii="Times New Roman" w:cs="Times New Roman" w:eastAsia="Times New Roman" w:hAnsi="Times New Roman"/>
          <w:sz w:val="20"/>
          <w:szCs w:val="20"/>
          <w:color w:val="auto"/>
        </w:rPr>
        <w:t>By the Separation Date, you agree to return to the Company all Company documents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all copies thereof) and other Company property that you have had in your possession at any time, including, but not limited to, Company files, notes, drawings, records, business plans and forecasts, financial information, specifications, computer-recorded information, tangible property (including, but not limited to, computers), credit cards, entry cards, identification badges and keys; and, any materials of any kind that contain or embody any proprietary or confidential information of the Company (and all reproductions thereof). Please coordinate return of Company property with [name/title]. </w:t>
      </w:r>
      <w:r>
        <w:rPr>
          <w:rFonts w:ascii="Times New Roman" w:cs="Times New Roman" w:eastAsia="Times New Roman" w:hAnsi="Times New Roman"/>
          <w:sz w:val="20"/>
          <w:szCs w:val="20"/>
          <w:b w:val="1"/>
          <w:bCs w:val="1"/>
          <w:color w:val="auto"/>
        </w:rPr>
        <w:t>Receipt of the severance benefits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described in Section 3 of this Agreement is expressly conditioned upon return of all Company Property.</w:t>
      </w:r>
    </w:p>
    <w:p>
      <w:pPr>
        <w:spacing w:after="0" w:line="150" w:lineRule="exact"/>
        <w:rPr>
          <w:rFonts w:ascii="Times New Roman" w:cs="Times New Roman" w:eastAsia="Times New Roman" w:hAnsi="Times New Roman"/>
          <w:sz w:val="20"/>
          <w:szCs w:val="20"/>
          <w:b w:val="1"/>
          <w:bCs w:val="1"/>
          <w:color w:val="auto"/>
        </w:rPr>
      </w:pPr>
    </w:p>
    <w:p>
      <w:pPr>
        <w:jc w:val="both"/>
        <w:ind w:firstLine="8"/>
        <w:spacing w:after="0" w:line="259" w:lineRule="auto"/>
        <w:tabs>
          <w:tab w:leader="none" w:pos="509" w:val="left"/>
        </w:tabs>
        <w:numPr>
          <w:ilvl w:val="0"/>
          <w:numId w:val="23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Confidential Information and Post-Termination Obligations. </w:t>
      </w:r>
      <w:r>
        <w:rPr>
          <w:rFonts w:ascii="Times New Roman" w:cs="Times New Roman" w:eastAsia="Times New Roman" w:hAnsi="Times New Roman"/>
          <w:sz w:val="20"/>
          <w:szCs w:val="20"/>
          <w:color w:val="auto"/>
        </w:rPr>
        <w:t>Both during and after your employment you acknowledge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your continuing obligations under your Employee Proprietary Information and Inventions Assignment Agreement (“Restrictive Covenants Agreement”) not to use or disclose any confidential or proprietary information of the Company, to refrain from certain solicitation and competition activities, and your agreement to arbitrate any/all claims you may have against the Company permitted by applicable law. A copy of your Restrictive Covenants Agreement is attached hereto. If you have any doubts as to the scope of the restrictions in your agreement, you should contact [name/title] immediately to assess your compliance. As you know, the Company will enforce its contract rights. Please familiarize yourself with the enclosed agreement which you signed. Confidential information that is also a “trade secret,” as defined by law, may be disclosed (A) if it is made (i) in confidence to a federal, state, or local government official, either directly or indirectly, or to an attorney and (ii) solely for the purpose of reporting or investigating a suspected violation of law; or (B) is made in a complaint or other document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1051560</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61" w:name="page262"/>
    <w:bookmarkEnd w:id="261"/>
    <w:p>
      <w:pPr>
        <w:jc w:val="both"/>
        <w:ind w:firstLine="509"/>
        <w:spacing w:after="0" w:line="239" w:lineRule="auto"/>
        <w:rPr>
          <w:sz w:val="20"/>
          <w:szCs w:val="20"/>
          <w:color w:val="auto"/>
        </w:rPr>
      </w:pPr>
      <w:r>
        <w:rPr>
          <w:rFonts w:ascii="Times New Roman" w:cs="Times New Roman" w:eastAsia="Times New Roman" w:hAnsi="Times New Roman"/>
          <w:sz w:val="22"/>
          <w:szCs w:val="22"/>
          <w:color w:val="auto"/>
        </w:rPr>
        <w:t>in a lawsuit or other proceeding, if such filing is made under seal. In addition, in the event that you file a lawsuit for retaliation by the Company for reporting a suspected violation of law, you may disclose the trade secret to your attorney and use the trade secret information in the court proceeding, if you: (A) file any document containing the trade secret under seal; and (B) do not disclose the trade secret, except pursuant to court order.</w:t>
      </w:r>
    </w:p>
    <w:p>
      <w:pPr>
        <w:spacing w:after="0" w:line="175" w:lineRule="exact"/>
        <w:rPr>
          <w:sz w:val="20"/>
          <w:szCs w:val="20"/>
          <w:color w:val="auto"/>
        </w:rPr>
      </w:pPr>
    </w:p>
    <w:p>
      <w:pPr>
        <w:jc w:val="both"/>
        <w:ind w:firstLine="8"/>
        <w:spacing w:after="0" w:line="234" w:lineRule="auto"/>
        <w:tabs>
          <w:tab w:leader="none" w:pos="509" w:val="left"/>
        </w:tabs>
        <w:numPr>
          <w:ilvl w:val="0"/>
          <w:numId w:val="2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Non-Compete. </w:t>
      </w:r>
      <w:r>
        <w:rPr>
          <w:rFonts w:ascii="Times New Roman" w:cs="Times New Roman" w:eastAsia="Times New Roman" w:hAnsi="Times New Roman"/>
          <w:sz w:val="22"/>
          <w:szCs w:val="22"/>
          <w:color w:val="auto"/>
        </w:rPr>
        <w:t>In exchange for the payments and other consideration under this Agreement, to which you would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otherwise be entitled, you agree that during the one year period after the Separation Date, you will not, whether paid or not: (i) serve as a partner, principal, licensor, licensee, employee, consultant, officer, director, manager, agent, affiliate, representative, advisor, promoter, associate, investor, or otherwise for, (ii) directly or indirectly, own, purchase, organize or take preparatory steps for the organization of, or (iii) build, design, finance, acquire, lease, operate, manage, control, invest in, work or consult for or otherwise join, participate in or affiliate yourself with, any business whose business, products or operations are in any respect involved in Conflicting Services (defined below) anywhere in the Restricted Territory (defined below). Should you obtain other employment within 12 months immediately following the Separation Date, you agree to provide written notification to the Company as to the name and address of your new employer, the position that you expect to hold, and a general description of your duties and responsibilities, at least three business days prior to starting such employment.</w:t>
      </w:r>
    </w:p>
    <w:p>
      <w:pPr>
        <w:spacing w:after="0" w:line="180" w:lineRule="exact"/>
        <w:rPr>
          <w:rFonts w:ascii="Times New Roman" w:cs="Times New Roman" w:eastAsia="Times New Roman" w:hAnsi="Times New Roman"/>
          <w:sz w:val="22"/>
          <w:szCs w:val="22"/>
          <w:b w:val="1"/>
          <w:bCs w:val="1"/>
          <w:color w:val="auto"/>
        </w:rPr>
      </w:pPr>
    </w:p>
    <w:p>
      <w:pPr>
        <w:jc w:val="both"/>
        <w:ind w:firstLine="757"/>
        <w:spacing w:after="0" w:line="244" w:lineRule="auto"/>
        <w:tabs>
          <w:tab w:leader="none" w:pos="1018" w:val="left"/>
        </w:tabs>
        <w:numPr>
          <w:ilvl w:val="1"/>
          <w:numId w:val="2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parties agree that for purposes of this Agreement, “Conflicting Services” means any business in which the Company is engaged, or in which the Company has plans to be engaged, or any service that the Company provides or has plans to provide.</w:t>
      </w:r>
    </w:p>
    <w:p>
      <w:pPr>
        <w:spacing w:after="0" w:line="172" w:lineRule="exact"/>
        <w:rPr>
          <w:rFonts w:ascii="Times New Roman" w:cs="Times New Roman" w:eastAsia="Times New Roman" w:hAnsi="Times New Roman"/>
          <w:sz w:val="22"/>
          <w:szCs w:val="22"/>
          <w:b w:val="1"/>
          <w:bCs w:val="1"/>
          <w:color w:val="auto"/>
        </w:rPr>
      </w:pPr>
    </w:p>
    <w:p>
      <w:pPr>
        <w:jc w:val="both"/>
        <w:ind w:firstLine="757"/>
        <w:spacing w:after="0" w:line="244" w:lineRule="auto"/>
        <w:tabs>
          <w:tab w:leader="none" w:pos="1018" w:val="left"/>
        </w:tabs>
        <w:numPr>
          <w:ilvl w:val="1"/>
          <w:numId w:val="2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parties further agree that for purposes of this Agreement, “Restricted Territory” means the geographic areas in which you provided services for the Company or had a material presence or influence, during any time within the last two years prior to the Separation Date.</w:t>
      </w:r>
    </w:p>
    <w:p>
      <w:pPr>
        <w:spacing w:after="0" w:line="168" w:lineRule="exact"/>
        <w:rPr>
          <w:rFonts w:ascii="Times New Roman" w:cs="Times New Roman" w:eastAsia="Times New Roman" w:hAnsi="Times New Roman"/>
          <w:sz w:val="22"/>
          <w:szCs w:val="22"/>
          <w:b w:val="1"/>
          <w:bCs w:val="1"/>
          <w:color w:val="auto"/>
        </w:rPr>
      </w:pPr>
    </w:p>
    <w:p>
      <w:pPr>
        <w:jc w:val="both"/>
        <w:ind w:firstLine="8"/>
        <w:spacing w:after="0" w:line="235" w:lineRule="auto"/>
        <w:tabs>
          <w:tab w:leader="none" w:pos="509" w:val="left"/>
        </w:tabs>
        <w:numPr>
          <w:ilvl w:val="0"/>
          <w:numId w:val="2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Confidentiality. </w:t>
      </w:r>
      <w:r>
        <w:rPr>
          <w:rFonts w:ascii="Times New Roman" w:cs="Times New Roman" w:eastAsia="Times New Roman" w:hAnsi="Times New Roman"/>
          <w:sz w:val="22"/>
          <w:szCs w:val="22"/>
          <w:color w:val="auto"/>
        </w:rPr>
        <w:t>The provisions of this Agreement will be held in strictest confidence by you and will not be publicized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disclosed in any manner whatsoever;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(a) you may disclose this Agreement to your immediate family; (b) you may disclose this Agreement in confidence to your attorney, accountant, auditor, tax preparer, and financial advisor; and (c) you may disclose this Agreement insofar as such disclosure may be required by law. Notwithstanding the foregoing, nothing in this Agreement shall limit your right to voluntarily communicate with the Equal Employment Opportunity Commission, United States Department of Labor, the National Labor Relations Board, the Securities and Exchange Commission, other federal government agency or similar state or local agency or to discuss the terms and conditions of your employment with others to the extent expressly permitted by Section 7 of the National Labor Relations Act.</w:t>
      </w:r>
    </w:p>
    <w:p>
      <w:pPr>
        <w:spacing w:after="0" w:line="175" w:lineRule="exact"/>
        <w:rPr>
          <w:rFonts w:ascii="Times New Roman" w:cs="Times New Roman" w:eastAsia="Times New Roman" w:hAnsi="Times New Roman"/>
          <w:sz w:val="22"/>
          <w:szCs w:val="22"/>
          <w:b w:val="1"/>
          <w:bCs w:val="1"/>
          <w:color w:val="auto"/>
        </w:rPr>
      </w:pPr>
    </w:p>
    <w:p>
      <w:pPr>
        <w:jc w:val="both"/>
        <w:ind w:firstLine="8"/>
        <w:spacing w:after="0" w:line="237" w:lineRule="auto"/>
        <w:tabs>
          <w:tab w:leader="none" w:pos="509" w:val="left"/>
        </w:tabs>
        <w:numPr>
          <w:ilvl w:val="0"/>
          <w:numId w:val="2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Mutual Non-Disparagement. </w:t>
      </w:r>
      <w:r>
        <w:rPr>
          <w:rFonts w:ascii="Times New Roman" w:cs="Times New Roman" w:eastAsia="Times New Roman" w:hAnsi="Times New Roman"/>
          <w:sz w:val="22"/>
          <w:szCs w:val="22"/>
          <w:color w:val="auto"/>
        </w:rPr>
        <w:t>You agree not to disparage the Company, and/or the Company’s attorneys, directors,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managers, partners, employees, agents and affiliates, in any manner likely to be harmful to them or their business, business reputation or personal reputation; provided that you may respond accurately and fully to any question, inquiry or request for information when required by legal process. You further agree that, by no later than the Effective Date, you shall delete or otherwise remove any and all disparaging public comments or statements that you made prior to the Effective Date about or relating to the Company, including, but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1059180</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62" w:name="page263"/>
    <w:bookmarkEnd w:id="262"/>
    <w:p>
      <w:pPr>
        <w:jc w:val="both"/>
        <w:ind w:firstLine="509"/>
        <w:spacing w:after="0" w:line="239" w:lineRule="auto"/>
        <w:rPr>
          <w:sz w:val="20"/>
          <w:szCs w:val="20"/>
          <w:color w:val="auto"/>
        </w:rPr>
      </w:pPr>
      <w:r>
        <w:rPr>
          <w:rFonts w:ascii="Times New Roman" w:cs="Times New Roman" w:eastAsia="Times New Roman" w:hAnsi="Times New Roman"/>
          <w:sz w:val="22"/>
          <w:szCs w:val="22"/>
          <w:color w:val="auto"/>
        </w:rPr>
        <w:t>limited to, comments in online forums or on websites (including, but not limited to, Facebook, Glassdoor, Yelp, and LinkedIn), as applicable. Likewise, the Company agrees to instruct the current Chief Executive Officer, Chief Financial Officer, Chief Operating Officer, Chief Technology &amp; Manufacturing Officer, Chief Legal Officer, Chief Scientific Officer, and SVP, Human Resources and the Company’s current Board of Directors not to disparage you.</w:t>
      </w:r>
    </w:p>
    <w:p>
      <w:pPr>
        <w:spacing w:after="0" w:line="175" w:lineRule="exact"/>
        <w:rPr>
          <w:sz w:val="20"/>
          <w:szCs w:val="20"/>
          <w:color w:val="auto"/>
        </w:rPr>
      </w:pPr>
    </w:p>
    <w:p>
      <w:pPr>
        <w:jc w:val="both"/>
        <w:ind w:firstLine="8"/>
        <w:spacing w:after="0"/>
        <w:tabs>
          <w:tab w:leader="none" w:pos="509" w:val="left"/>
        </w:tabs>
        <w:numPr>
          <w:ilvl w:val="0"/>
          <w:numId w:val="2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Cooperation after Termination. </w:t>
      </w:r>
      <w:r>
        <w:rPr>
          <w:rFonts w:ascii="Times New Roman" w:cs="Times New Roman" w:eastAsia="Times New Roman" w:hAnsi="Times New Roman"/>
          <w:sz w:val="22"/>
          <w:szCs w:val="22"/>
          <w:color w:val="auto"/>
        </w:rPr>
        <w:t>You agree to cooperate fully with the Company in all matters relating to the transition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your work and responsibilities on behalf of the Company, including, but not limited to, any present, prior or subsequent relationships and the orderly transfer of any such work and institutional knowledge to such other persons as may be designated by the Company, by making yourself reasonably available during regular business hours.</w:t>
      </w:r>
    </w:p>
    <w:p>
      <w:pPr>
        <w:spacing w:after="0" w:line="174" w:lineRule="exact"/>
        <w:rPr>
          <w:rFonts w:ascii="Times New Roman" w:cs="Times New Roman" w:eastAsia="Times New Roman" w:hAnsi="Times New Roman"/>
          <w:sz w:val="22"/>
          <w:szCs w:val="22"/>
          <w:b w:val="1"/>
          <w:bCs w:val="1"/>
          <w:color w:val="auto"/>
        </w:rPr>
      </w:pPr>
    </w:p>
    <w:p>
      <w:pPr>
        <w:jc w:val="both"/>
        <w:ind w:firstLine="8"/>
        <w:spacing w:after="0" w:line="232" w:lineRule="auto"/>
        <w:tabs>
          <w:tab w:leader="none" w:pos="509" w:val="left"/>
        </w:tabs>
        <w:numPr>
          <w:ilvl w:val="0"/>
          <w:numId w:val="2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Release. </w:t>
      </w:r>
      <w:r>
        <w:rPr>
          <w:rFonts w:ascii="Times New Roman" w:cs="Times New Roman" w:eastAsia="Times New Roman" w:hAnsi="Times New Roman"/>
          <w:sz w:val="22"/>
          <w:szCs w:val="22"/>
          <w:color w:val="auto"/>
        </w:rPr>
        <w:t>In exchange for the payments and other consideration under this Agreement, to which you would not otherwise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entitled, and except as otherwise set forth in this Agreement, you, on behalf of yourself and, to the extent permitted by law, on behalf of your spouse, heirs, executors, administrators, assigns, insurers, attorneys and other persons or entities, acting or purporting to act on your behalf (collectively, the “Employee Parties”), hereby generally and completely release, acquit and forever discharge the Company, its parents and subsidiaries, and its and their officers, directors, managers, partners, agents, representatives, employees, attorneys, shareholders, predecessors, successors, assigns, insurers and affiliates (the “Company Parties”) of and from any and all claims, liabilities, demands, contentions, actions, causes of action, suits, costs, expenses, attorneys’ fees, damages, indemnities, debts, judgments, levies, executions and obligations of every kind and nature, in law, equity, or otherwise, both known and unknown, suspected and unsuspected, disclosed and undisclosed, arising out of or in any way related to agreements, events, acts or conduct at any time prior to and including the execution date of this Agreement, including but not limited to: all such claims and demands directly or indirectly arising out of or in any way connected with your employment with the Company or the termination of that employment; claims or demands related to salary, bonuses, commissions, stock, stock options, or any other ownership interests in the Company, vacation pay, fringe benefits, expense reimbursements, severance pay, or any other form of compensation; claims pursuant to any federal, state or local law, statute, or cause of action; tort law; or contract law (individually a “Claim” and collectively “Claims”). The Claims you are releasing and waiving in this Agreement include, but are not limited to, any and all Claims that any of the Company Parties:</w:t>
      </w:r>
    </w:p>
    <w:p>
      <w:pPr>
        <w:spacing w:after="0" w:line="190" w:lineRule="exact"/>
        <w:rPr>
          <w:rFonts w:ascii="Times New Roman" w:cs="Times New Roman" w:eastAsia="Times New Roman" w:hAnsi="Times New Roman"/>
          <w:sz w:val="22"/>
          <w:szCs w:val="22"/>
          <w:b w:val="1"/>
          <w:bCs w:val="1"/>
          <w:color w:val="auto"/>
        </w:rPr>
      </w:pPr>
    </w:p>
    <w:p>
      <w:pPr>
        <w:ind w:left="1500" w:right="700" w:hanging="690"/>
        <w:spacing w:after="0" w:line="258" w:lineRule="auto"/>
        <w:tabs>
          <w:tab w:leader="none" w:pos="1236" w:val="left"/>
        </w:tabs>
        <w:numPr>
          <w:ilvl w:val="1"/>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violated its personnel policies, handbooks, contracts of employment, or covenants of good faith and fair dealing;</w:t>
      </w:r>
    </w:p>
    <w:p>
      <w:pPr>
        <w:spacing w:after="0" w:line="157" w:lineRule="exact"/>
        <w:rPr>
          <w:rFonts w:ascii="Times New Roman" w:cs="Times New Roman" w:eastAsia="Times New Roman" w:hAnsi="Times New Roman"/>
          <w:sz w:val="22"/>
          <w:szCs w:val="22"/>
          <w:color w:val="auto"/>
        </w:rPr>
      </w:pPr>
    </w:p>
    <w:p>
      <w:pPr>
        <w:ind w:left="1500" w:right="100" w:hanging="690"/>
        <w:spacing w:after="0" w:line="234" w:lineRule="auto"/>
        <w:tabs>
          <w:tab w:leader="none" w:pos="1236" w:val="left"/>
        </w:tabs>
        <w:numPr>
          <w:ilvl w:val="1"/>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discriminated against you on the basis of age, race, color, sex (including sexual harassment), national origin, ancestry, disability, religion, sexual orientation, marital status, parental status, source of income, entitlement to benefits, any union activities or other protected category in violation of any local, state or federal law, constitution, ordinance, or regulation, including but not limited to: Title VII of the Civil Rights Act of 1964, the Civil Rights Act of 1866 (42 U.S.C. 1981), the Civil Rights Act of 1991, the Genetic Information Nondiscrimination Act, Executive Order 11246, which prohibit discrimination based on race, color, national origin, religion, or sex; the Americans with Disabilities Act and Sections 503 and 504 of the Rehabilitation Act of 1973,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1063625</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63" w:name="page264"/>
    <w:bookmarkEnd w:id="263"/>
    <w:p>
      <w:pPr>
        <w:ind w:left="1500"/>
        <w:spacing w:after="0" w:line="234" w:lineRule="auto"/>
        <w:rPr>
          <w:sz w:val="20"/>
          <w:szCs w:val="20"/>
          <w:color w:val="auto"/>
        </w:rPr>
      </w:pPr>
      <w:r>
        <w:rPr>
          <w:rFonts w:ascii="Times New Roman" w:cs="Times New Roman" w:eastAsia="Times New Roman" w:hAnsi="Times New Roman"/>
          <w:sz w:val="22"/>
          <w:szCs w:val="22"/>
          <w:color w:val="auto"/>
        </w:rPr>
        <w:t>which prohibit discrimination against the disabled, the Age Discrimination in Employment Act (ADEA), which prohibits discrimination based on age, the Older Workers Benefit Protection Act, the National Labor Relations Act, the Lily Ledbetter Fair Pay Act, the anti-retaliation provisions of the Sarbanes-Oxley Act, or any other federal or state law regarding whistleblower retaliation; the Massachusetts Fair Employment Practices Act (M.G.L. c. 151B), the Massachusetts Equal Rights Act, the Massachusetts Equal Pay Act, the Massachusetts Privacy Statute, the Massachusetts Sick Leave Law, the Massachusetts Civil Rights Act, all as amended, and any and all other federal, state or local laws, rules, regulations, constitutions, ordinances or public policies, whether known or unknown, prohibiting employment discrimination;</w:t>
      </w:r>
    </w:p>
    <w:p>
      <w:pPr>
        <w:spacing w:after="0" w:line="184" w:lineRule="exact"/>
        <w:rPr>
          <w:sz w:val="20"/>
          <w:szCs w:val="20"/>
          <w:color w:val="auto"/>
        </w:rPr>
      </w:pPr>
    </w:p>
    <w:p>
      <w:pPr>
        <w:ind w:left="1500" w:hanging="690"/>
        <w:spacing w:after="0" w:line="259" w:lineRule="auto"/>
        <w:tabs>
          <w:tab w:leader="none" w:pos="1236"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violated any employment statutes, such as the WARN Act which requires that advance notice be given of certain workforce reductions; the Employee Retirement Income Security Act of 1974 (ERISA) which, among other things, protects employee benefits; the Fair Labor Standards Act of 1938, which regulates wage and hour matters; the National Labor Relations Act, which protects forms of concerted activity; the Family and Medical Leave Act of 1993, which requires employers to provide leaves of absence under certain circumstances; the Fair Credit Reporting Act, the Employee Polygraph Protection Act, the Massachusetts Payment of Wages Act (M.G.L. c. 149 sections 148 and 150), the Massachusetts Overtime regulations (M.G.L. c. 151 sections 1A and 1B), the Massachusetts Meal Break regulations (M.G.L. c. 149 sections 100 and 101), all as amended, and any and all other federal, state or local laws, rules, regulations, constitutions, ordinances or public policies, whether known or unknown relating to employment laws, such as veterans’ reemployment rights laws;</w:t>
      </w:r>
    </w:p>
    <w:p>
      <w:pPr>
        <w:spacing w:after="0" w:line="161" w:lineRule="exact"/>
        <w:rPr>
          <w:rFonts w:ascii="Times New Roman" w:cs="Times New Roman" w:eastAsia="Times New Roman" w:hAnsi="Times New Roman"/>
          <w:sz w:val="20"/>
          <w:szCs w:val="20"/>
          <w:color w:val="auto"/>
        </w:rPr>
      </w:pPr>
    </w:p>
    <w:p>
      <w:pPr>
        <w:ind w:left="1500" w:right="120" w:hanging="690"/>
        <w:spacing w:after="0" w:line="234" w:lineRule="auto"/>
        <w:tabs>
          <w:tab w:leader="none" w:pos="1236" w:val="left"/>
        </w:tabs>
        <w:numPr>
          <w:ilvl w:val="0"/>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violated any other laws, such as federal, state, or local laws providing workers’ compensation benefits, restricting an employer’s right to terminate employees, or otherwise regulating employment; any federal, state or local law enforcing express or implied employment contracts or requiring an employer to deal with employees fairly or in good faith; any other federal, state or local laws providing recourse for alleged wrongful discharge, retaliatory discharge, negligent hiring, retention, or supervision, physical or personal injury, emotional distress, assault, battery, false imprisonment, fraud, negligent misrepresentation, defamation, intentional or negligent infliction of emotional distress and/or mental anguish, intentional interference with contract, negligence, detrimental reliance, loss of consortium to you or any member of your family, whistleblowing, and similar or related claims.</w:t>
      </w:r>
    </w:p>
    <w:p>
      <w:pPr>
        <w:spacing w:after="0" w:line="180"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2"/>
          <w:szCs w:val="22"/>
          <w:color w:val="auto"/>
        </w:rPr>
        <w:t>Notwithstanding the foregoing, other than events expressly contemplated by this Agreement you do not waive or release rights or Claims that may arise from events that occur after the date this waiver is executed or your right to enforce this Agreement. Also excluded from this Agreement are any Claims which cannot be waived by law, including, without limitation, any rights you may have under applicable workers’ compensation laws and your right, if applicable, to file or participate in an investigative proceeding of any federal, state or local governmental agency. Nothing in this Agreement shall prevent you from filing, cooperating with, or participating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1060450</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7" w:right="379" w:bottom="1440" w:gutter="0" w:footer="0" w:header="0"/>
        </w:sectPr>
      </w:pPr>
    </w:p>
    <w:bookmarkStart w:id="264" w:name="page265"/>
    <w:bookmarkEnd w:id="264"/>
    <w:p>
      <w:pPr>
        <w:spacing w:after="0" w:line="257" w:lineRule="auto"/>
        <w:rPr>
          <w:sz w:val="20"/>
          <w:szCs w:val="20"/>
          <w:color w:val="auto"/>
        </w:rPr>
      </w:pPr>
      <w:r>
        <w:rPr>
          <w:rFonts w:ascii="Times New Roman" w:cs="Times New Roman" w:eastAsia="Times New Roman" w:hAnsi="Times New Roman"/>
          <w:sz w:val="20"/>
          <w:szCs w:val="20"/>
          <w:color w:val="auto"/>
        </w:rPr>
        <w:t>any proceeding or investigation before the Equal Employment Opportunity Commission, United States Department of Labor, the National Labor Relations Board, the Occupational Safety and Health Administration, the Securities and Exchange Commission or any other federal government agency, or similar state or local agency (“Government Agencies”), or exercising any rights pursuant to Section 7 of the National Labor Relations Act. You further understand this Agreement does not limit your ability to voluntarily communicate with any Government Agencies or otherwise participate in any investigation or proceeding that may be conducted by any Government Agency, including providing documents or other information, without notice to the Company. While this Agreement does not limit your right to receive an award for information provided to the Securities and Exchange Commission, you understand and agree that, you are otherwise waiving, to the fullest extent permitted by law, any and all rights you may have to individual relief based on any Claims that you have released and any rights you have waived by signing this Agreement. If any Claim is not subject to release, to the extent permitted by law, you waive any right or ability to be a class or collective action representative or to otherwise participate in any putative or certified class, collective or multi-party action or proceeding based on such a Claim in which any of the Company Parties is a party. This Agreement does not abrogate your existing rights under any Company benefit plan or any plan or agreement related to equity ownership in the Company; however, it does waive, release and forever discharge Claims existing as of the date you execute this Agreement pursuant to any such plan or agreement.</w:t>
      </w:r>
    </w:p>
    <w:p>
      <w:pPr>
        <w:spacing w:after="0" w:line="162" w:lineRule="exact"/>
        <w:rPr>
          <w:sz w:val="20"/>
          <w:szCs w:val="20"/>
          <w:color w:val="auto"/>
        </w:rPr>
      </w:pPr>
    </w:p>
    <w:p>
      <w:pPr>
        <w:jc w:val="both"/>
        <w:ind w:firstLine="8"/>
        <w:spacing w:after="0" w:line="256" w:lineRule="auto"/>
        <w:tabs>
          <w:tab w:leader="none" w:pos="509" w:val="left"/>
        </w:tabs>
        <w:numPr>
          <w:ilvl w:val="0"/>
          <w:numId w:val="23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Your Acknowledgments and Affirmations/ Effective Date of Agreement. </w:t>
      </w:r>
      <w:r>
        <w:rPr>
          <w:rFonts w:ascii="Times New Roman" w:cs="Times New Roman" w:eastAsia="Times New Roman" w:hAnsi="Times New Roman"/>
          <w:sz w:val="20"/>
          <w:szCs w:val="20"/>
          <w:color w:val="auto"/>
        </w:rPr>
        <w:t>You acknowledge that you are knowingly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voluntarily waiving and releasing any and all rights you may have under the ADEA, as amended. You also acknowledge and agree that (i) the consideration given to you in exchange for the waiver and release in this Agreement is in addition to anything of value to which you were already entitled, and (ii) that you have been paid for all time worked, have received all the leave, leaves of absence and leave benefits and protections for which you are eligible, and have not suffered any on-the-job injury for which you have not already filed a Claim. You affirm that all of the decisions of the Company Parties regarding your pay and benefits through the date of your execution of this Agreement were not discriminatory based on age, disability, race, color, sex, religion, national origin or any other classification protected by law. You affirm that you have not filed or caused to be filed, and are not presently a party to, a Claim against any of the Company Parties. You further affirm that you have no known workplace injuries or occupational diseases. You acknowledge and affirm that you have not been retaliated against for reporting any allegation of corporate fraud or other wrongdoing by any of the Company Parties, or for exercising any rights protected by law, including any rights protected by the Fair Labor Standards Act, the Family Medical Leave Act or any related statute or local leave or disability accommodation laws, or any applicable state workers’ compensation law. You further acknowledge and affirm that you have been advised by this writing that: (a) your waiver and release do not apply to any rights or Claims that may arise after the execution date of this Agreement; (b) you have been advised hereby that you have the right to consult with an attorney prior to executing this Agreement; (c) you have been given [twenty-one (21)/forty-five (45)] days to consider this Agreement (although you may choose to voluntarily execute this Agreement earlier and if you do you will sign the Consideration Period waiver below); (d) you have seven (7) business days following your execution of this Agreement to revoke this Agreement by providing written notice of your decision to revoke the Agreement to the Company, Attention: [Jill Andersen,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1210310</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65" w:name="page266"/>
    <w:bookmarkEnd w:id="265"/>
    <w:p>
      <w:pPr>
        <w:jc w:val="both"/>
        <w:ind w:firstLine="509"/>
        <w:spacing w:after="0" w:line="237" w:lineRule="auto"/>
        <w:rPr>
          <w:sz w:val="20"/>
          <w:szCs w:val="20"/>
          <w:color w:val="auto"/>
        </w:rPr>
      </w:pPr>
      <w:r>
        <w:rPr>
          <w:rFonts w:ascii="Times New Roman" w:cs="Times New Roman" w:eastAsia="Times New Roman" w:hAnsi="Times New Roman"/>
          <w:sz w:val="22"/>
          <w:szCs w:val="22"/>
          <w:color w:val="auto"/>
        </w:rPr>
        <w:t>Chief Legal Officer, 1601 Trapelo Road, Suite 178, Waltham, MA 02451], by no later than 12:01 a.m. on the eighth (8th) calendar day after the date by which you have signed this Agreement (the “Revocation Deadline”); and (e) this Agreement shall not be effective until the date upon which the revocation period has expired unexercised (the "Effective Date"), which shall be the eighth business day after this Agreement is executed by you[ and (f) you acknowledge that with your receipt of this Agreement, you also received an “Age Discrimination in Employment Act Disclosure,” attached as Exhibit A].</w:t>
      </w:r>
    </w:p>
    <w:p>
      <w:pPr>
        <w:spacing w:after="0" w:line="176" w:lineRule="exact"/>
        <w:rPr>
          <w:sz w:val="20"/>
          <w:szCs w:val="20"/>
          <w:color w:val="auto"/>
        </w:rPr>
      </w:pPr>
    </w:p>
    <w:p>
      <w:pPr>
        <w:jc w:val="both"/>
        <w:ind w:firstLine="8"/>
        <w:spacing w:after="0" w:line="246" w:lineRule="auto"/>
        <w:tabs>
          <w:tab w:leader="none" w:pos="509" w:val="left"/>
        </w:tabs>
        <w:numPr>
          <w:ilvl w:val="0"/>
          <w:numId w:val="2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 Admission. </w:t>
      </w:r>
      <w:r>
        <w:rPr>
          <w:rFonts w:ascii="Times New Roman" w:cs="Times New Roman" w:eastAsia="Times New Roman" w:hAnsi="Times New Roman"/>
          <w:sz w:val="22"/>
          <w:szCs w:val="22"/>
          <w:color w:val="auto"/>
        </w:rPr>
        <w:t>This Agreement does not constitute an admission by the Company of any wrongful action or violation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federal, state, or local statute, or common law rights, including those relating to the provisions of any law or statute concerning employment actions, or of any other possible or claimed violation of law or rights.</w:t>
      </w:r>
    </w:p>
    <w:p>
      <w:pPr>
        <w:spacing w:after="0" w:line="165" w:lineRule="exact"/>
        <w:rPr>
          <w:rFonts w:ascii="Times New Roman" w:cs="Times New Roman" w:eastAsia="Times New Roman" w:hAnsi="Times New Roman"/>
          <w:sz w:val="22"/>
          <w:szCs w:val="22"/>
          <w:b w:val="1"/>
          <w:bCs w:val="1"/>
          <w:color w:val="auto"/>
        </w:rPr>
      </w:pPr>
    </w:p>
    <w:p>
      <w:pPr>
        <w:jc w:val="both"/>
        <w:ind w:firstLine="8"/>
        <w:spacing w:after="0" w:line="234" w:lineRule="auto"/>
        <w:tabs>
          <w:tab w:leader="none" w:pos="509" w:val="left"/>
        </w:tabs>
        <w:numPr>
          <w:ilvl w:val="0"/>
          <w:numId w:val="2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Breach. </w:t>
      </w:r>
      <w:r>
        <w:rPr>
          <w:rFonts w:ascii="Times New Roman" w:cs="Times New Roman" w:eastAsia="Times New Roman" w:hAnsi="Times New Roman"/>
          <w:sz w:val="22"/>
          <w:szCs w:val="22"/>
          <w:color w:val="auto"/>
        </w:rPr>
        <w:t>You agree that upon any breach of this Agreement you will forfeit all amounts paid or owing to you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Further, you acknowledge that it may be impossible to assess the damages caused by your violation of the terms of Sections 8, 9, 10 and 11 of this Agreement and further agree that any threatened or actual violation or breach of those Sections of this Agreement will constitute immediate and irreparable injury to the Company. You therefore agree that any such breach of this Agreement is a material breach of this Agreement, and, in addition to any and all other damages and remedies available to the Company upon your breach of this Agreement, the Company shall be entitled to an injunction to prevent you from violating or breaching this Agreement. You agree that if the Company is successful in whole or part in any legal or equitable action against you under this Agreement, you agree to pay all of the costs, including reasonable attorneys’ fees, incurred by the Company in enforcing the terms of this Agreement.</w:t>
      </w:r>
    </w:p>
    <w:p>
      <w:pPr>
        <w:spacing w:after="0" w:line="180" w:lineRule="exact"/>
        <w:rPr>
          <w:rFonts w:ascii="Times New Roman" w:cs="Times New Roman" w:eastAsia="Times New Roman" w:hAnsi="Times New Roman"/>
          <w:sz w:val="22"/>
          <w:szCs w:val="22"/>
          <w:b w:val="1"/>
          <w:bCs w:val="1"/>
          <w:color w:val="auto"/>
        </w:rPr>
      </w:pPr>
    </w:p>
    <w:p>
      <w:pPr>
        <w:jc w:val="both"/>
        <w:ind w:firstLine="8"/>
        <w:spacing w:after="0" w:line="234" w:lineRule="auto"/>
        <w:tabs>
          <w:tab w:leader="none" w:pos="509" w:val="left"/>
        </w:tabs>
        <w:numPr>
          <w:ilvl w:val="0"/>
          <w:numId w:val="2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Miscellaneous. </w:t>
      </w:r>
      <w:r>
        <w:rPr>
          <w:rFonts w:ascii="Times New Roman" w:cs="Times New Roman" w:eastAsia="Times New Roman" w:hAnsi="Times New Roman"/>
          <w:sz w:val="22"/>
          <w:szCs w:val="22"/>
          <w:color w:val="auto"/>
        </w:rPr>
        <w:t>Except as set forth herein, this Agreement, including any exhibits, constitutes the complete, final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exclusive embodiment of the entire agreement between you and the Company with regard to this subject matter. It is entered into without reliance on any promise or representation, written or oral, other than those expressly contained herein, and it supersedes any other such promises, warranties or representations. This Agreement may not be modified or amended except in a writing signed by both you and a duly authorized officer of the Company.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will not affect any other provision of this Agreement and the provision in question will be modified by the court so as to be rendered enforceable. This Agreement will be deemed to have been entered into and will be construed and enforced in accordance with the laws of the Commonwealth of Massachusetts as applied to contracts made and to be performed entirely within Massachusetts.</w:t>
      </w:r>
    </w:p>
    <w:p>
      <w:pPr>
        <w:spacing w:after="0" w:line="176" w:lineRule="exact"/>
        <w:rPr>
          <w:rFonts w:ascii="Times New Roman" w:cs="Times New Roman" w:eastAsia="Times New Roman" w:hAnsi="Times New Roman"/>
          <w:sz w:val="22"/>
          <w:szCs w:val="22"/>
          <w:b w:val="1"/>
          <w:bCs w:val="1"/>
          <w:color w:val="auto"/>
        </w:rPr>
      </w:pPr>
    </w:p>
    <w:p>
      <w:pPr>
        <w:jc w:val="both"/>
        <w:ind w:firstLine="8"/>
        <w:spacing w:after="0" w:line="237" w:lineRule="auto"/>
        <w:tabs>
          <w:tab w:leader="none" w:pos="509" w:val="left"/>
        </w:tabs>
        <w:numPr>
          <w:ilvl w:val="0"/>
          <w:numId w:val="2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To ensure the rapid and economical resolution of disputes that may arise from or relating to the enforcement, breach, performance, or interpretation of this Agreement shall be resolved, to the fullest extent permitted by law, by final, binding and confidential arbitration conducted by JAMS or its successor, under JAMS’ then applicable rules and procedures for employment disputes (available upon request and also currently available at http://www.jamsadr.com/rules-employment-arbitration/). </w:t>
      </w:r>
      <w:r>
        <w:rPr>
          <w:rFonts w:ascii="Times New Roman" w:cs="Times New Roman" w:eastAsia="Times New Roman" w:hAnsi="Times New Roman"/>
          <w:sz w:val="22"/>
          <w:szCs w:val="22"/>
          <w:b w:val="1"/>
          <w:bCs w:val="1"/>
          <w:color w:val="auto"/>
        </w:rPr>
        <w:t>You</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acknowledge that by agreeing to this arbitration procedure,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1061085</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66" w:name="page267"/>
    <w:bookmarkEnd w:id="266"/>
    <w:p>
      <w:pPr>
        <w:jc w:val="both"/>
        <w:ind w:firstLine="509"/>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both you and the Company waive the right to resolve any such dispute through a trial by jury or judge or administrative proceeding. </w:t>
      </w:r>
      <w:r>
        <w:rPr>
          <w:rFonts w:ascii="Times New Roman" w:cs="Times New Roman" w:eastAsia="Times New Roman" w:hAnsi="Times New Roman"/>
          <w:sz w:val="22"/>
          <w:szCs w:val="22"/>
          <w:color w:val="auto"/>
        </w:rPr>
        <w:t>You will have the right to be represented by legal counsel at any arbitration proceeding.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arbitrator shall: (a) have the authority to compel adequate discovery for the resolution of the dispute and to award such relief as would otherwise be permitted by law; and (b) issue a written statement signed by the arbitrator regarding the disposition of each claim and the relief, if any, awarded as to each claim, the reasons for the award, and the arbitrator’s essential findings and conclusions on which the award is based. The arbitrator shall be authorized to award all relief that you or the Company would be entitled to seek in a court of law. The Company shall pay all JAMS arbitration fees in excess of the administrative fees that you would be required to pay if the dispute were decided in a court of law. Nothing in this Agreement is intended to prevent either you or the Company from obtaining injunctive relief in court to prevent irreparable harm pending the conclusion of any such arbitration. Further, nothing herein is intended to supersede the mutual agreement to arbitrate as set forth in the Restrictive Covenants Agreement.</w:t>
      </w:r>
    </w:p>
    <w:p>
      <w:pPr>
        <w:spacing w:after="0" w:line="176" w:lineRule="exact"/>
        <w:rPr>
          <w:sz w:val="20"/>
          <w:szCs w:val="20"/>
          <w:color w:val="auto"/>
        </w:rPr>
      </w:pPr>
    </w:p>
    <w:p>
      <w:pPr>
        <w:ind w:right="300"/>
        <w:spacing w:after="0" w:line="244" w:lineRule="auto"/>
        <w:rPr>
          <w:sz w:val="20"/>
          <w:szCs w:val="20"/>
          <w:color w:val="auto"/>
        </w:rPr>
      </w:pPr>
      <w:r>
        <w:rPr>
          <w:rFonts w:ascii="Times New Roman" w:cs="Times New Roman" w:eastAsia="Times New Roman" w:hAnsi="Times New Roman"/>
          <w:sz w:val="22"/>
          <w:szCs w:val="22"/>
          <w:color w:val="auto"/>
        </w:rPr>
        <w:t>If this Agreement is acceptable to you, please sign below and return the original to me on or after your Separation Date, but no later than the date that is [twenty-one (21)/forty-five (45)] days after you receive this Agreement. This offer will expire if we have not received your executed copy by that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wish you good luck in your future endeavors.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Sincerely,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Invivyd, Inc.</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____________________________________</w:t>
      </w:r>
    </w:p>
    <w:p>
      <w:pPr>
        <w:spacing w:after="0" w:line="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David Hering</w:t>
      </w:r>
    </w:p>
    <w:p>
      <w:pPr>
        <w:ind w:left="44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greed to and</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ccepted</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________________________________________</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Stacy Petti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1764030</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267" w:name="page268"/>
    <w:bookmarkEnd w:id="267"/>
    <w:p>
      <w:pPr>
        <w:jc w:val="center"/>
        <w:ind w:right="-419"/>
        <w:spacing w:after="0"/>
        <w:rPr>
          <w:sz w:val="20"/>
          <w:szCs w:val="20"/>
          <w:color w:val="auto"/>
        </w:rPr>
      </w:pPr>
      <w:r>
        <w:rPr>
          <w:rFonts w:ascii="Times New Roman" w:cs="Times New Roman" w:eastAsia="Times New Roman" w:hAnsi="Times New Roman"/>
          <w:sz w:val="22"/>
          <w:szCs w:val="22"/>
          <w:b w:val="1"/>
          <w:bCs w:val="1"/>
          <w:color w:val="auto"/>
        </w:rPr>
        <w:t>CONSIDERATION PERIOD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____________________, understand that I have the right to take at least [21][45] days to consider whether to sign this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Agreement, which I received on ___________ __, 20__. If I elect to sign this Agreement before [21][45] days have passed, I</w:t>
      </w:r>
    </w:p>
    <w:p>
      <w:pPr>
        <w:spacing w:after="0" w:line="13"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22"/>
          <w:szCs w:val="22"/>
          <w:color w:val="auto"/>
        </w:rPr>
        <w:t>understand I am to sign and date below this paragraph to confirm that I knowingly and voluntarily agree to waive the 21-day consideration period.</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greed</w:t>
      </w:r>
      <w:r>
        <w:rPr>
          <w:rFonts w:ascii="Times New Roman" w:cs="Times New Roman" w:eastAsia="Times New Roman" w:hAnsi="Times New Roman"/>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27368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16">
                      <a:extLst>
                        <a:ext uri="{28A0092B-C50C-407E-A947-70E740481C1C}"/>
                      </a:extLst>
                    </a:blip>
                    <a:srcRect/>
                    <a:stretch>
                      <a:fillRect/>
                    </a:stretch>
                  </pic:blipFill>
                  <pic:spPr bwMode="auto">
                    <a:xfrm>
                      <a:off x="0" y="0"/>
                      <a:ext cx="2736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__________________________________________</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1336040</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403" w:right="739" w:bottom="1440" w:gutter="0" w:footer="0" w:header="0"/>
        </w:sectPr>
      </w:pPr>
    </w:p>
    <w:bookmarkStart w:id="268" w:name="page269"/>
    <w:bookmarkEnd w:id="268"/>
    <w:p>
      <w:pPr>
        <w:jc w:val="right"/>
        <w:spacing w:after="0"/>
        <w:rPr>
          <w:sz w:val="20"/>
          <w:szCs w:val="20"/>
          <w:color w:val="auto"/>
        </w:rPr>
      </w:pPr>
      <w:r>
        <w:rPr>
          <w:rFonts w:ascii="Times New Roman" w:cs="Times New Roman" w:eastAsia="Times New Roman" w:hAnsi="Times New Roman"/>
          <w:sz w:val="22"/>
          <w:szCs w:val="22"/>
          <w:b w:val="1"/>
          <w:bCs w:val="1"/>
          <w:color w:val="auto"/>
        </w:rPr>
        <w:t>Exhibit 10.12</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EMPLOYMENT AGREEMENT</w:t>
      </w:r>
    </w:p>
    <w:p>
      <w:pPr>
        <w:spacing w:after="0" w:line="294" w:lineRule="exact"/>
        <w:rPr>
          <w:sz w:val="20"/>
          <w:szCs w:val="20"/>
          <w:color w:val="auto"/>
        </w:rPr>
      </w:pPr>
    </w:p>
    <w:p>
      <w:pPr>
        <w:ind w:right="160" w:firstLine="749"/>
        <w:spacing w:after="0" w:line="294" w:lineRule="auto"/>
        <w:rPr>
          <w:sz w:val="20"/>
          <w:szCs w:val="20"/>
          <w:color w:val="auto"/>
        </w:rPr>
      </w:pPr>
      <w:r>
        <w:rPr>
          <w:rFonts w:ascii="Times New Roman" w:cs="Times New Roman" w:eastAsia="Times New Roman" w:hAnsi="Times New Roman"/>
          <w:sz w:val="22"/>
          <w:szCs w:val="22"/>
          <w:color w:val="auto"/>
        </w:rPr>
        <w:t>This Employment Agreement (“</w:t>
      </w:r>
      <w:r>
        <w:rPr>
          <w:rFonts w:ascii="Times New Roman" w:cs="Times New Roman" w:eastAsia="Times New Roman" w:hAnsi="Times New Roman"/>
          <w:sz w:val="22"/>
          <w:szCs w:val="22"/>
          <w:b w:val="1"/>
          <w:bCs w:val="1"/>
          <w:i w:val="1"/>
          <w:iCs w:val="1"/>
          <w:u w:val="single" w:color="auto"/>
          <w:color w:val="auto"/>
        </w:rPr>
        <w:t>Agreement</w:t>
      </w:r>
      <w:r>
        <w:rPr>
          <w:rFonts w:ascii="Times New Roman" w:cs="Times New Roman" w:eastAsia="Times New Roman" w:hAnsi="Times New Roman"/>
          <w:sz w:val="22"/>
          <w:szCs w:val="22"/>
          <w:color w:val="auto"/>
        </w:rPr>
        <w:t>”) is made between Invivyd, Inc., a Delaware corporation (the “</w:t>
      </w:r>
      <w:r>
        <w:rPr>
          <w:rFonts w:ascii="Times New Roman" w:cs="Times New Roman" w:eastAsia="Times New Roman" w:hAnsi="Times New Roman"/>
          <w:sz w:val="22"/>
          <w:szCs w:val="22"/>
          <w:b w:val="1"/>
          <w:bCs w:val="1"/>
          <w:i w:val="1"/>
          <w:iCs w:val="1"/>
          <w:u w:val="single" w:color="auto"/>
          <w:color w:val="auto"/>
        </w:rPr>
        <w:t>Company</w:t>
      </w:r>
      <w:r>
        <w:rPr>
          <w:rFonts w:ascii="Times New Roman" w:cs="Times New Roman" w:eastAsia="Times New Roman" w:hAnsi="Times New Roman"/>
          <w:sz w:val="22"/>
          <w:szCs w:val="22"/>
          <w:color w:val="auto"/>
        </w:rPr>
        <w:t>”), and Robert Allen (“</w:t>
      </w:r>
      <w:r>
        <w:rPr>
          <w:rFonts w:ascii="Times New Roman" w:cs="Times New Roman" w:eastAsia="Times New Roman" w:hAnsi="Times New Roman"/>
          <w:sz w:val="22"/>
          <w:szCs w:val="22"/>
          <w:b w:val="1"/>
          <w:bCs w:val="1"/>
          <w:i w:val="1"/>
          <w:iCs w:val="1"/>
          <w:u w:val="single" w:color="auto"/>
          <w:color w:val="auto"/>
        </w:rPr>
        <w:t>Executive</w:t>
      </w:r>
      <w:r>
        <w:rPr>
          <w:rFonts w:ascii="Times New Roman" w:cs="Times New Roman" w:eastAsia="Times New Roman" w:hAnsi="Times New Roman"/>
          <w:sz w:val="22"/>
          <w:szCs w:val="22"/>
          <w:color w:val="auto"/>
        </w:rPr>
        <w:t>”), this 14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March, 2023.</w:t>
      </w:r>
    </w:p>
    <w:p>
      <w:pPr>
        <w:spacing w:after="0" w:line="12" w:lineRule="exact"/>
        <w:rPr>
          <w:sz w:val="20"/>
          <w:szCs w:val="20"/>
          <w:color w:val="auto"/>
        </w:rPr>
      </w:pPr>
    </w:p>
    <w:p>
      <w:pPr>
        <w:jc w:val="both"/>
        <w:ind w:right="20"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22"/>
          <w:szCs w:val="22"/>
          <w:color w:val="auto"/>
        </w:rPr>
        <w:t>, the Company desires for Executive to provide services to the Company, and wishes to provide Executive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certain compensation and benefits in return for such employment services, and Executive wishes to be employed by the Company and to provide personal services to the Company in return for certain compensation and benefits; and</w:t>
      </w:r>
    </w:p>
    <w:p>
      <w:pPr>
        <w:spacing w:after="0" w:line="166" w:lineRule="exact"/>
        <w:rPr>
          <w:sz w:val="20"/>
          <w:szCs w:val="20"/>
          <w:color w:val="auto"/>
        </w:rPr>
      </w:pPr>
    </w:p>
    <w:p>
      <w:pPr>
        <w:jc w:val="both"/>
        <w:ind w:right="40" w:firstLine="749"/>
        <w:spacing w:after="0" w:line="274" w:lineRule="auto"/>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and Executive desire for this Agreement to be effective as of April 15, 2023; the actual effective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 of this Agreement shall be Executive’s first day of employment (the “</w:t>
      </w:r>
      <w:r>
        <w:rPr>
          <w:rFonts w:ascii="Times New Roman" w:cs="Times New Roman" w:eastAsia="Times New Roman" w:hAnsi="Times New Roman"/>
          <w:sz w:val="22"/>
          <w:szCs w:val="22"/>
          <w:b w:val="1"/>
          <w:bCs w:val="1"/>
          <w:i w:val="1"/>
          <w:iCs w:val="1"/>
          <w:u w:val="single" w:color="auto"/>
          <w:color w:val="auto"/>
        </w:rPr>
        <w:t>Effective Date</w:t>
      </w:r>
      <w:r>
        <w:rPr>
          <w:rFonts w:ascii="Times New Roman" w:cs="Times New Roman" w:eastAsia="Times New Roman" w:hAnsi="Times New Roman"/>
          <w:sz w:val="22"/>
          <w:szCs w:val="22"/>
          <w:color w:val="auto"/>
        </w:rPr>
        <w:t>”).</w:t>
      </w:r>
    </w:p>
    <w:p>
      <w:pPr>
        <w:spacing w:after="0" w:line="137" w:lineRule="exact"/>
        <w:rPr>
          <w:sz w:val="20"/>
          <w:szCs w:val="20"/>
          <w:color w:val="auto"/>
        </w:rPr>
      </w:pPr>
    </w:p>
    <w:p>
      <w:pPr>
        <w:ind w:right="280" w:firstLine="749"/>
        <w:spacing w:after="0" w:line="261"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mutual covenants and agreements herein contained and other good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valuable consideration, the receipt and sufficiency of which is hereby acknowledged, the parties agree as follows:</w:t>
      </w:r>
    </w:p>
    <w:p>
      <w:pPr>
        <w:spacing w:after="0" w:line="155" w:lineRule="exact"/>
        <w:rPr>
          <w:sz w:val="20"/>
          <w:szCs w:val="20"/>
          <w:color w:val="auto"/>
        </w:rPr>
      </w:pPr>
    </w:p>
    <w:p>
      <w:pPr>
        <w:ind w:left="1020" w:hanging="263"/>
        <w:spacing w:after="0"/>
        <w:tabs>
          <w:tab w:leader="none" w:pos="1020"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w:t>
      </w:r>
      <w:r>
        <w:rPr>
          <w:rFonts w:ascii="Times New Roman" w:cs="Times New Roman" w:eastAsia="Times New Roman" w:hAnsi="Times New Roman"/>
          <w:sz w:val="22"/>
          <w:szCs w:val="22"/>
          <w:color w:val="auto"/>
        </w:rPr>
        <w:t>.</w:t>
      </w:r>
    </w:p>
    <w:p>
      <w:pPr>
        <w:spacing w:after="0" w:line="205" w:lineRule="exact"/>
        <w:rPr>
          <w:rFonts w:ascii="Times New Roman" w:cs="Times New Roman" w:eastAsia="Times New Roman" w:hAnsi="Times New Roman"/>
          <w:sz w:val="22"/>
          <w:szCs w:val="22"/>
          <w:color w:val="auto"/>
        </w:rPr>
      </w:pPr>
    </w:p>
    <w:p>
      <w:pPr>
        <w:ind w:right="100" w:firstLine="1505"/>
        <w:spacing w:after="0" w:line="237" w:lineRule="auto"/>
        <w:tabs>
          <w:tab w:leader="none" w:pos="2037" w:val="left"/>
        </w:tabs>
        <w:numPr>
          <w:ilvl w:val="1"/>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The Company shall employ Executive and Executive shall be employed by the Company pursuant to this Agreement commencing as of the Effective Date and continuing until such employment is terminated in accordance with the provisions hereof (the “</w:t>
      </w:r>
      <w:r>
        <w:rPr>
          <w:rFonts w:ascii="Times New Roman" w:cs="Times New Roman" w:eastAsia="Times New Roman" w:hAnsi="Times New Roman"/>
          <w:sz w:val="22"/>
          <w:szCs w:val="22"/>
          <w:b w:val="1"/>
          <w:bCs w:val="1"/>
          <w:i w:val="1"/>
          <w:iCs w:val="1"/>
          <w:u w:val="single" w:color="auto"/>
          <w:color w:val="auto"/>
        </w:rPr>
        <w:t>Term</w:t>
      </w:r>
      <w:r>
        <w:rPr>
          <w:rFonts w:ascii="Times New Roman" w:cs="Times New Roman" w:eastAsia="Times New Roman" w:hAnsi="Times New Roman"/>
          <w:sz w:val="22"/>
          <w:szCs w:val="22"/>
          <w:color w:val="auto"/>
        </w:rPr>
        <w:t>”). Executive’s employment with the Company shall be “at will,” meaning that Executive’s employment may be terminated by the Company or Executive at any time and for any reason subject to the terms of this Agreement.</w:t>
      </w:r>
    </w:p>
    <w:p>
      <w:pPr>
        <w:spacing w:after="0" w:line="180" w:lineRule="exact"/>
        <w:rPr>
          <w:rFonts w:ascii="Times New Roman" w:cs="Times New Roman" w:eastAsia="Times New Roman" w:hAnsi="Times New Roman"/>
          <w:sz w:val="22"/>
          <w:szCs w:val="22"/>
          <w:color w:val="auto"/>
        </w:rPr>
      </w:pPr>
    </w:p>
    <w:p>
      <w:pPr>
        <w:ind w:right="20" w:firstLine="1505"/>
        <w:spacing w:after="0" w:line="264" w:lineRule="auto"/>
        <w:tabs>
          <w:tab w:leader="none" w:pos="2037" w:val="left"/>
        </w:tabs>
        <w:numPr>
          <w:ilvl w:val="1"/>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Position and Duties</w:t>
      </w:r>
      <w:r>
        <w:rPr>
          <w:rFonts w:ascii="Times New Roman" w:cs="Times New Roman" w:eastAsia="Times New Roman" w:hAnsi="Times New Roman"/>
          <w:sz w:val="20"/>
          <w:szCs w:val="20"/>
          <w:color w:val="auto"/>
        </w:rPr>
        <w:t>. Executive shall serve as the Chief Scientific Officer and shall have such powers and duties as customarily associated with the office of Chief Scientific Officer, and as may from time to time be prescribed by the Chief Executive Officer of the Company (the “</w:t>
      </w:r>
      <w:r>
        <w:rPr>
          <w:rFonts w:ascii="Times New Roman" w:cs="Times New Roman" w:eastAsia="Times New Roman" w:hAnsi="Times New Roman"/>
          <w:sz w:val="20"/>
          <w:szCs w:val="20"/>
          <w:b w:val="1"/>
          <w:bCs w:val="1"/>
          <w:i w:val="1"/>
          <w:iCs w:val="1"/>
          <w:u w:val="single" w:color="auto"/>
          <w:color w:val="auto"/>
        </w:rPr>
        <w:t>CEO</w:t>
      </w:r>
      <w:r>
        <w:rPr>
          <w:rFonts w:ascii="Times New Roman" w:cs="Times New Roman" w:eastAsia="Times New Roman" w:hAnsi="Times New Roman"/>
          <w:sz w:val="20"/>
          <w:szCs w:val="20"/>
          <w:color w:val="auto"/>
        </w:rPr>
        <w:t>”). Executive shall report to the CEO and shall be subject to the direction and control of the CEO. Executive understands that the Company’s corporate headquarters are located in Waltham, Massachusetts, and, as the Company is not a fully remote company, Executive will be expected to, as a condition of employment, travel to off-site meetings and to the Company headquarters as requested by the CEO from time to time and/or as business requires.</w:t>
      </w:r>
    </w:p>
    <w:p>
      <w:pPr>
        <w:spacing w:after="0" w:line="154" w:lineRule="exact"/>
        <w:rPr>
          <w:rFonts w:ascii="Times New Roman" w:cs="Times New Roman" w:eastAsia="Times New Roman" w:hAnsi="Times New Roman"/>
          <w:sz w:val="20"/>
          <w:szCs w:val="20"/>
          <w:color w:val="auto"/>
        </w:rPr>
      </w:pPr>
    </w:p>
    <w:p>
      <w:pPr>
        <w:ind w:right="80" w:firstLine="1505"/>
        <w:spacing w:after="0" w:line="235" w:lineRule="auto"/>
        <w:tabs>
          <w:tab w:leader="none" w:pos="2037" w:val="left"/>
        </w:tabs>
        <w:numPr>
          <w:ilvl w:val="1"/>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Outside Activities</w:t>
      </w:r>
      <w:r>
        <w:rPr>
          <w:rFonts w:ascii="Times New Roman" w:cs="Times New Roman" w:eastAsia="Times New Roman" w:hAnsi="Times New Roman"/>
          <w:sz w:val="22"/>
          <w:szCs w:val="22"/>
          <w:color w:val="auto"/>
        </w:rPr>
        <w:t>. Executive will use good faith efforts to discharge Executive’s obligations under this Agreement to the best of Executive’s ability. Executive will devote substantially all of Executive’s business efforts and time to the Company. Executive agrees not to engage actively in any other employment, occupation, or consulting activity for any direct or indirect remuneration which may or could potentially constitute a conflict of interest or otherwise interfere with Executive’s obligations to the Company without the prior approval of the CEO or Board; provided, however, that Executive may, without such approval, serve in any capacity with any civic, educational, or charitable organization, participate in industry affairs and manage Executive’s personal passive investments and engage in the activities set forth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1010285</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269" w:name="page270"/>
    <w:bookmarkEnd w:id="269"/>
    <w:p>
      <w:pPr>
        <w:ind w:right="40"/>
        <w:spacing w:after="0" w:line="237" w:lineRule="auto"/>
        <w:rPr>
          <w:sz w:val="20"/>
          <w:szCs w:val="20"/>
          <w:color w:val="auto"/>
        </w:rPr>
      </w:pP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xml:space="preserve"> to this Agreement, provided that in each case such services do not materially interfere with Executive’s obligations to the Company, create a conflict of interest, violate any of Executive’s Continuing Obligations (as defined in Section 9 below) or cause any reputational damage to the Company as reasonably determined by the Board. Executive may retain any compensation or benefits received as a result of any such consented to service without any offset in respect of any compensation or benefits to be provided hereunder.</w:t>
      </w:r>
    </w:p>
    <w:p>
      <w:pPr>
        <w:spacing w:after="0" w:line="180" w:lineRule="exact"/>
        <w:rPr>
          <w:sz w:val="20"/>
          <w:szCs w:val="20"/>
          <w:color w:val="auto"/>
        </w:rPr>
      </w:pPr>
    </w:p>
    <w:p>
      <w:pPr>
        <w:ind w:right="720" w:firstLine="757"/>
        <w:spacing w:after="0" w:line="258" w:lineRule="auto"/>
        <w:tabs>
          <w:tab w:leader="none" w:pos="1018"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and Related Matters</w:t>
      </w:r>
      <w:r>
        <w:rPr>
          <w:rFonts w:ascii="Times New Roman" w:cs="Times New Roman" w:eastAsia="Times New Roman" w:hAnsi="Times New Roman"/>
          <w:sz w:val="22"/>
          <w:szCs w:val="22"/>
          <w:color w:val="auto"/>
        </w:rPr>
        <w:t>. This Section 2 sets forth the compensation and benefits to be provided to Executive during the Term.</w:t>
      </w:r>
    </w:p>
    <w:p>
      <w:pPr>
        <w:spacing w:after="0" w:line="157" w:lineRule="exact"/>
        <w:rPr>
          <w:rFonts w:ascii="Times New Roman" w:cs="Times New Roman" w:eastAsia="Times New Roman" w:hAnsi="Times New Roman"/>
          <w:sz w:val="22"/>
          <w:szCs w:val="22"/>
          <w:color w:val="auto"/>
        </w:rPr>
      </w:pPr>
    </w:p>
    <w:p>
      <w:pPr>
        <w:ind w:right="240" w:firstLine="1505"/>
        <w:spacing w:after="0" w:line="236" w:lineRule="auto"/>
        <w:tabs>
          <w:tab w:leader="none" w:pos="2037" w:val="left"/>
        </w:tabs>
        <w:numPr>
          <w:ilvl w:val="1"/>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The Company will pay Executive, as compensation for the performance of Executive’s duties and obligations hereunder, a base salary at the rate of $450,000 per year. Except for the 2023 calendar year, Executive’s salary shall be subject to annual review not later than March 31</w:t>
      </w:r>
      <w:r>
        <w:rPr>
          <w:rFonts w:ascii="Times New Roman" w:cs="Times New Roman" w:eastAsia="Times New Roman" w:hAnsi="Times New Roman"/>
          <w:sz w:val="14"/>
          <w:szCs w:val="14"/>
          <w:color w:val="auto"/>
        </w:rPr>
        <w:t>st</w:t>
      </w:r>
      <w:r>
        <w:rPr>
          <w:rFonts w:ascii="Times New Roman" w:cs="Times New Roman" w:eastAsia="Times New Roman" w:hAnsi="Times New Roman"/>
          <w:sz w:val="22"/>
          <w:szCs w:val="22"/>
          <w:color w:val="auto"/>
        </w:rPr>
        <w:t xml:space="preserve"> of each year for possible increase by the Board or the Compensation Committee of the Board (the “</w:t>
      </w:r>
      <w:r>
        <w:rPr>
          <w:rFonts w:ascii="Times New Roman" w:cs="Times New Roman" w:eastAsia="Times New Roman" w:hAnsi="Times New Roman"/>
          <w:sz w:val="22"/>
          <w:szCs w:val="22"/>
          <w:b w:val="1"/>
          <w:bCs w:val="1"/>
          <w:i w:val="1"/>
          <w:iCs w:val="1"/>
          <w:u w:val="single" w:color="auto"/>
          <w:color w:val="auto"/>
        </w:rPr>
        <w:t>Compensation Committee</w:t>
      </w:r>
      <w:r>
        <w:rPr>
          <w:rFonts w:ascii="Times New Roman" w:cs="Times New Roman" w:eastAsia="Times New Roman" w:hAnsi="Times New Roman"/>
          <w:sz w:val="22"/>
          <w:szCs w:val="22"/>
          <w:color w:val="auto"/>
        </w:rPr>
        <w:t>”), which may be adjusted from time to time. The base salary in effect at any given time is referred to herein as “</w:t>
      </w:r>
      <w:r>
        <w:rPr>
          <w:rFonts w:ascii="Times New Roman" w:cs="Times New Roman" w:eastAsia="Times New Roman" w:hAnsi="Times New Roman"/>
          <w:sz w:val="22"/>
          <w:szCs w:val="22"/>
          <w:b w:val="1"/>
          <w:bCs w:val="1"/>
          <w:i w:val="1"/>
          <w:iCs w:val="1"/>
          <w:u w:val="single" w:color="auto"/>
          <w:color w:val="auto"/>
        </w:rPr>
        <w:t>Base Salary</w:t>
      </w:r>
      <w:r>
        <w:rPr>
          <w:rFonts w:ascii="Times New Roman" w:cs="Times New Roman" w:eastAsia="Times New Roman" w:hAnsi="Times New Roman"/>
          <w:sz w:val="22"/>
          <w:szCs w:val="22"/>
          <w:color w:val="auto"/>
        </w:rPr>
        <w:t>.” The Base Salary shall be payable in a manner that is consistent with the Company’s usual payroll practices for its executive officers.</w:t>
      </w:r>
    </w:p>
    <w:p>
      <w:pPr>
        <w:spacing w:after="0" w:line="179" w:lineRule="exact"/>
        <w:rPr>
          <w:rFonts w:ascii="Times New Roman" w:cs="Times New Roman" w:eastAsia="Times New Roman" w:hAnsi="Times New Roman"/>
          <w:sz w:val="22"/>
          <w:szCs w:val="22"/>
          <w:color w:val="auto"/>
        </w:rPr>
      </w:pPr>
    </w:p>
    <w:p>
      <w:pPr>
        <w:ind w:firstLine="1505"/>
        <w:spacing w:after="0" w:line="234" w:lineRule="auto"/>
        <w:tabs>
          <w:tab w:leader="none" w:pos="2037" w:val="left"/>
        </w:tabs>
        <w:numPr>
          <w:ilvl w:val="1"/>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Relocation Bonus</w:t>
      </w:r>
      <w:r>
        <w:rPr>
          <w:rFonts w:ascii="Times New Roman" w:cs="Times New Roman" w:eastAsia="Times New Roman" w:hAnsi="Times New Roman"/>
          <w:sz w:val="22"/>
          <w:szCs w:val="22"/>
          <w:color w:val="auto"/>
        </w:rPr>
        <w:t>. The Company will pay Executive a one-time relocation bonus of $50,000.00 within 30 days from the Effective Date (the “</w:t>
      </w:r>
      <w:r>
        <w:rPr>
          <w:rFonts w:ascii="Times New Roman" w:cs="Times New Roman" w:eastAsia="Times New Roman" w:hAnsi="Times New Roman"/>
          <w:sz w:val="22"/>
          <w:szCs w:val="22"/>
          <w:b w:val="1"/>
          <w:bCs w:val="1"/>
          <w:i w:val="1"/>
          <w:iCs w:val="1"/>
          <w:u w:val="single" w:color="auto"/>
          <w:color w:val="auto"/>
        </w:rPr>
        <w:t>Relocation Bonus</w:t>
      </w:r>
      <w:r>
        <w:rPr>
          <w:rFonts w:ascii="Times New Roman" w:cs="Times New Roman" w:eastAsia="Times New Roman" w:hAnsi="Times New Roman"/>
          <w:sz w:val="22"/>
          <w:szCs w:val="22"/>
          <w:color w:val="auto"/>
        </w:rPr>
        <w:t>”) for purposes of Executive’s relocation to the Waltham, Massachusetts market prior to [June 30, 2023] (the “</w:t>
      </w:r>
      <w:r>
        <w:rPr>
          <w:rFonts w:ascii="Times New Roman" w:cs="Times New Roman" w:eastAsia="Times New Roman" w:hAnsi="Times New Roman"/>
          <w:sz w:val="22"/>
          <w:szCs w:val="22"/>
          <w:b w:val="1"/>
          <w:bCs w:val="1"/>
          <w:i w:val="1"/>
          <w:iCs w:val="1"/>
          <w:u w:val="single" w:color="auto"/>
          <w:color w:val="auto"/>
        </w:rPr>
        <w:t>Relocation Date</w:t>
      </w:r>
      <w:r>
        <w:rPr>
          <w:rFonts w:ascii="Times New Roman" w:cs="Times New Roman" w:eastAsia="Times New Roman" w:hAnsi="Times New Roman"/>
          <w:sz w:val="22"/>
          <w:szCs w:val="22"/>
          <w:color w:val="auto"/>
        </w:rPr>
        <w:t>”) in order to complete Executive’s duties from the Company’s corporate headquarters. The Relocation Bonus will be considered earned on the twelve (12) month anniversary of the Effective Date. If Executive (i) fails to relocate to the Waltham market prior to the Relocation Date, (ii) is terminated for Cause (as defined below) or (iii) resigns from his employment without Good Reason (as defined below) prior to the twelve (12) month anniversary date, Executive will be required to, and hereby agrees to, repay the net, after-tax amount of the Relocation Bonus to the Company in full within thirty (30) days of Executive’s effective termination date. If necessary, the Company may deduct, in accordance with applicable law, any amounts of this Relocation Bonus owed by Executive from any payments the Company owes Executive, including Executive’s regular or final paycheck and any expense payments.</w:t>
      </w:r>
    </w:p>
    <w:p>
      <w:pPr>
        <w:spacing w:after="0" w:line="176" w:lineRule="exact"/>
        <w:rPr>
          <w:rFonts w:ascii="Times New Roman" w:cs="Times New Roman" w:eastAsia="Times New Roman" w:hAnsi="Times New Roman"/>
          <w:sz w:val="22"/>
          <w:szCs w:val="22"/>
          <w:color w:val="auto"/>
        </w:rPr>
      </w:pPr>
    </w:p>
    <w:p>
      <w:pPr>
        <w:jc w:val="both"/>
        <w:ind w:firstLine="1505"/>
        <w:spacing w:after="0" w:line="259" w:lineRule="auto"/>
        <w:tabs>
          <w:tab w:leader="none" w:pos="2037" w:val="left"/>
        </w:tabs>
        <w:numPr>
          <w:ilvl w:val="1"/>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Incentive Compensation</w:t>
      </w:r>
      <w:r>
        <w:rPr>
          <w:rFonts w:ascii="Times New Roman" w:cs="Times New Roman" w:eastAsia="Times New Roman" w:hAnsi="Times New Roman"/>
          <w:sz w:val="20"/>
          <w:szCs w:val="20"/>
          <w:color w:val="auto"/>
        </w:rPr>
        <w:t>. Executive shall be eligible to participate in an annual cash incentive compensation plan that the Company offers to its executive officers (the “</w:t>
      </w:r>
      <w:r>
        <w:rPr>
          <w:rFonts w:ascii="Times New Roman" w:cs="Times New Roman" w:eastAsia="Times New Roman" w:hAnsi="Times New Roman"/>
          <w:sz w:val="20"/>
          <w:szCs w:val="20"/>
          <w:b w:val="1"/>
          <w:bCs w:val="1"/>
          <w:i w:val="1"/>
          <w:iCs w:val="1"/>
          <w:u w:val="single" w:color="auto"/>
          <w:color w:val="auto"/>
        </w:rPr>
        <w:t>Annual Bonus Plan</w:t>
      </w:r>
      <w:r>
        <w:rPr>
          <w:rFonts w:ascii="Times New Roman" w:cs="Times New Roman" w:eastAsia="Times New Roman" w:hAnsi="Times New Roman"/>
          <w:sz w:val="20"/>
          <w:szCs w:val="20"/>
          <w:color w:val="auto"/>
        </w:rPr>
        <w:t>”). Executive will be eligible to earn an annual bonus for each full calendar year completed (the “</w:t>
      </w:r>
      <w:r>
        <w:rPr>
          <w:rFonts w:ascii="Times New Roman" w:cs="Times New Roman" w:eastAsia="Times New Roman" w:hAnsi="Times New Roman"/>
          <w:sz w:val="20"/>
          <w:szCs w:val="20"/>
          <w:b w:val="1"/>
          <w:bCs w:val="1"/>
          <w:i w:val="1"/>
          <w:iCs w:val="1"/>
          <w:u w:val="single" w:color="auto"/>
          <w:color w:val="auto"/>
        </w:rPr>
        <w:t>Annual Bonus</w:t>
      </w:r>
      <w:r>
        <w:rPr>
          <w:rFonts w:ascii="Times New Roman" w:cs="Times New Roman" w:eastAsia="Times New Roman" w:hAnsi="Times New Roman"/>
          <w:sz w:val="20"/>
          <w:szCs w:val="20"/>
          <w:color w:val="auto"/>
        </w:rPr>
        <w:t>”). Executive’s target Annual Bonus will be 40% percent of Executive’s Base Salary (the “</w:t>
      </w:r>
      <w:r>
        <w:rPr>
          <w:rFonts w:ascii="Times New Roman" w:cs="Times New Roman" w:eastAsia="Times New Roman" w:hAnsi="Times New Roman"/>
          <w:sz w:val="20"/>
          <w:szCs w:val="20"/>
          <w:b w:val="1"/>
          <w:bCs w:val="1"/>
          <w:i w:val="1"/>
          <w:iCs w:val="1"/>
          <w:u w:val="single" w:color="auto"/>
          <w:color w:val="auto"/>
        </w:rPr>
        <w:t>Target Bonus</w:t>
      </w:r>
      <w:r>
        <w:rPr>
          <w:rFonts w:ascii="Times New Roman" w:cs="Times New Roman" w:eastAsia="Times New Roman" w:hAnsi="Times New Roman"/>
          <w:sz w:val="20"/>
          <w:szCs w:val="20"/>
          <w:color w:val="auto"/>
        </w:rPr>
        <w:t>”) in effect on January 1st of the applicable performance period. The actual Annual Bonus payable to Executive with respect to a performance period will be determined by the Compensation Committee based on achieving performance goals and objectives for such calendar year as reasonably determined by the Compensation Committee. Executive’s Annual Bonus shall be paid as soon as administratively practicable after the end of the performance period, but in no event later than the March 15</w:t>
      </w:r>
      <w:r>
        <w:rPr>
          <w:rFonts w:ascii="Times New Roman" w:cs="Times New Roman" w:eastAsia="Times New Roman" w:hAnsi="Times New Roman"/>
          <w:sz w:val="13"/>
          <w:szCs w:val="13"/>
          <w:color w:val="auto"/>
        </w:rPr>
        <w:t>th</w:t>
      </w:r>
      <w:r>
        <w:rPr>
          <w:rFonts w:ascii="Times New Roman" w:cs="Times New Roman" w:eastAsia="Times New Roman" w:hAnsi="Times New Roman"/>
          <w:sz w:val="20"/>
          <w:szCs w:val="20"/>
          <w:color w:val="auto"/>
        </w:rPr>
        <w:t xml:space="preserve"> immediately following such period; provided, that Executive must remain continuously employed by the Company through the date on which the Annual Bonus is paid, subject to any recoupment as set forth in Section 23 of this Agreement, in order to be eligible to earn and receive the Annual Bonus (except as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997585</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70" w:name="page271"/>
    <w:bookmarkEnd w:id="270"/>
    <w:p>
      <w:pPr>
        <w:spacing w:after="0" w:line="258" w:lineRule="auto"/>
        <w:rPr>
          <w:sz w:val="20"/>
          <w:szCs w:val="20"/>
          <w:color w:val="auto"/>
        </w:rPr>
      </w:pPr>
      <w:r>
        <w:rPr>
          <w:rFonts w:ascii="Times New Roman" w:cs="Times New Roman" w:eastAsia="Times New Roman" w:hAnsi="Times New Roman"/>
          <w:sz w:val="22"/>
          <w:szCs w:val="22"/>
          <w:color w:val="auto"/>
        </w:rPr>
        <w:t>provided in Section 4(c) or 5(a)). For calendar year 2023, Executive will be eligible to earn a pro-rated Target Bonus based on Executive’s Base Salary as of the Effective Date.</w:t>
      </w:r>
    </w:p>
    <w:p>
      <w:pPr>
        <w:spacing w:after="0" w:line="157" w:lineRule="exact"/>
        <w:rPr>
          <w:sz w:val="20"/>
          <w:szCs w:val="20"/>
          <w:color w:val="auto"/>
        </w:rPr>
      </w:pPr>
    </w:p>
    <w:p>
      <w:pPr>
        <w:ind w:right="40" w:firstLine="1505"/>
        <w:spacing w:after="0" w:line="233" w:lineRule="auto"/>
        <w:tabs>
          <w:tab w:leader="none" w:pos="2037"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 Award</w:t>
      </w:r>
      <w:r>
        <w:rPr>
          <w:rFonts w:ascii="Times New Roman" w:cs="Times New Roman" w:eastAsia="Times New Roman" w:hAnsi="Times New Roman"/>
          <w:sz w:val="22"/>
          <w:szCs w:val="22"/>
          <w:color w:val="auto"/>
        </w:rPr>
        <w:t>. Subject to approval by the Board (or any authorized committee thereof), the Company shall grant Executive an option (the “</w:t>
      </w:r>
      <w:r>
        <w:rPr>
          <w:rFonts w:ascii="Times New Roman" w:cs="Times New Roman" w:eastAsia="Times New Roman" w:hAnsi="Times New Roman"/>
          <w:sz w:val="22"/>
          <w:szCs w:val="22"/>
          <w:b w:val="1"/>
          <w:bCs w:val="1"/>
          <w:i w:val="1"/>
          <w:iCs w:val="1"/>
          <w:u w:val="single" w:color="auto"/>
          <w:color w:val="auto"/>
        </w:rPr>
        <w:t>Option</w:t>
      </w:r>
      <w:r>
        <w:rPr>
          <w:rFonts w:ascii="Times New Roman" w:cs="Times New Roman" w:eastAsia="Times New Roman" w:hAnsi="Times New Roman"/>
          <w:sz w:val="22"/>
          <w:szCs w:val="22"/>
          <w:color w:val="auto"/>
        </w:rPr>
        <w:t>”) to purchase 600,000 shares of the Company’s common stock, with an exercise price equal to the fair market value of a share of the Company’s common stock on the grant date, as determined by the Board (or any authorized committee thereof), pursuant to the terms and conditions of the Company’s 2021 Equity Incentive Plan (the “</w:t>
      </w:r>
      <w:r>
        <w:rPr>
          <w:rFonts w:ascii="Times New Roman" w:cs="Times New Roman" w:eastAsia="Times New Roman" w:hAnsi="Times New Roman"/>
          <w:sz w:val="22"/>
          <w:szCs w:val="22"/>
          <w:b w:val="1"/>
          <w:bCs w:val="1"/>
          <w:i w:val="1"/>
          <w:iCs w:val="1"/>
          <w:u w:val="single" w:color="auto"/>
          <w:color w:val="auto"/>
        </w:rPr>
        <w:t>Plan</w:t>
      </w:r>
      <w:r>
        <w:rPr>
          <w:rFonts w:ascii="Times New Roman" w:cs="Times New Roman" w:eastAsia="Times New Roman" w:hAnsi="Times New Roman"/>
          <w:sz w:val="22"/>
          <w:szCs w:val="22"/>
          <w:color w:val="auto"/>
        </w:rPr>
        <w:t>”) and the applicable stock option grant notice and stock option agreement to be provided to Executive (together with the Plan, the “</w:t>
      </w:r>
      <w:r>
        <w:rPr>
          <w:rFonts w:ascii="Times New Roman" w:cs="Times New Roman" w:eastAsia="Times New Roman" w:hAnsi="Times New Roman"/>
          <w:sz w:val="22"/>
          <w:szCs w:val="22"/>
          <w:b w:val="1"/>
          <w:bCs w:val="1"/>
          <w:i w:val="1"/>
          <w:iCs w:val="1"/>
          <w:u w:val="single" w:color="auto"/>
          <w:color w:val="auto"/>
        </w:rPr>
        <w:t>Equity Documents</w:t>
      </w:r>
      <w:r>
        <w:rPr>
          <w:rFonts w:ascii="Times New Roman" w:cs="Times New Roman" w:eastAsia="Times New Roman" w:hAnsi="Times New Roman"/>
          <w:sz w:val="22"/>
          <w:szCs w:val="22"/>
          <w:color w:val="auto"/>
        </w:rPr>
        <w:t>”); provided, however, and notwithstanding anything to the contrary in the Equity Documents, Section 5 and Section 6 of this Agreement, as applicable, shall apply in the event of a termination by the Company without Cause or by Executive for Good Reason (as such terms are defined below). Except as otherwise provided in this Agreement, the Option will vest subject to the terms and conditions of the Equity Documents, with 25% of the shares subject to the Option vesting upon the first anniversary of the Effective Date and the remaining 75% of the shares subject to the Option vesting over the subsequent 3-year period in substantially equal monthly installments at a rate of 1/48th of the total shares subject to the Option each month, subject to Executive’s continuous service to the Company as of each such vesting date.</w:t>
      </w:r>
    </w:p>
    <w:p>
      <w:pPr>
        <w:spacing w:after="0" w:line="181" w:lineRule="exact"/>
        <w:rPr>
          <w:rFonts w:ascii="Times New Roman" w:cs="Times New Roman" w:eastAsia="Times New Roman" w:hAnsi="Times New Roman"/>
          <w:sz w:val="22"/>
          <w:szCs w:val="22"/>
          <w:color w:val="auto"/>
        </w:rPr>
      </w:pPr>
    </w:p>
    <w:p>
      <w:pPr>
        <w:jc w:val="both"/>
        <w:ind w:right="60" w:firstLine="1505"/>
        <w:spacing w:after="0" w:line="271" w:lineRule="auto"/>
        <w:tabs>
          <w:tab w:leader="none" w:pos="2037" w:val="left"/>
        </w:tabs>
        <w:numPr>
          <w:ilvl w:val="0"/>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Expenses</w:t>
      </w:r>
      <w:r>
        <w:rPr>
          <w:rFonts w:ascii="Times New Roman" w:cs="Times New Roman" w:eastAsia="Times New Roman" w:hAnsi="Times New Roman"/>
          <w:sz w:val="20"/>
          <w:szCs w:val="20"/>
          <w:color w:val="auto"/>
        </w:rPr>
        <w:t>. The Company shall promptly pay or reimburse Executive for all reasonable expenses incurred by Executive while performing services hereunder, including but not limited to travel expenses and attendance at industry events, in accordance with the policies and procedures then in effect and established by the Company for its executive officers, but in no event later than thirty (30) days submission of a reimbursement request in accordance with such policies or procedures.</w:t>
      </w:r>
    </w:p>
    <w:p>
      <w:pPr>
        <w:spacing w:after="0" w:line="147" w:lineRule="exact"/>
        <w:rPr>
          <w:rFonts w:ascii="Times New Roman" w:cs="Times New Roman" w:eastAsia="Times New Roman" w:hAnsi="Times New Roman"/>
          <w:sz w:val="20"/>
          <w:szCs w:val="20"/>
          <w:color w:val="auto"/>
        </w:rPr>
      </w:pPr>
    </w:p>
    <w:p>
      <w:pPr>
        <w:ind w:right="540" w:firstLine="1505"/>
        <w:spacing w:after="0" w:line="258" w:lineRule="auto"/>
        <w:tabs>
          <w:tab w:leader="none" w:pos="2037"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Benefits</w:t>
      </w:r>
      <w:r>
        <w:rPr>
          <w:rFonts w:ascii="Times New Roman" w:cs="Times New Roman" w:eastAsia="Times New Roman" w:hAnsi="Times New Roman"/>
          <w:sz w:val="22"/>
          <w:szCs w:val="22"/>
          <w:color w:val="auto"/>
        </w:rPr>
        <w:t>. Executive shall be eligible to participate in or receive benefits under the Company’s employee benefit plans in effect from time to time, subject to the terms of such plans.</w:t>
      </w:r>
    </w:p>
    <w:p>
      <w:pPr>
        <w:spacing w:after="0" w:line="157" w:lineRule="exact"/>
        <w:rPr>
          <w:rFonts w:ascii="Times New Roman" w:cs="Times New Roman" w:eastAsia="Times New Roman" w:hAnsi="Times New Roman"/>
          <w:sz w:val="22"/>
          <w:szCs w:val="22"/>
          <w:color w:val="auto"/>
        </w:rPr>
      </w:pPr>
    </w:p>
    <w:p>
      <w:pPr>
        <w:ind w:right="680" w:firstLine="1505"/>
        <w:spacing w:after="0" w:line="258" w:lineRule="auto"/>
        <w:tabs>
          <w:tab w:leader="none" w:pos="2037"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Paid Time Off</w:t>
      </w:r>
      <w:r>
        <w:rPr>
          <w:rFonts w:ascii="Times New Roman" w:cs="Times New Roman" w:eastAsia="Times New Roman" w:hAnsi="Times New Roman"/>
          <w:sz w:val="22"/>
          <w:szCs w:val="22"/>
          <w:color w:val="auto"/>
        </w:rPr>
        <w:t>. Executive shall be entitled to take paid time off in accordance with the Company’s applicable paid time off policy for executives, as may be in effect from time to time.</w:t>
      </w:r>
    </w:p>
    <w:p>
      <w:pPr>
        <w:spacing w:after="0" w:line="157" w:lineRule="exact"/>
        <w:rPr>
          <w:rFonts w:ascii="Times New Roman" w:cs="Times New Roman" w:eastAsia="Times New Roman" w:hAnsi="Times New Roman"/>
          <w:sz w:val="22"/>
          <w:szCs w:val="22"/>
          <w:color w:val="auto"/>
        </w:rPr>
      </w:pPr>
    </w:p>
    <w:p>
      <w:pPr>
        <w:ind w:right="260" w:firstLine="1505"/>
        <w:spacing w:after="0" w:line="258" w:lineRule="auto"/>
        <w:tabs>
          <w:tab w:leader="none" w:pos="2037"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Ownership Guidelines</w:t>
      </w:r>
      <w:r>
        <w:rPr>
          <w:rFonts w:ascii="Times New Roman" w:cs="Times New Roman" w:eastAsia="Times New Roman" w:hAnsi="Times New Roman"/>
          <w:sz w:val="22"/>
          <w:szCs w:val="22"/>
          <w:color w:val="auto"/>
        </w:rPr>
        <w:t>. Executive shall be subject to the Company’s Executive Stock Ownership Guidelines while providing services under this Agreement.</w:t>
      </w:r>
    </w:p>
    <w:p>
      <w:pPr>
        <w:spacing w:after="0" w:line="157" w:lineRule="exact"/>
        <w:rPr>
          <w:rFonts w:ascii="Times New Roman" w:cs="Times New Roman" w:eastAsia="Times New Roman" w:hAnsi="Times New Roman"/>
          <w:sz w:val="22"/>
          <w:szCs w:val="22"/>
          <w:color w:val="auto"/>
        </w:rPr>
      </w:pPr>
    </w:p>
    <w:p>
      <w:pPr>
        <w:ind w:right="140" w:firstLine="1505"/>
        <w:spacing w:after="0" w:line="266" w:lineRule="auto"/>
        <w:tabs>
          <w:tab w:leader="none" w:pos="2037" w:val="left"/>
        </w:tabs>
        <w:numPr>
          <w:ilvl w:val="0"/>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Treatment of Equity Awards upon a Change in Control</w:t>
      </w:r>
      <w:r>
        <w:rPr>
          <w:rFonts w:ascii="Times New Roman" w:cs="Times New Roman" w:eastAsia="Times New Roman" w:hAnsi="Times New Roman"/>
          <w:sz w:val="20"/>
          <w:szCs w:val="20"/>
          <w:color w:val="auto"/>
        </w:rPr>
        <w:t>. The following provisions shall apply to any award granted under the Plan or any other plan, agreement or arrangement based on the value of a share of the Company’s common stock on or after the Effective Date (collectively, the “</w:t>
      </w:r>
      <w:r>
        <w:rPr>
          <w:rFonts w:ascii="Times New Roman" w:cs="Times New Roman" w:eastAsia="Times New Roman" w:hAnsi="Times New Roman"/>
          <w:sz w:val="20"/>
          <w:szCs w:val="20"/>
          <w:b w:val="1"/>
          <w:bCs w:val="1"/>
          <w:i w:val="1"/>
          <w:iCs w:val="1"/>
          <w:u w:val="single" w:color="auto"/>
          <w:color w:val="auto"/>
        </w:rPr>
        <w:t>Equity Awards</w:t>
      </w:r>
      <w:r>
        <w:rPr>
          <w:rFonts w:ascii="Times New Roman" w:cs="Times New Roman" w:eastAsia="Times New Roman" w:hAnsi="Times New Roman"/>
          <w:sz w:val="20"/>
          <w:szCs w:val="20"/>
          <w:color w:val="auto"/>
        </w:rPr>
        <w:t>”) to the extent the Equity Awards are assumed, continued or substituted by the surviving or acquiring entity (or its parent) in connection with a Change in Control (as defined in the Plan) and Executive continues to provide services to the Company or its successor following such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993775</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71" w:name="page272"/>
    <w:bookmarkEnd w:id="271"/>
    <w:p>
      <w:pPr>
        <w:ind w:left="3" w:right="20" w:firstLine="1494"/>
        <w:spacing w:after="0" w:line="271" w:lineRule="auto"/>
        <w:tabs>
          <w:tab w:leader="none" w:pos="1800" w:val="left"/>
        </w:tabs>
        <w:numPr>
          <w:ilvl w:val="2"/>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provided in the Change in Control transaction’s definitive agreement, the Plan or the applicable award agreement, or as set forth in Section 6 below, Equity Awards subject to vesting solely on account of completing periods of covered employment or service (collectively, the “</w:t>
      </w:r>
      <w:r>
        <w:rPr>
          <w:rFonts w:ascii="Times New Roman" w:cs="Times New Roman" w:eastAsia="Times New Roman" w:hAnsi="Times New Roman"/>
          <w:sz w:val="20"/>
          <w:szCs w:val="20"/>
          <w:b w:val="1"/>
          <w:bCs w:val="1"/>
          <w:i w:val="1"/>
          <w:iCs w:val="1"/>
          <w:u w:val="single" w:color="auto"/>
          <w:color w:val="auto"/>
        </w:rPr>
        <w:t>Time-Based Equity Awards</w:t>
      </w:r>
      <w:r>
        <w:rPr>
          <w:rFonts w:ascii="Times New Roman" w:cs="Times New Roman" w:eastAsia="Times New Roman" w:hAnsi="Times New Roman"/>
          <w:sz w:val="20"/>
          <w:szCs w:val="20"/>
          <w:color w:val="auto"/>
        </w:rPr>
        <w:t>”) shall not immediately accelerate and become fully vested and exercisable or non-forfeitable on such a Change in Control, and</w:t>
      </w:r>
    </w:p>
    <w:p>
      <w:pPr>
        <w:spacing w:after="0" w:line="147" w:lineRule="exact"/>
        <w:rPr>
          <w:rFonts w:ascii="Times New Roman" w:cs="Times New Roman" w:eastAsia="Times New Roman" w:hAnsi="Times New Roman"/>
          <w:sz w:val="20"/>
          <w:szCs w:val="20"/>
          <w:color w:val="auto"/>
        </w:rPr>
      </w:pPr>
    </w:p>
    <w:p>
      <w:pPr>
        <w:ind w:left="3" w:right="80" w:firstLine="1494"/>
        <w:spacing w:after="0" w:line="244" w:lineRule="auto"/>
        <w:tabs>
          <w:tab w:leader="none" w:pos="1854" w:val="left"/>
        </w:tabs>
        <w:numPr>
          <w:ilvl w:val="2"/>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other Equity Awards, including but not limited to performance stock units vesting based on achieving pre-established performance goals (collectively, the “</w:t>
      </w:r>
      <w:r>
        <w:rPr>
          <w:rFonts w:ascii="Times New Roman" w:cs="Times New Roman" w:eastAsia="Times New Roman" w:hAnsi="Times New Roman"/>
          <w:sz w:val="22"/>
          <w:szCs w:val="22"/>
          <w:b w:val="1"/>
          <w:bCs w:val="1"/>
          <w:i w:val="1"/>
          <w:iCs w:val="1"/>
          <w:u w:val="single" w:color="auto"/>
          <w:color w:val="auto"/>
        </w:rPr>
        <w:t>Performance-Based Equity Awards</w:t>
      </w:r>
      <w:r>
        <w:rPr>
          <w:rFonts w:ascii="Times New Roman" w:cs="Times New Roman" w:eastAsia="Times New Roman" w:hAnsi="Times New Roman"/>
          <w:sz w:val="22"/>
          <w:szCs w:val="22"/>
          <w:color w:val="auto"/>
        </w:rPr>
        <w:t>”) shall be governed by the terms of the Plan and the applicable award agreement.</w:t>
      </w:r>
    </w:p>
    <w:p>
      <w:pPr>
        <w:spacing w:after="0" w:line="172" w:lineRule="exact"/>
        <w:rPr>
          <w:rFonts w:ascii="Times New Roman" w:cs="Times New Roman" w:eastAsia="Times New Roman" w:hAnsi="Times New Roman"/>
          <w:sz w:val="22"/>
          <w:szCs w:val="22"/>
          <w:color w:val="auto"/>
        </w:rPr>
      </w:pPr>
    </w:p>
    <w:p>
      <w:pPr>
        <w:ind w:left="-757" w:right="60" w:firstLine="757"/>
        <w:spacing w:after="0" w:line="258" w:lineRule="auto"/>
        <w:tabs>
          <w:tab w:leader="none" w:pos="262"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Executive’s employment hereunder may be terminated without any breach of this Agreement under the following circumstances:</w:t>
      </w:r>
    </w:p>
    <w:p>
      <w:pPr>
        <w:spacing w:after="0" w:line="157" w:lineRule="exact"/>
        <w:rPr>
          <w:rFonts w:ascii="Times New Roman" w:cs="Times New Roman" w:eastAsia="Times New Roman" w:hAnsi="Times New Roman"/>
          <w:sz w:val="22"/>
          <w:szCs w:val="22"/>
          <w:color w:val="auto"/>
        </w:rPr>
      </w:pPr>
    </w:p>
    <w:p>
      <w:pPr>
        <w:ind w:left="1283" w:hanging="535"/>
        <w:spacing w:after="0"/>
        <w:tabs>
          <w:tab w:leader="none" w:pos="1283" w:val="left"/>
        </w:tabs>
        <w:numPr>
          <w:ilvl w:val="1"/>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w:t>
      </w:r>
      <w:r>
        <w:rPr>
          <w:rFonts w:ascii="Times New Roman" w:cs="Times New Roman" w:eastAsia="Times New Roman" w:hAnsi="Times New Roman"/>
          <w:sz w:val="22"/>
          <w:szCs w:val="22"/>
          <w:color w:val="auto"/>
        </w:rPr>
        <w:t>. Executive’s employment hereunder shall terminate upon death.</w:t>
      </w:r>
    </w:p>
    <w:p>
      <w:pPr>
        <w:spacing w:after="0" w:line="205" w:lineRule="exact"/>
        <w:rPr>
          <w:rFonts w:ascii="Times New Roman" w:cs="Times New Roman" w:eastAsia="Times New Roman" w:hAnsi="Times New Roman"/>
          <w:sz w:val="22"/>
          <w:szCs w:val="22"/>
          <w:color w:val="auto"/>
        </w:rPr>
      </w:pPr>
    </w:p>
    <w:p>
      <w:pPr>
        <w:ind w:left="-757" w:firstLine="1505"/>
        <w:spacing w:after="0" w:line="233" w:lineRule="auto"/>
        <w:tabs>
          <w:tab w:leader="none" w:pos="1280" w:val="left"/>
        </w:tabs>
        <w:numPr>
          <w:ilvl w:val="1"/>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The Company may terminate Executive’s employment if Executive is disabled and unable to perform or expected to be unable to perform the essential functions of Executive’s then existing position or positions under this Agreement with or without reasonable accommodation for a period of 180 days (which need not be consecutive) in any 12-month period. If any question shall arise as to whether during any period Executive is disabled so as to be unable to perform the essential functions of Executive’s then existing position or positions with or without reasonable accommodation, Executive may, and at the request of the Company shall, submit to the Company a certification in reasonable detail by a physician selected by the Company to whom Executive or Executive’s guardian has no reasonable objection as to whether Executive is so disabled or how long such disability is expected to continue, and such certification shall for the purposes of this Agreement be conclusive of the issue. Executive shall cooperate with any reasonable request of the physician in connection with such certification. If such question shall arise and Executive shall fail to submit such certification, the Company’s determination of such issue shall be binding on Executive.</w:t>
      </w:r>
    </w:p>
    <w:p>
      <w:pPr>
        <w:spacing w:after="0" w:line="184" w:lineRule="exact"/>
        <w:rPr>
          <w:rFonts w:ascii="Times New Roman" w:cs="Times New Roman" w:eastAsia="Times New Roman" w:hAnsi="Times New Roman"/>
          <w:sz w:val="22"/>
          <w:szCs w:val="22"/>
          <w:color w:val="auto"/>
        </w:rPr>
      </w:pPr>
    </w:p>
    <w:p>
      <w:pPr>
        <w:ind w:left="-757" w:right="860" w:firstLine="1505"/>
        <w:spacing w:after="0" w:line="258" w:lineRule="auto"/>
        <w:tabs>
          <w:tab w:leader="none" w:pos="1280" w:val="left"/>
        </w:tabs>
        <w:numPr>
          <w:ilvl w:val="1"/>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by the Company for Cause</w:t>
      </w:r>
      <w:r>
        <w:rPr>
          <w:rFonts w:ascii="Times New Roman" w:cs="Times New Roman" w:eastAsia="Times New Roman" w:hAnsi="Times New Roman"/>
          <w:sz w:val="22"/>
          <w:szCs w:val="22"/>
          <w:color w:val="auto"/>
        </w:rPr>
        <w:t>. The Company may terminate Executive’s employment hereunder for Cause. For purposes of this Agreement, “</w:t>
      </w:r>
      <w:r>
        <w:rPr>
          <w:rFonts w:ascii="Times New Roman" w:cs="Times New Roman" w:eastAsia="Times New Roman" w:hAnsi="Times New Roman"/>
          <w:sz w:val="22"/>
          <w:szCs w:val="22"/>
          <w:b w:val="1"/>
          <w:bCs w:val="1"/>
          <w:i w:val="1"/>
          <w:iCs w:val="1"/>
          <w:u w:val="single" w:color="auto"/>
          <w:color w:val="auto"/>
        </w:rPr>
        <w:t>Cause</w:t>
      </w:r>
      <w:r>
        <w:rPr>
          <w:rFonts w:ascii="Times New Roman" w:cs="Times New Roman" w:eastAsia="Times New Roman" w:hAnsi="Times New Roman"/>
          <w:sz w:val="22"/>
          <w:szCs w:val="22"/>
          <w:color w:val="auto"/>
        </w:rPr>
        <w:t>” shall mean any of the following:</w:t>
      </w:r>
    </w:p>
    <w:p>
      <w:pPr>
        <w:spacing w:after="0" w:line="157" w:lineRule="exact"/>
        <w:rPr>
          <w:rFonts w:ascii="Times New Roman" w:cs="Times New Roman" w:eastAsia="Times New Roman" w:hAnsi="Times New Roman"/>
          <w:sz w:val="22"/>
          <w:szCs w:val="22"/>
          <w:color w:val="auto"/>
        </w:rPr>
      </w:pPr>
    </w:p>
    <w:p>
      <w:pPr>
        <w:ind w:left="743" w:firstLine="754"/>
        <w:spacing w:after="0" w:line="239" w:lineRule="auto"/>
        <w:tabs>
          <w:tab w:leader="none" w:pos="1792" w:val="left"/>
        </w:tabs>
        <w:numPr>
          <w:ilvl w:val="2"/>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unauthorized use or disclosure of confidential information or trade secrets of the Company for Executive’s or another’s benefit or any material breach of a written agreement between Executive and the Company, including without limitation a material breach of this Agreement or the Restrictive Covenants Agreement;</w:t>
      </w:r>
    </w:p>
    <w:p>
      <w:pPr>
        <w:spacing w:after="0" w:line="178" w:lineRule="exact"/>
        <w:rPr>
          <w:rFonts w:ascii="Times New Roman" w:cs="Times New Roman" w:eastAsia="Times New Roman" w:hAnsi="Times New Roman"/>
          <w:sz w:val="22"/>
          <w:szCs w:val="22"/>
          <w:color w:val="auto"/>
        </w:rPr>
      </w:pPr>
    </w:p>
    <w:p>
      <w:pPr>
        <w:ind w:left="743" w:right="80" w:firstLine="754"/>
        <w:spacing w:after="0" w:line="244" w:lineRule="auto"/>
        <w:tabs>
          <w:tab w:leader="none" w:pos="1792" w:val="left"/>
        </w:tabs>
        <w:numPr>
          <w:ilvl w:val="2"/>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conviction of, or pleading no contest to, a felony under the laws of the United States or any state thereof (other than in connection with a traffic violation that does not result in imprisonment) or any crime that results in Executive’s incarceration in a federal, state, or local jail or prison;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1004570</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3"/>
          </w:cols>
          <w:pgMar w:left="1077" w:top="1407" w:right="379" w:bottom="1440" w:gutter="0" w:footer="0" w:header="0"/>
        </w:sectPr>
      </w:pPr>
    </w:p>
    <w:bookmarkStart w:id="272" w:name="page273"/>
    <w:bookmarkEnd w:id="272"/>
    <w:p>
      <w:pPr>
        <w:ind w:left="1500" w:firstLine="749"/>
        <w:spacing w:after="0" w:line="237" w:lineRule="auto"/>
        <w:rPr>
          <w:sz w:val="20"/>
          <w:szCs w:val="20"/>
          <w:color w:val="auto"/>
        </w:rPr>
      </w:pPr>
      <w:r>
        <w:rPr>
          <w:rFonts w:ascii="Times New Roman" w:cs="Times New Roman" w:eastAsia="Times New Roman" w:hAnsi="Times New Roman"/>
          <w:sz w:val="22"/>
          <w:szCs w:val="22"/>
          <w:color w:val="auto"/>
        </w:rPr>
        <w:t>(iii)Executive’s material and willful misconduct in the performance of Executive’s duties or Executive’s willful or repeated failure or refusal to substantially perform assigned duties (other than any such failure of refusal resulting from Executive’s incapacity due to physical or mental illness), in any case, which willful misconduct, failure or refusal has continued for more than thirty (30) days following written notice from the CEO of such willful misconduct, failure or refusal;</w:t>
      </w:r>
    </w:p>
    <w:p>
      <w:pPr>
        <w:spacing w:after="0" w:line="180" w:lineRule="exact"/>
        <w:rPr>
          <w:sz w:val="20"/>
          <w:szCs w:val="20"/>
          <w:color w:val="auto"/>
        </w:rPr>
      </w:pPr>
    </w:p>
    <w:p>
      <w:pPr>
        <w:ind w:left="1500" w:right="280" w:firstLine="749"/>
        <w:spacing w:after="0" w:line="258" w:lineRule="auto"/>
        <w:rPr>
          <w:sz w:val="20"/>
          <w:szCs w:val="20"/>
          <w:color w:val="auto"/>
        </w:rPr>
      </w:pPr>
      <w:r>
        <w:rPr>
          <w:rFonts w:ascii="Times New Roman" w:cs="Times New Roman" w:eastAsia="Times New Roman" w:hAnsi="Times New Roman"/>
          <w:sz w:val="22"/>
          <w:szCs w:val="22"/>
          <w:color w:val="auto"/>
        </w:rPr>
        <w:t>(iv)any act of fraud, embezzlement or material misappropriation committed by Executive against the Company (other than good faith expense account disputes);</w:t>
      </w:r>
    </w:p>
    <w:p>
      <w:pPr>
        <w:spacing w:after="0" w:line="157" w:lineRule="exact"/>
        <w:rPr>
          <w:sz w:val="20"/>
          <w:szCs w:val="20"/>
          <w:color w:val="auto"/>
        </w:rPr>
      </w:pPr>
    </w:p>
    <w:p>
      <w:pPr>
        <w:ind w:left="1500" w:right="280" w:firstLine="754"/>
        <w:spacing w:after="0" w:line="244" w:lineRule="auto"/>
        <w:tabs>
          <w:tab w:leader="none" w:pos="2548"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willful engaging by Executive in any act that brings or is reasonably likely to bring the Company into public disrepute or disgrace or causes material harm to the customer relations, operations or business prospects of the Company;</w:t>
      </w:r>
    </w:p>
    <w:p>
      <w:pPr>
        <w:spacing w:after="0" w:line="172" w:lineRule="exact"/>
        <w:rPr>
          <w:sz w:val="20"/>
          <w:szCs w:val="20"/>
          <w:color w:val="auto"/>
        </w:rPr>
      </w:pPr>
    </w:p>
    <w:p>
      <w:pPr>
        <w:ind w:left="1500" w:right="80" w:firstLine="749"/>
        <w:spacing w:after="0" w:line="237" w:lineRule="auto"/>
        <w:rPr>
          <w:sz w:val="20"/>
          <w:szCs w:val="20"/>
          <w:color w:val="auto"/>
        </w:rPr>
      </w:pPr>
      <w:r>
        <w:rPr>
          <w:rFonts w:ascii="Times New Roman" w:cs="Times New Roman" w:eastAsia="Times New Roman" w:hAnsi="Times New Roman"/>
          <w:sz w:val="22"/>
          <w:szCs w:val="22"/>
          <w:color w:val="auto"/>
        </w:rPr>
        <w:t>(vi)Executive’s failure to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 or</w:t>
      </w:r>
    </w:p>
    <w:p>
      <w:pPr>
        <w:spacing w:after="0" w:line="180" w:lineRule="exact"/>
        <w:rPr>
          <w:sz w:val="20"/>
          <w:szCs w:val="20"/>
          <w:color w:val="auto"/>
        </w:rPr>
      </w:pPr>
    </w:p>
    <w:p>
      <w:pPr>
        <w:ind w:left="1500" w:right="440" w:firstLine="749"/>
        <w:spacing w:after="0" w:line="244" w:lineRule="auto"/>
        <w:rPr>
          <w:sz w:val="20"/>
          <w:szCs w:val="20"/>
          <w:color w:val="auto"/>
        </w:rPr>
      </w:pPr>
      <w:r>
        <w:rPr>
          <w:rFonts w:ascii="Times New Roman" w:cs="Times New Roman" w:eastAsia="Times New Roman" w:hAnsi="Times New Roman"/>
          <w:sz w:val="22"/>
          <w:szCs w:val="22"/>
          <w:color w:val="auto"/>
        </w:rPr>
        <w:t>(vii)Executive’s failure to maintain Executive’s primarily residence in the Waltham, Massachusetts market and primarily perform Executive’s services from the Waltham, Massachusetts market after the Relocation Date.</w:t>
      </w:r>
    </w:p>
    <w:p>
      <w:pPr>
        <w:spacing w:after="0" w:line="172"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22"/>
          <w:szCs w:val="22"/>
          <w:color w:val="auto"/>
        </w:rPr>
        <w:t>For purposes of this Section 3(c), no act, or failure to act, on Executive’s part shall be deemed “willful” if done, or omitted to be done, by Executive in good faith and with reasonable belief that Executive’s act, or failure to act, was in the best interest of the Company.</w:t>
      </w:r>
    </w:p>
    <w:p>
      <w:pPr>
        <w:spacing w:after="0" w:line="172"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22"/>
          <w:szCs w:val="22"/>
          <w:color w:val="auto"/>
        </w:rPr>
        <w:t>In the case of any termination for Cause, the Company shall provide written notice to Executive setting forth to a reasonable extent at least the principal acts or omissions of Executive giving rise to Cause for termination. It is agreed to by the parties that the below par or below average financial performance of the Company and/or its subsidiaries, in and of itself shall not constitute Cause for employment termination under this Agreement.</w:t>
      </w:r>
    </w:p>
    <w:p>
      <w:pPr>
        <w:spacing w:after="0" w:line="179" w:lineRule="exact"/>
        <w:rPr>
          <w:sz w:val="20"/>
          <w:szCs w:val="20"/>
          <w:color w:val="auto"/>
        </w:rPr>
      </w:pPr>
    </w:p>
    <w:p>
      <w:pPr>
        <w:ind w:right="200"/>
        <w:spacing w:after="0" w:line="236" w:lineRule="auto"/>
        <w:rPr>
          <w:sz w:val="20"/>
          <w:szCs w:val="20"/>
          <w:color w:val="auto"/>
        </w:rPr>
      </w:pPr>
      <w:r>
        <w:rPr>
          <w:rFonts w:ascii="Times New Roman" w:cs="Times New Roman" w:eastAsia="Times New Roman" w:hAnsi="Times New Roman"/>
          <w:sz w:val="22"/>
          <w:szCs w:val="22"/>
          <w:color w:val="auto"/>
        </w:rPr>
        <w:t>A termination for Cause under this Section 3(c) (other than with respect to Section 3(c)(ii)) shall in no event become effective under the Agreement unless the provisions of this paragraph are complied with. Executive must be given written notice by the Board of the intention to terminate Executive’s employment for Cause, such notice to be given within three (3) months of the Board learning of such act or acts or failure or failures to act. Executive shall have ten (10) days after the date that such written notice has been given to Executive in which to cure such conduct, to the extent such cure is possible. If Executive fails to cure such conduct, Executive shall thereupon be terminated for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1009015</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7" w:right="359" w:bottom="1440" w:gutter="0" w:footer="0" w:header="0"/>
        </w:sectPr>
      </w:pPr>
    </w:p>
    <w:bookmarkStart w:id="273" w:name="page274"/>
    <w:bookmarkEnd w:id="273"/>
    <w:p>
      <w:pPr>
        <w:ind w:left="-1120" w:right="60" w:firstLine="1505"/>
        <w:spacing w:after="0" w:line="239" w:lineRule="auto"/>
        <w:tabs>
          <w:tab w:leader="none" w:pos="917"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by the Company without Cause</w:t>
      </w:r>
      <w:r>
        <w:rPr>
          <w:rFonts w:ascii="Times New Roman" w:cs="Times New Roman" w:eastAsia="Times New Roman" w:hAnsi="Times New Roman"/>
          <w:sz w:val="22"/>
          <w:szCs w:val="22"/>
          <w:color w:val="auto"/>
        </w:rPr>
        <w:t>. The Company may terminate Executive’s employment hereunder at any time without Cause. Any termination by the Company of Executive’s employment under this Agreement which does not constitute a termination for Cause under Section 3(c) and does not result from the death or disability of Executive under Section 3(a) or 3(b) shall be deemed a termination without Cause.</w:t>
      </w:r>
    </w:p>
    <w:p>
      <w:pPr>
        <w:spacing w:after="0" w:line="178" w:lineRule="exact"/>
        <w:rPr>
          <w:rFonts w:ascii="Times New Roman" w:cs="Times New Roman" w:eastAsia="Times New Roman" w:hAnsi="Times New Roman"/>
          <w:sz w:val="22"/>
          <w:szCs w:val="22"/>
          <w:color w:val="auto"/>
        </w:rPr>
      </w:pPr>
    </w:p>
    <w:p>
      <w:pPr>
        <w:ind w:left="-1120" w:right="240" w:firstLine="1505"/>
        <w:spacing w:after="0" w:line="239" w:lineRule="auto"/>
        <w:tabs>
          <w:tab w:leader="none" w:pos="917"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by Executive</w:t>
      </w:r>
      <w:r>
        <w:rPr>
          <w:rFonts w:ascii="Times New Roman" w:cs="Times New Roman" w:eastAsia="Times New Roman" w:hAnsi="Times New Roman"/>
          <w:sz w:val="22"/>
          <w:szCs w:val="22"/>
          <w:color w:val="auto"/>
        </w:rPr>
        <w:t>. Executive may terminate employment hereunder at any time for any reason, including but not limited to, Good Reason. For purposes of this Agreement, “</w:t>
      </w:r>
      <w:r>
        <w:rPr>
          <w:rFonts w:ascii="Times New Roman" w:cs="Times New Roman" w:eastAsia="Times New Roman" w:hAnsi="Times New Roman"/>
          <w:sz w:val="22"/>
          <w:szCs w:val="22"/>
          <w:b w:val="1"/>
          <w:bCs w:val="1"/>
          <w:i w:val="1"/>
          <w:iCs w:val="1"/>
          <w:u w:val="single" w:color="auto"/>
          <w:color w:val="auto"/>
        </w:rPr>
        <w:t>Good Reason</w:t>
      </w:r>
      <w:r>
        <w:rPr>
          <w:rFonts w:ascii="Times New Roman" w:cs="Times New Roman" w:eastAsia="Times New Roman" w:hAnsi="Times New Roman"/>
          <w:sz w:val="22"/>
          <w:szCs w:val="22"/>
          <w:color w:val="auto"/>
        </w:rPr>
        <w:t>” shall mean that Executive has completed all steps of the Good Reason Process (hereinafter defined) following the occurrence of any of the following events without Executive’s consent (each, a “</w:t>
      </w:r>
      <w:r>
        <w:rPr>
          <w:rFonts w:ascii="Times New Roman" w:cs="Times New Roman" w:eastAsia="Times New Roman" w:hAnsi="Times New Roman"/>
          <w:sz w:val="22"/>
          <w:szCs w:val="22"/>
          <w:b w:val="1"/>
          <w:bCs w:val="1"/>
          <w:i w:val="1"/>
          <w:iCs w:val="1"/>
          <w:u w:val="single" w:color="auto"/>
          <w:color w:val="auto"/>
        </w:rPr>
        <w:t>Good Reason Condition</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auto"/>
        </w:rPr>
      </w:pPr>
    </w:p>
    <w:p>
      <w:pPr>
        <w:ind w:left="380" w:right="700" w:firstLine="754"/>
        <w:spacing w:after="0" w:line="307" w:lineRule="auto"/>
        <w:tabs>
          <w:tab w:leader="none" w:pos="1428" w:val="left"/>
        </w:tabs>
        <w:numPr>
          <w:ilvl w:val="1"/>
          <w:numId w:val="2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diminution in Executive’s title, responsibilities, authority or duties; or a material reduction in the authority, duties, or responsibilities of the CEO to whom Executive is required to report;</w:t>
      </w:r>
    </w:p>
    <w:p>
      <w:pPr>
        <w:spacing w:after="0" w:line="112" w:lineRule="exact"/>
        <w:rPr>
          <w:rFonts w:ascii="Times New Roman" w:cs="Times New Roman" w:eastAsia="Times New Roman" w:hAnsi="Times New Roman"/>
          <w:sz w:val="20"/>
          <w:szCs w:val="20"/>
          <w:color w:val="auto"/>
        </w:rPr>
      </w:pPr>
    </w:p>
    <w:p>
      <w:pPr>
        <w:ind w:left="380" w:firstLine="754"/>
        <w:spacing w:after="0" w:line="239" w:lineRule="auto"/>
        <w:tabs>
          <w:tab w:leader="none" w:pos="1428" w:val="left"/>
        </w:tabs>
        <w:numPr>
          <w:ilvl w:val="1"/>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Control following which either: (A) there is a material reduction in the budget over which Executive retains authority or (B) Executive is not Chief Scientific Officer of the Company or, (C) if the Company becomes a subsidiary of one or more entities following the Change in Control, the post-consummation ultimate parent entity of the Company; or</w:t>
      </w:r>
    </w:p>
    <w:p>
      <w:pPr>
        <w:spacing w:after="0" w:line="178" w:lineRule="exact"/>
        <w:rPr>
          <w:rFonts w:ascii="Times New Roman" w:cs="Times New Roman" w:eastAsia="Times New Roman" w:hAnsi="Times New Roman"/>
          <w:sz w:val="22"/>
          <w:szCs w:val="22"/>
          <w:color w:val="auto"/>
        </w:rPr>
      </w:pPr>
    </w:p>
    <w:p>
      <w:pPr>
        <w:ind w:left="380" w:right="140" w:firstLine="754"/>
        <w:spacing w:after="0" w:line="235" w:lineRule="auto"/>
        <w:tabs>
          <w:tab w:leader="none" w:pos="1506" w:val="left"/>
        </w:tabs>
        <w:numPr>
          <w:ilvl w:val="1"/>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breach of this Agreement by the Company, including without limitation, a reduction of Executive’s Base Salary or Target Bonus in violation of Section 2(a) or 2(b) (except for across-the-board salary reductions of not more than ten percent (10%) similarly affecting all or substantially all senior management employees of the Company), after the Relocation Date, a relocation of Executive’s principal place of employment to any location that is greater than twenty (20) miles from the Company’s corporate headquarters, or the failure of the Company to obtain the assumption in writing of the Company’s obligations to Executive under this Agreement by any successor as required under Section 13 below.</w:t>
      </w:r>
    </w:p>
    <w:p>
      <w:pPr>
        <w:spacing w:after="0" w:line="174" w:lineRule="exact"/>
        <w:rPr>
          <w:rFonts w:ascii="Times New Roman" w:cs="Times New Roman" w:eastAsia="Times New Roman" w:hAnsi="Times New Roman"/>
          <w:sz w:val="22"/>
          <w:szCs w:val="22"/>
          <w:color w:val="auto"/>
        </w:rPr>
      </w:pPr>
    </w:p>
    <w:p>
      <w:pPr>
        <w:ind w:left="920" w:hanging="535"/>
        <w:spacing w:after="0"/>
        <w:tabs>
          <w:tab w:leader="none" w:pos="920"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Good Reason Process</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b w:val="1"/>
          <w:bCs w:val="1"/>
          <w:i w:val="1"/>
          <w:iCs w:val="1"/>
          <w:u w:val="single" w:color="auto"/>
          <w:color w:val="auto"/>
        </w:rPr>
        <w:t>Good Reason Process</w:t>
      </w:r>
      <w:r>
        <w:rPr>
          <w:rFonts w:ascii="Times New Roman" w:cs="Times New Roman" w:eastAsia="Times New Roman" w:hAnsi="Times New Roman"/>
          <w:sz w:val="22"/>
          <w:szCs w:val="22"/>
          <w:color w:val="auto"/>
        </w:rPr>
        <w:t>” consists of the following steps:</w:t>
      </w:r>
    </w:p>
    <w:p>
      <w:pPr>
        <w:spacing w:after="0" w:line="211" w:lineRule="exact"/>
        <w:rPr>
          <w:rFonts w:ascii="Times New Roman" w:cs="Times New Roman" w:eastAsia="Times New Roman" w:hAnsi="Times New Roman"/>
          <w:sz w:val="22"/>
          <w:szCs w:val="22"/>
          <w:color w:val="auto"/>
        </w:rPr>
      </w:pPr>
    </w:p>
    <w:p>
      <w:pPr>
        <w:ind w:left="1440" w:hanging="306"/>
        <w:spacing w:after="0"/>
        <w:tabs>
          <w:tab w:leader="none" w:pos="1440" w:val="left"/>
        </w:tabs>
        <w:numPr>
          <w:ilvl w:val="1"/>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reasonably determines in good faith that a Good Reason Condition has occurred;</w:t>
      </w:r>
    </w:p>
    <w:p>
      <w:pPr>
        <w:spacing w:after="0" w:line="205" w:lineRule="exact"/>
        <w:rPr>
          <w:rFonts w:ascii="Times New Roman" w:cs="Times New Roman" w:eastAsia="Times New Roman" w:hAnsi="Times New Roman"/>
          <w:sz w:val="22"/>
          <w:szCs w:val="22"/>
          <w:color w:val="auto"/>
        </w:rPr>
      </w:pPr>
    </w:p>
    <w:p>
      <w:pPr>
        <w:ind w:left="380" w:right="320" w:firstLine="754"/>
        <w:spacing w:after="0" w:line="258" w:lineRule="auto"/>
        <w:tabs>
          <w:tab w:leader="none" w:pos="1482" w:val="left"/>
        </w:tabs>
        <w:numPr>
          <w:ilvl w:val="1"/>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notifies the Company in writing of the first occurrence of the Good Reason Condition within sixty (60) days of the first occurrence of such condition;</w:t>
      </w:r>
    </w:p>
    <w:p>
      <w:pPr>
        <w:spacing w:after="0" w:line="15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(iii)Executive cooperates in good faith with the Company’s efforts, for a period of not less than thirty</w:t>
      </w:r>
    </w:p>
    <w:p>
      <w:pPr>
        <w:spacing w:after="0" w:line="14" w:lineRule="exact"/>
        <w:rPr>
          <w:sz w:val="20"/>
          <w:szCs w:val="20"/>
          <w:color w:val="auto"/>
        </w:rPr>
      </w:pPr>
    </w:p>
    <w:p>
      <w:pPr>
        <w:ind w:left="380" w:right="140" w:firstLine="5"/>
        <w:spacing w:after="0" w:line="237" w:lineRule="auto"/>
        <w:tabs>
          <w:tab w:leader="none" w:pos="793"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following such notice (the “</w:t>
      </w:r>
      <w:r>
        <w:rPr>
          <w:rFonts w:ascii="Times New Roman" w:cs="Times New Roman" w:eastAsia="Times New Roman" w:hAnsi="Times New Roman"/>
          <w:sz w:val="22"/>
          <w:szCs w:val="22"/>
          <w:b w:val="1"/>
          <w:bCs w:val="1"/>
          <w:i w:val="1"/>
          <w:iCs w:val="1"/>
          <w:u w:val="single" w:color="auto"/>
          <w:color w:val="auto"/>
        </w:rPr>
        <w:t>Cure Period</w:t>
      </w:r>
      <w:r>
        <w:rPr>
          <w:rFonts w:ascii="Times New Roman" w:cs="Times New Roman" w:eastAsia="Times New Roman" w:hAnsi="Times New Roman"/>
          <w:sz w:val="22"/>
          <w:szCs w:val="22"/>
          <w:color w:val="auto"/>
        </w:rPr>
        <w:t>”), to remedy the Good Reason Condition (to the extent such cure is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1007745</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7" w:right="339" w:bottom="1440" w:gutter="0" w:footer="0" w:header="0"/>
        </w:sectPr>
      </w:pPr>
    </w:p>
    <w:bookmarkStart w:id="274" w:name="page275"/>
    <w:bookmarkEnd w:id="274"/>
    <w:p>
      <w:pPr>
        <w:ind w:left="1500" w:right="200" w:firstLine="749"/>
        <w:spacing w:after="0" w:line="258" w:lineRule="auto"/>
        <w:rPr>
          <w:sz w:val="20"/>
          <w:szCs w:val="20"/>
          <w:color w:val="auto"/>
        </w:rPr>
      </w:pPr>
      <w:r>
        <w:rPr>
          <w:rFonts w:ascii="Times New Roman" w:cs="Times New Roman" w:eastAsia="Times New Roman" w:hAnsi="Times New Roman"/>
          <w:sz w:val="22"/>
          <w:szCs w:val="22"/>
          <w:color w:val="auto"/>
        </w:rPr>
        <w:t>(iv)notwithstanding such efforts, the Good Reason Condition continues to exist at the end of the Cure Period; and</w:t>
      </w:r>
    </w:p>
    <w:p>
      <w:pPr>
        <w:spacing w:after="0" w:line="15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(v) Executive terminates employment within sixty (60) days after the end of the Cure Period.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the Company cures the Good Reason Condition during the Cure Period, Good Reason shall be deemed not to have occurred.</w:t>
      </w:r>
    </w:p>
    <w:p>
      <w:pPr>
        <w:spacing w:after="0" w:line="205" w:lineRule="exact"/>
        <w:rPr>
          <w:sz w:val="20"/>
          <w:szCs w:val="20"/>
          <w:color w:val="auto"/>
        </w:rPr>
      </w:pPr>
    </w:p>
    <w:p>
      <w:pPr>
        <w:ind w:left="1020" w:hanging="263"/>
        <w:spacing w:after="0"/>
        <w:tabs>
          <w:tab w:leader="none" w:pos="1020"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Matters Related to Termination</w:t>
      </w:r>
      <w:r>
        <w:rPr>
          <w:rFonts w:ascii="Times New Roman" w:cs="Times New Roman" w:eastAsia="Times New Roman" w:hAnsi="Times New Roman"/>
          <w:sz w:val="22"/>
          <w:szCs w:val="22"/>
          <w:color w:val="auto"/>
        </w:rPr>
        <w:t>.</w:t>
      </w:r>
    </w:p>
    <w:p>
      <w:pPr>
        <w:spacing w:after="0" w:line="205" w:lineRule="exact"/>
        <w:rPr>
          <w:rFonts w:ascii="Times New Roman" w:cs="Times New Roman" w:eastAsia="Times New Roman" w:hAnsi="Times New Roman"/>
          <w:sz w:val="22"/>
          <w:szCs w:val="22"/>
          <w:color w:val="auto"/>
        </w:rPr>
      </w:pPr>
    </w:p>
    <w:p>
      <w:pPr>
        <w:ind w:firstLine="1505"/>
        <w:spacing w:after="0" w:line="239" w:lineRule="auto"/>
        <w:tabs>
          <w:tab w:leader="none" w:pos="2037" w:val="left"/>
        </w:tabs>
        <w:numPr>
          <w:ilvl w:val="1"/>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Termination</w:t>
      </w:r>
      <w:r>
        <w:rPr>
          <w:rFonts w:ascii="Times New Roman" w:cs="Times New Roman" w:eastAsia="Times New Roman" w:hAnsi="Times New Roman"/>
          <w:sz w:val="22"/>
          <w:szCs w:val="22"/>
          <w:color w:val="auto"/>
        </w:rPr>
        <w:t>. Except for termination as specified in Section 3(a), any termination of Executive’s employment by the Company or any such termination by Executive shall be communicated by written Notice of Termination to the other party hereto. For purposes of this Agreement, a “</w:t>
      </w:r>
      <w:r>
        <w:rPr>
          <w:rFonts w:ascii="Times New Roman" w:cs="Times New Roman" w:eastAsia="Times New Roman" w:hAnsi="Times New Roman"/>
          <w:sz w:val="22"/>
          <w:szCs w:val="22"/>
          <w:b w:val="1"/>
          <w:bCs w:val="1"/>
          <w:i w:val="1"/>
          <w:iCs w:val="1"/>
          <w:u w:val="single" w:color="auto"/>
          <w:color w:val="auto"/>
        </w:rPr>
        <w:t>Notice of Termination</w:t>
      </w:r>
      <w:r>
        <w:rPr>
          <w:rFonts w:ascii="Times New Roman" w:cs="Times New Roman" w:eastAsia="Times New Roman" w:hAnsi="Times New Roman"/>
          <w:sz w:val="22"/>
          <w:szCs w:val="22"/>
          <w:color w:val="auto"/>
        </w:rPr>
        <w:t>” shall mean a notice which shall indicate the specific termination provision in this Agreement relied upon.</w:t>
      </w:r>
    </w:p>
    <w:p>
      <w:pPr>
        <w:spacing w:after="0" w:line="172" w:lineRule="exact"/>
        <w:rPr>
          <w:rFonts w:ascii="Times New Roman" w:cs="Times New Roman" w:eastAsia="Times New Roman" w:hAnsi="Times New Roman"/>
          <w:sz w:val="22"/>
          <w:szCs w:val="22"/>
          <w:color w:val="auto"/>
        </w:rPr>
      </w:pPr>
    </w:p>
    <w:p>
      <w:pPr>
        <w:ind w:firstLine="1505"/>
        <w:spacing w:after="0" w:line="234" w:lineRule="auto"/>
        <w:tabs>
          <w:tab w:leader="none" w:pos="2037" w:val="left"/>
        </w:tabs>
        <w:numPr>
          <w:ilvl w:val="1"/>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Date of Termination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u w:val="single" w:color="auto"/>
          <w:color w:val="auto"/>
        </w:rPr>
        <w:t>Date of Termination</w:t>
      </w:r>
      <w:r>
        <w:rPr>
          <w:rFonts w:ascii="Times New Roman" w:cs="Times New Roman" w:eastAsia="Times New Roman" w:hAnsi="Times New Roman"/>
          <w:sz w:val="22"/>
          <w:szCs w:val="22"/>
          <w:color w:val="auto"/>
        </w:rPr>
        <w:t>” shall mean: (i) if Executive’s employment is terminated by death, the date of death; (ii) if Executive’s employment is terminated on account of disability under Section 3(b) or by the Company for Cause under Section 3(c), the date on which Notice of Termination is given; (iii) if Executive’s employment is terminated by the Company without Cause under Section 3(d), thirty (30) days after the date on which a Notice of Termination is given or a later date otherwise specified by the Company in the Notice of Termination; (iv) if Executive’s employment is terminated by Executive under Section 3(e) other than for Good Reason, thirty (30) days after the date on which a Notice of Termination is given, and (v) if Executive’s employment is terminated by Executive under Section 3(e) for Good Reason, the date on which a Notice of Termination is given after the end of the Cure Period. Notwithstanding the foregoing, in the event that Executive gives a Notice of Termination to the Company, the Company may unilaterally accelerate the Date of Termination and such acceleration shall not result in a termination by the Company for purposes of this Agreement.</w:t>
      </w:r>
    </w:p>
    <w:p>
      <w:pPr>
        <w:spacing w:after="0" w:line="182" w:lineRule="exact"/>
        <w:rPr>
          <w:rFonts w:ascii="Times New Roman" w:cs="Times New Roman" w:eastAsia="Times New Roman" w:hAnsi="Times New Roman"/>
          <w:sz w:val="22"/>
          <w:szCs w:val="22"/>
          <w:color w:val="auto"/>
        </w:rPr>
      </w:pPr>
    </w:p>
    <w:p>
      <w:pPr>
        <w:ind w:right="60" w:firstLine="1505"/>
        <w:spacing w:after="0" w:line="234" w:lineRule="auto"/>
        <w:tabs>
          <w:tab w:leader="none" w:pos="2037" w:val="left"/>
        </w:tabs>
        <w:numPr>
          <w:ilvl w:val="1"/>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Accrued Obligations</w:t>
      </w:r>
      <w:r>
        <w:rPr>
          <w:rFonts w:ascii="Times New Roman" w:cs="Times New Roman" w:eastAsia="Times New Roman" w:hAnsi="Times New Roman"/>
          <w:sz w:val="22"/>
          <w:szCs w:val="22"/>
          <w:color w:val="auto"/>
        </w:rPr>
        <w:t>. If Executive’s employment with the Company is terminated for any reason, the Company shall pay or provide to Executive (or to Executive’s authorized representative or estate) (i) any Base Salary earned through the Date of Termination; (ii) unpaid expense reimbursements (subject to, and in accordance with, Section 2(e) of this Agreement); and (iii) any vested benefits Executive may have under any employee benefit plan or compensation arrangement of the Company (including equity compensation plans and insurance coverages) through the Date of Termination, which vested benefits shall be paid and/or provided in accordance with the terms of such employee benefit plans. In the event that Executive terminates employment due to death or disability, in accordance with Sections 3(a) and 3(b) above, Executive (or in the case of death, Executive’s estate) shall be entitled to receive the Earned Bonus (as defined in Section 5(a)) at the same time bonuses are paid to other employees who are actively employed by the Company. The amounts described under this Section 4(c) are referred to below as the “</w:t>
      </w:r>
      <w:r>
        <w:rPr>
          <w:rFonts w:ascii="Times New Roman" w:cs="Times New Roman" w:eastAsia="Times New Roman" w:hAnsi="Times New Roman"/>
          <w:sz w:val="22"/>
          <w:szCs w:val="22"/>
          <w:b w:val="1"/>
          <w:bCs w:val="1"/>
          <w:i w:val="1"/>
          <w:iCs w:val="1"/>
          <w:u w:val="single" w:color="auto"/>
          <w:color w:val="auto"/>
        </w:rPr>
        <w:t>Accrued Obligations</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1007110</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7" w:right="359" w:bottom="1440" w:gutter="0" w:footer="0" w:header="0"/>
        </w:sectPr>
      </w:pPr>
    </w:p>
    <w:bookmarkStart w:id="275" w:name="page276"/>
    <w:bookmarkEnd w:id="275"/>
    <w:p>
      <w:pPr>
        <w:ind w:left="-757" w:right="100" w:firstLine="1505"/>
        <w:spacing w:after="0" w:line="239" w:lineRule="auto"/>
        <w:tabs>
          <w:tab w:leader="none" w:pos="1280" w:val="left"/>
        </w:tabs>
        <w:numPr>
          <w:ilvl w:val="1"/>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Resignation of All Other Positions</w:t>
      </w:r>
      <w:r>
        <w:rPr>
          <w:rFonts w:ascii="Times New Roman" w:cs="Times New Roman" w:eastAsia="Times New Roman" w:hAnsi="Times New Roman"/>
          <w:sz w:val="22"/>
          <w:szCs w:val="22"/>
          <w:color w:val="auto"/>
        </w:rPr>
        <w:t>. To the extent applicable, Executive shall be deemed to have resigned from all officer and board member positions that Executive holds with the Company or any of its respective subsidiaries and affiliates upon the termination of Executive’s employment for any reason. Executive shall execute any documents in reasonable form as may be requested to confirm or effectuate any such resignations.</w:t>
      </w:r>
    </w:p>
    <w:p>
      <w:pPr>
        <w:spacing w:after="0" w:line="178" w:lineRule="exact"/>
        <w:rPr>
          <w:rFonts w:ascii="Times New Roman" w:cs="Times New Roman" w:eastAsia="Times New Roman" w:hAnsi="Times New Roman"/>
          <w:sz w:val="22"/>
          <w:szCs w:val="22"/>
          <w:color w:val="auto"/>
        </w:rPr>
      </w:pPr>
    </w:p>
    <w:p>
      <w:pPr>
        <w:ind w:left="-757" w:right="40" w:firstLine="757"/>
        <w:spacing w:after="0" w:line="234" w:lineRule="auto"/>
        <w:tabs>
          <w:tab w:leader="none" w:pos="262"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 Pay and Benefits Upon Termination by the Company without Cause or by Executive for Good Reason</w:t>
      </w:r>
      <w:r>
        <w:rPr>
          <w:rFonts w:ascii="Times New Roman" w:cs="Times New Roman" w:eastAsia="Times New Roman" w:hAnsi="Times New Roman"/>
          <w:sz w:val="22"/>
          <w:szCs w:val="22"/>
          <w:color w:val="auto"/>
        </w:rPr>
        <w:t xml:space="preserve">. If Executive’s employment is terminated by the Company without Cause as provided in Section 3(d), or Executive terminates employment for Good Reason as provided in Section 3(e), then, in addition to the Accrued Obligations, and subject to (i) Executive signing and allowing to become effective a separation agreement and release in a form substantially the same as set forth in </w:t>
      </w:r>
      <w:r>
        <w:rPr>
          <w:rFonts w:ascii="Times New Roman" w:cs="Times New Roman" w:eastAsia="Times New Roman" w:hAnsi="Times New Roman"/>
          <w:sz w:val="22"/>
          <w:szCs w:val="22"/>
          <w:u w:val="single" w:color="auto"/>
          <w:color w:val="auto"/>
        </w:rPr>
        <w:t>Appendix B</w:t>
      </w:r>
      <w:r>
        <w:rPr>
          <w:rFonts w:ascii="Times New Roman" w:cs="Times New Roman" w:eastAsia="Times New Roman" w:hAnsi="Times New Roman"/>
          <w:sz w:val="22"/>
          <w:szCs w:val="22"/>
          <w:color w:val="auto"/>
        </w:rPr>
        <w:t xml:space="preserve"> to this Agreement (the “</w:t>
      </w:r>
      <w:r>
        <w:rPr>
          <w:rFonts w:ascii="Times New Roman" w:cs="Times New Roman" w:eastAsia="Times New Roman" w:hAnsi="Times New Roman"/>
          <w:sz w:val="22"/>
          <w:szCs w:val="22"/>
          <w:b w:val="1"/>
          <w:bCs w:val="1"/>
          <w:i w:val="1"/>
          <w:iCs w:val="1"/>
          <w:u w:val="single" w:color="auto"/>
          <w:color w:val="auto"/>
        </w:rPr>
        <w:t>Separation Agreement</w:t>
      </w:r>
      <w:r>
        <w:rPr>
          <w:rFonts w:ascii="Times New Roman" w:cs="Times New Roman" w:eastAsia="Times New Roman" w:hAnsi="Times New Roman"/>
          <w:sz w:val="22"/>
          <w:szCs w:val="22"/>
          <w:color w:val="auto"/>
        </w:rPr>
        <w:t>”), which provides that if Executive materially breaches any of the Continuing Obligations, all payments of the Severance Amount shall immediately cease, and (ii) the Separation Agreement becoming irrevocable, all within sixty (60) days after the Date of Termination (or such shorter period as set forth in the Separation Agreement):</w:t>
      </w:r>
    </w:p>
    <w:p>
      <w:pPr>
        <w:spacing w:after="0" w:line="184" w:lineRule="exact"/>
        <w:rPr>
          <w:rFonts w:ascii="Times New Roman" w:cs="Times New Roman" w:eastAsia="Times New Roman" w:hAnsi="Times New Roman"/>
          <w:sz w:val="22"/>
          <w:szCs w:val="22"/>
          <w:color w:val="auto"/>
        </w:rPr>
      </w:pPr>
    </w:p>
    <w:p>
      <w:pPr>
        <w:ind w:left="-757" w:right="120" w:firstLine="1505"/>
        <w:spacing w:after="0" w:line="236" w:lineRule="auto"/>
        <w:tabs>
          <w:tab w:leader="none" w:pos="1280" w:val="left"/>
        </w:tabs>
        <w:numPr>
          <w:ilvl w:val="1"/>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 Severance</w:t>
      </w:r>
      <w:r>
        <w:rPr>
          <w:rFonts w:ascii="Times New Roman" w:cs="Times New Roman" w:eastAsia="Times New Roman" w:hAnsi="Times New Roman"/>
          <w:sz w:val="22"/>
          <w:szCs w:val="22"/>
          <w:color w:val="auto"/>
        </w:rPr>
        <w:t>. The Company shall pay Executive an amount equal to nine (9) months’ of Executive’s Base Salary (the “</w:t>
      </w:r>
      <w:r>
        <w:rPr>
          <w:rFonts w:ascii="Times New Roman" w:cs="Times New Roman" w:eastAsia="Times New Roman" w:hAnsi="Times New Roman"/>
          <w:sz w:val="22"/>
          <w:szCs w:val="22"/>
          <w:b w:val="1"/>
          <w:bCs w:val="1"/>
          <w:i w:val="1"/>
          <w:iCs w:val="1"/>
          <w:u w:val="single" w:color="auto"/>
          <w:color w:val="auto"/>
        </w:rPr>
        <w:t>Severance Amount</w:t>
      </w:r>
      <w:r>
        <w:rPr>
          <w:rFonts w:ascii="Times New Roman" w:cs="Times New Roman" w:eastAsia="Times New Roman" w:hAnsi="Times New Roman"/>
          <w:sz w:val="22"/>
          <w:szCs w:val="22"/>
          <w:color w:val="auto"/>
        </w:rPr>
        <w:t>”) and, in the event that Executive’s employment is terminated after the end of the calendar year but prior to the payment of any Annual Bonus for the immediately preceding calendar year, Executive shall be entitled to receive a lump sum payment of any unpaid Annual Bonus that Executive would otherwise have been eligible for based on achievement of the applicable performance goals and objectives, without any reduction for individual performance, with respect to such immediately preceding calendar year (the “</w:t>
      </w:r>
      <w:r>
        <w:rPr>
          <w:rFonts w:ascii="Times New Roman" w:cs="Times New Roman" w:eastAsia="Times New Roman" w:hAnsi="Times New Roman"/>
          <w:sz w:val="22"/>
          <w:szCs w:val="22"/>
          <w:b w:val="1"/>
          <w:bCs w:val="1"/>
          <w:i w:val="1"/>
          <w:iCs w:val="1"/>
          <w:u w:val="single" w:color="auto"/>
          <w:color w:val="auto"/>
        </w:rPr>
        <w:t>Earned Bonus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757" w:right="180" w:firstLine="1505"/>
        <w:spacing w:after="0" w:line="233" w:lineRule="auto"/>
        <w:tabs>
          <w:tab w:leader="none" w:pos="1280" w:val="left"/>
        </w:tabs>
        <w:numPr>
          <w:ilvl w:val="1"/>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COBRA Premiums</w:t>
      </w:r>
      <w:r>
        <w:rPr>
          <w:rFonts w:ascii="Times New Roman" w:cs="Times New Roman" w:eastAsia="Times New Roman" w:hAnsi="Times New Roman"/>
          <w:sz w:val="22"/>
          <w:szCs w:val="22"/>
          <w:color w:val="auto"/>
        </w:rPr>
        <w:t>. Subject to Executive’s copayment of premium amounts at the applicable active employees’ rate and Executive’s proper election to receive benefits under the Consolidated Omnibus Budget Reconciliation Act of 1985, as amended (“</w:t>
      </w:r>
      <w:r>
        <w:rPr>
          <w:rFonts w:ascii="Times New Roman" w:cs="Times New Roman" w:eastAsia="Times New Roman" w:hAnsi="Times New Roman"/>
          <w:sz w:val="22"/>
          <w:szCs w:val="22"/>
          <w:b w:val="1"/>
          <w:bCs w:val="1"/>
          <w:i w:val="1"/>
          <w:iCs w:val="1"/>
          <w:u w:val="single" w:color="auto"/>
          <w:color w:val="auto"/>
        </w:rPr>
        <w:t>COBRA</w:t>
      </w:r>
      <w:r>
        <w:rPr>
          <w:rFonts w:ascii="Times New Roman" w:cs="Times New Roman" w:eastAsia="Times New Roman" w:hAnsi="Times New Roman"/>
          <w:sz w:val="22"/>
          <w:szCs w:val="22"/>
          <w:color w:val="auto"/>
        </w:rPr>
        <w:t>”), the Company shall pay to the group health plan provider or the COBRA provider a monthly payment equal to the monthly employer contribution that the Company would have made to provide health insurance to Executive if Executive had remained employed by the Company until the earliest of (A) the nine (9) month anniversary of the Date of Termination; (B) the date that Executive becomes eligible for group medical plan benefits under any other employer’s group medical plan; or (C) the cessation of Executive’s health continuation rights under COBRA; provided, however, that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Executive for the time period specified above. Such payments to Executive shall be subject to tax-related deductions and withholdings and paid on the Company’s regular payroll dates.</w:t>
      </w:r>
    </w:p>
    <w:p>
      <w:pPr>
        <w:spacing w:after="0" w:line="181" w:lineRule="exact"/>
        <w:rPr>
          <w:rFonts w:ascii="Times New Roman" w:cs="Times New Roman" w:eastAsia="Times New Roman" w:hAnsi="Times New Roman"/>
          <w:sz w:val="22"/>
          <w:szCs w:val="22"/>
          <w:color w:val="auto"/>
        </w:rPr>
      </w:pPr>
    </w:p>
    <w:p>
      <w:pPr>
        <w:ind w:left="-757" w:firstLine="1505"/>
        <w:spacing w:after="0" w:line="239" w:lineRule="auto"/>
        <w:tabs>
          <w:tab w:leader="none" w:pos="1280" w:val="left"/>
        </w:tabs>
        <w:numPr>
          <w:ilvl w:val="1"/>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Delayed Forfeiture of Time-Based Equity Awards</w:t>
      </w:r>
      <w:r>
        <w:rPr>
          <w:rFonts w:ascii="Times New Roman" w:cs="Times New Roman" w:eastAsia="Times New Roman" w:hAnsi="Times New Roman"/>
          <w:sz w:val="22"/>
          <w:szCs w:val="22"/>
          <w:color w:val="auto"/>
        </w:rPr>
        <w:t>. Notwithstanding anything to the contrary in any Time-Based Equity Awards, if the Separation Agreement becomes effective, the unvested portions of all Time-Based Equity Awards shall not terminate or be forfeited on the Date of Termination, but rather shall remain outstanding until 3 months after the Date of Termination (the “</w:t>
      </w:r>
      <w:r>
        <w:rPr>
          <w:rFonts w:ascii="Times New Roman" w:cs="Times New Roman" w:eastAsia="Times New Roman" w:hAnsi="Times New Roman"/>
          <w:sz w:val="22"/>
          <w:szCs w:val="22"/>
          <w:b w:val="1"/>
          <w:bCs w:val="1"/>
          <w:i w:val="1"/>
          <w:iCs w:val="1"/>
          <w:u w:val="single" w:color="auto"/>
          <w:color w:val="auto"/>
        </w:rPr>
        <w:t>Pre-CIC Protection Period</w:t>
      </w:r>
      <w:r>
        <w:rPr>
          <w:rFonts w:ascii="Times New Roman" w:cs="Times New Roman" w:eastAsia="Times New Roman" w:hAnsi="Times New Roman"/>
          <w:sz w:val="22"/>
          <w:szCs w:val="22"/>
          <w:color w:val="auto"/>
        </w:rPr>
        <w:t>”). If the Company has not, prior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1009015</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07" w:right="339" w:bottom="1440" w:gutter="0" w:footer="0" w:header="0"/>
        </w:sectPr>
      </w:pPr>
    </w:p>
    <w:bookmarkStart w:id="276" w:name="page277"/>
    <w:bookmarkEnd w:id="276"/>
    <w:p>
      <w:pPr>
        <w:ind w:right="80"/>
        <w:spacing w:after="0" w:line="257" w:lineRule="auto"/>
        <w:rPr>
          <w:sz w:val="20"/>
          <w:szCs w:val="20"/>
          <w:color w:val="auto"/>
        </w:rPr>
      </w:pPr>
      <w:r>
        <w:rPr>
          <w:rFonts w:ascii="Times New Roman" w:cs="Times New Roman" w:eastAsia="Times New Roman" w:hAnsi="Times New Roman"/>
          <w:sz w:val="20"/>
          <w:szCs w:val="20"/>
          <w:color w:val="auto"/>
        </w:rPr>
        <w:t>end of the Pre-CIC Protection Period, entered into a definitive agreement that, if closed, would result in a Change in Control (a “</w:t>
      </w:r>
      <w:r>
        <w:rPr>
          <w:rFonts w:ascii="Times New Roman" w:cs="Times New Roman" w:eastAsia="Times New Roman" w:hAnsi="Times New Roman"/>
          <w:sz w:val="20"/>
          <w:szCs w:val="20"/>
          <w:b w:val="1"/>
          <w:bCs w:val="1"/>
          <w:i w:val="1"/>
          <w:iCs w:val="1"/>
          <w:u w:val="single" w:color="auto"/>
          <w:color w:val="auto"/>
        </w:rPr>
        <w:t>P&amp;S Agreement</w:t>
      </w:r>
      <w:r>
        <w:rPr>
          <w:rFonts w:ascii="Times New Roman" w:cs="Times New Roman" w:eastAsia="Times New Roman" w:hAnsi="Times New Roman"/>
          <w:sz w:val="20"/>
          <w:szCs w:val="20"/>
          <w:color w:val="auto"/>
        </w:rPr>
        <w:t>”), then the unvested portion of the Time-Based Equity Awards shall terminate and be forfeited as of the end of the Pre-CIC Protection Period.. If the Company, prior to the end of the Pre-CIC Protection Period, enters into a P&amp;S Agreement, then the Time-Based Equity Awards shall remain outstanding and become fully vested upon a Change in Control resulting from such agreement, and all such awards that are assumed or continued in the Change in Control resulting from such agreement, and all such awards that are assumed or continued in the Change in Control transaction shall remain outstanding until the later of (i) the end of the Pre-CIC Protection Period and (ii) ninety (90) days after such Change in Control. Unvested Time-Based Equity Awards shall terminate and be forfeited if the Company abandons a sale of the Company as contemplated under the P&amp;S Agreement entered into during the Pre-CIC Protection Period. No additional vesting of the Time-Based Equity Awards shall occur following the Date of Termination except on account of a Change in Control during or after the Pre-CIC Protection Period as specifically provided above. For the avoidance of doubt, any unvested Performance-Based Equity Awards shall terminate and be forfeited on the Date of Termination unless otherwise provided by the terms of the Plan or the applicable award agreement. Notwithstanding anything herein to the contrary, no Time-Based Awards shall remain outstanding following the original expiration date of such award, as set forth in the applicable award agreement.</w:t>
      </w:r>
    </w:p>
    <w:p>
      <w:pPr>
        <w:spacing w:after="0" w:line="200" w:lineRule="exact"/>
        <w:rPr>
          <w:sz w:val="20"/>
          <w:szCs w:val="20"/>
          <w:color w:val="auto"/>
        </w:rPr>
      </w:pPr>
    </w:p>
    <w:p>
      <w:pPr>
        <w:spacing w:after="0" w:line="212" w:lineRule="exact"/>
        <w:rPr>
          <w:sz w:val="20"/>
          <w:szCs w:val="20"/>
          <w:color w:val="auto"/>
        </w:rPr>
      </w:pPr>
    </w:p>
    <w:p>
      <w:pPr>
        <w:ind w:right="20" w:firstLine="1505"/>
        <w:spacing w:after="0" w:line="234" w:lineRule="auto"/>
        <w:tabs>
          <w:tab w:leader="none" w:pos="2037" w:val="left"/>
        </w:tabs>
        <w:numPr>
          <w:ilvl w:val="2"/>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 Payment Timing</w:t>
      </w:r>
      <w:r>
        <w:rPr>
          <w:rFonts w:ascii="Times New Roman" w:cs="Times New Roman" w:eastAsia="Times New Roman" w:hAnsi="Times New Roman"/>
          <w:sz w:val="22"/>
          <w:szCs w:val="22"/>
          <w:color w:val="auto"/>
        </w:rPr>
        <w:t>. The amounts payable under Section 5, (other than the Earned Bonus, as applicable), to the extent taxable, shall be paid or commence to be paid within thirty (30) days after the Date of Termination (or such longer period as required in order to have an enforceable release, but in no event later than seventy (70) days after the Date of Termination); provided, however, that if the period applicable to Executive’s termination of employment begins in one calendar year and ends in a second calendar year, such payments to the extent they qualify as “non-qualified deferred compensation” within the meaning of Section 409A of the Internal Revenue Code of 1986, as amended (the “</w:t>
      </w:r>
      <w:r>
        <w:rPr>
          <w:rFonts w:ascii="Times New Roman" w:cs="Times New Roman" w:eastAsia="Times New Roman" w:hAnsi="Times New Roman"/>
          <w:sz w:val="22"/>
          <w:szCs w:val="22"/>
          <w:b w:val="1"/>
          <w:bCs w:val="1"/>
          <w:i w:val="1"/>
          <w:iCs w:val="1"/>
          <w:u w:val="single" w:color="auto"/>
          <w:color w:val="auto"/>
        </w:rPr>
        <w:t>Code</w:t>
      </w:r>
      <w:r>
        <w:rPr>
          <w:rFonts w:ascii="Times New Roman" w:cs="Times New Roman" w:eastAsia="Times New Roman" w:hAnsi="Times New Roman"/>
          <w:sz w:val="22"/>
          <w:szCs w:val="22"/>
          <w:color w:val="auto"/>
        </w:rPr>
        <w:t>”), shall be paid or commence to be paid in the second calendar year by the last day of such period. The Severance Amount shall be paid in a single lump sum and the Earned Bonus, if any, shall be paid at the same time as if Executive had remained employed with the Company through the payment date.</w:t>
      </w:r>
    </w:p>
    <w:p>
      <w:pPr>
        <w:spacing w:after="0" w:line="180" w:lineRule="exact"/>
        <w:rPr>
          <w:rFonts w:ascii="Times New Roman" w:cs="Times New Roman" w:eastAsia="Times New Roman" w:hAnsi="Times New Roman"/>
          <w:sz w:val="22"/>
          <w:szCs w:val="22"/>
          <w:color w:val="auto"/>
        </w:rPr>
      </w:pPr>
    </w:p>
    <w:p>
      <w:pPr>
        <w:ind w:right="20" w:firstLine="757"/>
        <w:spacing w:after="0" w:line="258" w:lineRule="auto"/>
        <w:tabs>
          <w:tab w:leader="none" w:pos="1018" w:val="left"/>
        </w:tabs>
        <w:numPr>
          <w:ilvl w:val="1"/>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Severance Pay and Benefits Upon Termination by the Company without Cause or by Executive for Good Reason within the Change in Control Period</w:t>
      </w:r>
      <w:r>
        <w:rPr>
          <w:rFonts w:ascii="Times New Roman" w:cs="Times New Roman" w:eastAsia="Times New Roman" w:hAnsi="Times New Roman"/>
          <w:sz w:val="20"/>
          <w:szCs w:val="20"/>
          <w:color w:val="auto"/>
        </w:rPr>
        <w:t>. The provisions of this Section 6 shall apply in lieu of, and expressly supersede, the provisions of Section 5 if (i) Executive’s employment is terminated either (a) by the Company without Cause as provided in Section 3(d), or (b) by Executive for Good Reason as provided in Section 3(e), and (ii) the Date of Termination is during the Change in Control Period. The “</w:t>
      </w:r>
      <w:r>
        <w:rPr>
          <w:rFonts w:ascii="Times New Roman" w:cs="Times New Roman" w:eastAsia="Times New Roman" w:hAnsi="Times New Roman"/>
          <w:sz w:val="20"/>
          <w:szCs w:val="20"/>
          <w:b w:val="1"/>
          <w:bCs w:val="1"/>
          <w:i w:val="1"/>
          <w:iCs w:val="1"/>
          <w:u w:val="single" w:color="auto"/>
          <w:color w:val="auto"/>
        </w:rPr>
        <w:t>Change in Control Period</w:t>
      </w:r>
      <w:r>
        <w:rPr>
          <w:rFonts w:ascii="Times New Roman" w:cs="Times New Roman" w:eastAsia="Times New Roman" w:hAnsi="Times New Roman"/>
          <w:sz w:val="20"/>
          <w:szCs w:val="20"/>
          <w:color w:val="auto"/>
        </w:rPr>
        <w:t>” shall begin on the earlier of (a) the signing of a P&amp;S Agreement and</w:t>
      </w:r>
    </w:p>
    <w:p>
      <w:pPr>
        <w:spacing w:after="0" w:line="1" w:lineRule="exact"/>
        <w:rPr>
          <w:rFonts w:ascii="Times New Roman" w:cs="Times New Roman" w:eastAsia="Times New Roman" w:hAnsi="Times New Roman"/>
          <w:sz w:val="20"/>
          <w:szCs w:val="20"/>
          <w:color w:val="auto"/>
        </w:rPr>
      </w:pPr>
    </w:p>
    <w:p>
      <w:pPr>
        <w:ind w:firstLine="8"/>
        <w:spacing w:after="0" w:line="232" w:lineRule="auto"/>
        <w:tabs>
          <w:tab w:leader="none" w:pos="306"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that is 3 months prior to the closing of a Change in Control and shall end on the date that is twelve (12) months after the occurrence of the first event constituting a Change in Control. These provisions shall terminate and be of no further force or effect after the Change in Control Period. In no event will Executive be entitled to severance benefits under both Section 5 and Section 6 of this Agreement. If the Company has commenced providing severance pay and benefits to Executive under Section 5 prior to the date that Executive becomes eligible to receive severance pay and benefits under this Section 6, the severance pay and benefits previously provided to Executive under Section 5 shall reduce the severance pay and benefits to be provided under this Section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1009015</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77" w:name="page278"/>
    <w:bookmarkEnd w:id="277"/>
    <w:p>
      <w:pPr>
        <w:spacing w:after="0" w:line="237" w:lineRule="auto"/>
        <w:rPr>
          <w:sz w:val="20"/>
          <w:szCs w:val="20"/>
          <w:color w:val="auto"/>
        </w:rPr>
      </w:pPr>
      <w:r>
        <w:rPr>
          <w:rFonts w:ascii="Times New Roman" w:cs="Times New Roman" w:eastAsia="Times New Roman" w:hAnsi="Times New Roman"/>
          <w:sz w:val="22"/>
          <w:szCs w:val="22"/>
          <w:color w:val="auto"/>
        </w:rPr>
        <w:t>If Executive’s employment is terminated by the Company without Cause as provided in Section 3(d) or Executive terminates employment for Good Reason as provided in Section 3(e) and in each case the Date of Termination occurs during the Change in Control Period, then, in addition to the Accrued Obligations, and subject to the signing of the Separation Agreement by Executive and the Separation Agreement becoming fully effective, all within the time frame set forth in the Separation Agreement but in no event more than sixty (60) days after the Date of Termination:</w:t>
      </w:r>
    </w:p>
    <w:p>
      <w:pPr>
        <w:spacing w:after="0" w:line="180" w:lineRule="exact"/>
        <w:rPr>
          <w:sz w:val="20"/>
          <w:szCs w:val="20"/>
          <w:color w:val="auto"/>
        </w:rPr>
      </w:pPr>
    </w:p>
    <w:p>
      <w:pPr>
        <w:ind w:left="2040" w:hanging="535"/>
        <w:spacing w:after="0"/>
        <w:tabs>
          <w:tab w:leader="none" w:pos="2040" w:val="left"/>
        </w:tabs>
        <w:numPr>
          <w:ilvl w:val="1"/>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 Severance</w:t>
      </w:r>
      <w:r>
        <w:rPr>
          <w:rFonts w:ascii="Times New Roman" w:cs="Times New Roman" w:eastAsia="Times New Roman" w:hAnsi="Times New Roman"/>
          <w:sz w:val="20"/>
          <w:szCs w:val="20"/>
          <w:color w:val="auto"/>
        </w:rPr>
        <w:t>. The Company shall pay Executive a lump sum in cash in an amount equal to the sum of</w:t>
      </w:r>
    </w:p>
    <w:p>
      <w:pPr>
        <w:spacing w:after="0" w:line="36" w:lineRule="exact"/>
        <w:rPr>
          <w:rFonts w:ascii="Times New Roman" w:cs="Times New Roman" w:eastAsia="Times New Roman" w:hAnsi="Times New Roman"/>
          <w:sz w:val="20"/>
          <w:szCs w:val="20"/>
          <w:color w:val="auto"/>
        </w:rPr>
      </w:pPr>
    </w:p>
    <w:p>
      <w:pPr>
        <w:ind w:right="180" w:firstLine="8"/>
        <w:spacing w:after="0" w:line="233" w:lineRule="auto"/>
        <w:tabs>
          <w:tab w:leader="none" w:pos="353"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twelve (12) months’ of Executive’s then-current Base Salary (or Executive’s Base Salary in effect immediately prior to the Change in Control, if higher), and (B) Executive’s Target Bonus for the then-current year (or Executive’s Target Bonus in effect immediately prior to the Change in Control, if higher), plus, if applicable, any Earned Bonus (the “</w:t>
      </w:r>
      <w:r>
        <w:rPr>
          <w:rFonts w:ascii="Times New Roman" w:cs="Times New Roman" w:eastAsia="Times New Roman" w:hAnsi="Times New Roman"/>
          <w:sz w:val="22"/>
          <w:szCs w:val="22"/>
          <w:b w:val="1"/>
          <w:bCs w:val="1"/>
          <w:i w:val="1"/>
          <w:iCs w:val="1"/>
          <w:u w:val="single" w:color="auto"/>
          <w:color w:val="auto"/>
        </w:rPr>
        <w:t>Change in Control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u w:val="single" w:color="auto"/>
          <w:color w:val="auto"/>
        </w:rPr>
        <w:t>Payment</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ind w:firstLine="1505"/>
        <w:spacing w:after="0" w:line="233" w:lineRule="auto"/>
        <w:tabs>
          <w:tab w:leader="none" w:pos="2037" w:val="left"/>
        </w:tabs>
        <w:numPr>
          <w:ilvl w:val="1"/>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COBRA Premiums</w:t>
      </w:r>
      <w:r>
        <w:rPr>
          <w:rFonts w:ascii="Times New Roman" w:cs="Times New Roman" w:eastAsia="Times New Roman" w:hAnsi="Times New Roman"/>
          <w:sz w:val="22"/>
          <w:szCs w:val="22"/>
          <w:color w:val="auto"/>
        </w:rPr>
        <w:t>. Subject to Executive’s copayment of premium amounts at the applicable active employees’ rate and Executive’s proper election to receive benefits under COBRA, the Company shall pay to the group health plan provider or the COBRA provider a monthly payment equal to the monthly employer contribution that the Company would have made to provide health insurance to Executive if Executive had remained employed by the Company until the earliest of (A) the twelve (12) month anniversary of the Date of Termination; (B) the date that Executive becomes eligible for group medical plan benefits under any other employer’s group medical plan; or (C) the cessation of Executive’s health continuation rights under COBRA; provided, however, that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Executive for the time period specified above. Such payments to Executive shall be subject to tax-related deductions and withholdings and paid on the Company’s regular payroll dates.</w:t>
      </w:r>
    </w:p>
    <w:p>
      <w:pPr>
        <w:spacing w:after="0" w:line="184" w:lineRule="exact"/>
        <w:rPr>
          <w:rFonts w:ascii="Times New Roman" w:cs="Times New Roman" w:eastAsia="Times New Roman" w:hAnsi="Times New Roman"/>
          <w:sz w:val="22"/>
          <w:szCs w:val="22"/>
          <w:color w:val="auto"/>
        </w:rPr>
      </w:pPr>
    </w:p>
    <w:p>
      <w:pPr>
        <w:ind w:right="60" w:firstLine="1505"/>
        <w:spacing w:after="0" w:line="259" w:lineRule="auto"/>
        <w:tabs>
          <w:tab w:leader="none" w:pos="2037" w:val="left"/>
        </w:tabs>
        <w:numPr>
          <w:ilvl w:val="1"/>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Accelerated Vesting of Equity Awards</w:t>
      </w:r>
      <w:r>
        <w:rPr>
          <w:rFonts w:ascii="Times New Roman" w:cs="Times New Roman" w:eastAsia="Times New Roman" w:hAnsi="Times New Roman"/>
          <w:sz w:val="20"/>
          <w:szCs w:val="20"/>
          <w:color w:val="auto"/>
        </w:rPr>
        <w:t>. Notwithstanding anything to the contrary in any Equity Award, the Time-Based Equity Awards shall immediately accelerate and become fully vested and exercisable or nonforfeitable as if Executive had remained employed with the Company as of the later of (i) the Date of Termination (or, if later, the Change in Control) or (ii) the effective date of the Separation Agreement (the “</w:t>
      </w:r>
      <w:r>
        <w:rPr>
          <w:rFonts w:ascii="Times New Roman" w:cs="Times New Roman" w:eastAsia="Times New Roman" w:hAnsi="Times New Roman"/>
          <w:sz w:val="20"/>
          <w:szCs w:val="20"/>
          <w:b w:val="1"/>
          <w:bCs w:val="1"/>
          <w:i w:val="1"/>
          <w:iCs w:val="1"/>
          <w:u w:val="single" w:color="auto"/>
          <w:color w:val="auto"/>
        </w:rPr>
        <w:t>Accelerated Vesting Date</w:t>
      </w:r>
      <w:r>
        <w:rPr>
          <w:rFonts w:ascii="Times New Roman" w:cs="Times New Roman" w:eastAsia="Times New Roman" w:hAnsi="Times New Roman"/>
          <w:sz w:val="20"/>
          <w:szCs w:val="20"/>
          <w:color w:val="auto"/>
        </w:rPr>
        <w:t>”), provided that in order to effectuate the accelerated vesting contemplated by this subsection, the unvested portion of such Equity Awards that would otherwise terminate or be forfeited on the Date of Termination will be delayed until the earlier of (A) the effective date of the Separation Agreement (at which time acceleration will occur), or (B) the date that the Separation Agreement can no longer become fully effective (at which time the unvested portion of Executive’s Time-Based Equity Awards will terminate or be forfeited). Notwithstanding the foregoing, no additional time-based vesting of the Time-Based Equity Awards shall occur during the period between the Date of Termination and the Accelerated Vesting Date except as specifically provided in this Section 6(c).</w:t>
      </w:r>
    </w:p>
    <w:p>
      <w:pPr>
        <w:spacing w:after="0" w:line="161" w:lineRule="exact"/>
        <w:rPr>
          <w:rFonts w:ascii="Times New Roman" w:cs="Times New Roman" w:eastAsia="Times New Roman" w:hAnsi="Times New Roman"/>
          <w:sz w:val="20"/>
          <w:szCs w:val="20"/>
          <w:color w:val="auto"/>
        </w:rPr>
      </w:pPr>
    </w:p>
    <w:p>
      <w:pPr>
        <w:ind w:right="280" w:firstLine="1505"/>
        <w:spacing w:after="0" w:line="244" w:lineRule="auto"/>
        <w:tabs>
          <w:tab w:leader="none" w:pos="2037" w:val="left"/>
        </w:tabs>
        <w:numPr>
          <w:ilvl w:val="1"/>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 Payment Timing</w:t>
      </w:r>
      <w:r>
        <w:rPr>
          <w:rFonts w:ascii="Times New Roman" w:cs="Times New Roman" w:eastAsia="Times New Roman" w:hAnsi="Times New Roman"/>
          <w:sz w:val="22"/>
          <w:szCs w:val="22"/>
          <w:color w:val="auto"/>
        </w:rPr>
        <w:t>. The amounts payable under this Section 6, to the extent taxable, shall be paid or commence to be paid within seventy (70) days after the Date of Termination or, if later, the Change in Control; provided, however, that if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7" w:right="359" w:bottom="1440" w:gutter="0" w:footer="0" w:header="0"/>
        </w:sectPr>
      </w:pPr>
    </w:p>
    <w:bookmarkStart w:id="278" w:name="page279"/>
    <w:bookmarkEnd w:id="278"/>
    <w:p>
      <w:pPr>
        <w:jc w:val="both"/>
        <w:ind w:right="200"/>
        <w:spacing w:after="0" w:line="244" w:lineRule="auto"/>
        <w:rPr>
          <w:sz w:val="20"/>
          <w:szCs w:val="20"/>
          <w:color w:val="auto"/>
        </w:rPr>
      </w:pPr>
      <w:r>
        <w:rPr>
          <w:rFonts w:ascii="Times New Roman" w:cs="Times New Roman" w:eastAsia="Times New Roman" w:hAnsi="Times New Roman"/>
          <w:sz w:val="22"/>
          <w:szCs w:val="22"/>
          <w:color w:val="auto"/>
        </w:rPr>
        <w:t>60-day period begins in one calendar year and ends in a second calendar year, such payments to the extent they qualify as “non-qualified deferred compensation” within the meaning of Section 409A of the Code, shall be paid or commence to be paid in the second calendar year by the last day of such 60-day period.</w:t>
      </w:r>
    </w:p>
    <w:p>
      <w:pPr>
        <w:spacing w:after="0" w:line="172" w:lineRule="exact"/>
        <w:rPr>
          <w:sz w:val="20"/>
          <w:szCs w:val="20"/>
          <w:color w:val="auto"/>
        </w:rPr>
      </w:pPr>
    </w:p>
    <w:p>
      <w:pPr>
        <w:ind w:left="1020" w:hanging="263"/>
        <w:spacing w:after="0"/>
        <w:tabs>
          <w:tab w:leader="none" w:pos="1020" w:val="left"/>
        </w:tabs>
        <w:numPr>
          <w:ilvl w:val="0"/>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280G Limitation</w:t>
      </w:r>
      <w:r>
        <w:rPr>
          <w:rFonts w:ascii="Times New Roman" w:cs="Times New Roman" w:eastAsia="Times New Roman" w:hAnsi="Times New Roman"/>
          <w:sz w:val="22"/>
          <w:szCs w:val="22"/>
          <w:color w:val="auto"/>
        </w:rPr>
        <w:t>.</w:t>
      </w:r>
    </w:p>
    <w:p>
      <w:pPr>
        <w:spacing w:after="0" w:line="205" w:lineRule="exact"/>
        <w:rPr>
          <w:rFonts w:ascii="Times New Roman" w:cs="Times New Roman" w:eastAsia="Times New Roman" w:hAnsi="Times New Roman"/>
          <w:sz w:val="22"/>
          <w:szCs w:val="22"/>
          <w:color w:val="auto"/>
        </w:rPr>
      </w:pPr>
    </w:p>
    <w:p>
      <w:pPr>
        <w:ind w:right="120" w:firstLine="1505"/>
        <w:spacing w:after="0" w:line="232" w:lineRule="auto"/>
        <w:tabs>
          <w:tab w:leader="none" w:pos="2037" w:val="left"/>
        </w:tabs>
        <w:numPr>
          <w:ilvl w:val="1"/>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Anything in this Agreement to the contrary notwithstanding, in the event that the amount of any compensation, payment or distribution by the Company to or for the benefit of Executive, whether paid or payable or distributed or distributable pursuant to the terms of this Agreement or otherwise, calculated in a manner consistent with Section 280G of the Code, and the applicable regulations thereunder (the “</w:t>
      </w:r>
      <w:r>
        <w:rPr>
          <w:rFonts w:ascii="Times New Roman" w:cs="Times New Roman" w:eastAsia="Times New Roman" w:hAnsi="Times New Roman"/>
          <w:sz w:val="22"/>
          <w:szCs w:val="22"/>
          <w:b w:val="1"/>
          <w:bCs w:val="1"/>
          <w:i w:val="1"/>
          <w:iCs w:val="1"/>
          <w:u w:val="single" w:color="auto"/>
          <w:color w:val="auto"/>
        </w:rPr>
        <w:t>Aggregate Payments</w:t>
      </w:r>
      <w:r>
        <w:rPr>
          <w:rFonts w:ascii="Times New Roman" w:cs="Times New Roman" w:eastAsia="Times New Roman" w:hAnsi="Times New Roman"/>
          <w:sz w:val="22"/>
          <w:szCs w:val="22"/>
          <w:color w:val="auto"/>
        </w:rPr>
        <w:t>”), would be subject to the excise tax imposed by Section 4999 of the Code, then the Aggregate Payments shall be reduced (but not below zero) so that the sum of all of the Aggregate Payments shall be $1.00 less than the amount at which Executive becomes subject to the excise tax imposed by Section 4999 of the Code; provided that such reduction shall only occur if it would result in Executive receiving a higher After Tax Amount (as defined below) than Executive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(1) cash payments not subject to Section 409A of the Code; (2) cash payments subject to Section 409A of the Code; (3) equity-based payments and acceleration; and (4) non-cash forms of benefits; provided that in the case of all the foregoing Aggregate Payments all amounts or payments that are not subject to calculation under Treas. Reg. §1.280G-1, Q&amp;A-24(b) or (c) shall be reduced before any amounts that are subject to calculation under Treas. Reg. §1.280G-1, Q&amp;A-24(b) or (c).</w:t>
      </w:r>
    </w:p>
    <w:p>
      <w:pPr>
        <w:spacing w:after="0" w:line="182" w:lineRule="exact"/>
        <w:rPr>
          <w:rFonts w:ascii="Times New Roman" w:cs="Times New Roman" w:eastAsia="Times New Roman" w:hAnsi="Times New Roman"/>
          <w:sz w:val="22"/>
          <w:szCs w:val="22"/>
          <w:color w:val="auto"/>
        </w:rPr>
      </w:pPr>
    </w:p>
    <w:p>
      <w:pPr>
        <w:ind w:right="200" w:firstLine="1505"/>
        <w:spacing w:after="0" w:line="236" w:lineRule="auto"/>
        <w:tabs>
          <w:tab w:leader="none" w:pos="2037" w:val="left"/>
        </w:tabs>
        <w:numPr>
          <w:ilvl w:val="1"/>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Section 7, the “</w:t>
      </w:r>
      <w:r>
        <w:rPr>
          <w:rFonts w:ascii="Times New Roman" w:cs="Times New Roman" w:eastAsia="Times New Roman" w:hAnsi="Times New Roman"/>
          <w:sz w:val="22"/>
          <w:szCs w:val="22"/>
          <w:b w:val="1"/>
          <w:bCs w:val="1"/>
          <w:i w:val="1"/>
          <w:iCs w:val="1"/>
          <w:u w:val="single" w:color="auto"/>
          <w:color w:val="auto"/>
        </w:rPr>
        <w:t>After Tax Amount</w:t>
      </w:r>
      <w:r>
        <w:rPr>
          <w:rFonts w:ascii="Times New Roman" w:cs="Times New Roman" w:eastAsia="Times New Roman" w:hAnsi="Times New Roman"/>
          <w:sz w:val="22"/>
          <w:szCs w:val="22"/>
          <w:color w:val="auto"/>
        </w:rPr>
        <w:t>” means the amount of the Aggregate Payments less all federal, state, and local income, excise and employment taxes imposed on Executive as a result of Executive’s receipt of the Aggregate Payments. For purposes of determining the After Tax Amount,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179" w:lineRule="exact"/>
        <w:rPr>
          <w:rFonts w:ascii="Times New Roman" w:cs="Times New Roman" w:eastAsia="Times New Roman" w:hAnsi="Times New Roman"/>
          <w:sz w:val="22"/>
          <w:szCs w:val="22"/>
          <w:color w:val="auto"/>
        </w:rPr>
      </w:pPr>
    </w:p>
    <w:p>
      <w:pPr>
        <w:ind w:firstLine="1505"/>
        <w:spacing w:after="0" w:line="234" w:lineRule="auto"/>
        <w:tabs>
          <w:tab w:leader="none" w:pos="2037" w:val="left"/>
        </w:tabs>
        <w:numPr>
          <w:ilvl w:val="1"/>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determining whether and the extent to which the Aggregate Payments will be subject to the excise tax, (i) no portion of the Aggregate Payments the receipt or enjoyment of which Executive shall have waived at such time and in such manner as not to constitute a “payment” within the meaning of Section 280G(b) of the Code shall be taken into account, (ii) no portion of the Aggregate Payments shall be taken into account which, in the written opinion of independent auditors or advisors of nationally recognized standing (“</w:t>
      </w:r>
      <w:r>
        <w:rPr>
          <w:rFonts w:ascii="Times New Roman" w:cs="Times New Roman" w:eastAsia="Times New Roman" w:hAnsi="Times New Roman"/>
          <w:sz w:val="22"/>
          <w:szCs w:val="22"/>
          <w:b w:val="1"/>
          <w:bCs w:val="1"/>
          <w:i w:val="1"/>
          <w:iCs w:val="1"/>
          <w:color w:val="auto"/>
        </w:rPr>
        <w:t>Independent Advisors</w:t>
      </w:r>
      <w:r>
        <w:rPr>
          <w:rFonts w:ascii="Times New Roman" w:cs="Times New Roman" w:eastAsia="Times New Roman" w:hAnsi="Times New Roman"/>
          <w:sz w:val="22"/>
          <w:szCs w:val="22"/>
          <w:color w:val="auto"/>
        </w:rPr>
        <w:t>”) selected by the Company prior to a Change in Control, does not constitute a “parachute payment” within the meaning of Section 280G(b)(2) of the Code (including by reason of Section 280G(b)(4)(A) of the Code) and, in calculating the excise tax, no portion of such Aggregate Payments shall be taken into account which, in the opinion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1012190</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79" w:name="page280"/>
    <w:bookmarkEnd w:id="279"/>
    <w:p>
      <w:pPr>
        <w:ind w:right="160"/>
        <w:spacing w:after="0" w:line="234" w:lineRule="auto"/>
        <w:rPr>
          <w:sz w:val="20"/>
          <w:szCs w:val="20"/>
          <w:color w:val="auto"/>
        </w:rPr>
      </w:pPr>
      <w:r>
        <w:rPr>
          <w:rFonts w:ascii="Times New Roman" w:cs="Times New Roman" w:eastAsia="Times New Roman" w:hAnsi="Times New Roman"/>
          <w:sz w:val="22"/>
          <w:szCs w:val="22"/>
          <w:color w:val="auto"/>
        </w:rPr>
        <w:t>Independent Advisors, constitutes reasonable compensation for services actually rendered, within the meaning of Section 280G(b)(4)(B) of the Code, in excess of the “base amount” (as defined in Section 280G(b)(3) of the Code) allocable to such reasonable compensation, and (iii) the value of any non-cash benefit or any deferred payment or benefit included in the Aggregate Payments shall be determined by the Independent Advisors in accordance with the principles of Sections 280G(d)(3) and (4) of the Code. The Independent Advisors shall provide detailed supporting calculations both to the Company and Executive within fifteen (15) business days of the Date of Termination, if applicable, or at such earlier time as is reasonably requested by the Company or Executive. Any determination by the Independent Advisors shall be binding upon the Company and Executive.</w:t>
      </w:r>
    </w:p>
    <w:p>
      <w:pPr>
        <w:spacing w:after="0" w:line="184" w:lineRule="exact"/>
        <w:rPr>
          <w:sz w:val="20"/>
          <w:szCs w:val="20"/>
          <w:color w:val="auto"/>
        </w:rPr>
      </w:pPr>
    </w:p>
    <w:p>
      <w:pPr>
        <w:ind w:left="1020" w:hanging="263"/>
        <w:spacing w:after="0"/>
        <w:tabs>
          <w:tab w:leader="none" w:pos="1020" w:val="left"/>
        </w:tabs>
        <w:numPr>
          <w:ilvl w:val="0"/>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w:t>
      </w:r>
    </w:p>
    <w:p>
      <w:pPr>
        <w:spacing w:after="0" w:line="205" w:lineRule="exact"/>
        <w:rPr>
          <w:rFonts w:ascii="Times New Roman" w:cs="Times New Roman" w:eastAsia="Times New Roman" w:hAnsi="Times New Roman"/>
          <w:sz w:val="22"/>
          <w:szCs w:val="22"/>
          <w:color w:val="auto"/>
        </w:rPr>
      </w:pPr>
    </w:p>
    <w:p>
      <w:pPr>
        <w:ind w:right="80" w:firstLine="1505"/>
        <w:spacing w:after="0" w:line="259" w:lineRule="auto"/>
        <w:tabs>
          <w:tab w:leader="none" w:pos="2037" w:val="left"/>
        </w:tabs>
        <w:numPr>
          <w:ilvl w:val="1"/>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Anything in this Agreement to the contrary notwithstanding, if at the time of Executive’s separation from service within the meaning of Section 409A of the Code, the Company determines that Executive is a “specified employee” within the meaning of Section 409A(a)(2)(B)(i) of the Code, then to the extent any payment or benefit that Executive becomes entitled to under this Agreement or otherwise on account of Executive’s separation from service would be considered deferred compensation otherwise subject to the 20% additional tax imposed pursuant to Section 409A(a) of the Code as a result of the application of Section 409A(a)(2)(B)(i) of the Code, such payment shall not be payable and such benefit shall not be provided until the date that is the earlier of (A) six (6) months and one day after Executive’s separation from service, or (B) Executive’s death. If any such delayed cash payment is otherwise payable on an installment basis, the first payment shall include a catch-up payment covering amounts that would otherwise have been paid during the 6-month period but for the application of this provision, and the balance of the installments shall be payable in accordance with their original schedule.</w:t>
      </w:r>
    </w:p>
    <w:p>
      <w:pPr>
        <w:spacing w:after="0" w:line="161" w:lineRule="exact"/>
        <w:rPr>
          <w:rFonts w:ascii="Times New Roman" w:cs="Times New Roman" w:eastAsia="Times New Roman" w:hAnsi="Times New Roman"/>
          <w:sz w:val="20"/>
          <w:szCs w:val="20"/>
          <w:color w:val="auto"/>
        </w:rPr>
      </w:pPr>
    </w:p>
    <w:p>
      <w:pPr>
        <w:ind w:firstLine="1505"/>
        <w:spacing w:after="0" w:line="235" w:lineRule="auto"/>
        <w:tabs>
          <w:tab w:leader="none" w:pos="2037" w:val="left"/>
        </w:tabs>
        <w:numPr>
          <w:ilvl w:val="1"/>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in-kind benefits provided and expenses eligible for reimbursement under this Agreement shall be provided by the Company or incurred by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80" w:lineRule="exact"/>
        <w:rPr>
          <w:rFonts w:ascii="Times New Roman" w:cs="Times New Roman" w:eastAsia="Times New Roman" w:hAnsi="Times New Roman"/>
          <w:sz w:val="22"/>
          <w:szCs w:val="22"/>
          <w:color w:val="auto"/>
        </w:rPr>
      </w:pPr>
    </w:p>
    <w:p>
      <w:pPr>
        <w:ind w:right="60" w:firstLine="1505"/>
        <w:spacing w:after="0" w:line="260" w:lineRule="exact"/>
        <w:tabs>
          <w:tab w:leader="none" w:pos="2037" w:val="left"/>
        </w:tabs>
        <w:numPr>
          <w:ilvl w:val="1"/>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any payment or benefit described in this Agreement constitutes “non-qualified deferred compensation” under Section 409A of the Code, and to the extent that such payment or benefit is payable upon Executive’s termination of employment, then such payments or benefits shall be payable only upon Executive’s “separation from service.” The determination of whether and when a separation from service has occurred shall be made in accordance with the presumptions set forth in Treasury Regulation Section 1.409A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988060</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7" w:right="379" w:bottom="1440" w:gutter="0" w:footer="0" w:header="0"/>
        </w:sectPr>
      </w:pPr>
    </w:p>
    <w:bookmarkStart w:id="280" w:name="page281"/>
    <w:bookmarkEnd w:id="280"/>
    <w:p>
      <w:pPr>
        <w:ind w:left="-757" w:firstLine="1505"/>
        <w:spacing w:after="0" w:line="249" w:lineRule="exact"/>
        <w:tabs>
          <w:tab w:leader="none" w:pos="1280" w:val="left"/>
        </w:tabs>
        <w:numPr>
          <w:ilvl w:val="1"/>
          <w:numId w:val="2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intend that this Agreement will be administered in a manner not intended to violate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 1.409A</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2(b)(2). Any such payment that may be excluded from Section 409A either as separation pay due to an involuntary separation from service or as a short-term deferral (each as described in Treasury regulations issued under Section 409A) shall be excluded from Section 409A to the greatest extent possible.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179" w:lineRule="exact"/>
        <w:rPr>
          <w:rFonts w:ascii="Times New Roman" w:cs="Times New Roman" w:eastAsia="Times New Roman" w:hAnsi="Times New Roman"/>
          <w:sz w:val="20"/>
          <w:szCs w:val="20"/>
          <w:color w:val="auto"/>
        </w:rPr>
      </w:pPr>
    </w:p>
    <w:p>
      <w:pPr>
        <w:ind w:left="-757" w:right="240" w:firstLine="1505"/>
        <w:spacing w:after="0" w:line="244" w:lineRule="auto"/>
        <w:tabs>
          <w:tab w:leader="none" w:pos="1280" w:val="left"/>
        </w:tabs>
        <w:numPr>
          <w:ilvl w:val="1"/>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makes no representation or warranty and shall have no liability to Executive or any other person if any provisions of this Agreement are determined to constitute deferred compensation subject to Section 409A of the Code but do not satisfy an exemption from, or the conditions of, such Section.</w:t>
      </w:r>
    </w:p>
    <w:p>
      <w:pPr>
        <w:spacing w:after="0" w:line="172" w:lineRule="exact"/>
        <w:rPr>
          <w:rFonts w:ascii="Times New Roman" w:cs="Times New Roman" w:eastAsia="Times New Roman" w:hAnsi="Times New Roman"/>
          <w:sz w:val="22"/>
          <w:szCs w:val="22"/>
          <w:color w:val="auto"/>
        </w:rPr>
      </w:pPr>
    </w:p>
    <w:p>
      <w:pPr>
        <w:ind w:left="263" w:hanging="263"/>
        <w:spacing w:after="0"/>
        <w:tabs>
          <w:tab w:leader="none" w:pos="263"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Continuing Obligations</w:t>
      </w:r>
      <w:r>
        <w:rPr>
          <w:rFonts w:ascii="Times New Roman" w:cs="Times New Roman" w:eastAsia="Times New Roman" w:hAnsi="Times New Roman"/>
          <w:sz w:val="22"/>
          <w:szCs w:val="22"/>
          <w:color w:val="auto"/>
        </w:rPr>
        <w:t>.</w:t>
      </w:r>
    </w:p>
    <w:p>
      <w:pPr>
        <w:spacing w:after="0" w:line="205" w:lineRule="exact"/>
        <w:rPr>
          <w:rFonts w:ascii="Times New Roman" w:cs="Times New Roman" w:eastAsia="Times New Roman" w:hAnsi="Times New Roman"/>
          <w:sz w:val="22"/>
          <w:szCs w:val="22"/>
          <w:color w:val="auto"/>
        </w:rPr>
      </w:pPr>
    </w:p>
    <w:p>
      <w:pPr>
        <w:ind w:left="-757" w:right="100" w:firstLine="1505"/>
        <w:spacing w:after="0" w:line="266" w:lineRule="auto"/>
        <w:tabs>
          <w:tab w:leader="none" w:pos="1280" w:val="left"/>
        </w:tabs>
        <w:numPr>
          <w:ilvl w:val="1"/>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Restrictive Covenants Agreement</w:t>
      </w:r>
      <w:r>
        <w:rPr>
          <w:rFonts w:ascii="Times New Roman" w:cs="Times New Roman" w:eastAsia="Times New Roman" w:hAnsi="Times New Roman"/>
          <w:sz w:val="20"/>
          <w:szCs w:val="20"/>
          <w:color w:val="auto"/>
        </w:rPr>
        <w:t>. As a condition of entering into this Agreement, Executive agrees to execute and deliver, on the Effective Date, the Employee Proprietary Information and Inventions Assignment Agreement (the “</w:t>
      </w:r>
      <w:r>
        <w:rPr>
          <w:rFonts w:ascii="Times New Roman" w:cs="Times New Roman" w:eastAsia="Times New Roman" w:hAnsi="Times New Roman"/>
          <w:sz w:val="20"/>
          <w:szCs w:val="20"/>
          <w:b w:val="1"/>
          <w:bCs w:val="1"/>
          <w:i w:val="1"/>
          <w:iCs w:val="1"/>
          <w:u w:val="single" w:color="auto"/>
          <w:color w:val="auto"/>
        </w:rPr>
        <w:t>Restrictive Covenants Agreement</w:t>
      </w:r>
      <w:r>
        <w:rPr>
          <w:rFonts w:ascii="Times New Roman" w:cs="Times New Roman" w:eastAsia="Times New Roman" w:hAnsi="Times New Roman"/>
          <w:sz w:val="20"/>
          <w:szCs w:val="20"/>
          <w:color w:val="auto"/>
        </w:rPr>
        <w:t>”). For purposes of this Agreement, the obligations in this Section 9 and those that arise in the Restrictive Covenants Agreement and any other agreement relating to confidentiality, assignment of inventions, or other restrictive covenants that may later be agreed to by Executive shall collectively be referred to as the “</w:t>
      </w:r>
      <w:r>
        <w:rPr>
          <w:rFonts w:ascii="Times New Roman" w:cs="Times New Roman" w:eastAsia="Times New Roman" w:hAnsi="Times New Roman"/>
          <w:sz w:val="20"/>
          <w:szCs w:val="20"/>
          <w:b w:val="1"/>
          <w:bCs w:val="1"/>
          <w:i w:val="1"/>
          <w:iCs w:val="1"/>
          <w:u w:val="single" w:color="auto"/>
          <w:color w:val="auto"/>
        </w:rPr>
        <w:t>Continuing Obligations</w:t>
      </w:r>
      <w:r>
        <w:rPr>
          <w:rFonts w:ascii="Times New Roman" w:cs="Times New Roman" w:eastAsia="Times New Roman" w:hAnsi="Times New Roman"/>
          <w:sz w:val="20"/>
          <w:szCs w:val="20"/>
          <w:color w:val="auto"/>
        </w:rPr>
        <w:t>.”</w:t>
      </w:r>
    </w:p>
    <w:p>
      <w:pPr>
        <w:spacing w:after="0" w:line="154" w:lineRule="exact"/>
        <w:rPr>
          <w:rFonts w:ascii="Times New Roman" w:cs="Times New Roman" w:eastAsia="Times New Roman" w:hAnsi="Times New Roman"/>
          <w:sz w:val="20"/>
          <w:szCs w:val="20"/>
          <w:color w:val="auto"/>
        </w:rPr>
      </w:pPr>
    </w:p>
    <w:p>
      <w:pPr>
        <w:ind w:left="-757" w:right="80" w:firstLine="1505"/>
        <w:spacing w:after="0" w:line="234" w:lineRule="auto"/>
        <w:tabs>
          <w:tab w:leader="none" w:pos="1280" w:val="left"/>
        </w:tabs>
        <w:numPr>
          <w:ilvl w:val="1"/>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Third-Party Agreements and Rights</w:t>
      </w:r>
      <w:r>
        <w:rPr>
          <w:rFonts w:ascii="Times New Roman" w:cs="Times New Roman" w:eastAsia="Times New Roman" w:hAnsi="Times New Roman"/>
          <w:sz w:val="22"/>
          <w:szCs w:val="22"/>
          <w:color w:val="auto"/>
        </w:rPr>
        <w:t>. Executive hereby confirms that Executive is not bound by the terms of any agreement with any previous employer or other party which restricts in any way Executive’s use or disclosure of information, other than confidentiality restrictions (if any), or Executive’s engagement in any business. Executive represents to the Company that Executive’s execution of this Agreement to be effective as of the Effective Date, Executive’s employment with the Company and the performance of Executive’s proposed duties for the Company will not violate any obligations Executive may have to any such previous employer or other party. In Executive’s work for the Company, Executive will not disclose or make use of any information in violation of any agreements with or rights of any such previous employer or other party, and Executive will not bring to the premises of the Company any copies or other tangible embodiments of non-public information belonging to or obtained from any such previous employment or other party.</w:t>
      </w:r>
    </w:p>
    <w:p>
      <w:pPr>
        <w:spacing w:after="0" w:line="180" w:lineRule="exact"/>
        <w:rPr>
          <w:rFonts w:ascii="Times New Roman" w:cs="Times New Roman" w:eastAsia="Times New Roman" w:hAnsi="Times New Roman"/>
          <w:sz w:val="22"/>
          <w:szCs w:val="22"/>
          <w:color w:val="auto"/>
        </w:rPr>
      </w:pPr>
    </w:p>
    <w:p>
      <w:pPr>
        <w:ind w:left="-757" w:right="240" w:firstLine="1505"/>
        <w:spacing w:after="0" w:line="239" w:lineRule="auto"/>
        <w:tabs>
          <w:tab w:leader="none" w:pos="1280" w:val="left"/>
        </w:tabs>
        <w:numPr>
          <w:ilvl w:val="1"/>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Litigation and Regulatory Cooperation</w:t>
      </w:r>
      <w:r>
        <w:rPr>
          <w:rFonts w:ascii="Times New Roman" w:cs="Times New Roman" w:eastAsia="Times New Roman" w:hAnsi="Times New Roman"/>
          <w:sz w:val="22"/>
          <w:szCs w:val="22"/>
          <w:color w:val="auto"/>
        </w:rPr>
        <w:t>. During and after Executive’s employment, Executive shall cooperate fully with the Company in (i) the defense or prosecution of any claims or actions now in existence or which may be brought in the future against or on behalf of the Company which relate to events or occurrences that transpired while Executive was employed by the Company, and (ii) the investigation, whether internal or external, of any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1009015</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1495425</wp:posOffset>
            </wp:positionH>
            <wp:positionV relativeFrom="paragraph">
              <wp:posOffset>-3216275</wp:posOffset>
            </wp:positionV>
            <wp:extent cx="3429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31">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ectPr>
          <w:pgSz w:w="11900" w:h="16838" w:orient="portrait"/>
          <w:cols w:equalWidth="0" w:num="1">
            <w:col w:w="10483"/>
          </w:cols>
          <w:pgMar w:left="1077" w:top="1407" w:right="339" w:bottom="1440" w:gutter="0" w:footer="0" w:header="0"/>
        </w:sectPr>
      </w:pPr>
    </w:p>
    <w:bookmarkStart w:id="281" w:name="page282"/>
    <w:bookmarkEnd w:id="281"/>
    <w:p>
      <w:pPr>
        <w:ind w:right="80"/>
        <w:spacing w:after="0" w:line="249" w:lineRule="exact"/>
        <w:rPr>
          <w:sz w:val="20"/>
          <w:szCs w:val="20"/>
          <w:color w:val="auto"/>
        </w:rPr>
      </w:pPr>
      <w:r>
        <w:rPr>
          <w:rFonts w:ascii="Times New Roman" w:cs="Times New Roman" w:eastAsia="Times New Roman" w:hAnsi="Times New Roman"/>
          <w:sz w:val="22"/>
          <w:szCs w:val="22"/>
          <w:color w:val="auto"/>
        </w:rPr>
        <w:t>about which the Company believes Executive may have knowledge or information. Executive’s full cooperation in connection with such claims, actions or investigations shall include, but not be limited to, being available to meet with counsel upon reasonable notice to answer questions or to prepare for discovery or trial and to act as a witness on behalf of the Company at mutually convenient times. During and after Executive’s employment, Executive also shall cooperate fully with the Company in connection with any investigation or review of any federal, state or local regulatory authority as any such investigation or review relates to events or occurrences that transpired while Executive was employed by the Company. The Company shall reimburse Executive for any reasonable out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of</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pocket expenses incurred in connection with Executive’s performance of obligations pursuant to this Section 9(c), which shall be in addition to its obligations to provide indemnification to Executive.</w:t>
      </w:r>
    </w:p>
    <w:p>
      <w:pPr>
        <w:spacing w:after="0" w:line="181" w:lineRule="exact"/>
        <w:rPr>
          <w:sz w:val="20"/>
          <w:szCs w:val="20"/>
          <w:color w:val="auto"/>
        </w:rPr>
      </w:pPr>
    </w:p>
    <w:p>
      <w:pPr>
        <w:ind w:firstLine="1505"/>
        <w:spacing w:after="0" w:line="235" w:lineRule="auto"/>
        <w:tabs>
          <w:tab w:leader="none" w:pos="2037"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Non-Disparagement</w:t>
      </w:r>
      <w:r>
        <w:rPr>
          <w:rFonts w:ascii="Times New Roman" w:cs="Times New Roman" w:eastAsia="Times New Roman" w:hAnsi="Times New Roman"/>
          <w:sz w:val="22"/>
          <w:szCs w:val="22"/>
          <w:color w:val="auto"/>
        </w:rPr>
        <w:t>. You agree not to disparage the Company, and/or the Company’s attorneys, directors, managers, partners, employees, agents and affiliates, in any manner likely to be harmful to them or their business, business reputation or personal reputation; provided that you may respond accurately and fully to any question, inquiry or request for information when required by legal process. You further agree that, by no later than the Effective Date, you shall delete or otherwise remove any and all disparaging public comments or statements that you made prior to the Effective Date about or relating to the Company, including, but not limited to, comments in online forums or on websites (including, but not limited to, Facebook, Glassdoor, Yelp, and LinkedIn), as applicable.</w:t>
      </w:r>
    </w:p>
    <w:p>
      <w:pPr>
        <w:spacing w:after="0" w:line="180" w:lineRule="exact"/>
        <w:rPr>
          <w:rFonts w:ascii="Times New Roman" w:cs="Times New Roman" w:eastAsia="Times New Roman" w:hAnsi="Times New Roman"/>
          <w:sz w:val="22"/>
          <w:szCs w:val="22"/>
          <w:color w:val="auto"/>
        </w:rPr>
      </w:pPr>
    </w:p>
    <w:p>
      <w:pPr>
        <w:ind w:right="40" w:firstLine="1505"/>
        <w:spacing w:after="0" w:line="236" w:lineRule="auto"/>
        <w:tabs>
          <w:tab w:leader="none" w:pos="2037"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Relief</w:t>
      </w:r>
      <w:r>
        <w:rPr>
          <w:rFonts w:ascii="Times New Roman" w:cs="Times New Roman" w:eastAsia="Times New Roman" w:hAnsi="Times New Roman"/>
          <w:sz w:val="22"/>
          <w:szCs w:val="22"/>
          <w:color w:val="auto"/>
        </w:rPr>
        <w:t>. Executive agrees that it would be difficult to measure any damages caused to the Company which might result from any breach by Executive of the Continuing Obligations, and that in any event monetary damages would be an inadequate remedy for any such breach. Accordingly</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Executive agrees that if Executive breaches, or proposes to breach, any portion of the Continuing Obligations, the Company shall be entitled, in addition to all other remedies that it may have, to an injunction or other appropriate equitable relief to restrain any such breach without showing or proving any actual damage to the Company.</w:t>
      </w:r>
    </w:p>
    <w:p>
      <w:pPr>
        <w:spacing w:after="0" w:line="179" w:lineRule="exact"/>
        <w:rPr>
          <w:sz w:val="20"/>
          <w:szCs w:val="20"/>
          <w:color w:val="auto"/>
        </w:rPr>
      </w:pPr>
    </w:p>
    <w:p>
      <w:pPr>
        <w:ind w:right="20" w:firstLine="749"/>
        <w:spacing w:after="0" w:line="271" w:lineRule="auto"/>
        <w:rPr>
          <w:sz w:val="20"/>
          <w:szCs w:val="20"/>
          <w:color w:val="auto"/>
        </w:rPr>
      </w:pPr>
      <w:r>
        <w:rPr>
          <w:rFonts w:ascii="Times New Roman" w:cs="Times New Roman" w:eastAsia="Times New Roman" w:hAnsi="Times New Roman"/>
          <w:sz w:val="20"/>
          <w:szCs w:val="20"/>
          <w:color w:val="auto"/>
        </w:rPr>
        <w:t>10.</w:t>
      </w:r>
      <w:r>
        <w:rPr>
          <w:rFonts w:ascii="Times New Roman" w:cs="Times New Roman" w:eastAsia="Times New Roman" w:hAnsi="Times New Roman"/>
          <w:sz w:val="20"/>
          <w:szCs w:val="20"/>
          <w:u w:val="single" w:color="auto"/>
          <w:color w:val="auto"/>
        </w:rPr>
        <w:t>Consent to Jurisdiction</w:t>
      </w:r>
      <w:r>
        <w:rPr>
          <w:rFonts w:ascii="Times New Roman" w:cs="Times New Roman" w:eastAsia="Times New Roman" w:hAnsi="Times New Roman"/>
          <w:sz w:val="20"/>
          <w:szCs w:val="20"/>
          <w:color w:val="auto"/>
        </w:rPr>
        <w:t>. The parties hereby consent to the jurisdiction of the state and federal courts of Massachusetts in connection with any court action relating to this Agreement. Accordingly, with respect to any such court action, Executive (a) submits to the exclusive personal jurisdiction of such courts; (b) consents to service of process; and (c) waives any other requirement (whether imposed by statute, rule of court, or otherwise) with respect to personal jurisdiction or service of process.</w:t>
      </w:r>
    </w:p>
    <w:p>
      <w:pPr>
        <w:spacing w:after="0" w:line="148" w:lineRule="exact"/>
        <w:rPr>
          <w:sz w:val="20"/>
          <w:szCs w:val="20"/>
          <w:color w:val="auto"/>
        </w:rPr>
      </w:pPr>
    </w:p>
    <w:p>
      <w:pPr>
        <w:ind w:right="260" w:firstLine="749"/>
        <w:spacing w:after="0" w:line="244" w:lineRule="auto"/>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2"/>
          <w:szCs w:val="22"/>
          <w:u w:val="single" w:color="auto"/>
          <w:color w:val="auto"/>
        </w:rPr>
        <w:t>Integration</w:t>
      </w:r>
      <w:r>
        <w:rPr>
          <w:rFonts w:ascii="Times New Roman" w:cs="Times New Roman" w:eastAsia="Times New Roman" w:hAnsi="Times New Roman"/>
          <w:sz w:val="22"/>
          <w:szCs w:val="22"/>
          <w:color w:val="auto"/>
        </w:rPr>
        <w:t>. This Agreement constitutes the entire agreement between the parties with respect to the subject matter hereof and supersedes all prior agreements between the parties concerning such subject matter</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provided that the Restrictive Covenants Agreement and the agreements governing any Equity Awards remain in full force and effect.</w:t>
      </w:r>
    </w:p>
    <w:p>
      <w:pPr>
        <w:spacing w:after="0" w:line="172" w:lineRule="exact"/>
        <w:rPr>
          <w:sz w:val="20"/>
          <w:szCs w:val="20"/>
          <w:color w:val="auto"/>
        </w:rPr>
      </w:pPr>
    </w:p>
    <w:p>
      <w:pPr>
        <w:ind w:right="80" w:firstLine="749"/>
        <w:spacing w:after="0" w:line="239" w:lineRule="auto"/>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u w:val="single" w:color="auto"/>
          <w:color w:val="auto"/>
        </w:rPr>
        <w:t>Withholding; Tax Effect</w:t>
      </w:r>
      <w:r>
        <w:rPr>
          <w:rFonts w:ascii="Times New Roman" w:cs="Times New Roman" w:eastAsia="Times New Roman" w:hAnsi="Times New Roman"/>
          <w:sz w:val="22"/>
          <w:szCs w:val="22"/>
          <w:color w:val="auto"/>
        </w:rPr>
        <w:t>. All payments made by the Company to Executive under this Agreement shall be net of any tax or other amounts required to be withheld by the Company under applicable law. Nothing in this Agreement shall be construed to require the Company to make any payments to compensate Executive for any adverse tax effect associated with any payments or benefits or for any deduction or withholding from any payment or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1009015</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7" w:right="359" w:bottom="1440" w:gutter="0" w:footer="0" w:header="0"/>
        </w:sectPr>
      </w:pPr>
    </w:p>
    <w:bookmarkStart w:id="282" w:name="page283"/>
    <w:bookmarkEnd w:id="282"/>
    <w:p>
      <w:pPr>
        <w:ind w:firstLine="749"/>
        <w:spacing w:after="0" w:line="256" w:lineRule="auto"/>
        <w:rPr>
          <w:sz w:val="20"/>
          <w:szCs w:val="20"/>
          <w:color w:val="auto"/>
        </w:rPr>
      </w:pPr>
      <w:r>
        <w:rPr>
          <w:rFonts w:ascii="Times New Roman" w:cs="Times New Roman" w:eastAsia="Times New Roman" w:hAnsi="Times New Roman"/>
          <w:sz w:val="20"/>
          <w:szCs w:val="20"/>
          <w:color w:val="auto"/>
        </w:rPr>
        <w:t>13.</w:t>
      </w: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This Agreement will be binding upon and inure to the benefit of (a) the heirs, executors, and legal representatives of Executive upon Executive’s death as well as any beneficiaries duly designated by Executive prior to death in accordance with the terms hereof, and (b) any successor of the Company. Any such successor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 The Company shall require its respective successors to expressly assume and agree to perform this Agreement in the same manner and to the same extent that the Company would be required to perform it if no such succession had taken place. Notwithstanding the foregoing, the Company shall remain, with such successor, jointly and severally liable for all of their obligations hereunder. Except as herein provided, this Agreement may not otherwise be assigned by the Company and any attempted assignment in contravention hereof will be null and void. In the event of Executive’s death after Executive’s termination of employment but prior to the completion by the Company of all payments due to Executive under this Agreement, the Company shall continue such payments to Executive’s beneficiary designated in writing to the Company prior to Executive’s death (or to Executive’s estate, if Executive fails to make such designation). Executive may designate one or more persons or entities as the primary or contingent beneficiaries of any amounts to be received under this Agreement. Such designation must be in the form of a signed writing reasonably acceptable to the Board or the Board’s designee. Executive may make or change such designation at any time. Except as approved by the Board or the Board’s designee, none of the rights of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spacing w:after="0" w:line="200" w:lineRule="exact"/>
        <w:rPr>
          <w:sz w:val="20"/>
          <w:szCs w:val="20"/>
          <w:color w:val="auto"/>
        </w:rPr>
      </w:pPr>
    </w:p>
    <w:p>
      <w:pPr>
        <w:spacing w:after="0" w:line="212" w:lineRule="exact"/>
        <w:rPr>
          <w:sz w:val="20"/>
          <w:szCs w:val="20"/>
          <w:color w:val="auto"/>
        </w:rPr>
      </w:pPr>
    </w:p>
    <w:p>
      <w:pPr>
        <w:ind w:right="100" w:firstLine="749"/>
        <w:spacing w:after="0" w:line="237" w:lineRule="auto"/>
        <w:rPr>
          <w:sz w:val="20"/>
          <w:szCs w:val="20"/>
          <w:color w:val="auto"/>
        </w:rPr>
      </w:pPr>
      <w:r>
        <w:rPr>
          <w:rFonts w:ascii="Times New Roman" w:cs="Times New Roman" w:eastAsia="Times New Roman" w:hAnsi="Times New Roman"/>
          <w:sz w:val="22"/>
          <w:szCs w:val="22"/>
          <w:color w:val="auto"/>
        </w:rPr>
        <w:t>14.</w:t>
      </w:r>
      <w:r>
        <w:rPr>
          <w:rFonts w:ascii="Times New Roman" w:cs="Times New Roman" w:eastAsia="Times New Roman" w:hAnsi="Times New Roman"/>
          <w:sz w:val="22"/>
          <w:szCs w:val="22"/>
          <w:u w:val="single" w:color="auto"/>
          <w:color w:val="auto"/>
        </w:rPr>
        <w:t>Enforceability</w:t>
      </w:r>
      <w:r>
        <w:rPr>
          <w:rFonts w:ascii="Times New Roman" w:cs="Times New Roman" w:eastAsia="Times New Roman" w:hAnsi="Times New Roman"/>
          <w:sz w:val="22"/>
          <w:szCs w:val="22"/>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80" w:lineRule="exact"/>
        <w:rPr>
          <w:sz w:val="20"/>
          <w:szCs w:val="20"/>
          <w:color w:val="auto"/>
        </w:rPr>
      </w:pPr>
    </w:p>
    <w:p>
      <w:pPr>
        <w:ind w:right="60" w:firstLine="749"/>
        <w:spacing w:after="0" w:line="239" w:lineRule="auto"/>
        <w:rPr>
          <w:sz w:val="20"/>
          <w:szCs w:val="20"/>
          <w:color w:val="auto"/>
        </w:rPr>
      </w:pPr>
      <w:r>
        <w:rPr>
          <w:rFonts w:ascii="Times New Roman" w:cs="Times New Roman" w:eastAsia="Times New Roman" w:hAnsi="Times New Roman"/>
          <w:sz w:val="22"/>
          <w:szCs w:val="22"/>
          <w:color w:val="auto"/>
        </w:rPr>
        <w:t>15.</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The provisions of this Agreement shall survive the termination of this Agreement and/or the termination of Executive’s employment to the extent necessary to effectuate the terms contained herein, including but not limited to the Company’s obligation to make severance payments or provide indemnification and Executive’s obligations to comply with the Continuing Obligations.</w:t>
      </w:r>
    </w:p>
    <w:p>
      <w:pPr>
        <w:spacing w:after="0" w:line="179" w:lineRule="exact"/>
        <w:rPr>
          <w:sz w:val="20"/>
          <w:szCs w:val="20"/>
          <w:color w:val="auto"/>
        </w:rPr>
      </w:pPr>
    </w:p>
    <w:p>
      <w:pPr>
        <w:jc w:val="both"/>
        <w:ind w:right="20" w:firstLine="749"/>
        <w:spacing w:after="0" w:line="239" w:lineRule="auto"/>
        <w:rPr>
          <w:sz w:val="20"/>
          <w:szCs w:val="20"/>
          <w:color w:val="auto"/>
        </w:rPr>
      </w:pPr>
      <w:r>
        <w:rPr>
          <w:rFonts w:ascii="Times New Roman" w:cs="Times New Roman" w:eastAsia="Times New Roman" w:hAnsi="Times New Roman"/>
          <w:sz w:val="22"/>
          <w:szCs w:val="22"/>
          <w:color w:val="auto"/>
        </w:rPr>
        <w:t>16.</w:t>
      </w: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1009015</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7" w:right="359" w:bottom="1440" w:gutter="0" w:footer="0" w:header="0"/>
        </w:sectPr>
      </w:pPr>
    </w:p>
    <w:bookmarkStart w:id="283" w:name="page284"/>
    <w:bookmarkEnd w:id="283"/>
    <w:p>
      <w:pPr>
        <w:ind w:firstLine="749"/>
        <w:spacing w:after="0" w:line="237" w:lineRule="auto"/>
        <w:rPr>
          <w:sz w:val="20"/>
          <w:szCs w:val="20"/>
          <w:color w:val="auto"/>
        </w:rPr>
      </w:pPr>
      <w:r>
        <w:rPr>
          <w:rFonts w:ascii="Times New Roman" w:cs="Times New Roman" w:eastAsia="Times New Roman" w:hAnsi="Times New Roman"/>
          <w:sz w:val="22"/>
          <w:szCs w:val="22"/>
          <w:color w:val="auto"/>
        </w:rPr>
        <w:t>17.</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notices, requests, demands and other communications provided for by this Agreement shall be sufficient if in writing and (i) delivered in person, (ii) sent by a nationally recognized overnight courier service or by registered or certified mail, postage prepaid, return receipt requested, to Executive at the last address Executive has filed in writing with the Company or, in the case of the Company, at its main offices, attention of the Board or (iii) sent via email to Executive at Executive’s Company email address or, in the case of the Company, to the CEO’s Company email address.</w:t>
      </w:r>
    </w:p>
    <w:p>
      <w:pPr>
        <w:spacing w:after="0" w:line="180"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22"/>
          <w:szCs w:val="22"/>
          <w:color w:val="auto"/>
        </w:rPr>
        <w:t>18.</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This Agreement may be amended or modified only by a written instrument signed by Executive and by a duly authorized representative of the Company.</w:t>
      </w:r>
    </w:p>
    <w:p>
      <w:pPr>
        <w:spacing w:after="0" w:line="157" w:lineRule="exact"/>
        <w:rPr>
          <w:sz w:val="20"/>
          <w:szCs w:val="20"/>
          <w:color w:val="auto"/>
        </w:rPr>
      </w:pPr>
    </w:p>
    <w:p>
      <w:pPr>
        <w:ind w:firstLine="749"/>
        <w:spacing w:after="0" w:line="232" w:lineRule="auto"/>
        <w:rPr>
          <w:sz w:val="20"/>
          <w:szCs w:val="20"/>
          <w:color w:val="auto"/>
        </w:rPr>
      </w:pPr>
      <w:r>
        <w:rPr>
          <w:rFonts w:ascii="Times New Roman" w:cs="Times New Roman" w:eastAsia="Times New Roman" w:hAnsi="Times New Roman"/>
          <w:sz w:val="22"/>
          <w:szCs w:val="22"/>
          <w:color w:val="auto"/>
        </w:rPr>
        <w:t>19.</w:t>
      </w: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The Company will (i) indemnify Executive with respect to claims arising out of any action taken or not taken in Executive’s capacity as an officer or employee of the Company or its subsidiaries; provided, that Executive acted in good faith and in a manner that Executive reasonably believed to be in or not opposed to the best interests of the Company and, with respect to any criminal action or proceeding, had no reasonable cause to believe that Executive’s conduct was unlawful, (ii) advance to Executive all reasonable and documented out of pocket costs and expenses incurred by Executive in connection with the foregoing clause (i), including but not limited to attorneys’ fees, and (iii) provide for Executive to be covered by D&amp;O insurance, with respect to clauses (i) and (ii), on the same terms as are made available to the CEO and/or members of the Board, as applicable; provided that, this Agreement constitutes an undertaking that amounts advanced under clause (ii) shall be promptly repaid to the Company by Executive if it shall ultimately be determined that Executive is not entitled to be indemnified by the Company pursuant to this Section 19. Nothing herein shall limit any right that Executive may have in respect of indemnification, advancement or liability insurance coverage under any other policy, plan, contract or arrangement of the Company or its subsidiaries or under applicable law with respect to his or her services as an officer or employee for the Company or its subsidiaries, and the Company shall not change any right to such indemnification or advancement with respect to Executive after his or her termination of employment.</w:t>
      </w:r>
    </w:p>
    <w:p>
      <w:pPr>
        <w:spacing w:after="0" w:line="190" w:lineRule="exact"/>
        <w:rPr>
          <w:sz w:val="20"/>
          <w:szCs w:val="20"/>
          <w:color w:val="auto"/>
        </w:rPr>
      </w:pPr>
    </w:p>
    <w:p>
      <w:pPr>
        <w:ind w:right="260" w:firstLine="749"/>
        <w:spacing w:after="0" w:line="237" w:lineRule="auto"/>
        <w:rPr>
          <w:sz w:val="20"/>
          <w:szCs w:val="20"/>
          <w:color w:val="auto"/>
        </w:rPr>
      </w:pPr>
      <w:r>
        <w:rPr>
          <w:rFonts w:ascii="Times New Roman" w:cs="Times New Roman" w:eastAsia="Times New Roman" w:hAnsi="Times New Roman"/>
          <w:sz w:val="22"/>
          <w:szCs w:val="22"/>
          <w:color w:val="auto"/>
        </w:rPr>
        <w:t>20.</w:t>
      </w:r>
      <w:r>
        <w:rPr>
          <w:rFonts w:ascii="Times New Roman" w:cs="Times New Roman" w:eastAsia="Times New Roman" w:hAnsi="Times New Roman"/>
          <w:sz w:val="22"/>
          <w:szCs w:val="22"/>
          <w:u w:val="single" w:color="auto"/>
          <w:color w:val="auto"/>
        </w:rPr>
        <w:t>No Mitigation; Offset</w:t>
      </w:r>
      <w:r>
        <w:rPr>
          <w:rFonts w:ascii="Times New Roman" w:cs="Times New Roman" w:eastAsia="Times New Roman" w:hAnsi="Times New Roman"/>
          <w:sz w:val="22"/>
          <w:szCs w:val="22"/>
          <w:color w:val="auto"/>
        </w:rPr>
        <w:t>. In the event of any termination of employment and service hereunder, Executive shall be under no obligation to seek other employment, and there shall be no offset against any amounts due Executive under this Agreement on account of any remuneration attributable to any subsequent employment that Executive may obtain. The preceding sentence shall not limit the Company’s right to enforce the termination provisions set forth in Section 4 above or the repayment or recoupment provisions in Section 22(d) and Section 23 below.</w:t>
      </w:r>
    </w:p>
    <w:p>
      <w:pPr>
        <w:spacing w:after="0" w:line="180" w:lineRule="exact"/>
        <w:rPr>
          <w:sz w:val="20"/>
          <w:szCs w:val="20"/>
          <w:color w:val="auto"/>
        </w:rPr>
      </w:pPr>
    </w:p>
    <w:p>
      <w:pPr>
        <w:ind w:firstLine="749"/>
        <w:spacing w:after="0" w:line="264" w:lineRule="auto"/>
        <w:rPr>
          <w:sz w:val="20"/>
          <w:szCs w:val="20"/>
          <w:color w:val="auto"/>
        </w:rPr>
      </w:pPr>
      <w:r>
        <w:rPr>
          <w:rFonts w:ascii="Times New Roman" w:cs="Times New Roman" w:eastAsia="Times New Roman" w:hAnsi="Times New Roman"/>
          <w:sz w:val="20"/>
          <w:szCs w:val="20"/>
          <w:color w:val="auto"/>
        </w:rPr>
        <w:t>21.</w:t>
      </w:r>
      <w:r>
        <w:rPr>
          <w:rFonts w:ascii="Times New Roman" w:cs="Times New Roman" w:eastAsia="Times New Roman" w:hAnsi="Times New Roman"/>
          <w:sz w:val="20"/>
          <w:szCs w:val="20"/>
          <w:u w:val="single" w:color="auto"/>
          <w:color w:val="auto"/>
        </w:rPr>
        <w:t>Effect on Other Plans and Agreements</w:t>
      </w:r>
      <w:r>
        <w:rPr>
          <w:rFonts w:ascii="Times New Roman" w:cs="Times New Roman" w:eastAsia="Times New Roman" w:hAnsi="Times New Roman"/>
          <w:sz w:val="20"/>
          <w:szCs w:val="20"/>
          <w:color w:val="auto"/>
        </w:rPr>
        <w:t>. An election by Executive to resign for Good Reason under the provisions of this Agreement shall not be deemed a voluntary termination of employment by Executive for the purpose of interpreting the provisions of any of the Company's benefit plans, programs or policies. Nothing in this Agreement shall be construed to limit the rights of Executive under the Company’s benefit plans, programs or policies except to the extent specifically provided in Section 7 hereof, and except that Executive shall have no rights to continue any severance benefits under any Company severance pay plan, offer letter or otherwise. Except for the Restrictive Covenants Agreement, in the event that Executive is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993140</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7" w:right="379" w:bottom="1440" w:gutter="0" w:footer="0" w:header="0"/>
        </w:sectPr>
      </w:pPr>
    </w:p>
    <w:bookmarkStart w:id="284" w:name="page285"/>
    <w:bookmarkEnd w:id="284"/>
    <w:p>
      <w:pPr>
        <w:jc w:val="both"/>
        <w:ind w:right="200"/>
        <w:spacing w:after="0" w:line="239" w:lineRule="auto"/>
        <w:rPr>
          <w:sz w:val="20"/>
          <w:szCs w:val="20"/>
          <w:color w:val="auto"/>
        </w:rPr>
      </w:pPr>
      <w:r>
        <w:rPr>
          <w:rFonts w:ascii="Times New Roman" w:cs="Times New Roman" w:eastAsia="Times New Roman" w:hAnsi="Times New Roman"/>
          <w:sz w:val="22"/>
          <w:szCs w:val="22"/>
          <w:color w:val="auto"/>
        </w:rPr>
        <w:t>to an agreement with the Company providing for payments or benefits under such plan or agreement and under this Agreement, the terms of this Agreement shall govern and Executive may receive payment under this Agreement only and not both. Further, Section 5 and Section 6 of this Agreement are mutually exclusive and in no event shall Executive be entitled to cash severance payments or benefits pursuant to both Section 5 and Section 6 of this Agreement.</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22.</w:t>
      </w:r>
      <w:r>
        <w:rPr>
          <w:rFonts w:ascii="Times New Roman" w:cs="Times New Roman" w:eastAsia="Times New Roman" w:hAnsi="Times New Roman"/>
          <w:sz w:val="22"/>
          <w:szCs w:val="22"/>
          <w:u w:val="single" w:color="auto"/>
          <w:color w:val="auto"/>
        </w:rPr>
        <w:t>Governing Law; Venue and Enforcement</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ind w:right="80" w:firstLine="1505"/>
        <w:spacing w:after="0" w:line="237" w:lineRule="auto"/>
        <w:tabs>
          <w:tab w:leader="none" w:pos="2037"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will be governed by and construed in accordance with applicable federal laws and, to the extent not inconsistent therewith or preempted thereby, with the laws of Massachusetts, including any applicable statutes of limitation, without regard to any otherwise applicable principles of conflicts of laws or choice of law rules (whether of the Commonwealth of Massachusetts or any other jurisdiction) that would result in the application of the substantive or procedural rules or law of any other jurisdiction.</w:t>
      </w:r>
    </w:p>
    <w:p>
      <w:pPr>
        <w:spacing w:after="0" w:line="180" w:lineRule="exact"/>
        <w:rPr>
          <w:rFonts w:ascii="Times New Roman" w:cs="Times New Roman" w:eastAsia="Times New Roman" w:hAnsi="Times New Roman"/>
          <w:sz w:val="22"/>
          <w:szCs w:val="22"/>
          <w:color w:val="auto"/>
        </w:rPr>
      </w:pPr>
    </w:p>
    <w:p>
      <w:pPr>
        <w:ind w:firstLine="1505"/>
        <w:spacing w:after="0" w:line="236" w:lineRule="auto"/>
        <w:tabs>
          <w:tab w:leader="none" w:pos="2037"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agrees that any controversy or claim arising out of or relating to this Agreement or the alleged breach hereof shall be instituted in the United States District Court for the District of Massachusetts, or if that court does not have or will not accept jurisdiction, in any court of general jurisdiction in the Commonwealth of Massachusetts located in Suffolk County, and Executive and the Company hereby consent to the personal and exclusive jurisdiction of such court(s) and hereby waive any objection(s) that any such party may have to personal jurisdiction, the laying of venue of any such proceedings and any claim or defense of inconvenient forum.</w:t>
      </w:r>
    </w:p>
    <w:p>
      <w:pPr>
        <w:spacing w:after="0" w:line="179" w:lineRule="exact"/>
        <w:rPr>
          <w:rFonts w:ascii="Times New Roman" w:cs="Times New Roman" w:eastAsia="Times New Roman" w:hAnsi="Times New Roman"/>
          <w:sz w:val="22"/>
          <w:szCs w:val="22"/>
          <w:color w:val="auto"/>
        </w:rPr>
      </w:pPr>
    </w:p>
    <w:p>
      <w:pPr>
        <w:ind w:right="240" w:firstLine="1505"/>
        <w:spacing w:after="0" w:line="237" w:lineRule="auto"/>
        <w:tabs>
          <w:tab w:leader="none" w:pos="2037"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award shall be payable to Executive no later than the end of Executive’s first taxable year in which the Company either concede the amount (or portion of the amount) payable or are required to make payment pursuant to a judgment by a court, and shall include interest on any amounts due and payable to Executive from the date due to the date of payment, calculated at one hundred and ten percent (110%) of the base lending in effect at Citibank, N.A. (or any successor thereto) on the first of each month.</w:t>
      </w:r>
    </w:p>
    <w:p>
      <w:pPr>
        <w:spacing w:after="0" w:line="180" w:lineRule="exact"/>
        <w:rPr>
          <w:rFonts w:ascii="Times New Roman" w:cs="Times New Roman" w:eastAsia="Times New Roman" w:hAnsi="Times New Roman"/>
          <w:sz w:val="22"/>
          <w:szCs w:val="22"/>
          <w:color w:val="auto"/>
        </w:rPr>
      </w:pPr>
    </w:p>
    <w:p>
      <w:pPr>
        <w:ind w:right="160" w:firstLine="1505"/>
        <w:spacing w:after="0" w:line="233" w:lineRule="auto"/>
        <w:tabs>
          <w:tab w:leader="none" w:pos="2037"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it is necessary or desirable for Executive to retain legal counsel or incur other costs and expenses in connection with the enforcement of any or all of Executive’s rights under this Agreement, the Company shall, within thirty (30) days after receipt of an invoice certifying payment by Executive of such attorney fees, or payment of such other costs and expenses, reimburse Executive’s reasonable attorneys’ fees and costs and such other expenses, including expenses of any expert witnesses, in connection with the enforcement of said rights in an amount not to exceed $100,000; provided, that to the extent (and only to the extent) such expenses are subject to Section 409A, in no event shall any payment of Executive’s fees, costs, and expenses be made after the last day of Executive’s taxable year following the taxable year in which the expense was incurred; provided, further, that Executive shall repay any such advance of fees, costs, and expenses (and no additional advances or reimbursements shall be made) (i) if there is a specific judicial finding that Executive’s request to litigate was frivolous, unreasonable or without foundation; (ii) if it has been finally determined that Executive’s termination of employment for Cause was proper; or (iii) if the Board determines in good faith that as of the date of Executive’s termination of employment and service, grounds for an involuntary termination for Cause had existed.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1010285</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85" w:name="page286"/>
    <w:bookmarkEnd w:id="285"/>
    <w:p>
      <w:pPr>
        <w:ind w:left="760"/>
        <w:spacing w:after="0"/>
        <w:rPr>
          <w:sz w:val="20"/>
          <w:szCs w:val="20"/>
          <w:color w:val="auto"/>
        </w:rPr>
      </w:pPr>
      <w:r>
        <w:rPr>
          <w:rFonts w:ascii="Times New Roman" w:cs="Times New Roman" w:eastAsia="Times New Roman" w:hAnsi="Times New Roman"/>
          <w:sz w:val="20"/>
          <w:szCs w:val="20"/>
          <w:color w:val="auto"/>
        </w:rPr>
        <w:t>23.</w:t>
      </w:r>
      <w:r>
        <w:rPr>
          <w:rFonts w:ascii="Times New Roman" w:cs="Times New Roman" w:eastAsia="Times New Roman" w:hAnsi="Times New Roman"/>
          <w:sz w:val="20"/>
          <w:szCs w:val="20"/>
          <w:u w:val="single" w:color="auto"/>
          <w:color w:val="auto"/>
        </w:rPr>
        <w:t>Recoupment</w:t>
      </w:r>
      <w:r>
        <w:rPr>
          <w:rFonts w:ascii="Times New Roman" w:cs="Times New Roman" w:eastAsia="Times New Roman" w:hAnsi="Times New Roman"/>
          <w:sz w:val="20"/>
          <w:szCs w:val="20"/>
          <w:color w:val="auto"/>
        </w:rPr>
        <w:t>. Executive shall be required to repay incentive pay to the Company as described in this Section 23, and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may offset payments otherwise due and payable under this Agreement by the amounts required to be repaid under</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Section 23. Repayment of incentive pay shall be required if, and to the extent that, the Compensation Committee determines,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its sole discretion, that repayment is due on account of a restatement of the Company’s financial statements or otherwise</w:t>
      </w:r>
    </w:p>
    <w:p>
      <w:pPr>
        <w:spacing w:after="0" w:line="230" w:lineRule="auto"/>
        <w:rPr>
          <w:sz w:val="20"/>
          <w:szCs w:val="20"/>
          <w:color w:val="auto"/>
        </w:rPr>
      </w:pPr>
      <w:r>
        <w:rPr>
          <w:rFonts w:ascii="Times New Roman" w:cs="Times New Roman" w:eastAsia="Times New Roman" w:hAnsi="Times New Roman"/>
          <w:sz w:val="22"/>
          <w:szCs w:val="22"/>
          <w:color w:val="auto"/>
        </w:rPr>
        <w:t>pursuant to any clawback or compensation recoupment policy as may be in effect or amended from time to time) (the</w:t>
      </w:r>
    </w:p>
    <w:p>
      <w:pPr>
        <w:spacing w:after="0" w:line="23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Recoupment Policy</w:t>
      </w:r>
      <w:r>
        <w:rPr>
          <w:rFonts w:ascii="Times New Roman" w:cs="Times New Roman" w:eastAsia="Times New Roman" w:hAnsi="Times New Roman"/>
          <w:sz w:val="22"/>
          <w:szCs w:val="22"/>
          <w:color w:val="auto"/>
        </w:rPr>
        <w:t>”). Where the result of a performance measure was a factor in determining the compensation awarded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paid, but (i) the subsequently-restated performance measure was not the only factor used to determine the compensation awarded</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or paid, or (ii) the incentive-based compensation is not awarded or paid on a formulaic basis, the Committee will determine in its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discretion the amount, if any, by which the payment or award should be reduced. If the Committee seeks to recover payment of</w:t>
      </w:r>
    </w:p>
    <w:p>
      <w:pPr>
        <w:spacing w:after="0" w:line="230" w:lineRule="auto"/>
        <w:rPr>
          <w:sz w:val="20"/>
          <w:szCs w:val="20"/>
          <w:color w:val="auto"/>
        </w:rPr>
      </w:pPr>
      <w:r>
        <w:rPr>
          <w:rFonts w:ascii="Times New Roman" w:cs="Times New Roman" w:eastAsia="Times New Roman" w:hAnsi="Times New Roman"/>
          <w:sz w:val="22"/>
          <w:szCs w:val="22"/>
          <w:color w:val="auto"/>
        </w:rPr>
        <w:t>incentive pay as a result of a restatement of the Company’s financial statements or otherwise under the Recoupment Policy,</w:t>
      </w:r>
    </w:p>
    <w:p>
      <w:pPr>
        <w:spacing w:after="0"/>
        <w:rPr>
          <w:sz w:val="20"/>
          <w:szCs w:val="20"/>
          <w:color w:val="auto"/>
        </w:rPr>
      </w:pPr>
      <w:r>
        <w:rPr>
          <w:rFonts w:ascii="Times New Roman" w:cs="Times New Roman" w:eastAsia="Times New Roman" w:hAnsi="Times New Roman"/>
          <w:sz w:val="20"/>
          <w:szCs w:val="20"/>
          <w:color w:val="auto"/>
        </w:rPr>
        <w:t>Executive shall pay to the Company, as applicable, (A) all or a portion (as determined by the Committee in its sole discretion)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amount by which the payment received by Executive exceeds the amount that would have been paid to Executive based on</w:t>
      </w:r>
    </w:p>
    <w:p>
      <w:pPr>
        <w:spacing w:after="0"/>
        <w:rPr>
          <w:sz w:val="20"/>
          <w:szCs w:val="20"/>
          <w:color w:val="auto"/>
        </w:rPr>
      </w:pPr>
      <w:r>
        <w:rPr>
          <w:rFonts w:ascii="Times New Roman" w:cs="Times New Roman" w:eastAsia="Times New Roman" w:hAnsi="Times New Roman"/>
          <w:sz w:val="20"/>
          <w:szCs w:val="20"/>
          <w:color w:val="auto"/>
        </w:rPr>
        <w:t>the restated financial statements, or (B) the amount (as determined by the Committee in its sole discretion) to be repaid pursuant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the Recoupment Policy. Nothing in this Section 23 shall preclude the Company (or any other person) from taking any other</w:t>
      </w:r>
    </w:p>
    <w:p>
      <w:pPr>
        <w:spacing w:after="0"/>
        <w:rPr>
          <w:sz w:val="20"/>
          <w:szCs w:val="20"/>
          <w:color w:val="auto"/>
        </w:rPr>
      </w:pPr>
      <w:r>
        <w:rPr>
          <w:rFonts w:ascii="Times New Roman" w:cs="Times New Roman" w:eastAsia="Times New Roman" w:hAnsi="Times New Roman"/>
          <w:sz w:val="22"/>
          <w:szCs w:val="22"/>
          <w:color w:val="auto"/>
        </w:rPr>
        <w:t>action.</w:t>
      </w:r>
    </w:p>
    <w:p>
      <w:pPr>
        <w:spacing w:after="0" w:line="181"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22"/>
          <w:szCs w:val="22"/>
          <w:color w:val="auto"/>
        </w:rPr>
        <w:t>24.</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any number of counterparts, each of which when so executed and delivered shall be taken to be an original; but such counterparts shall together constitute one and the same document.</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IN WITNESS WHEREOF, the parties have executed this Agreement effective on the Effective Date.</w:t>
      </w:r>
    </w:p>
    <w:p>
      <w:pPr>
        <w:spacing w:after="0" w:line="20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b w:val="1"/>
          <w:bCs w:val="1"/>
          <w:color w:val="auto"/>
        </w:rPr>
        <w:t>INVIVYD, INC.</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By: /s/ David Hering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3369310</wp:posOffset>
            </wp:positionH>
            <wp:positionV relativeFrom="paragraph">
              <wp:posOffset>-13970</wp:posOffset>
            </wp:positionV>
            <wp:extent cx="109601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36">
                      <a:extLst>
                        <a:ext uri="{28A0092B-C50C-407E-A947-70E740481C1C}"/>
                      </a:extLst>
                    </a:blip>
                    <a:srcRect/>
                    <a:stretch>
                      <a:fillRect/>
                    </a:stretch>
                  </pic:blipFill>
                  <pic:spPr bwMode="auto">
                    <a:xfrm>
                      <a:off x="0" y="0"/>
                      <a:ext cx="1096010" cy="8255"/>
                    </a:xfrm>
                    <a:prstGeom prst="rect">
                      <a:avLst/>
                    </a:prstGeom>
                    <a:noFill/>
                  </pic:spPr>
                </pic:pic>
              </a:graphicData>
            </a:graphic>
          </wp:anchor>
        </w:drawing>
      </w:r>
    </w:p>
    <w:p>
      <w:pPr>
        <w:ind w:left="4880"/>
        <w:spacing w:after="0"/>
        <w:rPr>
          <w:sz w:val="20"/>
          <w:szCs w:val="20"/>
          <w:color w:val="auto"/>
        </w:rPr>
      </w:pPr>
      <w:r>
        <w:rPr>
          <w:rFonts w:ascii="Times New Roman" w:cs="Times New Roman" w:eastAsia="Times New Roman" w:hAnsi="Times New Roman"/>
          <w:sz w:val="22"/>
          <w:szCs w:val="22"/>
          <w:color w:val="auto"/>
        </w:rPr>
        <w:t>Its: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3369310</wp:posOffset>
            </wp:positionH>
            <wp:positionV relativeFrom="paragraph">
              <wp:posOffset>-29210</wp:posOffset>
            </wp:positionV>
            <wp:extent cx="54800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37">
                      <a:extLst>
                        <a:ext uri="{28A0092B-C50C-407E-A947-70E740481C1C}"/>
                      </a:extLst>
                    </a:blip>
                    <a:srcRect/>
                    <a:stretch>
                      <a:fillRect/>
                    </a:stretch>
                  </pic:blipFill>
                  <pic:spPr bwMode="auto">
                    <a:xfrm>
                      <a:off x="0" y="0"/>
                      <a:ext cx="5480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b w:val="1"/>
          <w:bCs w:val="1"/>
          <w:color w:val="auto"/>
        </w:rPr>
        <w:t>ROBERT ALLEN, PhD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u w:val="single" w:color="auto"/>
          <w:color w:val="auto"/>
        </w:rPr>
        <w:t>/s/ Robert D. Allen III</w:t>
      </w:r>
    </w:p>
    <w:p>
      <w:pPr>
        <w:spacing w:after="0" w:line="23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u w:val="single" w:color="auto"/>
          <w:color w:val="auto"/>
        </w:rPr>
        <w:t>[***]</w:t>
      </w:r>
    </w:p>
    <w:p>
      <w:pPr>
        <w:spacing w:after="0" w:line="1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1164590</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3095625</wp:posOffset>
            </wp:positionH>
            <wp:positionV relativeFrom="paragraph">
              <wp:posOffset>-29210</wp:posOffset>
            </wp:positionV>
            <wp:extent cx="54800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39">
                      <a:extLst>
                        <a:ext uri="{28A0092B-C50C-407E-A947-70E740481C1C}"/>
                      </a:extLst>
                    </a:blip>
                    <a:srcRect/>
                    <a:stretch>
                      <a:fillRect/>
                    </a:stretch>
                  </pic:blipFill>
                  <pic:spPr bwMode="auto">
                    <a:xfrm>
                      <a:off x="0" y="0"/>
                      <a:ext cx="548005" cy="8255"/>
                    </a:xfrm>
                    <a:prstGeom prst="rect">
                      <a:avLst/>
                    </a:prstGeom>
                    <a:noFill/>
                  </pic:spPr>
                </pic:pic>
              </a:graphicData>
            </a:graphic>
          </wp:anchor>
        </w:drawing>
      </w:r>
    </w:p>
    <w:p>
      <w:pPr>
        <w:sectPr>
          <w:pgSz w:w="11900" w:h="16838" w:orient="portrait"/>
          <w:cols w:equalWidth="0" w:num="1">
            <w:col w:w="11220"/>
          </w:cols>
          <w:pgMar w:left="320" w:top="1407" w:right="359" w:bottom="1440" w:gutter="0" w:footer="0" w:header="0"/>
        </w:sectPr>
      </w:pPr>
    </w:p>
    <w:bookmarkStart w:id="286" w:name="page287"/>
    <w:bookmarkEnd w:id="286"/>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Appendix A</w:t>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Outside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1042670</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87" w:name="page288"/>
    <w:bookmarkEnd w:id="287"/>
    <w:p>
      <w:pPr>
        <w:jc w:val="center"/>
        <w:spacing w:after="0"/>
        <w:rPr>
          <w:sz w:val="20"/>
          <w:szCs w:val="20"/>
          <w:color w:val="auto"/>
        </w:rPr>
      </w:pPr>
      <w:r>
        <w:rPr>
          <w:rFonts w:ascii="Times New Roman" w:cs="Times New Roman" w:eastAsia="Times New Roman" w:hAnsi="Times New Roman"/>
          <w:sz w:val="22"/>
          <w:szCs w:val="22"/>
          <w:b w:val="1"/>
          <w:bCs w:val="1"/>
          <w:color w:val="auto"/>
        </w:rPr>
        <w:t>Appendix B</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SEPARATION AGREEMENT</w:t>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[Date]</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 Separation Agreement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[Name]:</w:t>
      </w:r>
    </w:p>
    <w:p>
      <w:pPr>
        <w:spacing w:after="0" w:line="205" w:lineRule="exact"/>
        <w:rPr>
          <w:sz w:val="20"/>
          <w:szCs w:val="20"/>
          <w:color w:val="auto"/>
        </w:rPr>
      </w:pPr>
    </w:p>
    <w:p>
      <w:pPr>
        <w:ind w:right="700"/>
        <w:spacing w:after="0" w:line="258" w:lineRule="auto"/>
        <w:rPr>
          <w:sz w:val="20"/>
          <w:szCs w:val="20"/>
          <w:color w:val="auto"/>
        </w:rPr>
      </w:pPr>
      <w:r>
        <w:rPr>
          <w:rFonts w:ascii="Times New Roman" w:cs="Times New Roman" w:eastAsia="Times New Roman" w:hAnsi="Times New Roman"/>
          <w:sz w:val="22"/>
          <w:szCs w:val="22"/>
          <w:color w:val="auto"/>
        </w:rPr>
        <w:t>This letter sets forth the substance of the separation agreement (the “Agreement”) which Invivyd, Inc. (the “Company”) is offering to you to aid in your employment transition.</w:t>
      </w:r>
    </w:p>
    <w:p>
      <w:pPr>
        <w:spacing w:after="0" w:line="153" w:lineRule="exact"/>
        <w:rPr>
          <w:sz w:val="20"/>
          <w:szCs w:val="20"/>
          <w:color w:val="auto"/>
        </w:rPr>
      </w:pPr>
    </w:p>
    <w:p>
      <w:pPr>
        <w:ind w:firstLine="8"/>
        <w:spacing w:after="0" w:line="261" w:lineRule="auto"/>
        <w:tabs>
          <w:tab w:leader="none" w:pos="509" w:val="left"/>
        </w:tabs>
        <w:numPr>
          <w:ilvl w:val="0"/>
          <w:numId w:val="2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Separation. </w:t>
      </w:r>
      <w:r>
        <w:rPr>
          <w:rFonts w:ascii="Times New Roman" w:cs="Times New Roman" w:eastAsia="Times New Roman" w:hAnsi="Times New Roman"/>
          <w:sz w:val="22"/>
          <w:szCs w:val="22"/>
          <w:color w:val="auto"/>
        </w:rPr>
        <w:t>Your last day of work with the Company and your employment termination date will be [Date]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“Separation Date”).</w:t>
      </w:r>
    </w:p>
    <w:p>
      <w:pPr>
        <w:spacing w:after="0" w:line="150" w:lineRule="exact"/>
        <w:rPr>
          <w:rFonts w:ascii="Times New Roman" w:cs="Times New Roman" w:eastAsia="Times New Roman" w:hAnsi="Times New Roman"/>
          <w:sz w:val="22"/>
          <w:szCs w:val="22"/>
          <w:b w:val="1"/>
          <w:bCs w:val="1"/>
          <w:color w:val="auto"/>
        </w:rPr>
      </w:pPr>
    </w:p>
    <w:p>
      <w:pPr>
        <w:jc w:val="both"/>
        <w:ind w:firstLine="8"/>
        <w:spacing w:after="0" w:line="246" w:lineRule="auto"/>
        <w:tabs>
          <w:tab w:leader="none" w:pos="509" w:val="left"/>
        </w:tabs>
        <w:numPr>
          <w:ilvl w:val="0"/>
          <w:numId w:val="2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Accrued Salary. </w:t>
      </w:r>
      <w:r>
        <w:rPr>
          <w:rFonts w:ascii="Times New Roman" w:cs="Times New Roman" w:eastAsia="Times New Roman" w:hAnsi="Times New Roman"/>
          <w:sz w:val="22"/>
          <w:szCs w:val="22"/>
          <w:color w:val="auto"/>
        </w:rPr>
        <w:t>On the Separation Date, the Company will pay you all accrued salary earned through the Separation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standard payroll deductions and withholdings. You will receive these payments regardless of whether or not you sign this Agreement.</w:t>
      </w:r>
    </w:p>
    <w:p>
      <w:pPr>
        <w:spacing w:after="0" w:line="165" w:lineRule="exact"/>
        <w:rPr>
          <w:rFonts w:ascii="Times New Roman" w:cs="Times New Roman" w:eastAsia="Times New Roman" w:hAnsi="Times New Roman"/>
          <w:sz w:val="22"/>
          <w:szCs w:val="22"/>
          <w:b w:val="1"/>
          <w:bCs w:val="1"/>
          <w:color w:val="auto"/>
        </w:rPr>
      </w:pPr>
    </w:p>
    <w:p>
      <w:pPr>
        <w:ind w:firstLine="8"/>
        <w:spacing w:after="0" w:line="261" w:lineRule="auto"/>
        <w:tabs>
          <w:tab w:leader="none" w:pos="509" w:val="left"/>
        </w:tabs>
        <w:numPr>
          <w:ilvl w:val="0"/>
          <w:numId w:val="2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Severance Benefits. </w:t>
      </w:r>
      <w:r>
        <w:rPr>
          <w:rFonts w:ascii="Times New Roman" w:cs="Times New Roman" w:eastAsia="Times New Roman" w:hAnsi="Times New Roman"/>
          <w:sz w:val="22"/>
          <w:szCs w:val="22"/>
          <w:color w:val="auto"/>
        </w:rPr>
        <w:t>If you execute and do not revoke this Agreement set forth below in Section 13, the Company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 you with the following Severance Benefits pursuant to the terms of your [month, date, year] Employment Agreement.</w:t>
      </w:r>
    </w:p>
    <w:p>
      <w:pPr>
        <w:spacing w:after="0" w:line="155" w:lineRule="exact"/>
        <w:rPr>
          <w:sz w:val="20"/>
          <w:szCs w:val="20"/>
          <w:color w:val="auto"/>
        </w:rPr>
      </w:pPr>
    </w:p>
    <w:p>
      <w:pPr>
        <w:ind w:right="60" w:firstLine="749"/>
        <w:spacing w:after="0" w:line="236" w:lineRule="auto"/>
        <w:rPr>
          <w:sz w:val="20"/>
          <w:szCs w:val="20"/>
          <w:color w:val="auto"/>
        </w:rPr>
      </w:pPr>
      <w:r>
        <w:rPr>
          <w:rFonts w:ascii="Times New Roman" w:cs="Times New Roman" w:eastAsia="Times New Roman" w:hAnsi="Times New Roman"/>
          <w:sz w:val="22"/>
          <w:szCs w:val="22"/>
          <w:color w:val="auto"/>
        </w:rPr>
        <w:t>The Company is offering severance to you in reliance on Treasury Regulation Section 1.409A-1(b)(9) and the short term deferral exemption in Treasury Regulation Section 1.409A-1(b)(4). Any payments made in reliance on Treasury Regulation Section 1.409A-1(b)(4) will be made not later than March 15, 20__. For purposes of Code Section 409A, your right to receive any installment payments under this Agreement (whether severance payments, reimbursements or otherwise) shall be treated as a right to receive a series of separate payments and, accordingly, each installment payment hereunder shall at all times be considered a separate and distinct payment.</w:t>
      </w:r>
    </w:p>
    <w:p>
      <w:pPr>
        <w:spacing w:after="0" w:line="175" w:lineRule="exact"/>
        <w:rPr>
          <w:sz w:val="20"/>
          <w:szCs w:val="20"/>
          <w:color w:val="auto"/>
        </w:rPr>
      </w:pPr>
    </w:p>
    <w:p>
      <w:pPr>
        <w:ind w:left="520" w:hanging="512"/>
        <w:spacing w:after="0"/>
        <w:tabs>
          <w:tab w:leader="none" w:pos="520" w:val="left"/>
        </w:tabs>
        <w:numPr>
          <w:ilvl w:val="0"/>
          <w:numId w:val="2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Benefit Plans.</w:t>
      </w:r>
    </w:p>
    <w:p>
      <w:pPr>
        <w:spacing w:after="0" w:line="209"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22"/>
          <w:szCs w:val="22"/>
          <w:color w:val="auto"/>
        </w:rPr>
        <w:t xml:space="preserve">If you are currently participating in the Company’s group health insurance plans, your participation as an employee will end on [the Separation Date] </w:t>
      </w:r>
      <w:r>
        <w:rPr>
          <w:rFonts w:ascii="Times New Roman" w:cs="Times New Roman" w:eastAsia="Times New Roman" w:hAnsi="Times New Roman"/>
          <w:sz w:val="22"/>
          <w:szCs w:val="22"/>
          <w:i w:val="1"/>
          <w:iCs w:val="1"/>
          <w:color w:val="auto"/>
        </w:rPr>
        <w:t>or</w:t>
      </w:r>
      <w:r>
        <w:rPr>
          <w:rFonts w:ascii="Times New Roman" w:cs="Times New Roman" w:eastAsia="Times New Roman" w:hAnsi="Times New Roman"/>
          <w:sz w:val="22"/>
          <w:szCs w:val="22"/>
          <w:color w:val="auto"/>
        </w:rPr>
        <w:t xml:space="preserve"> [the last day of the month in which separation occurs]. Thereafter, to the extent provided by the federal COBRA law or, if applicable, state insurance laws, and by the Company’s current group health insurance policies, you will be eligible to continue your group health insurance benefits at your own expense. Later, you may be able to convert to an individual policy through the provider of the Company’s health insurance, if you wish.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1009650</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288" w:name="page289"/>
    <w:bookmarkEnd w:id="288"/>
    <w:p>
      <w:pPr>
        <w:ind w:right="40"/>
        <w:spacing w:after="0" w:line="258" w:lineRule="auto"/>
        <w:rPr>
          <w:sz w:val="20"/>
          <w:szCs w:val="20"/>
          <w:color w:val="auto"/>
        </w:rPr>
      </w:pPr>
      <w:r>
        <w:rPr>
          <w:rFonts w:ascii="Times New Roman" w:cs="Times New Roman" w:eastAsia="Times New Roman" w:hAnsi="Times New Roman"/>
          <w:sz w:val="22"/>
          <w:szCs w:val="22"/>
          <w:color w:val="auto"/>
        </w:rPr>
        <w:t>Deductions for the 401(k) Plan will end with your last regular paycheck. You will receive information by mail concerning 401(k) plan rollover procedures should you be a participant in this program.</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You may be eligible for unemployment insurance benefits after the Separation Date.</w:t>
      </w:r>
    </w:p>
    <w:p>
      <w:pPr>
        <w:spacing w:after="0" w:line="201" w:lineRule="exact"/>
        <w:rPr>
          <w:sz w:val="20"/>
          <w:szCs w:val="20"/>
          <w:color w:val="auto"/>
        </w:rPr>
      </w:pPr>
    </w:p>
    <w:p>
      <w:pPr>
        <w:jc w:val="both"/>
        <w:ind w:right="20" w:firstLine="8"/>
        <w:spacing w:after="0" w:line="246" w:lineRule="auto"/>
        <w:tabs>
          <w:tab w:leader="none" w:pos="509" w:val="left"/>
        </w:tabs>
        <w:numPr>
          <w:ilvl w:val="0"/>
          <w:numId w:val="2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Stock Options. </w:t>
      </w:r>
      <w:r>
        <w:rPr>
          <w:rFonts w:ascii="Times New Roman" w:cs="Times New Roman" w:eastAsia="Times New Roman" w:hAnsi="Times New Roman"/>
          <w:sz w:val="22"/>
          <w:szCs w:val="22"/>
          <w:color w:val="auto"/>
        </w:rPr>
        <w:t>You were granted an option to purchase ________ shares of the Company’s common stock, pursuant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Company’s [correct name of Stock or incentive plan] (the “Plan”). Under the terms of the Plan and your stock option grant, vesting will cease as of the Separation Date.</w:t>
      </w:r>
    </w:p>
    <w:p>
      <w:pPr>
        <w:spacing w:after="0" w:line="165" w:lineRule="exact"/>
        <w:rPr>
          <w:rFonts w:ascii="Times New Roman" w:cs="Times New Roman" w:eastAsia="Times New Roman" w:hAnsi="Times New Roman"/>
          <w:sz w:val="22"/>
          <w:szCs w:val="22"/>
          <w:b w:val="1"/>
          <w:bCs w:val="1"/>
          <w:color w:val="auto"/>
        </w:rPr>
      </w:pPr>
    </w:p>
    <w:p>
      <w:pPr>
        <w:jc w:val="both"/>
        <w:ind w:firstLine="8"/>
        <w:spacing w:after="0"/>
        <w:tabs>
          <w:tab w:leader="none" w:pos="509" w:val="left"/>
        </w:tabs>
        <w:numPr>
          <w:ilvl w:val="0"/>
          <w:numId w:val="2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Other Compensation or Benefits. </w:t>
      </w:r>
      <w:r>
        <w:rPr>
          <w:rFonts w:ascii="Times New Roman" w:cs="Times New Roman" w:eastAsia="Times New Roman" w:hAnsi="Times New Roman"/>
          <w:sz w:val="22"/>
          <w:szCs w:val="22"/>
          <w:color w:val="auto"/>
        </w:rPr>
        <w:t>You acknowledge that, except as expressly provided in this Agreement, as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Separation Date, you have been fully paid any and all compensation, severance, benefits due to you, including all wages, salary, commissions, bonuses, options, shares, stock, incentive payments, equity interests, profit-sharing payments, expense reimbursements, accrued but unused vacation pay, leave or other benefits.</w:t>
      </w:r>
    </w:p>
    <w:p>
      <w:pPr>
        <w:spacing w:after="0" w:line="174" w:lineRule="exact"/>
        <w:rPr>
          <w:rFonts w:ascii="Times New Roman" w:cs="Times New Roman" w:eastAsia="Times New Roman" w:hAnsi="Times New Roman"/>
          <w:sz w:val="22"/>
          <w:szCs w:val="22"/>
          <w:b w:val="1"/>
          <w:bCs w:val="1"/>
          <w:color w:val="auto"/>
        </w:rPr>
      </w:pPr>
    </w:p>
    <w:p>
      <w:pPr>
        <w:jc w:val="both"/>
        <w:ind w:firstLine="8"/>
        <w:spacing w:after="0"/>
        <w:tabs>
          <w:tab w:leader="none" w:pos="509" w:val="left"/>
        </w:tabs>
        <w:numPr>
          <w:ilvl w:val="0"/>
          <w:numId w:val="2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Expense Reimbursements. </w:t>
      </w:r>
      <w:r>
        <w:rPr>
          <w:rFonts w:ascii="Times New Roman" w:cs="Times New Roman" w:eastAsia="Times New Roman" w:hAnsi="Times New Roman"/>
          <w:sz w:val="22"/>
          <w:szCs w:val="22"/>
          <w:color w:val="auto"/>
        </w:rPr>
        <w:t>You agree that, within ten (10) days of the Separation Date, you will submit your final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documented expense reimbursement statement reflecting all business expenses you incurred through the Separation Date, if any, for which you seek reimbursement. The Company will reimburse you for reasonable business expenses pursuant to its regular business practice.</w:t>
      </w:r>
    </w:p>
    <w:p>
      <w:pPr>
        <w:spacing w:after="0" w:line="174" w:lineRule="exact"/>
        <w:rPr>
          <w:rFonts w:ascii="Times New Roman" w:cs="Times New Roman" w:eastAsia="Times New Roman" w:hAnsi="Times New Roman"/>
          <w:sz w:val="22"/>
          <w:szCs w:val="22"/>
          <w:b w:val="1"/>
          <w:bCs w:val="1"/>
          <w:color w:val="auto"/>
        </w:rPr>
      </w:pPr>
    </w:p>
    <w:p>
      <w:pPr>
        <w:jc w:val="both"/>
        <w:ind w:firstLine="8"/>
        <w:spacing w:after="0" w:line="263" w:lineRule="auto"/>
        <w:tabs>
          <w:tab w:leader="none" w:pos="509" w:val="left"/>
        </w:tabs>
        <w:numPr>
          <w:ilvl w:val="0"/>
          <w:numId w:val="2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Return of Company Property. </w:t>
      </w:r>
      <w:r>
        <w:rPr>
          <w:rFonts w:ascii="Times New Roman" w:cs="Times New Roman" w:eastAsia="Times New Roman" w:hAnsi="Times New Roman"/>
          <w:sz w:val="20"/>
          <w:szCs w:val="20"/>
          <w:color w:val="auto"/>
        </w:rPr>
        <w:t>By the Separation Date, you agree to return to the Company all Company documents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all copies thereof) and other Company property that you have had in your possession at any time, including, but not limited to, Company files, notes, drawings, records, business plans and forecasts, financial information, specifications, computer-recorded information, tangible property (including, but not limited to, computers), credit cards, entry cards, identification badges and keys; and, any materials of any kind that contain or embody any proprietary or confidential information of the Company (and all reproductions thereof). Please coordinate return of Company property with [name/title]. </w:t>
      </w:r>
      <w:r>
        <w:rPr>
          <w:rFonts w:ascii="Times New Roman" w:cs="Times New Roman" w:eastAsia="Times New Roman" w:hAnsi="Times New Roman"/>
          <w:sz w:val="20"/>
          <w:szCs w:val="20"/>
          <w:b w:val="1"/>
          <w:bCs w:val="1"/>
          <w:color w:val="auto"/>
        </w:rPr>
        <w:t>Receipt of the severance benefits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described in Section 3 of this Agreement is expressly conditioned upon return of all Company Property.</w:t>
      </w:r>
    </w:p>
    <w:p>
      <w:pPr>
        <w:spacing w:after="0" w:line="150" w:lineRule="exact"/>
        <w:rPr>
          <w:rFonts w:ascii="Times New Roman" w:cs="Times New Roman" w:eastAsia="Times New Roman" w:hAnsi="Times New Roman"/>
          <w:sz w:val="20"/>
          <w:szCs w:val="20"/>
          <w:b w:val="1"/>
          <w:bCs w:val="1"/>
          <w:color w:val="auto"/>
        </w:rPr>
      </w:pPr>
    </w:p>
    <w:p>
      <w:pPr>
        <w:jc w:val="both"/>
        <w:ind w:firstLine="8"/>
        <w:spacing w:after="0" w:line="259" w:lineRule="auto"/>
        <w:tabs>
          <w:tab w:leader="none" w:pos="509" w:val="left"/>
        </w:tabs>
        <w:numPr>
          <w:ilvl w:val="0"/>
          <w:numId w:val="2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Confidential Information and Post-Termination Obligations. </w:t>
      </w:r>
      <w:r>
        <w:rPr>
          <w:rFonts w:ascii="Times New Roman" w:cs="Times New Roman" w:eastAsia="Times New Roman" w:hAnsi="Times New Roman"/>
          <w:sz w:val="20"/>
          <w:szCs w:val="20"/>
          <w:color w:val="auto"/>
        </w:rPr>
        <w:t>Both during and after your employment you acknowledge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your continuing obligations under your Employee Proprietary Information and Inventions Assignment Agreement (“Restrictive Covenants Agreement”) not to use or disclose any confidential or proprietary information of the Company, to refrain from certain solicitation and competition activities, and your agreement to arbitrate any/all claims you may have against the Company permitted by applicable law. A copy of your Restrictive Covenants Agreement is attached hereto. If you have any doubts as to the scope of the restrictions in your agreement, you should contact [name/title] immediately to assess your compliance. As you know, the Company will enforce its contract rights. Please familiarize yourself with the enclosed agreement which you signed. Confidential information that is also a “trade secret,” as defined by law, may be disclosed (A) if it is made (i) in confidence to a federal, state, or local government official, either directly or indirectly, or to an attorney and (ii) solely for the purpose of reporting or investigating a suspected violation of law; or (B) is made in a complaint or other document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1000125</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89" w:name="page290"/>
    <w:bookmarkEnd w:id="289"/>
    <w:p>
      <w:pPr>
        <w:jc w:val="both"/>
        <w:ind w:firstLine="509"/>
        <w:spacing w:after="0" w:line="239" w:lineRule="auto"/>
        <w:rPr>
          <w:sz w:val="20"/>
          <w:szCs w:val="20"/>
          <w:color w:val="auto"/>
        </w:rPr>
      </w:pPr>
      <w:r>
        <w:rPr>
          <w:rFonts w:ascii="Times New Roman" w:cs="Times New Roman" w:eastAsia="Times New Roman" w:hAnsi="Times New Roman"/>
          <w:sz w:val="22"/>
          <w:szCs w:val="22"/>
          <w:color w:val="auto"/>
        </w:rPr>
        <w:t>in a lawsuit or other proceeding, if such filing is made under seal. In addition, in the event that you file a lawsuit for retaliation by the Company for reporting a suspected violation of law, you may disclose the trade secret to your attorney and use the trade secret information in the court proceeding, if you: (A) file any document containing the trade secret under seal; and (B) do not disclose the trade secret, except pursuant to court order.</w:t>
      </w:r>
    </w:p>
    <w:p>
      <w:pPr>
        <w:spacing w:after="0" w:line="175" w:lineRule="exact"/>
        <w:rPr>
          <w:sz w:val="20"/>
          <w:szCs w:val="20"/>
          <w:color w:val="auto"/>
        </w:rPr>
      </w:pPr>
    </w:p>
    <w:p>
      <w:pPr>
        <w:jc w:val="both"/>
        <w:ind w:firstLine="8"/>
        <w:spacing w:after="0" w:line="234" w:lineRule="auto"/>
        <w:tabs>
          <w:tab w:leader="none" w:pos="509" w:val="left"/>
        </w:tabs>
        <w:numPr>
          <w:ilvl w:val="0"/>
          <w:numId w:val="2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Non-Compete. </w:t>
      </w:r>
      <w:r>
        <w:rPr>
          <w:rFonts w:ascii="Times New Roman" w:cs="Times New Roman" w:eastAsia="Times New Roman" w:hAnsi="Times New Roman"/>
          <w:sz w:val="22"/>
          <w:szCs w:val="22"/>
          <w:color w:val="auto"/>
        </w:rPr>
        <w:t>In exchange for the payments and other consideration under this Agreement, to which you would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otherwise be entitled, you agree that during the one year period after the Separation Date, you will not, whether paid or not: (i) serve as a partner, principal, licensor, licensee, employee, consultant, officer, director, manager, agent, affiliate, representative, advisor, promoter, associate, investor, or otherwise for, (ii) directly or indirectly, own, purchase, organize or take preparatory steps for the organization of, or (iii) build, design, finance, acquire, lease, operate, manage, control, invest in, work or consult for or otherwise join, participate in or affiliate yourself with, any business whose business, products or operations are in any respect involved in Conflicting Services (defined below) anywhere in the Restricted Territory (defined below). Should you obtain other employment within 12 months immediately following the Separation Date, you agree to provide written notification to the Company as to the name and address of your new employer, the position that you expect to hold, and a general description of your duties and responsibilities, at least three business days prior to starting such employment.</w:t>
      </w:r>
    </w:p>
    <w:p>
      <w:pPr>
        <w:spacing w:after="0" w:line="180" w:lineRule="exact"/>
        <w:rPr>
          <w:rFonts w:ascii="Times New Roman" w:cs="Times New Roman" w:eastAsia="Times New Roman" w:hAnsi="Times New Roman"/>
          <w:sz w:val="22"/>
          <w:szCs w:val="22"/>
          <w:b w:val="1"/>
          <w:bCs w:val="1"/>
          <w:color w:val="auto"/>
        </w:rPr>
      </w:pPr>
    </w:p>
    <w:p>
      <w:pPr>
        <w:jc w:val="both"/>
        <w:ind w:firstLine="757"/>
        <w:spacing w:after="0" w:line="244" w:lineRule="auto"/>
        <w:tabs>
          <w:tab w:leader="none" w:pos="1018" w:val="left"/>
        </w:tabs>
        <w:numPr>
          <w:ilvl w:val="1"/>
          <w:numId w:val="2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parties agree that for purposes of this Agreement, “Conflicting Services” means any business in which the Company is engaged, or in which the Company has plans to be engaged, or any service that the Company provides or has plans to provide.</w:t>
      </w:r>
    </w:p>
    <w:p>
      <w:pPr>
        <w:spacing w:after="0" w:line="172" w:lineRule="exact"/>
        <w:rPr>
          <w:rFonts w:ascii="Times New Roman" w:cs="Times New Roman" w:eastAsia="Times New Roman" w:hAnsi="Times New Roman"/>
          <w:sz w:val="22"/>
          <w:szCs w:val="22"/>
          <w:b w:val="1"/>
          <w:bCs w:val="1"/>
          <w:color w:val="auto"/>
        </w:rPr>
      </w:pPr>
    </w:p>
    <w:p>
      <w:pPr>
        <w:jc w:val="both"/>
        <w:ind w:firstLine="757"/>
        <w:spacing w:after="0" w:line="244" w:lineRule="auto"/>
        <w:tabs>
          <w:tab w:leader="none" w:pos="1018" w:val="left"/>
        </w:tabs>
        <w:numPr>
          <w:ilvl w:val="1"/>
          <w:numId w:val="2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parties further agree that for purposes of this Agreement, “Restricted Territory” means the geographic areas in which you provided services for the Company or had a material presence or influence, during any time within the last two years prior to the Separation Date.</w:t>
      </w:r>
    </w:p>
    <w:p>
      <w:pPr>
        <w:spacing w:after="0" w:line="168" w:lineRule="exact"/>
        <w:rPr>
          <w:rFonts w:ascii="Times New Roman" w:cs="Times New Roman" w:eastAsia="Times New Roman" w:hAnsi="Times New Roman"/>
          <w:sz w:val="22"/>
          <w:szCs w:val="22"/>
          <w:b w:val="1"/>
          <w:bCs w:val="1"/>
          <w:color w:val="auto"/>
        </w:rPr>
      </w:pPr>
    </w:p>
    <w:p>
      <w:pPr>
        <w:jc w:val="both"/>
        <w:ind w:firstLine="8"/>
        <w:spacing w:after="0" w:line="235" w:lineRule="auto"/>
        <w:tabs>
          <w:tab w:leader="none" w:pos="509" w:val="left"/>
        </w:tabs>
        <w:numPr>
          <w:ilvl w:val="0"/>
          <w:numId w:val="2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Confidentiality. </w:t>
      </w:r>
      <w:r>
        <w:rPr>
          <w:rFonts w:ascii="Times New Roman" w:cs="Times New Roman" w:eastAsia="Times New Roman" w:hAnsi="Times New Roman"/>
          <w:sz w:val="22"/>
          <w:szCs w:val="22"/>
          <w:color w:val="auto"/>
        </w:rPr>
        <w:t>The provisions of this Agreement will be held in strictest confidence by you and will not be publicized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disclosed in any manner whatsoever;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(a) you may disclose this Agreement to your immediate family; (b) you may disclose this Agreement in confidence to your attorney, accountant, auditor, tax preparer, and financial advisor; and (c) you may disclose this Agreement insofar as such disclosure may be required by law. Notwithstanding the foregoing, nothing in this Agreement shall limit your right to voluntarily communicate with the Equal Employment Opportunity Commission, United States Department of Labor, the National Labor Relations Board, the Securities and Exchange Commission, other federal government agency or similar state or local agency or to discuss the terms and conditions of your employment with others to the extent expressly permitted by Section 7 of the National Labor Relations Act.</w:t>
      </w:r>
    </w:p>
    <w:p>
      <w:pPr>
        <w:spacing w:after="0" w:line="175" w:lineRule="exact"/>
        <w:rPr>
          <w:rFonts w:ascii="Times New Roman" w:cs="Times New Roman" w:eastAsia="Times New Roman" w:hAnsi="Times New Roman"/>
          <w:sz w:val="22"/>
          <w:szCs w:val="22"/>
          <w:b w:val="1"/>
          <w:bCs w:val="1"/>
          <w:color w:val="auto"/>
        </w:rPr>
      </w:pPr>
    </w:p>
    <w:p>
      <w:pPr>
        <w:jc w:val="both"/>
        <w:ind w:firstLine="8"/>
        <w:spacing w:after="0" w:line="237" w:lineRule="auto"/>
        <w:tabs>
          <w:tab w:leader="none" w:pos="509" w:val="left"/>
        </w:tabs>
        <w:numPr>
          <w:ilvl w:val="0"/>
          <w:numId w:val="2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Mutual Non-Disparagement. </w:t>
      </w:r>
      <w:r>
        <w:rPr>
          <w:rFonts w:ascii="Times New Roman" w:cs="Times New Roman" w:eastAsia="Times New Roman" w:hAnsi="Times New Roman"/>
          <w:sz w:val="22"/>
          <w:szCs w:val="22"/>
          <w:color w:val="auto"/>
        </w:rPr>
        <w:t>You agree not to disparage the Company, and/or the Company’s attorneys, directors,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managers, partners, employees, agents and affiliates, in any manner likely to be harmful to them or their business, business reputation or personal reputation; provided that you may respond accurately and fully to any question, inquiry or request for information when required by legal process. You further agree that, by no later than the Effective Date, you shall delete or otherwise remove any and all disparaging public comments or statements that you made prior to the Effective Date about or relating to the Company, including, but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1007745</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90" w:name="page291"/>
    <w:bookmarkEnd w:id="290"/>
    <w:p>
      <w:pPr>
        <w:jc w:val="both"/>
        <w:ind w:firstLine="509"/>
        <w:spacing w:after="0" w:line="239" w:lineRule="auto"/>
        <w:rPr>
          <w:sz w:val="20"/>
          <w:szCs w:val="20"/>
          <w:color w:val="auto"/>
        </w:rPr>
      </w:pPr>
      <w:r>
        <w:rPr>
          <w:rFonts w:ascii="Times New Roman" w:cs="Times New Roman" w:eastAsia="Times New Roman" w:hAnsi="Times New Roman"/>
          <w:sz w:val="22"/>
          <w:szCs w:val="22"/>
          <w:color w:val="auto"/>
        </w:rPr>
        <w:t>limited to, comments in online forums or on websites (including, but not limited to, Facebook, Glassdoor, Yelp, and LinkedIn), as applicable. Likewise, the Company agrees to instruct the current Chief Executive Officer, Chief Financial Officer, Chief Operating Officer, Chief Technology &amp; Manufacturing Officer, Chief Legal Officer, Chief Scientific Officer, and SVP, Human Resources and the Company’s current Board of Directors not to disparage you.</w:t>
      </w:r>
    </w:p>
    <w:p>
      <w:pPr>
        <w:spacing w:after="0" w:line="175" w:lineRule="exact"/>
        <w:rPr>
          <w:sz w:val="20"/>
          <w:szCs w:val="20"/>
          <w:color w:val="auto"/>
        </w:rPr>
      </w:pPr>
    </w:p>
    <w:p>
      <w:pPr>
        <w:jc w:val="both"/>
        <w:ind w:firstLine="8"/>
        <w:spacing w:after="0"/>
        <w:tabs>
          <w:tab w:leader="none" w:pos="509" w:val="left"/>
        </w:tabs>
        <w:numPr>
          <w:ilvl w:val="0"/>
          <w:numId w:val="2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Cooperation after Termination. </w:t>
      </w:r>
      <w:r>
        <w:rPr>
          <w:rFonts w:ascii="Times New Roman" w:cs="Times New Roman" w:eastAsia="Times New Roman" w:hAnsi="Times New Roman"/>
          <w:sz w:val="22"/>
          <w:szCs w:val="22"/>
          <w:color w:val="auto"/>
        </w:rPr>
        <w:t>You agree to cooperate fully with the Company in all matters relating to the transition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your work and responsibilities on behalf of the Company, including, but not limited to, any present, prior or subsequent relationships and the orderly transfer of any such work and institutional knowledge to such other persons as may be designated by the Company, by making yourself reasonably available during regular business hours.</w:t>
      </w:r>
    </w:p>
    <w:p>
      <w:pPr>
        <w:spacing w:after="0" w:line="174" w:lineRule="exact"/>
        <w:rPr>
          <w:rFonts w:ascii="Times New Roman" w:cs="Times New Roman" w:eastAsia="Times New Roman" w:hAnsi="Times New Roman"/>
          <w:sz w:val="22"/>
          <w:szCs w:val="22"/>
          <w:b w:val="1"/>
          <w:bCs w:val="1"/>
          <w:color w:val="auto"/>
        </w:rPr>
      </w:pPr>
    </w:p>
    <w:p>
      <w:pPr>
        <w:jc w:val="both"/>
        <w:ind w:firstLine="8"/>
        <w:spacing w:after="0" w:line="232" w:lineRule="auto"/>
        <w:tabs>
          <w:tab w:leader="none" w:pos="509" w:val="left"/>
        </w:tabs>
        <w:numPr>
          <w:ilvl w:val="0"/>
          <w:numId w:val="2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Release. </w:t>
      </w:r>
      <w:r>
        <w:rPr>
          <w:rFonts w:ascii="Times New Roman" w:cs="Times New Roman" w:eastAsia="Times New Roman" w:hAnsi="Times New Roman"/>
          <w:sz w:val="22"/>
          <w:szCs w:val="22"/>
          <w:color w:val="auto"/>
        </w:rPr>
        <w:t>In exchange for the payments and other consideration under this Agreement, to which you would not otherwise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entitled, and except as otherwise set forth in this Agreement, you, on behalf of yourself and, to the extent permitted by law, on behalf of your spouse, heirs, executors, administrators, assigns, insurers, attorneys and other persons or entities, acting or purporting to act on your behalf (collectively, the “Employee Parties”), hereby generally and completely release, acquit and forever discharge the Company, its parents and subsidiaries, and its and their officers, directors, managers, partners, agents, representatives, employees, attorneys, shareholders, predecessors, successors, assigns, insurers and affiliates (the “Company Parties”) of and from any and all claims, liabilities, demands, contentions, actions, causes of action, suits, costs, expenses, attorneys’ fees, damages, indemnities, debts, judgments, levies, executions and obligations of every kind and nature, in law, equity, or otherwise, both known and unknown, suspected and unsuspected, disclosed and undisclosed, arising out of or in any way related to agreements, events, acts or conduct at any time prior to and including the execution date of this Agreement, including but not limited to: all such claims and demands directly or indirectly arising out of or in any way connected with your employment with the Company or the termination of that employment; claims or demands related to salary, bonuses, commissions, stock, stock options, or any other ownership interests in the Company, vacation pay, fringe benefits, expense reimbursements, severance pay, or any other form of compensation; claims pursuant to any federal, state or local law, statute, or cause of action; tort law; or contract law (individually a “Claim” and collectively “Claims”). The Claims you are releasing and waiving in this Agreement include, but are not limited to, any and all Claims that any of the Company Parties:</w:t>
      </w:r>
    </w:p>
    <w:p>
      <w:pPr>
        <w:spacing w:after="0" w:line="190" w:lineRule="exact"/>
        <w:rPr>
          <w:rFonts w:ascii="Times New Roman" w:cs="Times New Roman" w:eastAsia="Times New Roman" w:hAnsi="Times New Roman"/>
          <w:sz w:val="22"/>
          <w:szCs w:val="22"/>
          <w:b w:val="1"/>
          <w:bCs w:val="1"/>
          <w:color w:val="auto"/>
        </w:rPr>
      </w:pPr>
    </w:p>
    <w:p>
      <w:pPr>
        <w:ind w:left="1500" w:right="700" w:hanging="690"/>
        <w:spacing w:after="0" w:line="258" w:lineRule="auto"/>
        <w:tabs>
          <w:tab w:leader="none" w:pos="1236" w:val="left"/>
        </w:tabs>
        <w:numPr>
          <w:ilvl w:val="1"/>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violated its personnel policies, handbooks, contracts of employment, or covenants of good faith and fair dealing;</w:t>
      </w:r>
    </w:p>
    <w:p>
      <w:pPr>
        <w:spacing w:after="0" w:line="157" w:lineRule="exact"/>
        <w:rPr>
          <w:rFonts w:ascii="Times New Roman" w:cs="Times New Roman" w:eastAsia="Times New Roman" w:hAnsi="Times New Roman"/>
          <w:sz w:val="22"/>
          <w:szCs w:val="22"/>
          <w:color w:val="auto"/>
        </w:rPr>
      </w:pPr>
    </w:p>
    <w:p>
      <w:pPr>
        <w:ind w:left="1500" w:right="100" w:hanging="690"/>
        <w:spacing w:after="0" w:line="234" w:lineRule="auto"/>
        <w:tabs>
          <w:tab w:leader="none" w:pos="1236" w:val="left"/>
        </w:tabs>
        <w:numPr>
          <w:ilvl w:val="1"/>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discriminated against you on the basis of age, race, color, sex (including sexual harassment), national origin, ancestry, disability, religion, sexual orientation, marital status, parental status, source of income, entitlement to benefits, any union activities or other protected category in violation of any local, state or federal law, constitution, ordinance, or regulation, including but not limited to: Title VII of the Civil Rights Act of 1964, the Civil Rights Act of 1866 (42 U.S.C. 1981), the Civil Rights Act of 1991, the Genetic Information Nondiscrimination Act, Executive Order 11246, which prohibit discrimination based on race, color, national origin, religion, or sex; the Americans with Disabilities Act and Sections 503 and 504 of the Rehabilitation Act of 1973,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1012190</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91" w:name="page292"/>
    <w:bookmarkEnd w:id="291"/>
    <w:p>
      <w:pPr>
        <w:ind w:left="1500"/>
        <w:spacing w:after="0" w:line="234" w:lineRule="auto"/>
        <w:rPr>
          <w:sz w:val="20"/>
          <w:szCs w:val="20"/>
          <w:color w:val="auto"/>
        </w:rPr>
      </w:pPr>
      <w:r>
        <w:rPr>
          <w:rFonts w:ascii="Times New Roman" w:cs="Times New Roman" w:eastAsia="Times New Roman" w:hAnsi="Times New Roman"/>
          <w:sz w:val="22"/>
          <w:szCs w:val="22"/>
          <w:color w:val="auto"/>
        </w:rPr>
        <w:t>which prohibit discrimination against the disabled, the Age Discrimination in Employment Act (ADEA), which prohibits discrimination based on age, the Older Workers Benefit Protection Act, the National Labor Relations Act, the Lily Ledbetter Fair Pay Act, the anti-retaliation provisions of the Sarbanes-Oxley Act, or any other federal or state law regarding whistleblower retaliation; the Massachusetts Fair Employment Practices Act (M.G.L. c. 151B), the Massachusetts Equal Rights Act, the Massachusetts Equal Pay Act, the Massachusetts Privacy Statute, the Massachusetts Sick Leave Law, the Massachusetts Civil Rights Act, all as amended, and any and all other federal, state or local laws, rules, regulations, constitutions, ordinances or public policies, whether known or unknown, prohibiting employment discrimination;</w:t>
      </w:r>
    </w:p>
    <w:p>
      <w:pPr>
        <w:spacing w:after="0" w:line="184" w:lineRule="exact"/>
        <w:rPr>
          <w:sz w:val="20"/>
          <w:szCs w:val="20"/>
          <w:color w:val="auto"/>
        </w:rPr>
      </w:pPr>
    </w:p>
    <w:p>
      <w:pPr>
        <w:ind w:left="1500" w:hanging="690"/>
        <w:spacing w:after="0" w:line="259" w:lineRule="auto"/>
        <w:tabs>
          <w:tab w:leader="none" w:pos="1236" w:val="left"/>
        </w:tabs>
        <w:numPr>
          <w:ilvl w:val="0"/>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violated any employment statutes, such as the WARN Act which requires that advance notice be given of certain workforce reductions; the Employee Retirement Income Security Act of 1974 (ERISA) which, among other things, protects employee benefits; the Fair Labor Standards Act of 1938, which regulates wage and hour matters; the National Labor Relations Act, which protects forms of concerted activity; the Family and Medical Leave Act of 1993, which requires employers to provide leaves of absence under certain circumstances; the Fair Credit Reporting Act, the Employee Polygraph Protection Act, the Massachusetts Payment of Wages Act (M.G.L. c. 149 sections 148 and 150), the Massachusetts Overtime regulations (M.G.L. c. 151 sections 1A and 1B), the Massachusetts Meal Break regulations (M.G.L. c. 149 sections 100 and 101), all as amended, and any and all other federal, state or local laws, rules, regulations, constitutions, ordinances or public policies, whether known or unknown relating to employment laws, such as veterans’ reemployment rights laws;</w:t>
      </w:r>
    </w:p>
    <w:p>
      <w:pPr>
        <w:spacing w:after="0" w:line="161" w:lineRule="exact"/>
        <w:rPr>
          <w:rFonts w:ascii="Times New Roman" w:cs="Times New Roman" w:eastAsia="Times New Roman" w:hAnsi="Times New Roman"/>
          <w:sz w:val="20"/>
          <w:szCs w:val="20"/>
          <w:color w:val="auto"/>
        </w:rPr>
      </w:pPr>
    </w:p>
    <w:p>
      <w:pPr>
        <w:ind w:left="1500" w:right="120" w:hanging="690"/>
        <w:spacing w:after="0" w:line="234" w:lineRule="auto"/>
        <w:tabs>
          <w:tab w:leader="none" w:pos="1236" w:val="left"/>
        </w:tabs>
        <w:numPr>
          <w:ilvl w:val="0"/>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violated any other laws, such as federal, state, or local laws providing workers’ compensation benefits, restricting an employer’s right to terminate employees, or otherwise regulating employment; any federal, state or local law enforcing express or implied employment contracts or requiring an employer to deal with employees fairly or in good faith; any other federal, state or local laws providing recourse for alleged wrongful discharge, retaliatory discharge, negligent hiring, retention, or supervision, physical or personal injury, emotional distress, assault, battery, false imprisonment, fraud, negligent misrepresentation, defamation, intentional or negligent infliction of emotional distress and/or mental anguish, intentional interference with contract, negligence, detrimental reliance, loss of consortium to you or any member of your family, whistleblowing, and similar or related claims.</w:t>
      </w:r>
    </w:p>
    <w:p>
      <w:pPr>
        <w:spacing w:after="0" w:line="180"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2"/>
          <w:szCs w:val="22"/>
          <w:color w:val="auto"/>
        </w:rPr>
        <w:t>Notwithstanding the foregoing, other than events expressly contemplated by this Agreement you do not waive or release rights or Claims that may arise from events that occur after the date this waiver is executed or your right to enforce this Agreement. Also excluded from this Agreement are any Claims which cannot be waived by law, including, without limitation, any rights you may have under applicable workers’ compensation laws and your right, if applicable, to file or participate in an investigative proceeding of any federal, state or local governmental agency. Nothing in this Agreement shall prevent you from filing, cooperating with, or participating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1009015</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7" w:right="379" w:bottom="1440" w:gutter="0" w:footer="0" w:header="0"/>
        </w:sectPr>
      </w:pPr>
    </w:p>
    <w:bookmarkStart w:id="292" w:name="page293"/>
    <w:bookmarkEnd w:id="292"/>
    <w:p>
      <w:pPr>
        <w:spacing w:after="0" w:line="257" w:lineRule="auto"/>
        <w:rPr>
          <w:sz w:val="20"/>
          <w:szCs w:val="20"/>
          <w:color w:val="auto"/>
        </w:rPr>
      </w:pPr>
      <w:r>
        <w:rPr>
          <w:rFonts w:ascii="Times New Roman" w:cs="Times New Roman" w:eastAsia="Times New Roman" w:hAnsi="Times New Roman"/>
          <w:sz w:val="20"/>
          <w:szCs w:val="20"/>
          <w:color w:val="auto"/>
        </w:rPr>
        <w:t>any proceeding or investigation before the Equal Employment Opportunity Commission, United States Department of Labor, the National Labor Relations Board, the Occupational Safety and Health Administration, the Securities and Exchange Commission or any other federal government agency, or similar state or local agency (“Government Agencies”), or exercising any rights pursuant to Section 7 of the National Labor Relations Act. You further understand this Agreement does not limit your ability to voluntarily communicate with any Government Agencies or otherwise participate in any investigation or proceeding that may be conducted by any Government Agency, including providing documents or other information, without notice to the Company. While this Agreement does not limit your right to receive an award for information provided to the Securities and Exchange Commission, you understand and agree that, you are otherwise waiving, to the fullest extent permitted by law, any and all rights you may have to individual relief based on any Claims that you have released and any rights you have waived by signing this Agreement. If any Claim is not subject to release, to the extent permitted by law, you waive any right or ability to be a class or collective action representative or to otherwise participate in any putative or certified class, collective or multi-party action or proceeding based on such a Claim in which any of the Company Parties is a party. This Agreement does not abrogate your existing rights under any Company benefit plan or any plan or agreement related to equity ownership in the Company; however, it does waive, release and forever discharge Claims existing as of the date you execute this Agreement pursuant to any such plan or agreement.</w:t>
      </w:r>
    </w:p>
    <w:p>
      <w:pPr>
        <w:spacing w:after="0" w:line="162" w:lineRule="exact"/>
        <w:rPr>
          <w:sz w:val="20"/>
          <w:szCs w:val="20"/>
          <w:color w:val="auto"/>
        </w:rPr>
      </w:pPr>
    </w:p>
    <w:p>
      <w:pPr>
        <w:jc w:val="both"/>
        <w:ind w:firstLine="8"/>
        <w:spacing w:after="0" w:line="232" w:lineRule="auto"/>
        <w:tabs>
          <w:tab w:leader="none" w:pos="509" w:val="left"/>
        </w:tabs>
        <w:numPr>
          <w:ilvl w:val="0"/>
          <w:numId w:val="2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Your Acknowledgments and Affirmations/ Effective Date of Agreement. </w:t>
      </w:r>
      <w:r>
        <w:rPr>
          <w:rFonts w:ascii="Times New Roman" w:cs="Times New Roman" w:eastAsia="Times New Roman" w:hAnsi="Times New Roman"/>
          <w:sz w:val="22"/>
          <w:szCs w:val="22"/>
          <w:color w:val="auto"/>
        </w:rPr>
        <w:t>You acknowledge that you are knowingly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voluntarily waiving and releasing any and all rights you may have under the ADEA, as amended. You also acknowledge and agree that (i) the consideration given to you in exchange for the waiver and release in this Agreement is in addition to anything of value to which you were already entitled, and (ii) that you have been paid for all time worked, have received all the leave, leaves of absence and leave benefits and protections for which you are eligible, and have not suffered any on-the-job injury for which you have not already filed a Claim. You affirm that all of the decisions of the Company Parties regarding your pay and benefits through the date of your execution of this Agreement were not discriminatory based on age, disability, race, color, sex, religion, national origin or any other classification protected by law. You affirm that you have not filed or caused to be filed, and are not presently a party to, a Claim against any of the Company Parties. You further affirm that you have no known workplace injuries or occupational diseases. You acknowledge and affirm that you have not been retaliated against for reporting any allegation of corporate fraud or other wrongdoing by any of the Company Parties, or for exercising any rights protected by law, including any rights protected by the Fair Labor Standards Act, the Family Medical Leave Act or any related statute or local leave or disability accommodation laws, or any applicable state workers’ compensation law. You further acknowledge and affirm that you have been advised by this writing that: (a) your waiver and release do not apply to any rights or Claims that may arise after the execution date of this Agreement; (b) you have been advised hereby that you have the right to consult with an attorney prior to executing this Agreement; (c) you have been given [twenty-one (21)/forty-five (45)] days to consider this Agreement (although you may choose to voluntarily execute this Agreement earlier and if you do you will sign the Consideration Period waiver below); (d) you have seven (7) business days following your execution of this Agreement to revoke this Agreement by providing written notice of your decision to revoke the Agreement to the Company, Attention: [Jill Andersen, Chief Legal Officer, 1601 Trapelo Road, Suite 178, Waltham, MA 02451], by no later than 12:01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1011555</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93" w:name="page294"/>
    <w:bookmarkEnd w:id="293"/>
    <w:p>
      <w:pPr>
        <w:jc w:val="both"/>
        <w:ind w:firstLine="509"/>
        <w:spacing w:after="0" w:line="237" w:lineRule="auto"/>
        <w:rPr>
          <w:sz w:val="20"/>
          <w:szCs w:val="20"/>
          <w:color w:val="auto"/>
        </w:rPr>
      </w:pPr>
      <w:r>
        <w:rPr>
          <w:rFonts w:ascii="Times New Roman" w:cs="Times New Roman" w:eastAsia="Times New Roman" w:hAnsi="Times New Roman"/>
          <w:sz w:val="22"/>
          <w:szCs w:val="22"/>
          <w:color w:val="auto"/>
        </w:rPr>
        <w:t>a.m. on the eighth (8th) calendar day after the date by which you have signed this Agreement (the “Revocation Deadline”); and (e) this Agreement shall not be effective until the date upon which the revocation period has expired unexercised (the "Effective Date"), which shall be the eighth business day after this Agreement is executed by you[ and (f) you acknowledge that with your receipt of this Agreement, you also received an “Age Discrimination in Employment Act Disclosure,” attached as Exhibit A].</w:t>
      </w:r>
    </w:p>
    <w:p>
      <w:pPr>
        <w:spacing w:after="0" w:line="176" w:lineRule="exact"/>
        <w:rPr>
          <w:sz w:val="20"/>
          <w:szCs w:val="20"/>
          <w:color w:val="auto"/>
        </w:rPr>
      </w:pPr>
    </w:p>
    <w:p>
      <w:pPr>
        <w:jc w:val="both"/>
        <w:ind w:firstLine="8"/>
        <w:spacing w:after="0" w:line="246" w:lineRule="auto"/>
        <w:tabs>
          <w:tab w:leader="none" w:pos="509" w:val="left"/>
        </w:tabs>
        <w:numPr>
          <w:ilvl w:val="0"/>
          <w:numId w:val="2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 Admission. </w:t>
      </w:r>
      <w:r>
        <w:rPr>
          <w:rFonts w:ascii="Times New Roman" w:cs="Times New Roman" w:eastAsia="Times New Roman" w:hAnsi="Times New Roman"/>
          <w:sz w:val="22"/>
          <w:szCs w:val="22"/>
          <w:color w:val="auto"/>
        </w:rPr>
        <w:t>This Agreement does not constitute an admission by the Company of any wrongful action or violation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federal, state, or local statute, or common law rights, including those relating to the provisions of any law or statute concerning employment actions, or of any other possible or claimed violation of law or rights.</w:t>
      </w:r>
    </w:p>
    <w:p>
      <w:pPr>
        <w:spacing w:after="0" w:line="165" w:lineRule="exact"/>
        <w:rPr>
          <w:rFonts w:ascii="Times New Roman" w:cs="Times New Roman" w:eastAsia="Times New Roman" w:hAnsi="Times New Roman"/>
          <w:sz w:val="22"/>
          <w:szCs w:val="22"/>
          <w:b w:val="1"/>
          <w:bCs w:val="1"/>
          <w:color w:val="auto"/>
        </w:rPr>
      </w:pPr>
    </w:p>
    <w:p>
      <w:pPr>
        <w:jc w:val="both"/>
        <w:ind w:firstLine="8"/>
        <w:spacing w:after="0" w:line="234" w:lineRule="auto"/>
        <w:tabs>
          <w:tab w:leader="none" w:pos="509" w:val="left"/>
        </w:tabs>
        <w:numPr>
          <w:ilvl w:val="0"/>
          <w:numId w:val="2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Breach. </w:t>
      </w:r>
      <w:r>
        <w:rPr>
          <w:rFonts w:ascii="Times New Roman" w:cs="Times New Roman" w:eastAsia="Times New Roman" w:hAnsi="Times New Roman"/>
          <w:sz w:val="22"/>
          <w:szCs w:val="22"/>
          <w:color w:val="auto"/>
        </w:rPr>
        <w:t>You agree that upon any breach of this Agreement you will forfeit all amounts paid or owing to you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Further, you acknowledge that it may be impossible to assess the damages caused by your violation of the terms of Sections 8, 9, 10 and 11 of this Agreement and further agree that any threatened or actual violation or breach of those Sections of this Agreement will constitute immediate and irreparable injury to the Company. You therefore agree that any such breach of this Agreement is a material breach of this Agreement, and, in addition to any and all other damages and remedies available to the Company upon your breach of this Agreement, the Company shall be entitled to an injunction to prevent you from violating or breaching this Agreement. You agree that if the Company is successful in whole or part in any legal or equitable action against you under this Agreement, you agree to pay all of the costs, including reasonable attorneys’ fees, incurred by the Company in enforcing the terms of this Agreement.</w:t>
      </w:r>
    </w:p>
    <w:p>
      <w:pPr>
        <w:spacing w:after="0" w:line="180" w:lineRule="exact"/>
        <w:rPr>
          <w:rFonts w:ascii="Times New Roman" w:cs="Times New Roman" w:eastAsia="Times New Roman" w:hAnsi="Times New Roman"/>
          <w:sz w:val="22"/>
          <w:szCs w:val="22"/>
          <w:b w:val="1"/>
          <w:bCs w:val="1"/>
          <w:color w:val="auto"/>
        </w:rPr>
      </w:pPr>
    </w:p>
    <w:p>
      <w:pPr>
        <w:jc w:val="both"/>
        <w:ind w:firstLine="8"/>
        <w:spacing w:after="0" w:line="234" w:lineRule="auto"/>
        <w:tabs>
          <w:tab w:leader="none" w:pos="509" w:val="left"/>
        </w:tabs>
        <w:numPr>
          <w:ilvl w:val="0"/>
          <w:numId w:val="2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Miscellaneous. </w:t>
      </w:r>
      <w:r>
        <w:rPr>
          <w:rFonts w:ascii="Times New Roman" w:cs="Times New Roman" w:eastAsia="Times New Roman" w:hAnsi="Times New Roman"/>
          <w:sz w:val="22"/>
          <w:szCs w:val="22"/>
          <w:color w:val="auto"/>
        </w:rPr>
        <w:t>Except as set forth herein, this Agreement, including any exhibits, constitutes the complete, final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exclusive embodiment of the entire agreement between you and the Company with regard to this subject matter. It is entered into without reliance on any promise or representation, written or oral, other than those expressly contained herein, and it supersedes any other such promises, warranties or representations. This Agreement may not be modified or amended except in a writing signed by both you and a duly authorized officer of the Company.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will not affect any other provision of this Agreement and the provision in question will be modified by the court so as to be rendered enforceable. This Agreement will be deemed to have been entered into and will be construed and enforced in accordance with the laws of the Commonwealth of Massachusetts as applied to contracts made and to be performed entirely within Massachusetts.</w:t>
      </w:r>
    </w:p>
    <w:p>
      <w:pPr>
        <w:spacing w:after="0" w:line="176" w:lineRule="exact"/>
        <w:rPr>
          <w:rFonts w:ascii="Times New Roman" w:cs="Times New Roman" w:eastAsia="Times New Roman" w:hAnsi="Times New Roman"/>
          <w:sz w:val="22"/>
          <w:szCs w:val="22"/>
          <w:b w:val="1"/>
          <w:bCs w:val="1"/>
          <w:color w:val="auto"/>
        </w:rPr>
      </w:pPr>
    </w:p>
    <w:p>
      <w:pPr>
        <w:jc w:val="both"/>
        <w:ind w:firstLine="8"/>
        <w:spacing w:after="0" w:line="236" w:lineRule="auto"/>
        <w:tabs>
          <w:tab w:leader="none" w:pos="509" w:val="left"/>
        </w:tabs>
        <w:numPr>
          <w:ilvl w:val="0"/>
          <w:numId w:val="2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To ensure the rapid and economical resolution of disputes that may arise from or relating to the enforcement, breach, performance, or interpretation of this Agreement shall be resolved, to the fullest extent permitted by law, by final, binding and confidential arbitration conducted by JAMS or its successor, under JAMS’ then applicable rules and procedures for employment disputes (available upon request and also currently available at http://www.jamsadr.com/rules-employment-arbitration/). </w:t>
      </w:r>
      <w:r>
        <w:rPr>
          <w:rFonts w:ascii="Times New Roman" w:cs="Times New Roman" w:eastAsia="Times New Roman" w:hAnsi="Times New Roman"/>
          <w:sz w:val="22"/>
          <w:szCs w:val="22"/>
          <w:b w:val="1"/>
          <w:bCs w:val="1"/>
          <w:color w:val="auto"/>
        </w:rPr>
        <w:t>You</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acknowledge that by agreeing to this arbitration procedure, both you and the Company waive the right to resolve any such dispute through a trial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1009015</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94" w:name="page295"/>
    <w:bookmarkEnd w:id="294"/>
    <w:p>
      <w:pPr>
        <w:jc w:val="both"/>
        <w:ind w:firstLine="509"/>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jury or judge or administrative proceeding. </w:t>
      </w:r>
      <w:r>
        <w:rPr>
          <w:rFonts w:ascii="Times New Roman" w:cs="Times New Roman" w:eastAsia="Times New Roman" w:hAnsi="Times New Roman"/>
          <w:sz w:val="22"/>
          <w:szCs w:val="22"/>
          <w:color w:val="auto"/>
        </w:rPr>
        <w:t>You will have the right to be represented by legal counsel at any arbitration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proceeding. The arbitrator shall: (a) have the authority to compel adequate discovery for the resolution of the dispute and to award such relief as would otherwise be permitted by law; and (b) issue a written statement signed by the arbitrator regarding the disposition of each claim and the relief, if any, awarded as to each claim, the reasons for the award, and the arbitrator’s essential findings and conclusions on which the award is based. The arbitrator shall be authorized to award all relief that you or the Company would be entitled to seek in a court of law. The Company shall pay all JAMS arbitration fees in excess of the administrative fees that you would be required to pay if the dispute were decided in a court of law. Nothing in this Agreement is intended to prevent either you or the Company from obtaining injunctive relief in court to prevent irreparable harm pending the conclusion of any such arbitration. Further, nothing herein is intended to supersede the mutual agreement to arbitrate as set forth in the Restrictive Covenants Agreement.</w:t>
      </w:r>
    </w:p>
    <w:p>
      <w:pPr>
        <w:spacing w:after="0" w:line="180" w:lineRule="exact"/>
        <w:rPr>
          <w:sz w:val="20"/>
          <w:szCs w:val="20"/>
          <w:color w:val="auto"/>
        </w:rPr>
      </w:pPr>
    </w:p>
    <w:p>
      <w:pPr>
        <w:ind w:right="300"/>
        <w:spacing w:after="0" w:line="244" w:lineRule="auto"/>
        <w:rPr>
          <w:sz w:val="20"/>
          <w:szCs w:val="20"/>
          <w:color w:val="auto"/>
        </w:rPr>
      </w:pPr>
      <w:r>
        <w:rPr>
          <w:rFonts w:ascii="Times New Roman" w:cs="Times New Roman" w:eastAsia="Times New Roman" w:hAnsi="Times New Roman"/>
          <w:sz w:val="22"/>
          <w:szCs w:val="22"/>
          <w:color w:val="auto"/>
        </w:rPr>
        <w:t>If this Agreement is acceptable to you, please sign below and return the original to me on or after your Separation Date, but no later than the date that is [twenty-one (21)/forty-five (45)] days after you receive this Agreement. This offer will expire if we have not received your executed copy by that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wish you good luck in your future endeavors.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Sincerely,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Invivyd, Inc.</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____________________________________</w:t>
      </w:r>
    </w:p>
    <w:p>
      <w:pPr>
        <w:spacing w:after="0" w:line="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David Hering</w:t>
      </w:r>
    </w:p>
    <w:p>
      <w:pPr>
        <w:ind w:left="44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greed to and</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ccepted</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________________________________________</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Robert Allen,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1712595</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295" w:name="page296"/>
    <w:bookmarkEnd w:id="295"/>
    <w:p>
      <w:pPr>
        <w:jc w:val="center"/>
        <w:ind w:right="-419"/>
        <w:spacing w:after="0"/>
        <w:rPr>
          <w:sz w:val="20"/>
          <w:szCs w:val="20"/>
          <w:color w:val="auto"/>
        </w:rPr>
      </w:pPr>
      <w:r>
        <w:rPr>
          <w:rFonts w:ascii="Times New Roman" w:cs="Times New Roman" w:eastAsia="Times New Roman" w:hAnsi="Times New Roman"/>
          <w:sz w:val="22"/>
          <w:szCs w:val="22"/>
          <w:b w:val="1"/>
          <w:bCs w:val="1"/>
          <w:color w:val="auto"/>
        </w:rPr>
        <w:t>CONSIDERATION PERIOD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____________________, understand that I have the right to take at least [21][45] days to consider whether to sign this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Agreement, which I received on ___________ __, 20__. If I elect to sign this Agreement before [21][45] days have passed, I</w:t>
      </w:r>
    </w:p>
    <w:p>
      <w:pPr>
        <w:spacing w:after="0" w:line="13"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22"/>
          <w:szCs w:val="22"/>
          <w:color w:val="auto"/>
        </w:rPr>
        <w:t>understand I am to sign and date below this paragraph to confirm that I knowingly and voluntarily agree to waive the 21-day consideration period.</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greed</w:t>
      </w:r>
      <w:r>
        <w:rPr>
          <w:rFonts w:ascii="Times New Roman" w:cs="Times New Roman" w:eastAsia="Times New Roman" w:hAnsi="Times New Roman"/>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27368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49">
                      <a:extLst>
                        <a:ext uri="{28A0092B-C50C-407E-A947-70E740481C1C}"/>
                      </a:extLst>
                    </a:blip>
                    <a:srcRect/>
                    <a:stretch>
                      <a:fillRect/>
                    </a:stretch>
                  </pic:blipFill>
                  <pic:spPr bwMode="auto">
                    <a:xfrm>
                      <a:off x="0" y="0"/>
                      <a:ext cx="2736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__________________________________________</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1421765</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403" w:right="739" w:bottom="1440" w:gutter="0" w:footer="0" w:header="0"/>
        </w:sectPr>
      </w:pPr>
    </w:p>
    <w:bookmarkStart w:id="296" w:name="page297"/>
    <w:bookmarkEnd w:id="296"/>
    <w:p>
      <w:pPr>
        <w:jc w:val="right"/>
        <w:spacing w:after="0"/>
        <w:rPr>
          <w:sz w:val="20"/>
          <w:szCs w:val="20"/>
          <w:color w:val="auto"/>
        </w:rPr>
      </w:pPr>
      <w:r>
        <w:rPr>
          <w:rFonts w:ascii="Times New Roman" w:cs="Times New Roman" w:eastAsia="Times New Roman" w:hAnsi="Times New Roman"/>
          <w:sz w:val="22"/>
          <w:szCs w:val="22"/>
          <w:b w:val="1"/>
          <w:bCs w:val="1"/>
          <w:color w:val="auto"/>
        </w:rPr>
        <w:t>Exhibit 10.14</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EMPLOYMENT AGREEMENT</w:t>
      </w:r>
    </w:p>
    <w:p>
      <w:pPr>
        <w:spacing w:after="0" w:line="294" w:lineRule="exact"/>
        <w:rPr>
          <w:sz w:val="20"/>
          <w:szCs w:val="20"/>
          <w:color w:val="auto"/>
        </w:rPr>
      </w:pPr>
    </w:p>
    <w:p>
      <w:pPr>
        <w:ind w:right="160" w:firstLine="749"/>
        <w:spacing w:after="0" w:line="263" w:lineRule="auto"/>
        <w:rPr>
          <w:sz w:val="20"/>
          <w:szCs w:val="20"/>
          <w:color w:val="auto"/>
        </w:rPr>
      </w:pPr>
      <w:r>
        <w:rPr>
          <w:rFonts w:ascii="Times New Roman" w:cs="Times New Roman" w:eastAsia="Times New Roman" w:hAnsi="Times New Roman"/>
          <w:sz w:val="22"/>
          <w:szCs w:val="22"/>
          <w:color w:val="auto"/>
        </w:rPr>
        <w:t>This Employment Agreement (“</w:t>
      </w:r>
      <w:r>
        <w:rPr>
          <w:rFonts w:ascii="Times New Roman" w:cs="Times New Roman" w:eastAsia="Times New Roman" w:hAnsi="Times New Roman"/>
          <w:sz w:val="22"/>
          <w:szCs w:val="22"/>
          <w:b w:val="1"/>
          <w:bCs w:val="1"/>
          <w:i w:val="1"/>
          <w:iCs w:val="1"/>
          <w:u w:val="single" w:color="auto"/>
          <w:color w:val="auto"/>
        </w:rPr>
        <w:t>Agreement</w:t>
      </w:r>
      <w:r>
        <w:rPr>
          <w:rFonts w:ascii="Times New Roman" w:cs="Times New Roman" w:eastAsia="Times New Roman" w:hAnsi="Times New Roman"/>
          <w:sz w:val="22"/>
          <w:szCs w:val="22"/>
          <w:color w:val="auto"/>
        </w:rPr>
        <w:t>”) is made between Invivyd, Inc., a Delaware corporation (the “</w:t>
      </w:r>
      <w:r>
        <w:rPr>
          <w:rFonts w:ascii="Times New Roman" w:cs="Times New Roman" w:eastAsia="Times New Roman" w:hAnsi="Times New Roman"/>
          <w:sz w:val="22"/>
          <w:szCs w:val="22"/>
          <w:b w:val="1"/>
          <w:bCs w:val="1"/>
          <w:i w:val="1"/>
          <w:iCs w:val="1"/>
          <w:u w:val="single" w:color="auto"/>
          <w:color w:val="auto"/>
        </w:rPr>
        <w:t>Company</w:t>
      </w:r>
      <w:r>
        <w:rPr>
          <w:rFonts w:ascii="Times New Roman" w:cs="Times New Roman" w:eastAsia="Times New Roman" w:hAnsi="Times New Roman"/>
          <w:sz w:val="22"/>
          <w:szCs w:val="22"/>
          <w:color w:val="auto"/>
        </w:rPr>
        <w:t>”), and Julie Green (“</w:t>
      </w:r>
      <w:r>
        <w:rPr>
          <w:rFonts w:ascii="Times New Roman" w:cs="Times New Roman" w:eastAsia="Times New Roman" w:hAnsi="Times New Roman"/>
          <w:sz w:val="22"/>
          <w:szCs w:val="22"/>
          <w:b w:val="1"/>
          <w:bCs w:val="1"/>
          <w:i w:val="1"/>
          <w:iCs w:val="1"/>
          <w:u w:val="single" w:color="auto"/>
          <w:color w:val="auto"/>
        </w:rPr>
        <w:t>Executive</w:t>
      </w:r>
      <w:r>
        <w:rPr>
          <w:rFonts w:ascii="Times New Roman" w:cs="Times New Roman" w:eastAsia="Times New Roman" w:hAnsi="Times New Roman"/>
          <w:sz w:val="22"/>
          <w:szCs w:val="22"/>
          <w:color w:val="auto"/>
        </w:rPr>
        <w:t>”), this 24th day of January, 2024.</w:t>
      </w:r>
    </w:p>
    <w:p>
      <w:pPr>
        <w:spacing w:after="0" w:line="147" w:lineRule="exact"/>
        <w:rPr>
          <w:sz w:val="20"/>
          <w:szCs w:val="20"/>
          <w:color w:val="auto"/>
        </w:rPr>
      </w:pPr>
    </w:p>
    <w:p>
      <w:pPr>
        <w:ind w:right="140"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and the Executive have entered into that certain Offer Letter dated April 14, 2022 (the “</w:t>
      </w:r>
      <w:r>
        <w:rPr>
          <w:rFonts w:ascii="Times New Roman" w:cs="Times New Roman" w:eastAsia="Times New Roman" w:hAnsi="Times New Roman"/>
          <w:sz w:val="22"/>
          <w:szCs w:val="22"/>
          <w:b w:val="1"/>
          <w:bCs w:val="1"/>
          <w:i w:val="1"/>
          <w:iCs w:val="1"/>
          <w:u w:val="single" w:color="auto"/>
          <w:color w:val="auto"/>
        </w:rPr>
        <w:t>Offer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u w:val="single" w:color="auto"/>
          <w:color w:val="auto"/>
        </w:rPr>
        <w:t>Letter</w:t>
      </w:r>
      <w:r>
        <w:rPr>
          <w:rFonts w:ascii="Times New Roman" w:cs="Times New Roman" w:eastAsia="Times New Roman" w:hAnsi="Times New Roman"/>
          <w:sz w:val="22"/>
          <w:szCs w:val="22"/>
          <w:color w:val="auto"/>
        </w:rPr>
        <w:t>”), pursuant to which Executive has provided services to the Company as Senior Vice President of Human Resources from</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on or about April 15, 2022 through the date of this Agreement;</w:t>
      </w:r>
    </w:p>
    <w:p>
      <w:pPr>
        <w:spacing w:after="0" w:line="168" w:lineRule="exact"/>
        <w:rPr>
          <w:sz w:val="20"/>
          <w:szCs w:val="20"/>
          <w:color w:val="auto"/>
        </w:rPr>
      </w:pPr>
    </w:p>
    <w:p>
      <w:pPr>
        <w:ind w:right="580" w:firstLine="749"/>
        <w:spacing w:after="0"/>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22"/>
          <w:szCs w:val="22"/>
          <w:color w:val="auto"/>
        </w:rPr>
        <w:t>, the Company desires to continue to employ Executive, promoting Executive to the role of Chief Human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Resources Officer of the Company and providing Executive with certain compensation and benefits in return for such employment services, and Executive desires to accept such employment and continue to provide personal services to the Company in return for certain compensation and benefits set forth herein; and</w:t>
      </w:r>
    </w:p>
    <w:p>
      <w:pPr>
        <w:spacing w:after="0" w:line="173" w:lineRule="exact"/>
        <w:rPr>
          <w:sz w:val="20"/>
          <w:szCs w:val="20"/>
          <w:color w:val="auto"/>
        </w:rPr>
      </w:pPr>
    </w:p>
    <w:p>
      <w:pPr>
        <w:ind w:right="240" w:firstLine="749"/>
        <w:spacing w:after="0" w:line="263" w:lineRule="auto"/>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and Executive desire for this Agreement to be effective as of January 24, 2024 (the “</w:t>
      </w:r>
      <w:r>
        <w:rPr>
          <w:rFonts w:ascii="Times New Roman" w:cs="Times New Roman" w:eastAsia="Times New Roman" w:hAnsi="Times New Roman"/>
          <w:sz w:val="22"/>
          <w:szCs w:val="22"/>
          <w:b w:val="1"/>
          <w:bCs w:val="1"/>
          <w:i w:val="1"/>
          <w:iCs w:val="1"/>
          <w:u w:val="single" w:color="auto"/>
          <w:color w:val="auto"/>
        </w:rPr>
        <w:t>Effective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u w:val="single" w:color="auto"/>
          <w:color w:val="auto"/>
        </w:rPr>
        <w:t>Date</w:t>
      </w:r>
      <w:r>
        <w:rPr>
          <w:rFonts w:ascii="Times New Roman" w:cs="Times New Roman" w:eastAsia="Times New Roman" w:hAnsi="Times New Roman"/>
          <w:sz w:val="22"/>
          <w:szCs w:val="22"/>
          <w:color w:val="auto"/>
        </w:rPr>
        <w:t>”), and for this Agreement to supersede the Offer Letter, in its entirety, as of the Effective Date;</w:t>
      </w:r>
    </w:p>
    <w:p>
      <w:pPr>
        <w:spacing w:after="0" w:line="149"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22"/>
          <w:szCs w:val="22"/>
          <w:color w:val="auto"/>
        </w:rPr>
        <w:t>, as a condition for the promotion to Chief Human Resources Officer, Executive agrees to enter into a new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Proprietary Information and Inventions Assignment Agreement (“</w:t>
      </w:r>
      <w:r>
        <w:rPr>
          <w:rFonts w:ascii="Times New Roman" w:cs="Times New Roman" w:eastAsia="Times New Roman" w:hAnsi="Times New Roman"/>
          <w:sz w:val="22"/>
          <w:szCs w:val="22"/>
          <w:b w:val="1"/>
          <w:bCs w:val="1"/>
          <w:i w:val="1"/>
          <w:iCs w:val="1"/>
          <w:color w:val="auto"/>
        </w:rPr>
        <w:t>PIIA Agreement</w:t>
      </w:r>
      <w:r>
        <w:rPr>
          <w:rFonts w:ascii="Times New Roman" w:cs="Times New Roman" w:eastAsia="Times New Roman" w:hAnsi="Times New Roman"/>
          <w:sz w:val="22"/>
          <w:szCs w:val="22"/>
          <w:color w:val="auto"/>
        </w:rPr>
        <w:t>”) in a form acceptable to the Company on or before the Effective Date, which shall replace in its entirety the restrictive covenants agreement that Executive previously signed as a condition of employment pursuant to the Offer Letter.</w:t>
      </w:r>
    </w:p>
    <w:p>
      <w:pPr>
        <w:spacing w:after="0" w:line="175" w:lineRule="exact"/>
        <w:rPr>
          <w:sz w:val="20"/>
          <w:szCs w:val="20"/>
          <w:color w:val="auto"/>
        </w:rPr>
      </w:pPr>
    </w:p>
    <w:p>
      <w:pPr>
        <w:ind w:right="280" w:firstLine="749"/>
        <w:spacing w:after="0" w:line="261"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mutual covenants and agreements herein contained and other good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valuable consideration, the receipt and sufficiency of which is hereby acknowledged, the parties agree as follows:</w:t>
      </w:r>
    </w:p>
    <w:p>
      <w:pPr>
        <w:spacing w:after="0" w:line="155" w:lineRule="exact"/>
        <w:rPr>
          <w:sz w:val="20"/>
          <w:szCs w:val="20"/>
          <w:color w:val="auto"/>
        </w:rPr>
      </w:pPr>
    </w:p>
    <w:p>
      <w:pPr>
        <w:ind w:left="1020" w:hanging="263"/>
        <w:spacing w:after="0"/>
        <w:tabs>
          <w:tab w:leader="none" w:pos="1020"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w:t>
      </w:r>
      <w:r>
        <w:rPr>
          <w:rFonts w:ascii="Times New Roman" w:cs="Times New Roman" w:eastAsia="Times New Roman" w:hAnsi="Times New Roman"/>
          <w:sz w:val="22"/>
          <w:szCs w:val="22"/>
          <w:color w:val="auto"/>
        </w:rPr>
        <w:t>.</w:t>
      </w:r>
    </w:p>
    <w:p>
      <w:pPr>
        <w:spacing w:after="0" w:line="205" w:lineRule="exact"/>
        <w:rPr>
          <w:rFonts w:ascii="Times New Roman" w:cs="Times New Roman" w:eastAsia="Times New Roman" w:hAnsi="Times New Roman"/>
          <w:sz w:val="22"/>
          <w:szCs w:val="22"/>
          <w:color w:val="auto"/>
        </w:rPr>
      </w:pPr>
    </w:p>
    <w:p>
      <w:pPr>
        <w:ind w:right="100" w:firstLine="1505"/>
        <w:spacing w:after="0" w:line="237" w:lineRule="auto"/>
        <w:tabs>
          <w:tab w:leader="none" w:pos="2037" w:val="left"/>
        </w:tabs>
        <w:numPr>
          <w:ilvl w:val="1"/>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The Company shall employ Executive and Executive shall be employed by the Company pursuant to this Agreement commencing as of the Effective Date and continuing until such employment is terminated in accordance with the provisions hereof (the “</w:t>
      </w:r>
      <w:r>
        <w:rPr>
          <w:rFonts w:ascii="Times New Roman" w:cs="Times New Roman" w:eastAsia="Times New Roman" w:hAnsi="Times New Roman"/>
          <w:sz w:val="22"/>
          <w:szCs w:val="22"/>
          <w:b w:val="1"/>
          <w:bCs w:val="1"/>
          <w:i w:val="1"/>
          <w:iCs w:val="1"/>
          <w:u w:val="single" w:color="auto"/>
          <w:color w:val="auto"/>
        </w:rPr>
        <w:t>Term</w:t>
      </w:r>
      <w:r>
        <w:rPr>
          <w:rFonts w:ascii="Times New Roman" w:cs="Times New Roman" w:eastAsia="Times New Roman" w:hAnsi="Times New Roman"/>
          <w:sz w:val="22"/>
          <w:szCs w:val="22"/>
          <w:color w:val="auto"/>
        </w:rPr>
        <w:t>”). Executive’s employment with the Company shall be “at will,” meaning that Executive’s employment may be terminated by the Company or Executive at any time and for any reason subject to the terms of this Agreement.</w:t>
      </w:r>
    </w:p>
    <w:p>
      <w:pPr>
        <w:spacing w:after="0" w:line="180" w:lineRule="exact"/>
        <w:rPr>
          <w:rFonts w:ascii="Times New Roman" w:cs="Times New Roman" w:eastAsia="Times New Roman" w:hAnsi="Times New Roman"/>
          <w:sz w:val="22"/>
          <w:szCs w:val="22"/>
          <w:color w:val="auto"/>
        </w:rPr>
      </w:pPr>
    </w:p>
    <w:p>
      <w:pPr>
        <w:ind w:right="160" w:firstLine="1505"/>
        <w:spacing w:after="0" w:line="244" w:lineRule="auto"/>
        <w:tabs>
          <w:tab w:leader="none" w:pos="2037" w:val="left"/>
        </w:tabs>
        <w:numPr>
          <w:ilvl w:val="1"/>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Position and Duties</w:t>
      </w:r>
      <w:r>
        <w:rPr>
          <w:rFonts w:ascii="Times New Roman" w:cs="Times New Roman" w:eastAsia="Times New Roman" w:hAnsi="Times New Roman"/>
          <w:sz w:val="22"/>
          <w:szCs w:val="22"/>
          <w:color w:val="auto"/>
        </w:rPr>
        <w:t>. Executive shall serve as the Chief Human Resources Officer and shall have such powers and duties as customarily associated with the office of Chief Human Resources Officer, and as may from time to time be prescribed by the Chief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1449705</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297" w:name="page298"/>
    <w:bookmarkEnd w:id="297"/>
    <w:p>
      <w:pPr>
        <w:ind w:right="240"/>
        <w:spacing w:after="0" w:line="263" w:lineRule="auto"/>
        <w:rPr>
          <w:sz w:val="20"/>
          <w:szCs w:val="20"/>
          <w:color w:val="auto"/>
        </w:rPr>
      </w:pPr>
      <w:r>
        <w:rPr>
          <w:rFonts w:ascii="Times New Roman" w:cs="Times New Roman" w:eastAsia="Times New Roman" w:hAnsi="Times New Roman"/>
          <w:sz w:val="22"/>
          <w:szCs w:val="22"/>
          <w:color w:val="auto"/>
        </w:rPr>
        <w:t>Officer of the Company (the “</w:t>
      </w:r>
      <w:r>
        <w:rPr>
          <w:rFonts w:ascii="Times New Roman" w:cs="Times New Roman" w:eastAsia="Times New Roman" w:hAnsi="Times New Roman"/>
          <w:sz w:val="22"/>
          <w:szCs w:val="22"/>
          <w:b w:val="1"/>
          <w:bCs w:val="1"/>
          <w:i w:val="1"/>
          <w:iCs w:val="1"/>
          <w:u w:val="single" w:color="auto"/>
          <w:color w:val="auto"/>
        </w:rPr>
        <w:t>CEO</w:t>
      </w:r>
      <w:r>
        <w:rPr>
          <w:rFonts w:ascii="Times New Roman" w:cs="Times New Roman" w:eastAsia="Times New Roman" w:hAnsi="Times New Roman"/>
          <w:sz w:val="22"/>
          <w:szCs w:val="22"/>
          <w:color w:val="auto"/>
        </w:rPr>
        <w:t>”). Executive shall report to the CEO and shall be subject to the direction and control of the CEO.</w:t>
      </w:r>
    </w:p>
    <w:p>
      <w:pPr>
        <w:spacing w:after="0" w:line="153" w:lineRule="exact"/>
        <w:rPr>
          <w:sz w:val="20"/>
          <w:szCs w:val="20"/>
          <w:color w:val="auto"/>
        </w:rPr>
      </w:pPr>
    </w:p>
    <w:p>
      <w:pPr>
        <w:ind w:right="20" w:firstLine="1505"/>
        <w:spacing w:after="0" w:line="258" w:lineRule="auto"/>
        <w:tabs>
          <w:tab w:leader="none" w:pos="2037" w:val="left"/>
        </w:tabs>
        <w:numPr>
          <w:ilvl w:val="1"/>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Outside Activities</w:t>
      </w:r>
      <w:r>
        <w:rPr>
          <w:rFonts w:ascii="Times New Roman" w:cs="Times New Roman" w:eastAsia="Times New Roman" w:hAnsi="Times New Roman"/>
          <w:sz w:val="20"/>
          <w:szCs w:val="20"/>
          <w:color w:val="auto"/>
        </w:rPr>
        <w:t xml:space="preserve">. Executive will use good faith efforts to discharge Executive’s obligations under this Agreement to the best of Executive’s ability. Executive will devote substantially all of Executive’s business efforts and time to the Company. Executive agrees not to engage actively in any other employment, occupation, or consulting activity for any direct or indirect remuneration which may or could potentially constitute a conflict of interest or otherwise interfere with Executive’s obligations to the Company without the prior approval of the CEO or Board; provided, however, that Executive may, without such approval, serve in any capacity with any civic, educational, or charitable organization, participate in industry affairs and manage Executive’s personal passive investments, and engage in the activities set forth in </w:t>
      </w:r>
      <w:r>
        <w:rPr>
          <w:rFonts w:ascii="Times New Roman" w:cs="Times New Roman" w:eastAsia="Times New Roman" w:hAnsi="Times New Roman"/>
          <w:sz w:val="20"/>
          <w:szCs w:val="20"/>
          <w:u w:val="single" w:color="auto"/>
          <w:color w:val="auto"/>
        </w:rPr>
        <w:t>Appendix A</w:t>
      </w:r>
      <w:r>
        <w:rPr>
          <w:rFonts w:ascii="Times New Roman" w:cs="Times New Roman" w:eastAsia="Times New Roman" w:hAnsi="Times New Roman"/>
          <w:sz w:val="20"/>
          <w:szCs w:val="20"/>
          <w:color w:val="auto"/>
        </w:rPr>
        <w:t xml:space="preserve"> to this Agreement, provided that in each case such services do not materially interfere with Executive’s obligations to the Company, create a conflict of interest, violate any of Executive’s Continuing Obligations (as defined in Section 9 below) or cause any reputational damage to the Company as reasonably determined by the Board. Executive may retain any compensation or benefits received as a result of any such consented to service without any offset in respect of any compensation or benefits to be provided hereunder.</w:t>
      </w:r>
    </w:p>
    <w:p>
      <w:pPr>
        <w:spacing w:after="0" w:line="166" w:lineRule="exact"/>
        <w:rPr>
          <w:rFonts w:ascii="Times New Roman" w:cs="Times New Roman" w:eastAsia="Times New Roman" w:hAnsi="Times New Roman"/>
          <w:sz w:val="20"/>
          <w:szCs w:val="20"/>
          <w:color w:val="auto"/>
        </w:rPr>
      </w:pPr>
    </w:p>
    <w:p>
      <w:pPr>
        <w:ind w:right="720" w:firstLine="757"/>
        <w:spacing w:after="0" w:line="258" w:lineRule="auto"/>
        <w:tabs>
          <w:tab w:leader="none" w:pos="1018"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and Related Matters</w:t>
      </w:r>
      <w:r>
        <w:rPr>
          <w:rFonts w:ascii="Times New Roman" w:cs="Times New Roman" w:eastAsia="Times New Roman" w:hAnsi="Times New Roman"/>
          <w:sz w:val="22"/>
          <w:szCs w:val="22"/>
          <w:color w:val="auto"/>
        </w:rPr>
        <w:t>. This Section 2 sets forth the compensation and benefits to be provided to Executive during the Term.</w:t>
      </w:r>
    </w:p>
    <w:p>
      <w:pPr>
        <w:spacing w:after="0" w:line="157" w:lineRule="exact"/>
        <w:rPr>
          <w:rFonts w:ascii="Times New Roman" w:cs="Times New Roman" w:eastAsia="Times New Roman" w:hAnsi="Times New Roman"/>
          <w:sz w:val="22"/>
          <w:szCs w:val="22"/>
          <w:color w:val="auto"/>
        </w:rPr>
      </w:pPr>
    </w:p>
    <w:p>
      <w:pPr>
        <w:ind w:right="260" w:firstLine="1505"/>
        <w:spacing w:after="0" w:line="264" w:lineRule="auto"/>
        <w:tabs>
          <w:tab w:leader="none" w:pos="2037" w:val="left"/>
        </w:tabs>
        <w:numPr>
          <w:ilvl w:val="1"/>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Base Salary</w:t>
      </w:r>
      <w:r>
        <w:rPr>
          <w:rFonts w:ascii="Times New Roman" w:cs="Times New Roman" w:eastAsia="Times New Roman" w:hAnsi="Times New Roman"/>
          <w:sz w:val="20"/>
          <w:szCs w:val="20"/>
          <w:color w:val="auto"/>
        </w:rPr>
        <w:t>. The Company will pay Executive, as compensation for the performance of Executive’s duties and obligations hereunder, a base salary at the rate of $380,000 per year. Except for the 2024 calendar year (for which there shall be no salary review), Executive’s salary shall be subject to annual review not later than March 31</w:t>
      </w:r>
      <w:r>
        <w:rPr>
          <w:rFonts w:ascii="Times New Roman" w:cs="Times New Roman" w:eastAsia="Times New Roman" w:hAnsi="Times New Roman"/>
          <w:sz w:val="13"/>
          <w:szCs w:val="13"/>
          <w:color w:val="auto"/>
        </w:rPr>
        <w:t>st</w:t>
      </w:r>
      <w:r>
        <w:rPr>
          <w:rFonts w:ascii="Times New Roman" w:cs="Times New Roman" w:eastAsia="Times New Roman" w:hAnsi="Times New Roman"/>
          <w:sz w:val="20"/>
          <w:szCs w:val="20"/>
          <w:color w:val="auto"/>
        </w:rPr>
        <w:t xml:space="preserve"> of each year for possible increase by the Board or the Compensation Committee of the Board (the “</w:t>
      </w:r>
      <w:r>
        <w:rPr>
          <w:rFonts w:ascii="Times New Roman" w:cs="Times New Roman" w:eastAsia="Times New Roman" w:hAnsi="Times New Roman"/>
          <w:sz w:val="20"/>
          <w:szCs w:val="20"/>
          <w:b w:val="1"/>
          <w:bCs w:val="1"/>
          <w:i w:val="1"/>
          <w:iCs w:val="1"/>
          <w:u w:val="single" w:color="auto"/>
          <w:color w:val="auto"/>
        </w:rPr>
        <w:t>Compensation Committee</w:t>
      </w:r>
      <w:r>
        <w:rPr>
          <w:rFonts w:ascii="Times New Roman" w:cs="Times New Roman" w:eastAsia="Times New Roman" w:hAnsi="Times New Roman"/>
          <w:sz w:val="20"/>
          <w:szCs w:val="20"/>
          <w:color w:val="auto"/>
        </w:rPr>
        <w:t>”), which may be adjusted from time to time. The base salary in effect at any given time is referred to herein as “</w:t>
      </w:r>
      <w:r>
        <w:rPr>
          <w:rFonts w:ascii="Times New Roman" w:cs="Times New Roman" w:eastAsia="Times New Roman" w:hAnsi="Times New Roman"/>
          <w:sz w:val="20"/>
          <w:szCs w:val="20"/>
          <w:b w:val="1"/>
          <w:bCs w:val="1"/>
          <w:i w:val="1"/>
          <w:iCs w:val="1"/>
          <w:u w:val="single" w:color="auto"/>
          <w:color w:val="auto"/>
        </w:rPr>
        <w:t>Base Salary</w:t>
      </w:r>
      <w:r>
        <w:rPr>
          <w:rFonts w:ascii="Times New Roman" w:cs="Times New Roman" w:eastAsia="Times New Roman" w:hAnsi="Times New Roman"/>
          <w:sz w:val="20"/>
          <w:szCs w:val="20"/>
          <w:color w:val="auto"/>
        </w:rPr>
        <w:t>.” The Base Salary shall be payable in a manner that is consistent with the Company’s usual payroll practices for its executive officers.</w:t>
      </w:r>
    </w:p>
    <w:p>
      <w:pPr>
        <w:spacing w:after="0" w:line="154" w:lineRule="exact"/>
        <w:rPr>
          <w:rFonts w:ascii="Times New Roman" w:cs="Times New Roman" w:eastAsia="Times New Roman" w:hAnsi="Times New Roman"/>
          <w:sz w:val="20"/>
          <w:szCs w:val="20"/>
          <w:color w:val="auto"/>
        </w:rPr>
      </w:pPr>
    </w:p>
    <w:p>
      <w:pPr>
        <w:jc w:val="both"/>
        <w:ind w:firstLine="1505"/>
        <w:spacing w:after="0" w:line="234" w:lineRule="auto"/>
        <w:tabs>
          <w:tab w:leader="none" w:pos="2037" w:val="left"/>
        </w:tabs>
        <w:numPr>
          <w:ilvl w:val="1"/>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Incentive Compensation</w:t>
      </w:r>
      <w:r>
        <w:rPr>
          <w:rFonts w:ascii="Times New Roman" w:cs="Times New Roman" w:eastAsia="Times New Roman" w:hAnsi="Times New Roman"/>
          <w:sz w:val="22"/>
          <w:szCs w:val="22"/>
          <w:color w:val="auto"/>
        </w:rPr>
        <w:t>. Executive shall be eligible to participate in an annual cash incentive compensation plan that the Company offers to its executive officers (the “</w:t>
      </w:r>
      <w:r>
        <w:rPr>
          <w:rFonts w:ascii="Times New Roman" w:cs="Times New Roman" w:eastAsia="Times New Roman" w:hAnsi="Times New Roman"/>
          <w:sz w:val="22"/>
          <w:szCs w:val="22"/>
          <w:b w:val="1"/>
          <w:bCs w:val="1"/>
          <w:i w:val="1"/>
          <w:iCs w:val="1"/>
          <w:u w:val="single" w:color="auto"/>
          <w:color w:val="auto"/>
        </w:rPr>
        <w:t>Annual Bonus Plan</w:t>
      </w:r>
      <w:r>
        <w:rPr>
          <w:rFonts w:ascii="Times New Roman" w:cs="Times New Roman" w:eastAsia="Times New Roman" w:hAnsi="Times New Roman"/>
          <w:sz w:val="22"/>
          <w:szCs w:val="22"/>
          <w:color w:val="auto"/>
        </w:rPr>
        <w:t>”). Executive will be eligible to earn an annual bonus for each full calendar year completed (the “</w:t>
      </w:r>
      <w:r>
        <w:rPr>
          <w:rFonts w:ascii="Times New Roman" w:cs="Times New Roman" w:eastAsia="Times New Roman" w:hAnsi="Times New Roman"/>
          <w:sz w:val="22"/>
          <w:szCs w:val="22"/>
          <w:b w:val="1"/>
          <w:bCs w:val="1"/>
          <w:i w:val="1"/>
          <w:iCs w:val="1"/>
          <w:u w:val="single" w:color="auto"/>
          <w:color w:val="auto"/>
        </w:rPr>
        <w:t>Annual Bonus</w:t>
      </w:r>
      <w:r>
        <w:rPr>
          <w:rFonts w:ascii="Times New Roman" w:cs="Times New Roman" w:eastAsia="Times New Roman" w:hAnsi="Times New Roman"/>
          <w:sz w:val="22"/>
          <w:szCs w:val="22"/>
          <w:color w:val="auto"/>
        </w:rPr>
        <w:t>”). Executive’s target Annual Bonus will be 40% percent of Executive’s Base Salary (the “</w:t>
      </w:r>
      <w:r>
        <w:rPr>
          <w:rFonts w:ascii="Times New Roman" w:cs="Times New Roman" w:eastAsia="Times New Roman" w:hAnsi="Times New Roman"/>
          <w:sz w:val="22"/>
          <w:szCs w:val="22"/>
          <w:b w:val="1"/>
          <w:bCs w:val="1"/>
          <w:i w:val="1"/>
          <w:iCs w:val="1"/>
          <w:u w:val="single" w:color="auto"/>
          <w:color w:val="auto"/>
        </w:rPr>
        <w:t>Target Bonus</w:t>
      </w:r>
      <w:r>
        <w:rPr>
          <w:rFonts w:ascii="Times New Roman" w:cs="Times New Roman" w:eastAsia="Times New Roman" w:hAnsi="Times New Roman"/>
          <w:sz w:val="22"/>
          <w:szCs w:val="22"/>
          <w:color w:val="auto"/>
        </w:rPr>
        <w:t>”) in effect on January 1st of the applicable performance period, and will not be pro rated for calendar year 2024. The actual Annual Bonus payable to Executive with respect to a performance period will be determined by the Board or the Compensation Committee based on achieving performance goals and objectives for such calendar year as reasonably determined by the Compensation Committee. Executive’s Annual Bonus shall be paid as soon as administratively practicable after the end of the performance period, but in no event later than the March 15</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xml:space="preserve"> immediately following such period; provided, that Executive must remain continuously employed by the Company through the date on which the Annual Bonus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1452245</wp:posOffset>
            </wp:positionV>
            <wp:extent cx="71577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298" w:name="page299"/>
    <w:bookmarkEnd w:id="298"/>
    <w:p>
      <w:pPr>
        <w:spacing w:after="0" w:line="258" w:lineRule="auto"/>
        <w:rPr>
          <w:sz w:val="20"/>
          <w:szCs w:val="20"/>
          <w:color w:val="auto"/>
        </w:rPr>
      </w:pPr>
      <w:r>
        <w:rPr>
          <w:rFonts w:ascii="Times New Roman" w:cs="Times New Roman" w:eastAsia="Times New Roman" w:hAnsi="Times New Roman"/>
          <w:sz w:val="22"/>
          <w:szCs w:val="22"/>
          <w:color w:val="auto"/>
        </w:rPr>
        <w:t>paid, subject to any recoupment as set forth in Section 23 of this Agreement, in order to be eligible to earn and receive the Annual Bonus (except as otherwise provided in Section 4(c) or 5(a)).</w:t>
      </w:r>
    </w:p>
    <w:p>
      <w:pPr>
        <w:spacing w:after="0" w:line="157" w:lineRule="exact"/>
        <w:rPr>
          <w:sz w:val="20"/>
          <w:szCs w:val="20"/>
          <w:color w:val="auto"/>
        </w:rPr>
      </w:pPr>
    </w:p>
    <w:p>
      <w:pPr>
        <w:ind w:right="40" w:firstLine="1505"/>
        <w:spacing w:after="0" w:line="233" w:lineRule="auto"/>
        <w:tabs>
          <w:tab w:leader="none" w:pos="2037" w:val="left"/>
        </w:tabs>
        <w:numPr>
          <w:ilvl w:val="0"/>
          <w:numId w:val="2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 Award</w:t>
      </w:r>
      <w:r>
        <w:rPr>
          <w:rFonts w:ascii="Times New Roman" w:cs="Times New Roman" w:eastAsia="Times New Roman" w:hAnsi="Times New Roman"/>
          <w:sz w:val="22"/>
          <w:szCs w:val="22"/>
          <w:color w:val="auto"/>
        </w:rPr>
        <w:t>. Subject to approval by the Board (or any authorized committee thereof), the Company shall grant Executive an option (the “</w:t>
      </w:r>
      <w:r>
        <w:rPr>
          <w:rFonts w:ascii="Times New Roman" w:cs="Times New Roman" w:eastAsia="Times New Roman" w:hAnsi="Times New Roman"/>
          <w:sz w:val="22"/>
          <w:szCs w:val="22"/>
          <w:b w:val="1"/>
          <w:bCs w:val="1"/>
          <w:i w:val="1"/>
          <w:iCs w:val="1"/>
          <w:u w:val="single" w:color="auto"/>
          <w:color w:val="auto"/>
        </w:rPr>
        <w:t>Option</w:t>
      </w:r>
      <w:r>
        <w:rPr>
          <w:rFonts w:ascii="Times New Roman" w:cs="Times New Roman" w:eastAsia="Times New Roman" w:hAnsi="Times New Roman"/>
          <w:sz w:val="22"/>
          <w:szCs w:val="22"/>
          <w:color w:val="auto"/>
        </w:rPr>
        <w:t>”) to purchase 240,000 shares of the Company’s common stock, with an exercise price equal to the fair market value of a share of the Company’s common stock on the grant date, as determined by the Board (or any authorized committee thereof), pursuant to the terms and conditions of the Company’s 2021 Equity Incentive Plan (the “</w:t>
      </w:r>
      <w:r>
        <w:rPr>
          <w:rFonts w:ascii="Times New Roman" w:cs="Times New Roman" w:eastAsia="Times New Roman" w:hAnsi="Times New Roman"/>
          <w:sz w:val="22"/>
          <w:szCs w:val="22"/>
          <w:b w:val="1"/>
          <w:bCs w:val="1"/>
          <w:i w:val="1"/>
          <w:iCs w:val="1"/>
          <w:u w:val="single" w:color="auto"/>
          <w:color w:val="auto"/>
        </w:rPr>
        <w:t>Plan</w:t>
      </w:r>
      <w:r>
        <w:rPr>
          <w:rFonts w:ascii="Times New Roman" w:cs="Times New Roman" w:eastAsia="Times New Roman" w:hAnsi="Times New Roman"/>
          <w:sz w:val="22"/>
          <w:szCs w:val="22"/>
          <w:color w:val="auto"/>
        </w:rPr>
        <w:t>”) and the applicable stock option grant notice and stock option agreement to be provided to Executive (together with the Plan, the “</w:t>
      </w:r>
      <w:r>
        <w:rPr>
          <w:rFonts w:ascii="Times New Roman" w:cs="Times New Roman" w:eastAsia="Times New Roman" w:hAnsi="Times New Roman"/>
          <w:sz w:val="22"/>
          <w:szCs w:val="22"/>
          <w:b w:val="1"/>
          <w:bCs w:val="1"/>
          <w:i w:val="1"/>
          <w:iCs w:val="1"/>
          <w:u w:val="single" w:color="auto"/>
          <w:color w:val="auto"/>
        </w:rPr>
        <w:t>Equity Documents</w:t>
      </w:r>
      <w:r>
        <w:rPr>
          <w:rFonts w:ascii="Times New Roman" w:cs="Times New Roman" w:eastAsia="Times New Roman" w:hAnsi="Times New Roman"/>
          <w:sz w:val="22"/>
          <w:szCs w:val="22"/>
          <w:color w:val="auto"/>
        </w:rPr>
        <w:t>”); provided, however, and notwithstanding anything to the contrary in the Equity Documents, Section 5 and Section 6 of this Agreement, as applicable, shall apply in the event of a termination by the Company without Cause or by Executive for Good Reason (as such terms are defined below). Except as otherwise provided in this Agreement, the Option is subject to the terms and conditions of the Equity Documents and will vest over a three-year period at a rate of 1/36</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xml:space="preserve"> of the total shares subject to the Option vesting in substantially equal monthly installments measured from one month following the grant date, subject to Executive’s continuous service to the Company as of each such vesting date.</w:t>
      </w:r>
    </w:p>
    <w:p>
      <w:pPr>
        <w:spacing w:after="0" w:line="184" w:lineRule="exact"/>
        <w:rPr>
          <w:rFonts w:ascii="Times New Roman" w:cs="Times New Roman" w:eastAsia="Times New Roman" w:hAnsi="Times New Roman"/>
          <w:sz w:val="22"/>
          <w:szCs w:val="22"/>
          <w:color w:val="auto"/>
        </w:rPr>
      </w:pPr>
    </w:p>
    <w:p>
      <w:pPr>
        <w:jc w:val="both"/>
        <w:ind w:right="60" w:firstLine="1505"/>
        <w:spacing w:after="0" w:line="271" w:lineRule="auto"/>
        <w:tabs>
          <w:tab w:leader="none" w:pos="2037" w:val="left"/>
        </w:tabs>
        <w:numPr>
          <w:ilvl w:val="0"/>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Expenses</w:t>
      </w:r>
      <w:r>
        <w:rPr>
          <w:rFonts w:ascii="Times New Roman" w:cs="Times New Roman" w:eastAsia="Times New Roman" w:hAnsi="Times New Roman"/>
          <w:sz w:val="20"/>
          <w:szCs w:val="20"/>
          <w:color w:val="auto"/>
        </w:rPr>
        <w:t>. The Company shall promptly pay or reimburse Executive for all reasonable expenses incurred by Executive while performing services hereunder, including but not limited to travel expenses and attendance at industry events, in accordance with the policies and procedures then in effect and established by the Company for its executive officers, but in no event later than thirty (30) days submission of a reimbursement request in accordance with such policies or procedures.</w:t>
      </w:r>
    </w:p>
    <w:p>
      <w:pPr>
        <w:spacing w:after="0" w:line="147" w:lineRule="exact"/>
        <w:rPr>
          <w:rFonts w:ascii="Times New Roman" w:cs="Times New Roman" w:eastAsia="Times New Roman" w:hAnsi="Times New Roman"/>
          <w:sz w:val="20"/>
          <w:szCs w:val="20"/>
          <w:color w:val="auto"/>
        </w:rPr>
      </w:pPr>
    </w:p>
    <w:p>
      <w:pPr>
        <w:ind w:right="540" w:firstLine="1505"/>
        <w:spacing w:after="0" w:line="258" w:lineRule="auto"/>
        <w:tabs>
          <w:tab w:leader="none" w:pos="2037" w:val="left"/>
        </w:tabs>
        <w:numPr>
          <w:ilvl w:val="0"/>
          <w:numId w:val="2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Benefits</w:t>
      </w:r>
      <w:r>
        <w:rPr>
          <w:rFonts w:ascii="Times New Roman" w:cs="Times New Roman" w:eastAsia="Times New Roman" w:hAnsi="Times New Roman"/>
          <w:sz w:val="22"/>
          <w:szCs w:val="22"/>
          <w:color w:val="auto"/>
        </w:rPr>
        <w:t>. Executive shall be eligible to participate in or receive benefits under the Company’s employee benefit plans in effect from time to time, subject to the terms of such plans.</w:t>
      </w:r>
    </w:p>
    <w:p>
      <w:pPr>
        <w:spacing w:after="0" w:line="157" w:lineRule="exact"/>
        <w:rPr>
          <w:rFonts w:ascii="Times New Roman" w:cs="Times New Roman" w:eastAsia="Times New Roman" w:hAnsi="Times New Roman"/>
          <w:sz w:val="22"/>
          <w:szCs w:val="22"/>
          <w:color w:val="auto"/>
        </w:rPr>
      </w:pPr>
    </w:p>
    <w:p>
      <w:pPr>
        <w:ind w:right="680" w:firstLine="1505"/>
        <w:spacing w:after="0" w:line="258" w:lineRule="auto"/>
        <w:tabs>
          <w:tab w:leader="none" w:pos="2037" w:val="left"/>
        </w:tabs>
        <w:numPr>
          <w:ilvl w:val="0"/>
          <w:numId w:val="2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Paid Time Off</w:t>
      </w:r>
      <w:r>
        <w:rPr>
          <w:rFonts w:ascii="Times New Roman" w:cs="Times New Roman" w:eastAsia="Times New Roman" w:hAnsi="Times New Roman"/>
          <w:sz w:val="22"/>
          <w:szCs w:val="22"/>
          <w:color w:val="auto"/>
        </w:rPr>
        <w:t>. Executive shall be entitled to take paid time off in accordance with the Company’s applicable paid time off policy for executives, as may be in effect from time to time.</w:t>
      </w:r>
    </w:p>
    <w:p>
      <w:pPr>
        <w:spacing w:after="0" w:line="157" w:lineRule="exact"/>
        <w:rPr>
          <w:rFonts w:ascii="Times New Roman" w:cs="Times New Roman" w:eastAsia="Times New Roman" w:hAnsi="Times New Roman"/>
          <w:sz w:val="22"/>
          <w:szCs w:val="22"/>
          <w:color w:val="auto"/>
        </w:rPr>
      </w:pPr>
    </w:p>
    <w:p>
      <w:pPr>
        <w:ind w:right="260" w:firstLine="1505"/>
        <w:spacing w:after="0" w:line="258" w:lineRule="auto"/>
        <w:tabs>
          <w:tab w:leader="none" w:pos="2037" w:val="left"/>
        </w:tabs>
        <w:numPr>
          <w:ilvl w:val="0"/>
          <w:numId w:val="2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Ownership Guidelines</w:t>
      </w:r>
      <w:r>
        <w:rPr>
          <w:rFonts w:ascii="Times New Roman" w:cs="Times New Roman" w:eastAsia="Times New Roman" w:hAnsi="Times New Roman"/>
          <w:sz w:val="22"/>
          <w:szCs w:val="22"/>
          <w:color w:val="auto"/>
        </w:rPr>
        <w:t>. Executive shall be subject to the Company’s Executive Stock Ownership Guidelines while providing services under this Agreement.</w:t>
      </w:r>
    </w:p>
    <w:p>
      <w:pPr>
        <w:spacing w:after="0" w:line="157" w:lineRule="exact"/>
        <w:rPr>
          <w:rFonts w:ascii="Times New Roman" w:cs="Times New Roman" w:eastAsia="Times New Roman" w:hAnsi="Times New Roman"/>
          <w:sz w:val="22"/>
          <w:szCs w:val="22"/>
          <w:color w:val="auto"/>
        </w:rPr>
      </w:pPr>
    </w:p>
    <w:p>
      <w:pPr>
        <w:ind w:right="360" w:firstLine="1505"/>
        <w:spacing w:after="0" w:line="239" w:lineRule="auto"/>
        <w:tabs>
          <w:tab w:leader="none" w:pos="2037" w:val="left"/>
        </w:tabs>
        <w:numPr>
          <w:ilvl w:val="0"/>
          <w:numId w:val="2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Treatment of Equity Awards upon a Change in Control</w:t>
      </w:r>
      <w:r>
        <w:rPr>
          <w:rFonts w:ascii="Times New Roman" w:cs="Times New Roman" w:eastAsia="Times New Roman" w:hAnsi="Times New Roman"/>
          <w:sz w:val="22"/>
          <w:szCs w:val="22"/>
          <w:color w:val="auto"/>
        </w:rPr>
        <w:t>. The following provisions shall apply to any award granted under the Plan or any other plan, agreement or arrangement based on the value of a share of the Company’s common stock on or after the Effective Date (collectively, the “</w:t>
      </w:r>
      <w:r>
        <w:rPr>
          <w:rFonts w:ascii="Times New Roman" w:cs="Times New Roman" w:eastAsia="Times New Roman" w:hAnsi="Times New Roman"/>
          <w:sz w:val="22"/>
          <w:szCs w:val="22"/>
          <w:b w:val="1"/>
          <w:bCs w:val="1"/>
          <w:i w:val="1"/>
          <w:iCs w:val="1"/>
          <w:u w:val="single" w:color="auto"/>
          <w:color w:val="auto"/>
        </w:rPr>
        <w:t>Equity Awards</w:t>
      </w:r>
      <w:r>
        <w:rPr>
          <w:rFonts w:ascii="Times New Roman" w:cs="Times New Roman" w:eastAsia="Times New Roman" w:hAnsi="Times New Roman"/>
          <w:sz w:val="22"/>
          <w:szCs w:val="22"/>
          <w:color w:val="auto"/>
        </w:rPr>
        <w:t>”) to the extent the Equity Awards are assumed, continued or substituted by the surviving or acquiring entity (or its parent) in connection with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1454150</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99" w:name="page300"/>
    <w:bookmarkEnd w:id="299"/>
    <w:p>
      <w:pPr>
        <w:spacing w:after="0" w:line="258" w:lineRule="auto"/>
        <w:rPr>
          <w:sz w:val="20"/>
          <w:szCs w:val="20"/>
          <w:color w:val="auto"/>
        </w:rPr>
      </w:pPr>
      <w:r>
        <w:rPr>
          <w:rFonts w:ascii="Times New Roman" w:cs="Times New Roman" w:eastAsia="Times New Roman" w:hAnsi="Times New Roman"/>
          <w:sz w:val="22"/>
          <w:szCs w:val="22"/>
          <w:color w:val="auto"/>
        </w:rPr>
        <w:t>Change in Control (as defined in the Plan) and Executive continues to provide services to the Company or its successor following such Change in Control:</w:t>
      </w:r>
    </w:p>
    <w:p>
      <w:pPr>
        <w:spacing w:after="0" w:line="157" w:lineRule="exact"/>
        <w:rPr>
          <w:sz w:val="20"/>
          <w:szCs w:val="20"/>
          <w:color w:val="auto"/>
        </w:rPr>
      </w:pPr>
    </w:p>
    <w:p>
      <w:pPr>
        <w:ind w:left="760" w:right="20" w:firstLine="1494"/>
        <w:spacing w:after="0" w:line="271" w:lineRule="auto"/>
        <w:tabs>
          <w:tab w:leader="none" w:pos="2557" w:val="left"/>
        </w:tabs>
        <w:numPr>
          <w:ilvl w:val="2"/>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provided in the Change in Control transaction’s definitive agreement, the Plan or the applicable award agreement, or as set forth in Section 6 below, Equity Awards subject to vesting solely on account of completing periods of covered employment or service (collectively, the “</w:t>
      </w:r>
      <w:r>
        <w:rPr>
          <w:rFonts w:ascii="Times New Roman" w:cs="Times New Roman" w:eastAsia="Times New Roman" w:hAnsi="Times New Roman"/>
          <w:sz w:val="20"/>
          <w:szCs w:val="20"/>
          <w:b w:val="1"/>
          <w:bCs w:val="1"/>
          <w:i w:val="1"/>
          <w:iCs w:val="1"/>
          <w:u w:val="single" w:color="auto"/>
          <w:color w:val="auto"/>
        </w:rPr>
        <w:t>Time-Based Equity Awards</w:t>
      </w:r>
      <w:r>
        <w:rPr>
          <w:rFonts w:ascii="Times New Roman" w:cs="Times New Roman" w:eastAsia="Times New Roman" w:hAnsi="Times New Roman"/>
          <w:sz w:val="20"/>
          <w:szCs w:val="20"/>
          <w:color w:val="auto"/>
        </w:rPr>
        <w:t>”) shall not immediately accelerate and become fully vested and exercisable or non-forfeitable on such a Change in Control, and</w:t>
      </w:r>
    </w:p>
    <w:p>
      <w:pPr>
        <w:spacing w:after="0" w:line="147" w:lineRule="exact"/>
        <w:rPr>
          <w:rFonts w:ascii="Times New Roman" w:cs="Times New Roman" w:eastAsia="Times New Roman" w:hAnsi="Times New Roman"/>
          <w:sz w:val="20"/>
          <w:szCs w:val="20"/>
          <w:color w:val="auto"/>
        </w:rPr>
      </w:pPr>
    </w:p>
    <w:p>
      <w:pPr>
        <w:ind w:left="760" w:right="80" w:firstLine="1494"/>
        <w:spacing w:after="0" w:line="244" w:lineRule="auto"/>
        <w:tabs>
          <w:tab w:leader="none" w:pos="2611" w:val="left"/>
        </w:tabs>
        <w:numPr>
          <w:ilvl w:val="2"/>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other Equity Awards, including but not limited to performance stock units vesting based on achieving pre-established performance goals (collectively, the “</w:t>
      </w:r>
      <w:r>
        <w:rPr>
          <w:rFonts w:ascii="Times New Roman" w:cs="Times New Roman" w:eastAsia="Times New Roman" w:hAnsi="Times New Roman"/>
          <w:sz w:val="22"/>
          <w:szCs w:val="22"/>
          <w:b w:val="1"/>
          <w:bCs w:val="1"/>
          <w:i w:val="1"/>
          <w:iCs w:val="1"/>
          <w:u w:val="single" w:color="auto"/>
          <w:color w:val="auto"/>
        </w:rPr>
        <w:t>Performance-Based Equity Awards</w:t>
      </w:r>
      <w:r>
        <w:rPr>
          <w:rFonts w:ascii="Times New Roman" w:cs="Times New Roman" w:eastAsia="Times New Roman" w:hAnsi="Times New Roman"/>
          <w:sz w:val="22"/>
          <w:szCs w:val="22"/>
          <w:color w:val="auto"/>
        </w:rPr>
        <w:t>”) shall be governed by the terms of the Plan and the applicable award agreement.</w:t>
      </w:r>
    </w:p>
    <w:p>
      <w:pPr>
        <w:spacing w:after="0" w:line="172" w:lineRule="exact"/>
        <w:rPr>
          <w:rFonts w:ascii="Times New Roman" w:cs="Times New Roman" w:eastAsia="Times New Roman" w:hAnsi="Times New Roman"/>
          <w:sz w:val="22"/>
          <w:szCs w:val="22"/>
          <w:color w:val="auto"/>
        </w:rPr>
      </w:pPr>
    </w:p>
    <w:p>
      <w:pPr>
        <w:ind w:right="60" w:firstLine="757"/>
        <w:spacing w:after="0" w:line="258" w:lineRule="auto"/>
        <w:tabs>
          <w:tab w:leader="none" w:pos="1018" w:val="left"/>
        </w:tabs>
        <w:numPr>
          <w:ilvl w:val="0"/>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Executive’s employment hereunder may be terminated without any breach of this Agreement under the following circumstances:</w:t>
      </w:r>
    </w:p>
    <w:p>
      <w:pPr>
        <w:spacing w:after="0" w:line="157"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w:t>
      </w:r>
      <w:r>
        <w:rPr>
          <w:rFonts w:ascii="Times New Roman" w:cs="Times New Roman" w:eastAsia="Times New Roman" w:hAnsi="Times New Roman"/>
          <w:sz w:val="22"/>
          <w:szCs w:val="22"/>
          <w:color w:val="auto"/>
        </w:rPr>
        <w:t>. Executive’s employment hereunder shall terminate upon death.</w:t>
      </w:r>
    </w:p>
    <w:p>
      <w:pPr>
        <w:spacing w:after="0" w:line="205" w:lineRule="exact"/>
        <w:rPr>
          <w:rFonts w:ascii="Times New Roman" w:cs="Times New Roman" w:eastAsia="Times New Roman" w:hAnsi="Times New Roman"/>
          <w:sz w:val="22"/>
          <w:szCs w:val="22"/>
          <w:color w:val="auto"/>
        </w:rPr>
      </w:pPr>
    </w:p>
    <w:p>
      <w:pPr>
        <w:ind w:firstLine="1505"/>
        <w:spacing w:after="0" w:line="233" w:lineRule="auto"/>
        <w:tabs>
          <w:tab w:leader="none" w:pos="2037" w:val="left"/>
        </w:tabs>
        <w:numPr>
          <w:ilvl w:val="1"/>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The Company may terminate Executive’s employment if Executive is disabled and unable to perform or expected to be unable to perform the essential functions of Executive’s then existing position or positions under this Agreement with or without reasonable accommodation for a period of 180 days (which need not be consecutive) in any 12-month period. If any question shall arise as to whether during any period Executive is disabled so as to be unable to perform the essential functions of Executive’s then existing position or positions with or without reasonable accommodation, Executive may, and at the request of the Company shall, submit to the Company a certification in reasonable detail by a physician selected by the Company to whom Executive or Executive’s guardian has no reasonable objection as to whether Executive is so disabled or how long such disability is expected to continue, and such certification shall for the purposes of this Agreement be conclusive of the issue. Executive shall cooperate with any reasonable request of the physician in connection with such certification. If such question shall arise and Executive shall fail to submit such certification, the Company’s determination of such issue shall be binding on Executive.</w:t>
      </w:r>
    </w:p>
    <w:p>
      <w:pPr>
        <w:spacing w:after="0" w:line="184" w:lineRule="exact"/>
        <w:rPr>
          <w:rFonts w:ascii="Times New Roman" w:cs="Times New Roman" w:eastAsia="Times New Roman" w:hAnsi="Times New Roman"/>
          <w:sz w:val="22"/>
          <w:szCs w:val="22"/>
          <w:color w:val="auto"/>
        </w:rPr>
      </w:pPr>
    </w:p>
    <w:p>
      <w:pPr>
        <w:ind w:right="860" w:firstLine="1505"/>
        <w:spacing w:after="0" w:line="258" w:lineRule="auto"/>
        <w:tabs>
          <w:tab w:leader="none" w:pos="2037" w:val="left"/>
        </w:tabs>
        <w:numPr>
          <w:ilvl w:val="1"/>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by the Company for Cause</w:t>
      </w:r>
      <w:r>
        <w:rPr>
          <w:rFonts w:ascii="Times New Roman" w:cs="Times New Roman" w:eastAsia="Times New Roman" w:hAnsi="Times New Roman"/>
          <w:sz w:val="22"/>
          <w:szCs w:val="22"/>
          <w:color w:val="auto"/>
        </w:rPr>
        <w:t>. The Company may terminate Executive’s employment hereunder for Cause. For purposes of this Agreement, “</w:t>
      </w:r>
      <w:r>
        <w:rPr>
          <w:rFonts w:ascii="Times New Roman" w:cs="Times New Roman" w:eastAsia="Times New Roman" w:hAnsi="Times New Roman"/>
          <w:sz w:val="22"/>
          <w:szCs w:val="22"/>
          <w:b w:val="1"/>
          <w:bCs w:val="1"/>
          <w:i w:val="1"/>
          <w:iCs w:val="1"/>
          <w:u w:val="single" w:color="auto"/>
          <w:color w:val="auto"/>
        </w:rPr>
        <w:t>Cause</w:t>
      </w:r>
      <w:r>
        <w:rPr>
          <w:rFonts w:ascii="Times New Roman" w:cs="Times New Roman" w:eastAsia="Times New Roman" w:hAnsi="Times New Roman"/>
          <w:sz w:val="22"/>
          <w:szCs w:val="22"/>
          <w:color w:val="auto"/>
        </w:rPr>
        <w:t>” shall mean any of the following:</w:t>
      </w:r>
    </w:p>
    <w:p>
      <w:pPr>
        <w:spacing w:after="0" w:line="157" w:lineRule="exact"/>
        <w:rPr>
          <w:rFonts w:ascii="Times New Roman" w:cs="Times New Roman" w:eastAsia="Times New Roman" w:hAnsi="Times New Roman"/>
          <w:sz w:val="22"/>
          <w:szCs w:val="22"/>
          <w:color w:val="auto"/>
        </w:rPr>
      </w:pPr>
    </w:p>
    <w:p>
      <w:pPr>
        <w:ind w:left="1500" w:right="80" w:firstLine="754"/>
        <w:spacing w:after="0" w:line="280" w:lineRule="auto"/>
        <w:tabs>
          <w:tab w:leader="none" w:pos="2548" w:val="left"/>
        </w:tabs>
        <w:numPr>
          <w:ilvl w:val="2"/>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Executive’s unauthorized use or disclosure of confidential information or trade secrets of the Company for Executive’s or another’s benefit or any material breach of a written agreement between Executive and the Company, including without limitation a material breach of this Agreement or the PIIA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1428750</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7" w:right="379" w:bottom="1440" w:gutter="0" w:footer="0" w:header="0"/>
        </w:sectPr>
      </w:pPr>
    </w:p>
    <w:bookmarkStart w:id="300" w:name="page301"/>
    <w:bookmarkEnd w:id="300"/>
    <w:p>
      <w:pPr>
        <w:ind w:left="1500" w:right="100" w:firstLine="754"/>
        <w:spacing w:after="0" w:line="244" w:lineRule="auto"/>
        <w:tabs>
          <w:tab w:leader="none" w:pos="2548"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conviction of, or pleading no contest to, a felony under the laws of the United States or any state thereof (other than in connection with a traffic violation that does not result in imprisonment) or any crime that results in Executive’s incarceration in a federal, state, or local jail or prison;</w:t>
      </w:r>
    </w:p>
    <w:p>
      <w:pPr>
        <w:spacing w:after="0" w:line="172" w:lineRule="exact"/>
        <w:rPr>
          <w:sz w:val="20"/>
          <w:szCs w:val="20"/>
          <w:color w:val="auto"/>
        </w:rPr>
      </w:pPr>
    </w:p>
    <w:p>
      <w:pPr>
        <w:ind w:left="1500" w:firstLine="749"/>
        <w:spacing w:after="0" w:line="237" w:lineRule="auto"/>
        <w:rPr>
          <w:sz w:val="20"/>
          <w:szCs w:val="20"/>
          <w:color w:val="auto"/>
        </w:rPr>
      </w:pPr>
      <w:r>
        <w:rPr>
          <w:rFonts w:ascii="Times New Roman" w:cs="Times New Roman" w:eastAsia="Times New Roman" w:hAnsi="Times New Roman"/>
          <w:sz w:val="22"/>
          <w:szCs w:val="22"/>
          <w:color w:val="auto"/>
        </w:rPr>
        <w:t>(iii)Executive’s material and willful misconduct in the performance of Executive’s duties or Executive’s willful or repeated failure or refusal to substantially perform assigned duties (other than any such failure of refusal resulting from Executive’s incapacity due to physical or mental illness), in any case, which willful misconduct, failure or refusal has continued for more than thirty (30) days following written notice from the CEO of such willful misconduct, failure or refusal;</w:t>
      </w:r>
    </w:p>
    <w:p>
      <w:pPr>
        <w:spacing w:after="0" w:line="180" w:lineRule="exact"/>
        <w:rPr>
          <w:sz w:val="20"/>
          <w:szCs w:val="20"/>
          <w:color w:val="auto"/>
        </w:rPr>
      </w:pPr>
    </w:p>
    <w:p>
      <w:pPr>
        <w:ind w:left="1500" w:right="280" w:firstLine="749"/>
        <w:spacing w:after="0" w:line="258" w:lineRule="auto"/>
        <w:rPr>
          <w:sz w:val="20"/>
          <w:szCs w:val="20"/>
          <w:color w:val="auto"/>
        </w:rPr>
      </w:pPr>
      <w:r>
        <w:rPr>
          <w:rFonts w:ascii="Times New Roman" w:cs="Times New Roman" w:eastAsia="Times New Roman" w:hAnsi="Times New Roman"/>
          <w:sz w:val="22"/>
          <w:szCs w:val="22"/>
          <w:color w:val="auto"/>
        </w:rPr>
        <w:t>(iv)any act of fraud, embezzlement or material misappropriation committed by Executive against the Company (other than good faith expense account disputes);</w:t>
      </w:r>
    </w:p>
    <w:p>
      <w:pPr>
        <w:spacing w:after="0" w:line="157" w:lineRule="exact"/>
        <w:rPr>
          <w:sz w:val="20"/>
          <w:szCs w:val="20"/>
          <w:color w:val="auto"/>
        </w:rPr>
      </w:pPr>
    </w:p>
    <w:p>
      <w:pPr>
        <w:ind w:left="1500" w:right="280" w:firstLine="754"/>
        <w:spacing w:after="0" w:line="244" w:lineRule="auto"/>
        <w:tabs>
          <w:tab w:leader="none" w:pos="2548" w:val="left"/>
        </w:tabs>
        <w:numPr>
          <w:ilvl w:val="0"/>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willful engaging by Executive in any act that brings or is reasonably likely to bring the Company into public disrepute or disgrace or causes material harm to the customer relations, operations or business prospects of the Company; or</w:t>
      </w:r>
    </w:p>
    <w:p>
      <w:pPr>
        <w:spacing w:after="0" w:line="172" w:lineRule="exact"/>
        <w:rPr>
          <w:sz w:val="20"/>
          <w:szCs w:val="20"/>
          <w:color w:val="auto"/>
        </w:rPr>
      </w:pPr>
    </w:p>
    <w:p>
      <w:pPr>
        <w:ind w:left="1500" w:right="80" w:firstLine="749"/>
        <w:spacing w:after="0" w:line="237" w:lineRule="auto"/>
        <w:rPr>
          <w:sz w:val="20"/>
          <w:szCs w:val="20"/>
          <w:color w:val="auto"/>
        </w:rPr>
      </w:pPr>
      <w:r>
        <w:rPr>
          <w:rFonts w:ascii="Times New Roman" w:cs="Times New Roman" w:eastAsia="Times New Roman" w:hAnsi="Times New Roman"/>
          <w:sz w:val="22"/>
          <w:szCs w:val="22"/>
          <w:color w:val="auto"/>
        </w:rPr>
        <w:t>(vi)Executive’s failure to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180"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22"/>
          <w:szCs w:val="22"/>
          <w:color w:val="auto"/>
        </w:rPr>
        <w:t>For purposes of this Section 3(c), no act, or failure to act, on Executive’s part shall be deemed “willful” if done, or omitted to be done, by Executive in good faith and with reasonable belief that Executive’s act, or failure to act, was in the best interest of the Company.</w:t>
      </w:r>
    </w:p>
    <w:p>
      <w:pPr>
        <w:spacing w:after="0" w:line="172"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22"/>
          <w:szCs w:val="22"/>
          <w:color w:val="auto"/>
        </w:rPr>
        <w:t>In the case of any termination for Cause, the Company shall provide written notice to Executive setting forth to a reasonable extent at least the principal acts or omissions of Executive giving rise to Cause for termination. It is agreed to by the parties that the below par or below average financial performance of the Company and/or its subsidiaries, in and of itself shall not constitute Cause for employment termination under this Agreement.</w:t>
      </w:r>
    </w:p>
    <w:p>
      <w:pPr>
        <w:spacing w:after="0" w:line="179"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22"/>
          <w:szCs w:val="22"/>
          <w:color w:val="auto"/>
        </w:rPr>
        <w:t>A termination for Cause under this Section 3(c) (other than with respect to Section 3(c)(ii)) shall in no event become effective under the Agreement unless the provisions of this paragraph are complied with. Executive must be given written notice by the Company of the intention to terminate Executive’s employment for Cause, such notice to be given within three (3) months of the Company learning of such act or acts or failure or failures to act. Executive shall have 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1454150</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7" w:right="359" w:bottom="1440" w:gutter="0" w:footer="0" w:header="0"/>
        </w:sectPr>
      </w:pPr>
    </w:p>
    <w:bookmarkStart w:id="301" w:name="page302"/>
    <w:bookmarkEnd w:id="301"/>
    <w:p>
      <w:pPr>
        <w:ind w:left="-8" w:firstLine="8"/>
        <w:spacing w:after="0" w:line="258" w:lineRule="auto"/>
        <w:tabs>
          <w:tab w:leader="none" w:pos="406" w:val="left"/>
        </w:tabs>
        <w:numPr>
          <w:ilvl w:val="0"/>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the date that such written notice has been given to Executive in which to cure such conduct, to the extent such cure is possible. If Executive fails to cure such conduct, Executive shall thereupon be terminated for Cause.</w:t>
      </w:r>
    </w:p>
    <w:p>
      <w:pPr>
        <w:spacing w:after="0" w:line="157" w:lineRule="exact"/>
        <w:rPr>
          <w:rFonts w:ascii="Times New Roman" w:cs="Times New Roman" w:eastAsia="Times New Roman" w:hAnsi="Times New Roman"/>
          <w:sz w:val="22"/>
          <w:szCs w:val="22"/>
          <w:color w:val="auto"/>
        </w:rPr>
      </w:pPr>
    </w:p>
    <w:p>
      <w:pPr>
        <w:ind w:left="-8" w:right="60" w:firstLine="1505"/>
        <w:spacing w:after="0" w:line="239" w:lineRule="auto"/>
        <w:tabs>
          <w:tab w:leader="none" w:pos="2029" w:val="left"/>
        </w:tabs>
        <w:numPr>
          <w:ilvl w:val="1"/>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by the Company without Cause</w:t>
      </w:r>
      <w:r>
        <w:rPr>
          <w:rFonts w:ascii="Times New Roman" w:cs="Times New Roman" w:eastAsia="Times New Roman" w:hAnsi="Times New Roman"/>
          <w:sz w:val="22"/>
          <w:szCs w:val="22"/>
          <w:color w:val="auto"/>
        </w:rPr>
        <w:t>. The Company may terminate Executive’s employment hereunder at any time without Cause. Any termination by the Company of Executive’s employment under this Agreement which does not constitute a termination for Cause under Section 3(c) and does not result from the death or disability of Executive under Section 3(a) or 3(b) shall be deemed a termination without Cause.</w:t>
      </w:r>
    </w:p>
    <w:p>
      <w:pPr>
        <w:spacing w:after="0" w:line="178" w:lineRule="exact"/>
        <w:rPr>
          <w:rFonts w:ascii="Times New Roman" w:cs="Times New Roman" w:eastAsia="Times New Roman" w:hAnsi="Times New Roman"/>
          <w:sz w:val="22"/>
          <w:szCs w:val="22"/>
          <w:color w:val="auto"/>
        </w:rPr>
      </w:pPr>
    </w:p>
    <w:p>
      <w:pPr>
        <w:ind w:left="-8" w:right="240" w:firstLine="1505"/>
        <w:spacing w:after="0" w:line="239" w:lineRule="auto"/>
        <w:tabs>
          <w:tab w:leader="none" w:pos="2029" w:val="left"/>
        </w:tabs>
        <w:numPr>
          <w:ilvl w:val="1"/>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by Executive</w:t>
      </w:r>
      <w:r>
        <w:rPr>
          <w:rFonts w:ascii="Times New Roman" w:cs="Times New Roman" w:eastAsia="Times New Roman" w:hAnsi="Times New Roman"/>
          <w:sz w:val="22"/>
          <w:szCs w:val="22"/>
          <w:color w:val="auto"/>
        </w:rPr>
        <w:t>. Executive may terminate employment hereunder at any time for any reason, including but not limited to, Good Reason. For purposes of this Agreement, “</w:t>
      </w:r>
      <w:r>
        <w:rPr>
          <w:rFonts w:ascii="Times New Roman" w:cs="Times New Roman" w:eastAsia="Times New Roman" w:hAnsi="Times New Roman"/>
          <w:sz w:val="22"/>
          <w:szCs w:val="22"/>
          <w:b w:val="1"/>
          <w:bCs w:val="1"/>
          <w:i w:val="1"/>
          <w:iCs w:val="1"/>
          <w:u w:val="single" w:color="auto"/>
          <w:color w:val="auto"/>
        </w:rPr>
        <w:t>Good Reason</w:t>
      </w:r>
      <w:r>
        <w:rPr>
          <w:rFonts w:ascii="Times New Roman" w:cs="Times New Roman" w:eastAsia="Times New Roman" w:hAnsi="Times New Roman"/>
          <w:sz w:val="22"/>
          <w:szCs w:val="22"/>
          <w:color w:val="auto"/>
        </w:rPr>
        <w:t>” shall mean that Executive has completed all steps of the Good Reason Process (hereinafter defined) following the occurrence of any of the following events without Executive’s consent (each, a “</w:t>
      </w:r>
      <w:r>
        <w:rPr>
          <w:rFonts w:ascii="Times New Roman" w:cs="Times New Roman" w:eastAsia="Times New Roman" w:hAnsi="Times New Roman"/>
          <w:sz w:val="22"/>
          <w:szCs w:val="22"/>
          <w:b w:val="1"/>
          <w:bCs w:val="1"/>
          <w:i w:val="1"/>
          <w:iCs w:val="1"/>
          <w:u w:val="single" w:color="auto"/>
          <w:color w:val="auto"/>
        </w:rPr>
        <w:t>Good Reason Condition</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auto"/>
        </w:rPr>
      </w:pPr>
    </w:p>
    <w:p>
      <w:pPr>
        <w:ind w:left="2552" w:hanging="306"/>
        <w:spacing w:after="0"/>
        <w:tabs>
          <w:tab w:leader="none" w:pos="2552" w:val="left"/>
        </w:tabs>
        <w:numPr>
          <w:ilvl w:val="2"/>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Executive’s title, responsibilities, authority or duties;</w:t>
      </w:r>
    </w:p>
    <w:p>
      <w:pPr>
        <w:spacing w:after="0" w:line="205" w:lineRule="exact"/>
        <w:rPr>
          <w:rFonts w:ascii="Times New Roman" w:cs="Times New Roman" w:eastAsia="Times New Roman" w:hAnsi="Times New Roman"/>
          <w:sz w:val="22"/>
          <w:szCs w:val="22"/>
          <w:color w:val="auto"/>
        </w:rPr>
      </w:pPr>
    </w:p>
    <w:p>
      <w:pPr>
        <w:jc w:val="both"/>
        <w:ind w:left="1492" w:right="240" w:firstLine="754"/>
        <w:spacing w:after="0" w:line="244" w:lineRule="auto"/>
        <w:tabs>
          <w:tab w:leader="none" w:pos="2540" w:val="left"/>
        </w:tabs>
        <w:numPr>
          <w:ilvl w:val="2"/>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Control following which either: (A) Executive is not Chief Human Resources Officer of the Company or, (B) if the Company becomes a subsidiary of one or more entities following the Change in Control, the post-consummation ultimate parent entity of the Company; or</w:t>
      </w:r>
    </w:p>
    <w:p>
      <w:pPr>
        <w:spacing w:after="0" w:line="172" w:lineRule="exact"/>
        <w:rPr>
          <w:rFonts w:ascii="Times New Roman" w:cs="Times New Roman" w:eastAsia="Times New Roman" w:hAnsi="Times New Roman"/>
          <w:sz w:val="22"/>
          <w:szCs w:val="22"/>
          <w:color w:val="auto"/>
        </w:rPr>
      </w:pPr>
    </w:p>
    <w:p>
      <w:pPr>
        <w:ind w:left="1492" w:right="140" w:firstLine="754"/>
        <w:spacing w:after="0" w:line="235" w:lineRule="auto"/>
        <w:tabs>
          <w:tab w:leader="none" w:pos="2619" w:val="left"/>
        </w:tabs>
        <w:numPr>
          <w:ilvl w:val="2"/>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breach of this Agreement by the Company, including without limitation, a reduction of Executive’s Base Salary or Target Bonus in violation of Section 2(a) or 2(b) (except for across-the-board salary reductions of not more than ten percent (10%) similarly affecting all or substantially all senior management employees of the Company), a relocation of Executive’s principal place of employment to any location that is greater than twenty (20) miles from Executive’s then-current home office, or the failure of the Company to obtain the assumption in writing of the Company’s obligations to Executive under this Agreement by any successor as required under Section 13 below.</w:t>
      </w:r>
    </w:p>
    <w:p>
      <w:pPr>
        <w:spacing w:after="0" w:line="174" w:lineRule="exact"/>
        <w:rPr>
          <w:rFonts w:ascii="Times New Roman" w:cs="Times New Roman" w:eastAsia="Times New Roman" w:hAnsi="Times New Roman"/>
          <w:sz w:val="22"/>
          <w:szCs w:val="22"/>
          <w:color w:val="auto"/>
        </w:rPr>
      </w:pPr>
    </w:p>
    <w:p>
      <w:pPr>
        <w:ind w:left="2032" w:hanging="535"/>
        <w:spacing w:after="0"/>
        <w:tabs>
          <w:tab w:leader="none" w:pos="2032" w:val="left"/>
        </w:tabs>
        <w:numPr>
          <w:ilvl w:val="1"/>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Good Reason Process</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b w:val="1"/>
          <w:bCs w:val="1"/>
          <w:i w:val="1"/>
          <w:iCs w:val="1"/>
          <w:u w:val="single" w:color="auto"/>
          <w:color w:val="auto"/>
        </w:rPr>
        <w:t>Good Reason Process</w:t>
      </w:r>
      <w:r>
        <w:rPr>
          <w:rFonts w:ascii="Times New Roman" w:cs="Times New Roman" w:eastAsia="Times New Roman" w:hAnsi="Times New Roman"/>
          <w:sz w:val="22"/>
          <w:szCs w:val="22"/>
          <w:color w:val="auto"/>
        </w:rPr>
        <w:t>” consists of the following steps:</w:t>
      </w:r>
    </w:p>
    <w:p>
      <w:pPr>
        <w:spacing w:after="0" w:line="211" w:lineRule="exact"/>
        <w:rPr>
          <w:rFonts w:ascii="Times New Roman" w:cs="Times New Roman" w:eastAsia="Times New Roman" w:hAnsi="Times New Roman"/>
          <w:sz w:val="22"/>
          <w:szCs w:val="22"/>
          <w:color w:val="auto"/>
        </w:rPr>
      </w:pPr>
    </w:p>
    <w:p>
      <w:pPr>
        <w:ind w:left="2552" w:hanging="306"/>
        <w:spacing w:after="0"/>
        <w:tabs>
          <w:tab w:leader="none" w:pos="2552" w:val="left"/>
        </w:tabs>
        <w:numPr>
          <w:ilvl w:val="2"/>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reasonably determines in good faith that a Good Reason Condition has occurred;</w:t>
      </w:r>
    </w:p>
    <w:p>
      <w:pPr>
        <w:spacing w:after="0" w:line="205" w:lineRule="exact"/>
        <w:rPr>
          <w:rFonts w:ascii="Times New Roman" w:cs="Times New Roman" w:eastAsia="Times New Roman" w:hAnsi="Times New Roman"/>
          <w:sz w:val="22"/>
          <w:szCs w:val="22"/>
          <w:color w:val="auto"/>
        </w:rPr>
      </w:pPr>
    </w:p>
    <w:p>
      <w:pPr>
        <w:ind w:left="1492" w:right="320" w:firstLine="754"/>
        <w:spacing w:after="0" w:line="258" w:lineRule="auto"/>
        <w:tabs>
          <w:tab w:leader="none" w:pos="2594" w:val="left"/>
        </w:tabs>
        <w:numPr>
          <w:ilvl w:val="2"/>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notifies the Company in writing of the first occurrence of the Good Reason Condition within sixty (60) days of the first occurrence of such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1440180</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07" w:right="339" w:bottom="1440" w:gutter="0" w:footer="0" w:header="0"/>
        </w:sectPr>
      </w:pPr>
    </w:p>
    <w:bookmarkStart w:id="302" w:name="page303"/>
    <w:bookmarkEnd w:id="302"/>
    <w:p>
      <w:pPr>
        <w:ind w:left="2260"/>
        <w:spacing w:after="0"/>
        <w:rPr>
          <w:sz w:val="20"/>
          <w:szCs w:val="20"/>
          <w:color w:val="auto"/>
        </w:rPr>
      </w:pPr>
      <w:r>
        <w:rPr>
          <w:rFonts w:ascii="Times New Roman" w:cs="Times New Roman" w:eastAsia="Times New Roman" w:hAnsi="Times New Roman"/>
          <w:sz w:val="22"/>
          <w:szCs w:val="22"/>
          <w:color w:val="auto"/>
        </w:rPr>
        <w:t>(iii)Executive cooperates in good faith with the Company’s efforts, for a period of not less than thirty</w:t>
      </w:r>
    </w:p>
    <w:p>
      <w:pPr>
        <w:spacing w:after="0" w:line="14" w:lineRule="exact"/>
        <w:rPr>
          <w:sz w:val="20"/>
          <w:szCs w:val="20"/>
          <w:color w:val="auto"/>
        </w:rPr>
      </w:pPr>
    </w:p>
    <w:p>
      <w:pPr>
        <w:ind w:left="1500" w:right="120" w:firstLine="5"/>
        <w:spacing w:after="0" w:line="237" w:lineRule="auto"/>
        <w:tabs>
          <w:tab w:leader="none" w:pos="1913" w:val="left"/>
        </w:tabs>
        <w:numPr>
          <w:ilvl w:val="0"/>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following such notice (the “</w:t>
      </w:r>
      <w:r>
        <w:rPr>
          <w:rFonts w:ascii="Times New Roman" w:cs="Times New Roman" w:eastAsia="Times New Roman" w:hAnsi="Times New Roman"/>
          <w:sz w:val="22"/>
          <w:szCs w:val="22"/>
          <w:b w:val="1"/>
          <w:bCs w:val="1"/>
          <w:i w:val="1"/>
          <w:iCs w:val="1"/>
          <w:u w:val="single" w:color="auto"/>
          <w:color w:val="auto"/>
        </w:rPr>
        <w:t>Cure Period</w:t>
      </w:r>
      <w:r>
        <w:rPr>
          <w:rFonts w:ascii="Times New Roman" w:cs="Times New Roman" w:eastAsia="Times New Roman" w:hAnsi="Times New Roman"/>
          <w:sz w:val="22"/>
          <w:szCs w:val="22"/>
          <w:color w:val="auto"/>
        </w:rPr>
        <w:t>”), to remedy the Good Reason Condition (to the extent such cure is possible);</w:t>
      </w:r>
    </w:p>
    <w:p>
      <w:pPr>
        <w:spacing w:after="0" w:line="178" w:lineRule="exact"/>
        <w:rPr>
          <w:sz w:val="20"/>
          <w:szCs w:val="20"/>
          <w:color w:val="auto"/>
        </w:rPr>
      </w:pPr>
    </w:p>
    <w:p>
      <w:pPr>
        <w:ind w:left="1500" w:right="200" w:firstLine="749"/>
        <w:spacing w:after="0" w:line="258" w:lineRule="auto"/>
        <w:rPr>
          <w:sz w:val="20"/>
          <w:szCs w:val="20"/>
          <w:color w:val="auto"/>
        </w:rPr>
      </w:pPr>
      <w:r>
        <w:rPr>
          <w:rFonts w:ascii="Times New Roman" w:cs="Times New Roman" w:eastAsia="Times New Roman" w:hAnsi="Times New Roman"/>
          <w:sz w:val="22"/>
          <w:szCs w:val="22"/>
          <w:color w:val="auto"/>
        </w:rPr>
        <w:t>(iv)notwithstanding such efforts, the Good Reason Condition continues to exist at the end of the Cure Period; and</w:t>
      </w:r>
    </w:p>
    <w:p>
      <w:pPr>
        <w:spacing w:after="0" w:line="15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(v) Executive terminates employment within sixty (60) days after the end of the Cure Period.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the Company cures the Good Reason Condition during the Cure Period, Good Reason shall be deemed not to have occurred.</w:t>
      </w:r>
    </w:p>
    <w:p>
      <w:pPr>
        <w:spacing w:after="0" w:line="205" w:lineRule="exact"/>
        <w:rPr>
          <w:sz w:val="20"/>
          <w:szCs w:val="20"/>
          <w:color w:val="auto"/>
        </w:rPr>
      </w:pPr>
    </w:p>
    <w:p>
      <w:pPr>
        <w:ind w:left="1020" w:hanging="263"/>
        <w:spacing w:after="0"/>
        <w:tabs>
          <w:tab w:leader="none" w:pos="1020" w:val="left"/>
        </w:tabs>
        <w:numPr>
          <w:ilvl w:val="0"/>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Matters Related to Termination</w:t>
      </w:r>
      <w:r>
        <w:rPr>
          <w:rFonts w:ascii="Times New Roman" w:cs="Times New Roman" w:eastAsia="Times New Roman" w:hAnsi="Times New Roman"/>
          <w:sz w:val="22"/>
          <w:szCs w:val="22"/>
          <w:color w:val="auto"/>
        </w:rPr>
        <w:t>.</w:t>
      </w:r>
    </w:p>
    <w:p>
      <w:pPr>
        <w:spacing w:after="0" w:line="205" w:lineRule="exact"/>
        <w:rPr>
          <w:rFonts w:ascii="Times New Roman" w:cs="Times New Roman" w:eastAsia="Times New Roman" w:hAnsi="Times New Roman"/>
          <w:sz w:val="22"/>
          <w:szCs w:val="22"/>
          <w:color w:val="auto"/>
        </w:rPr>
      </w:pPr>
    </w:p>
    <w:p>
      <w:pPr>
        <w:ind w:firstLine="1505"/>
        <w:spacing w:after="0" w:line="239" w:lineRule="auto"/>
        <w:tabs>
          <w:tab w:leader="none" w:pos="2037" w:val="left"/>
        </w:tabs>
        <w:numPr>
          <w:ilvl w:val="1"/>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Termination</w:t>
      </w:r>
      <w:r>
        <w:rPr>
          <w:rFonts w:ascii="Times New Roman" w:cs="Times New Roman" w:eastAsia="Times New Roman" w:hAnsi="Times New Roman"/>
          <w:sz w:val="22"/>
          <w:szCs w:val="22"/>
          <w:color w:val="auto"/>
        </w:rPr>
        <w:t>. Except for termination as specified in Section 3(a), any termination of Executive’s employment by the Company or any such termination by Executive shall be communicated by written Notice of Termination to the other party hereto. For purposes of this Agreement, a “</w:t>
      </w:r>
      <w:r>
        <w:rPr>
          <w:rFonts w:ascii="Times New Roman" w:cs="Times New Roman" w:eastAsia="Times New Roman" w:hAnsi="Times New Roman"/>
          <w:sz w:val="22"/>
          <w:szCs w:val="22"/>
          <w:b w:val="1"/>
          <w:bCs w:val="1"/>
          <w:i w:val="1"/>
          <w:iCs w:val="1"/>
          <w:u w:val="single" w:color="auto"/>
          <w:color w:val="auto"/>
        </w:rPr>
        <w:t>Notice of Termination</w:t>
      </w:r>
      <w:r>
        <w:rPr>
          <w:rFonts w:ascii="Times New Roman" w:cs="Times New Roman" w:eastAsia="Times New Roman" w:hAnsi="Times New Roman"/>
          <w:sz w:val="22"/>
          <w:szCs w:val="22"/>
          <w:color w:val="auto"/>
        </w:rPr>
        <w:t>” shall mean a notice which shall indicate the specific termination provision in this Agreement relied upon.</w:t>
      </w:r>
    </w:p>
    <w:p>
      <w:pPr>
        <w:spacing w:after="0" w:line="172" w:lineRule="exact"/>
        <w:rPr>
          <w:rFonts w:ascii="Times New Roman" w:cs="Times New Roman" w:eastAsia="Times New Roman" w:hAnsi="Times New Roman"/>
          <w:sz w:val="22"/>
          <w:szCs w:val="22"/>
          <w:color w:val="auto"/>
        </w:rPr>
      </w:pPr>
    </w:p>
    <w:p>
      <w:pPr>
        <w:ind w:firstLine="1505"/>
        <w:spacing w:after="0" w:line="234" w:lineRule="auto"/>
        <w:tabs>
          <w:tab w:leader="none" w:pos="2037" w:val="left"/>
        </w:tabs>
        <w:numPr>
          <w:ilvl w:val="1"/>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Date of Termination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u w:val="single" w:color="auto"/>
          <w:color w:val="auto"/>
        </w:rPr>
        <w:t>Date of Termination</w:t>
      </w:r>
      <w:r>
        <w:rPr>
          <w:rFonts w:ascii="Times New Roman" w:cs="Times New Roman" w:eastAsia="Times New Roman" w:hAnsi="Times New Roman"/>
          <w:sz w:val="22"/>
          <w:szCs w:val="22"/>
          <w:color w:val="auto"/>
        </w:rPr>
        <w:t>” shall mean: (i) if Executive’s employment is terminated by death, the date of death; (ii) if Executive’s employment is terminated on account of disability under Section 3(b) or by the Company for Cause under Section 3(c), the date on which Notice of Termination is given; (iii) if Executive’s employment is terminated by the Company without Cause under Section 3(d), thirty (30) days after the date on which a Notice of Termination is given or a later date otherwise specified by the Company in the Notice of Termination; (iv) if Executive’s employment is terminated by Executive under Section 3(e) other than for Good Reason, thirty (30) days after the date on which a Notice of Termination is given, and (v) if Executive’s employment is terminated by Executive under Section 3(e) for Good Reason, the date on which a Notice of Termination is given after the end of the Cure Period. Notwithstanding the foregoing, in the event that Executive gives a Notice of Termination to the Company, the Company may unilaterally accelerate the Date of Termination and such acceleration shall not result in a termination by the Company for purposes of this Agreement.</w:t>
      </w:r>
    </w:p>
    <w:p>
      <w:pPr>
        <w:spacing w:after="0" w:line="182" w:lineRule="exact"/>
        <w:rPr>
          <w:rFonts w:ascii="Times New Roman" w:cs="Times New Roman" w:eastAsia="Times New Roman" w:hAnsi="Times New Roman"/>
          <w:sz w:val="22"/>
          <w:szCs w:val="22"/>
          <w:color w:val="auto"/>
        </w:rPr>
      </w:pPr>
    </w:p>
    <w:p>
      <w:pPr>
        <w:ind w:right="140" w:firstLine="1505"/>
        <w:spacing w:after="0" w:line="236" w:lineRule="auto"/>
        <w:tabs>
          <w:tab w:leader="none" w:pos="2037" w:val="left"/>
        </w:tabs>
        <w:numPr>
          <w:ilvl w:val="1"/>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Accrued Obligations</w:t>
      </w:r>
      <w:r>
        <w:rPr>
          <w:rFonts w:ascii="Times New Roman" w:cs="Times New Roman" w:eastAsia="Times New Roman" w:hAnsi="Times New Roman"/>
          <w:sz w:val="22"/>
          <w:szCs w:val="22"/>
          <w:color w:val="auto"/>
        </w:rPr>
        <w:t>. If Executive’s employment with the Company is terminated for any reason, the Company shall pay or provide to Executive (or to Executive’s authorized representative or estate) (i) any Base Salary earned through the Date of Termination; (ii) unpaid expense reimbursements (subject to, and in accordance with, Section 2(c) of this Agreement); and (iii) any vested benefits Executive may have under any employee benefit plan or compensation arrangement of the Company (including equity compensation plans and insurance coverages) through the Date of Termination, which vested benefits shall be paid and/or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1454150</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7" w:right="359" w:bottom="1440" w:gutter="0" w:footer="0" w:header="0"/>
        </w:sectPr>
      </w:pPr>
    </w:p>
    <w:bookmarkStart w:id="303" w:name="page304"/>
    <w:bookmarkEnd w:id="303"/>
    <w:p>
      <w:pPr>
        <w:spacing w:after="0" w:line="237" w:lineRule="auto"/>
        <w:rPr>
          <w:sz w:val="20"/>
          <w:szCs w:val="20"/>
          <w:color w:val="auto"/>
        </w:rPr>
      </w:pPr>
      <w:r>
        <w:rPr>
          <w:rFonts w:ascii="Times New Roman" w:cs="Times New Roman" w:eastAsia="Times New Roman" w:hAnsi="Times New Roman"/>
          <w:sz w:val="22"/>
          <w:szCs w:val="22"/>
          <w:color w:val="auto"/>
        </w:rPr>
        <w:t>provided in accordance with the terms of such employee benefit plans. In the event that Executive terminates employment due to death or disability, in accordance with Sections 3(a) and 3(b) above, Executive (or in the case of death, Executive’s estate) shall be entitled to receive the Earned Bonus (as defined in Section 5(a)) at the same time bonuses are paid to other employees who are actively employed by the Company. The amounts described under this Section 4(c) are referred to below as the “</w:t>
      </w:r>
      <w:r>
        <w:rPr>
          <w:rFonts w:ascii="Times New Roman" w:cs="Times New Roman" w:eastAsia="Times New Roman" w:hAnsi="Times New Roman"/>
          <w:sz w:val="22"/>
          <w:szCs w:val="22"/>
          <w:b w:val="1"/>
          <w:bCs w:val="1"/>
          <w:i w:val="1"/>
          <w:iCs w:val="1"/>
          <w:u w:val="single" w:color="auto"/>
          <w:color w:val="auto"/>
        </w:rPr>
        <w:t>Accrued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u w:val="single" w:color="auto"/>
          <w:color w:val="auto"/>
        </w:rPr>
        <w:t>Obligations</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ind w:right="60" w:firstLine="1505"/>
        <w:spacing w:after="0" w:line="239" w:lineRule="auto"/>
        <w:tabs>
          <w:tab w:leader="none" w:pos="2037" w:val="left"/>
        </w:tabs>
        <w:numPr>
          <w:ilvl w:val="1"/>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Resignation of All Other Positions</w:t>
      </w:r>
      <w:r>
        <w:rPr>
          <w:rFonts w:ascii="Times New Roman" w:cs="Times New Roman" w:eastAsia="Times New Roman" w:hAnsi="Times New Roman"/>
          <w:sz w:val="22"/>
          <w:szCs w:val="22"/>
          <w:color w:val="auto"/>
        </w:rPr>
        <w:t>. To the extent applicable, Executive shall be deemed to have resigned from all officer and board member positions that Executive holds with the Company or any of its respective subsidiaries and affiliates upon the termination of Executive’s employment for any reason. Executive shall execute any documents in reasonable form as may be requested to confirm or effectuate any such resignations.</w:t>
      </w:r>
    </w:p>
    <w:p>
      <w:pPr>
        <w:spacing w:after="0" w:line="178" w:lineRule="exact"/>
        <w:rPr>
          <w:rFonts w:ascii="Times New Roman" w:cs="Times New Roman" w:eastAsia="Times New Roman" w:hAnsi="Times New Roman"/>
          <w:sz w:val="22"/>
          <w:szCs w:val="22"/>
          <w:color w:val="auto"/>
        </w:rPr>
      </w:pPr>
    </w:p>
    <w:p>
      <w:pPr>
        <w:ind w:firstLine="757"/>
        <w:spacing w:after="0" w:line="234" w:lineRule="auto"/>
        <w:tabs>
          <w:tab w:leader="none" w:pos="1018" w:val="left"/>
        </w:tabs>
        <w:numPr>
          <w:ilvl w:val="0"/>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 Pay and Benefits Upon Termination by the Company without Cause or by Executive for Good Reason</w:t>
      </w:r>
      <w:r>
        <w:rPr>
          <w:rFonts w:ascii="Times New Roman" w:cs="Times New Roman" w:eastAsia="Times New Roman" w:hAnsi="Times New Roman"/>
          <w:sz w:val="22"/>
          <w:szCs w:val="22"/>
          <w:color w:val="auto"/>
        </w:rPr>
        <w:t xml:space="preserve">. If Executive’s employment is terminated by the Company without Cause as provided in Section 3(d), or Executive terminates employment for Good Reason as provided in Section 3(e), then, in addition to the Accrued Obligations, and subject to (i) Executive signing and allowing to become effective a separation agreement and release in a form substantially the same as set forth in </w:t>
      </w:r>
      <w:r>
        <w:rPr>
          <w:rFonts w:ascii="Times New Roman" w:cs="Times New Roman" w:eastAsia="Times New Roman" w:hAnsi="Times New Roman"/>
          <w:sz w:val="22"/>
          <w:szCs w:val="22"/>
          <w:u w:val="single" w:color="auto"/>
          <w:color w:val="auto"/>
        </w:rPr>
        <w:t>Appendix B</w:t>
      </w:r>
      <w:r>
        <w:rPr>
          <w:rFonts w:ascii="Times New Roman" w:cs="Times New Roman" w:eastAsia="Times New Roman" w:hAnsi="Times New Roman"/>
          <w:sz w:val="22"/>
          <w:szCs w:val="22"/>
          <w:color w:val="auto"/>
        </w:rPr>
        <w:t xml:space="preserve"> to this Agreement (the “</w:t>
      </w:r>
      <w:r>
        <w:rPr>
          <w:rFonts w:ascii="Times New Roman" w:cs="Times New Roman" w:eastAsia="Times New Roman" w:hAnsi="Times New Roman"/>
          <w:sz w:val="22"/>
          <w:szCs w:val="22"/>
          <w:b w:val="1"/>
          <w:bCs w:val="1"/>
          <w:i w:val="1"/>
          <w:iCs w:val="1"/>
          <w:u w:val="single" w:color="auto"/>
          <w:color w:val="auto"/>
        </w:rPr>
        <w:t>Separation Agreement</w:t>
      </w:r>
      <w:r>
        <w:rPr>
          <w:rFonts w:ascii="Times New Roman" w:cs="Times New Roman" w:eastAsia="Times New Roman" w:hAnsi="Times New Roman"/>
          <w:sz w:val="22"/>
          <w:szCs w:val="22"/>
          <w:color w:val="auto"/>
        </w:rPr>
        <w:t>”), which provides that if Executive materially breaches any of the Continuing Obligations, all payments of the Severance Amount shall immediately cease, and (ii) the Separation Agreement becoming irrevocable, all within sixty (60) days after the Date of Termination (or such shorter period as set forth in the Separation Agreement):</w:t>
      </w:r>
    </w:p>
    <w:p>
      <w:pPr>
        <w:spacing w:after="0" w:line="184" w:lineRule="exact"/>
        <w:rPr>
          <w:rFonts w:ascii="Times New Roman" w:cs="Times New Roman" w:eastAsia="Times New Roman" w:hAnsi="Times New Roman"/>
          <w:sz w:val="22"/>
          <w:szCs w:val="22"/>
          <w:color w:val="auto"/>
        </w:rPr>
      </w:pPr>
    </w:p>
    <w:p>
      <w:pPr>
        <w:ind w:right="80" w:firstLine="1505"/>
        <w:spacing w:after="0" w:line="236" w:lineRule="auto"/>
        <w:tabs>
          <w:tab w:leader="none" w:pos="2037" w:val="left"/>
        </w:tabs>
        <w:numPr>
          <w:ilvl w:val="1"/>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 Severance</w:t>
      </w:r>
      <w:r>
        <w:rPr>
          <w:rFonts w:ascii="Times New Roman" w:cs="Times New Roman" w:eastAsia="Times New Roman" w:hAnsi="Times New Roman"/>
          <w:sz w:val="22"/>
          <w:szCs w:val="22"/>
          <w:color w:val="auto"/>
        </w:rPr>
        <w:t>. The Company shall pay Executive an amount equal to nine (9) months’ of Executive’s Base Salary (the “</w:t>
      </w:r>
      <w:r>
        <w:rPr>
          <w:rFonts w:ascii="Times New Roman" w:cs="Times New Roman" w:eastAsia="Times New Roman" w:hAnsi="Times New Roman"/>
          <w:sz w:val="22"/>
          <w:szCs w:val="22"/>
          <w:b w:val="1"/>
          <w:bCs w:val="1"/>
          <w:i w:val="1"/>
          <w:iCs w:val="1"/>
          <w:u w:val="single" w:color="auto"/>
          <w:color w:val="auto"/>
        </w:rPr>
        <w:t>Severance Amount</w:t>
      </w:r>
      <w:r>
        <w:rPr>
          <w:rFonts w:ascii="Times New Roman" w:cs="Times New Roman" w:eastAsia="Times New Roman" w:hAnsi="Times New Roman"/>
          <w:sz w:val="22"/>
          <w:szCs w:val="22"/>
          <w:color w:val="auto"/>
        </w:rPr>
        <w:t>”) and, in the event that Executive’s employment is terminated after the end of the calendar year but prior to the payment of any Annual Bonus for the immediately preceding calendar year, Executive shall be entitled to receive a lump sum payment of any unpaid Annual Bonus that Executive would otherwise have been eligible for based on achievement of the applicable performance goals and objectives, without any reduction for individual performance, with respect to such immediately preceding calendar year (the “</w:t>
      </w:r>
      <w:r>
        <w:rPr>
          <w:rFonts w:ascii="Times New Roman" w:cs="Times New Roman" w:eastAsia="Times New Roman" w:hAnsi="Times New Roman"/>
          <w:sz w:val="22"/>
          <w:szCs w:val="22"/>
          <w:b w:val="1"/>
          <w:bCs w:val="1"/>
          <w:i w:val="1"/>
          <w:iCs w:val="1"/>
          <w:u w:val="single" w:color="auto"/>
          <w:color w:val="auto"/>
        </w:rPr>
        <w:t>Earned Bonus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right="140" w:firstLine="1505"/>
        <w:spacing w:after="0" w:line="234" w:lineRule="auto"/>
        <w:tabs>
          <w:tab w:leader="none" w:pos="2037" w:val="left"/>
        </w:tabs>
        <w:numPr>
          <w:ilvl w:val="1"/>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COBRA Premiums</w:t>
      </w:r>
      <w:r>
        <w:rPr>
          <w:rFonts w:ascii="Times New Roman" w:cs="Times New Roman" w:eastAsia="Times New Roman" w:hAnsi="Times New Roman"/>
          <w:sz w:val="22"/>
          <w:szCs w:val="22"/>
          <w:color w:val="auto"/>
        </w:rPr>
        <w:t>. Subject to Executive’s copayment of premium amounts at the applicable active employees’ rate and Executive’s proper election to receive benefits under the Consolidated Omnibus Budget Reconciliation Act of 1985, as amended (“</w:t>
      </w:r>
      <w:r>
        <w:rPr>
          <w:rFonts w:ascii="Times New Roman" w:cs="Times New Roman" w:eastAsia="Times New Roman" w:hAnsi="Times New Roman"/>
          <w:sz w:val="22"/>
          <w:szCs w:val="22"/>
          <w:b w:val="1"/>
          <w:bCs w:val="1"/>
          <w:i w:val="1"/>
          <w:iCs w:val="1"/>
          <w:u w:val="single" w:color="auto"/>
          <w:color w:val="auto"/>
        </w:rPr>
        <w:t>COBRA</w:t>
      </w:r>
      <w:r>
        <w:rPr>
          <w:rFonts w:ascii="Times New Roman" w:cs="Times New Roman" w:eastAsia="Times New Roman" w:hAnsi="Times New Roman"/>
          <w:sz w:val="22"/>
          <w:szCs w:val="22"/>
          <w:color w:val="auto"/>
        </w:rPr>
        <w:t>”), the Company shall pay to the group health plan provider or the COBRA provider a monthly payment equal to the monthly employer contribution that the Company would have made to provide health insurance to Executive if Executive had remained employed by the Company until the earliest of (A) the nine (9) month anniversary of the Date of Termination; (B) the date that Executive becomes eligible for group medical plan benefits under any other employer’s group medical plan; or (C) the cessation of Executive’s health continuation rights under COBRA; provided, however, that if the Company determines that it cannot pay such amounts to the group health plan provider or the COBRA provider (if applicable) without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1454785</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7" w:right="379" w:bottom="1440" w:gutter="0" w:footer="0" w:header="0"/>
        </w:sectPr>
      </w:pPr>
    </w:p>
    <w:bookmarkStart w:id="304" w:name="page305"/>
    <w:bookmarkEnd w:id="304"/>
    <w:p>
      <w:pPr>
        <w:ind w:right="400"/>
        <w:spacing w:after="0" w:line="239" w:lineRule="auto"/>
        <w:rPr>
          <w:sz w:val="20"/>
          <w:szCs w:val="20"/>
          <w:color w:val="auto"/>
        </w:rPr>
      </w:pPr>
      <w:r>
        <w:rPr>
          <w:rFonts w:ascii="Times New Roman" w:cs="Times New Roman" w:eastAsia="Times New Roman" w:hAnsi="Times New Roman"/>
          <w:sz w:val="22"/>
          <w:szCs w:val="22"/>
          <w:color w:val="auto"/>
        </w:rPr>
        <w:t>potentially violating applicable law (including, without limitation, Section 2716 of the Public Health Service Act), then the Company shall convert such payments to payroll payments directly to Executive for the time period specified above. Such payments to Executive shall be subject to tax-related deductions and withholdings and paid on the Company’s regular payroll dates.</w:t>
      </w:r>
    </w:p>
    <w:p>
      <w:pPr>
        <w:spacing w:after="0" w:line="179" w:lineRule="exact"/>
        <w:rPr>
          <w:sz w:val="20"/>
          <w:szCs w:val="20"/>
          <w:color w:val="auto"/>
        </w:rPr>
      </w:pPr>
    </w:p>
    <w:p>
      <w:pPr>
        <w:ind w:firstLine="1505"/>
        <w:spacing w:after="0" w:line="232" w:lineRule="auto"/>
        <w:tabs>
          <w:tab w:leader="none" w:pos="2037" w:val="left"/>
        </w:tabs>
        <w:numPr>
          <w:ilvl w:val="1"/>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Delayed Forfeiture of Time-Based Equity Awards</w:t>
      </w:r>
      <w:r>
        <w:rPr>
          <w:rFonts w:ascii="Times New Roman" w:cs="Times New Roman" w:eastAsia="Times New Roman" w:hAnsi="Times New Roman"/>
          <w:sz w:val="22"/>
          <w:szCs w:val="22"/>
          <w:color w:val="auto"/>
        </w:rPr>
        <w:t>. Notwithstanding anything to the contrary in any Time-Based Equity Awards, if the Separation Agreement becomes effective, the unvested portions of all Time-Based Equity Awards shall not terminate or be forfeited on the Date of Termination, but rather shall remain outstanding until 3 months after the Date of Termination (the “</w:t>
      </w:r>
      <w:r>
        <w:rPr>
          <w:rFonts w:ascii="Times New Roman" w:cs="Times New Roman" w:eastAsia="Times New Roman" w:hAnsi="Times New Roman"/>
          <w:sz w:val="22"/>
          <w:szCs w:val="22"/>
          <w:b w:val="1"/>
          <w:bCs w:val="1"/>
          <w:i w:val="1"/>
          <w:iCs w:val="1"/>
          <w:u w:val="single" w:color="auto"/>
          <w:color w:val="auto"/>
        </w:rPr>
        <w:t>Pre-CIC Protection Period</w:t>
      </w:r>
      <w:r>
        <w:rPr>
          <w:rFonts w:ascii="Times New Roman" w:cs="Times New Roman" w:eastAsia="Times New Roman" w:hAnsi="Times New Roman"/>
          <w:sz w:val="22"/>
          <w:szCs w:val="22"/>
          <w:color w:val="auto"/>
        </w:rPr>
        <w:t>”). If the Company has not, prior to the end of the Pre-CIC Protection Period, entered into a definitive agreement that, if closed, would result in a Change in Control (a “</w:t>
      </w:r>
      <w:r>
        <w:rPr>
          <w:rFonts w:ascii="Times New Roman" w:cs="Times New Roman" w:eastAsia="Times New Roman" w:hAnsi="Times New Roman"/>
          <w:sz w:val="22"/>
          <w:szCs w:val="22"/>
          <w:b w:val="1"/>
          <w:bCs w:val="1"/>
          <w:i w:val="1"/>
          <w:iCs w:val="1"/>
          <w:u w:val="single" w:color="auto"/>
          <w:color w:val="auto"/>
        </w:rPr>
        <w:t>P&amp;S Agreement</w:t>
      </w:r>
      <w:r>
        <w:rPr>
          <w:rFonts w:ascii="Times New Roman" w:cs="Times New Roman" w:eastAsia="Times New Roman" w:hAnsi="Times New Roman"/>
          <w:sz w:val="22"/>
          <w:szCs w:val="22"/>
          <w:color w:val="auto"/>
        </w:rPr>
        <w:t>”), then the unvested portion of the Time-Based Equity Awards shall terminate and be forfeited as of the end of the Pre-CIC Protection Period.. If the Company, prior to the end of the Pre-CIC Protection Period, enters into a P&amp;S Agreement, then the Time-Based Equity Awards shall remain outstanding and become fully vested upon a Change in Control resulting from such agreement, and all such awards that are assumed or continued in the Change in Control resulting from such agreement, and all such awards that are assumed or continued in the Change in Control transaction shall remain outstanding until the later of (i) the end of the Pre-CIC Protection Period and (ii) ninety (90) days after such Change in Control. Unvested Time-Based Equity Awards shall terminate and be forfeited if the Company abandons a sale of the Company as contemplated under the P&amp;S Agreement entered into during the Pre-CIC Protection Period. No additional vesting of the Time-Based Equity Awards shall occur following the Date of Termination except on account of a Change in Control during or after the Pre-CIC Protection Period as specifically provided above. For the avoidance of doubt, any unvested Performance-Based Equity Awards shall terminate and be forfeited on the Date of Termination unless otherwise provided by the terms of the Plan or the applicable award agreement. Notwithstanding anything herein to the contrary, no Time-Based Awards shall remain outstanding following the original expiration date of such award, as set forth in the applicable award agreement.</w:t>
      </w:r>
    </w:p>
    <w:p>
      <w:pPr>
        <w:spacing w:after="0" w:line="182" w:lineRule="exact"/>
        <w:rPr>
          <w:rFonts w:ascii="Times New Roman" w:cs="Times New Roman" w:eastAsia="Times New Roman" w:hAnsi="Times New Roman"/>
          <w:sz w:val="22"/>
          <w:szCs w:val="22"/>
          <w:color w:val="auto"/>
        </w:rPr>
      </w:pPr>
    </w:p>
    <w:p>
      <w:pPr>
        <w:ind w:right="20" w:firstLine="1505"/>
        <w:spacing w:after="0" w:line="234" w:lineRule="auto"/>
        <w:tabs>
          <w:tab w:leader="none" w:pos="2037" w:val="left"/>
        </w:tabs>
        <w:numPr>
          <w:ilvl w:val="1"/>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 Payment Timing</w:t>
      </w:r>
      <w:r>
        <w:rPr>
          <w:rFonts w:ascii="Times New Roman" w:cs="Times New Roman" w:eastAsia="Times New Roman" w:hAnsi="Times New Roman"/>
          <w:sz w:val="22"/>
          <w:szCs w:val="22"/>
          <w:color w:val="auto"/>
        </w:rPr>
        <w:t>. The amounts payable under Section 5, (other than the Earned Bonus, as applicable), to the extent taxable, shall be paid or commence to be paid within thirty (30) days after the Date of Termination (or such longer period as required in order to have an enforceable release, but in no event later than seventy (70) days after the Date of Termination); provided, however, that if the period applicable to Executive’s termination of employment begins in one calendar year and ends in a second calendar year, such payments to the extent they qualify as “non-qualified deferred compensation” within the meaning of Section 409A of the Internal Revenue Code of 1986, as amended (the “</w:t>
      </w:r>
      <w:r>
        <w:rPr>
          <w:rFonts w:ascii="Times New Roman" w:cs="Times New Roman" w:eastAsia="Times New Roman" w:hAnsi="Times New Roman"/>
          <w:sz w:val="22"/>
          <w:szCs w:val="22"/>
          <w:b w:val="1"/>
          <w:bCs w:val="1"/>
          <w:i w:val="1"/>
          <w:iCs w:val="1"/>
          <w:u w:val="single" w:color="auto"/>
          <w:color w:val="auto"/>
        </w:rPr>
        <w:t>Code</w:t>
      </w:r>
      <w:r>
        <w:rPr>
          <w:rFonts w:ascii="Times New Roman" w:cs="Times New Roman" w:eastAsia="Times New Roman" w:hAnsi="Times New Roman"/>
          <w:sz w:val="22"/>
          <w:szCs w:val="22"/>
          <w:color w:val="auto"/>
        </w:rPr>
        <w:t>”), shall be paid or commence to be paid in the second calendar year by the last day of such period. The Severance Amount shall be paid in a single lump sum and the Earned Bonus, if any, shall be paid at the same time as if Executive had remained employed with the Company through the payment date.</w:t>
      </w:r>
    </w:p>
    <w:p>
      <w:pPr>
        <w:spacing w:after="0" w:line="180" w:lineRule="exact"/>
        <w:rPr>
          <w:rFonts w:ascii="Times New Roman" w:cs="Times New Roman" w:eastAsia="Times New Roman" w:hAnsi="Times New Roman"/>
          <w:sz w:val="22"/>
          <w:szCs w:val="22"/>
          <w:color w:val="auto"/>
        </w:rPr>
      </w:pPr>
    </w:p>
    <w:p>
      <w:pPr>
        <w:ind w:right="440" w:firstLine="757"/>
        <w:spacing w:after="0" w:line="258" w:lineRule="auto"/>
        <w:tabs>
          <w:tab w:leader="none" w:pos="1018" w:val="left"/>
        </w:tabs>
        <w:numPr>
          <w:ilvl w:val="0"/>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 Pay and Benefits Upon Termination by the Company without Cause or by Executive for Good Reason within the Change in Control Period</w:t>
      </w:r>
      <w:r>
        <w:rPr>
          <w:rFonts w:ascii="Times New Roman" w:cs="Times New Roman" w:eastAsia="Times New Roman" w:hAnsi="Times New Roman"/>
          <w:sz w:val="22"/>
          <w:szCs w:val="22"/>
          <w:color w:val="auto"/>
        </w:rPr>
        <w:t>. The provisions of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1440180</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305" w:name="page306"/>
    <w:bookmarkEnd w:id="305"/>
    <w:p>
      <w:pPr>
        <w:spacing w:after="0" w:line="234" w:lineRule="auto"/>
        <w:rPr>
          <w:sz w:val="20"/>
          <w:szCs w:val="20"/>
          <w:color w:val="auto"/>
        </w:rPr>
      </w:pPr>
      <w:r>
        <w:rPr>
          <w:rFonts w:ascii="Times New Roman" w:cs="Times New Roman" w:eastAsia="Times New Roman" w:hAnsi="Times New Roman"/>
          <w:sz w:val="22"/>
          <w:szCs w:val="22"/>
          <w:color w:val="auto"/>
        </w:rPr>
        <w:t>Section 6 shall apply in lieu of, and expressly supersede, the provisions of Section 5 if (i) Executive’s employment is terminated either (a) by the Company without Cause as provided in Section 3(d), or (b) by Executive for Good Reason as provided in Section 3(e), and (ii) the Date of Termination is during the Change in Control Period. The “</w:t>
      </w:r>
      <w:r>
        <w:rPr>
          <w:rFonts w:ascii="Times New Roman" w:cs="Times New Roman" w:eastAsia="Times New Roman" w:hAnsi="Times New Roman"/>
          <w:sz w:val="22"/>
          <w:szCs w:val="22"/>
          <w:b w:val="1"/>
          <w:bCs w:val="1"/>
          <w:i w:val="1"/>
          <w:iCs w:val="1"/>
          <w:u w:val="single" w:color="auto"/>
          <w:color w:val="auto"/>
        </w:rPr>
        <w:t>Change in Control Period</w:t>
      </w:r>
      <w:r>
        <w:rPr>
          <w:rFonts w:ascii="Times New Roman" w:cs="Times New Roman" w:eastAsia="Times New Roman" w:hAnsi="Times New Roman"/>
          <w:sz w:val="22"/>
          <w:szCs w:val="22"/>
          <w:color w:val="auto"/>
        </w:rPr>
        <w:t>” shall begin on the earlier of (a) the signing of a P&amp;S Agreement and (b) the date that is 3 months prior to the closing of a Change in Control and shall end on the date that is twelve (12) months after the occurrence of the first event constituting a Change in Control. These provisions shall terminate and be of no further force or effect after the Change in Control Period. In no event will Executive be entitled to severance benefits under both Section 5 and Section 6 of this Agreement. If the Company has commenced providing severance pay and benefits to Executive under Section 5 prior to the date that Executive becomes eligible to receive severance pay and benefits under this Section 6, the severance pay and benefits previously provided to Executive under Section 5 shall reduce the severance pay and benefits to be provided under this Section 6.</w:t>
      </w:r>
    </w:p>
    <w:p>
      <w:pPr>
        <w:spacing w:after="0" w:line="17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color w:val="auto"/>
        </w:rPr>
        <w:t>If Executive’s employment is terminated by the Company without Cause as provided in Section 3(d) or Executive terminates employment for Good Reason as provided in Section 3(e) and in each case the Date of Termination occurs during the Change in Control Period, then, in addition to the Accrued Obligations, and subject to the signing of the Separation Agreement by Executive and the Separation Agreement becoming fully effective, all within the time frame set forth in the Separation Agreement but in no event more than sixty (60) days after the Date of Termination:</w:t>
      </w:r>
    </w:p>
    <w:p>
      <w:pPr>
        <w:spacing w:after="0" w:line="180" w:lineRule="exact"/>
        <w:rPr>
          <w:sz w:val="20"/>
          <w:szCs w:val="20"/>
          <w:color w:val="auto"/>
        </w:rPr>
      </w:pPr>
    </w:p>
    <w:p>
      <w:pPr>
        <w:ind w:left="2040" w:hanging="535"/>
        <w:spacing w:after="0"/>
        <w:tabs>
          <w:tab w:leader="none" w:pos="2040" w:val="left"/>
        </w:tabs>
        <w:numPr>
          <w:ilvl w:val="1"/>
          <w:numId w:val="2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 Severance</w:t>
      </w:r>
      <w:r>
        <w:rPr>
          <w:rFonts w:ascii="Times New Roman" w:cs="Times New Roman" w:eastAsia="Times New Roman" w:hAnsi="Times New Roman"/>
          <w:sz w:val="20"/>
          <w:szCs w:val="20"/>
          <w:color w:val="auto"/>
        </w:rPr>
        <w:t>. The Company shall pay Executive a lump sum in cash in an amount equal to the sum of</w:t>
      </w:r>
    </w:p>
    <w:p>
      <w:pPr>
        <w:spacing w:after="0" w:line="36" w:lineRule="exact"/>
        <w:rPr>
          <w:rFonts w:ascii="Times New Roman" w:cs="Times New Roman" w:eastAsia="Times New Roman" w:hAnsi="Times New Roman"/>
          <w:sz w:val="20"/>
          <w:szCs w:val="20"/>
          <w:color w:val="auto"/>
        </w:rPr>
      </w:pPr>
    </w:p>
    <w:p>
      <w:pPr>
        <w:ind w:right="180" w:firstLine="8"/>
        <w:spacing w:after="0" w:line="233" w:lineRule="auto"/>
        <w:tabs>
          <w:tab w:leader="none" w:pos="353" w:val="left"/>
        </w:tabs>
        <w:numPr>
          <w:ilvl w:val="0"/>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twelve (12) months’ of Executive’s then-current Base Salary (or Executive’s Base Salary in effect immediately prior to the Change in Control, if higher), and (B) Executive’s Target Bonus for the then-current year (or Executive’s Target Bonus in effect immediately prior to the Change in Control, if higher), plus, if applicable, any Earned Bonus (the “</w:t>
      </w:r>
      <w:r>
        <w:rPr>
          <w:rFonts w:ascii="Times New Roman" w:cs="Times New Roman" w:eastAsia="Times New Roman" w:hAnsi="Times New Roman"/>
          <w:sz w:val="22"/>
          <w:szCs w:val="22"/>
          <w:b w:val="1"/>
          <w:bCs w:val="1"/>
          <w:i w:val="1"/>
          <w:iCs w:val="1"/>
          <w:u w:val="single" w:color="auto"/>
          <w:color w:val="auto"/>
        </w:rPr>
        <w:t>Change in Control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u w:val="single" w:color="auto"/>
          <w:color w:val="auto"/>
        </w:rPr>
        <w:t>Payment</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ind w:firstLine="1505"/>
        <w:spacing w:after="0" w:line="233" w:lineRule="auto"/>
        <w:tabs>
          <w:tab w:leader="none" w:pos="2037" w:val="left"/>
        </w:tabs>
        <w:numPr>
          <w:ilvl w:val="1"/>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COBRA Premiums</w:t>
      </w:r>
      <w:r>
        <w:rPr>
          <w:rFonts w:ascii="Times New Roman" w:cs="Times New Roman" w:eastAsia="Times New Roman" w:hAnsi="Times New Roman"/>
          <w:sz w:val="22"/>
          <w:szCs w:val="22"/>
          <w:color w:val="auto"/>
        </w:rPr>
        <w:t>. Subject to Executive’s copayment of premium amounts at the applicable active employees’ rate and Executive’s proper election to receive benefits under COBRA, the Company shall pay to the group health plan provider or the COBRA provider a monthly payment equal to the monthly employer contribution that the Company would have made to provide health insurance to Executive if Executive had remained employed by the Company until the earliest of (A) the twelve (12) month anniversary of the Date of Termination; (B) the date that Executive becomes eligible for group medical plan benefits under any other employer’s group medical plan; or (C) the cessation of Executive’s health continuation rights under COBRA; provided, however, that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Executive for the time period specified above. Such payments to Executive shall be subject to tax-related deductions and withholdings and paid on the Company’s regular payroll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1457325</wp:posOffset>
            </wp:positionV>
            <wp:extent cx="715772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6" w:right="359" w:bottom="1440" w:gutter="0" w:footer="0" w:header="0"/>
        </w:sectPr>
      </w:pPr>
    </w:p>
    <w:bookmarkStart w:id="306" w:name="page307"/>
    <w:bookmarkEnd w:id="306"/>
    <w:p>
      <w:pPr>
        <w:ind w:left="-757" w:right="20" w:firstLine="1505"/>
        <w:spacing w:after="0" w:line="259" w:lineRule="auto"/>
        <w:tabs>
          <w:tab w:leader="none" w:pos="1280" w:val="left"/>
        </w:tabs>
        <w:numPr>
          <w:ilvl w:val="1"/>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Accelerated Vesting of Equity Awards</w:t>
      </w:r>
      <w:r>
        <w:rPr>
          <w:rFonts w:ascii="Times New Roman" w:cs="Times New Roman" w:eastAsia="Times New Roman" w:hAnsi="Times New Roman"/>
          <w:sz w:val="20"/>
          <w:szCs w:val="20"/>
          <w:color w:val="auto"/>
        </w:rPr>
        <w:t>. Notwithstanding anything to the contrary in any Equity Award, the Time-Based Equity Awards shall immediately accelerate and become fully vested and exercisable or nonforfeitable as if Executive had remained employed with the Company as of the later of (i) the Date of Termination (or, if later, the Change in Control) or (ii) the effective date of the Separation Agreement (the “</w:t>
      </w:r>
      <w:r>
        <w:rPr>
          <w:rFonts w:ascii="Times New Roman" w:cs="Times New Roman" w:eastAsia="Times New Roman" w:hAnsi="Times New Roman"/>
          <w:sz w:val="20"/>
          <w:szCs w:val="20"/>
          <w:b w:val="1"/>
          <w:bCs w:val="1"/>
          <w:i w:val="1"/>
          <w:iCs w:val="1"/>
          <w:u w:val="single" w:color="auto"/>
          <w:color w:val="auto"/>
        </w:rPr>
        <w:t>Accelerated Vesting Date</w:t>
      </w:r>
      <w:r>
        <w:rPr>
          <w:rFonts w:ascii="Times New Roman" w:cs="Times New Roman" w:eastAsia="Times New Roman" w:hAnsi="Times New Roman"/>
          <w:sz w:val="20"/>
          <w:szCs w:val="20"/>
          <w:color w:val="auto"/>
        </w:rPr>
        <w:t>”), provided that in order to effectuate the accelerated vesting contemplated by this subsection, the unvested portion of such Equity Awards that would otherwise terminate or be forfeited on the Date of Termination will be delayed until the earlier of (A) the effective date of the Separation Agreement (at which time acceleration will occur), or (B) the date that the Separation Agreement can no longer become fully effective (at which time the unvested portion of Executive’s Time-Based Equity Awards will terminate or be forfeited). Notwithstanding the foregoing, no additional time-based vesting of the Time-Based Equity Awards shall occur during the period between the Date of Termination and the Accelerated Vesting Date except as specifically provided in this Section 6(c).</w:t>
      </w:r>
    </w:p>
    <w:p>
      <w:pPr>
        <w:spacing w:after="0" w:line="161" w:lineRule="exact"/>
        <w:rPr>
          <w:rFonts w:ascii="Times New Roman" w:cs="Times New Roman" w:eastAsia="Times New Roman" w:hAnsi="Times New Roman"/>
          <w:sz w:val="20"/>
          <w:szCs w:val="20"/>
          <w:color w:val="auto"/>
        </w:rPr>
      </w:pPr>
    </w:p>
    <w:p>
      <w:pPr>
        <w:ind w:left="-757" w:firstLine="1505"/>
        <w:spacing w:after="0" w:line="237" w:lineRule="auto"/>
        <w:tabs>
          <w:tab w:leader="none" w:pos="1280" w:val="left"/>
        </w:tabs>
        <w:numPr>
          <w:ilvl w:val="1"/>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 Payment Timing</w:t>
      </w:r>
      <w:r>
        <w:rPr>
          <w:rFonts w:ascii="Times New Roman" w:cs="Times New Roman" w:eastAsia="Times New Roman" w:hAnsi="Times New Roman"/>
          <w:sz w:val="22"/>
          <w:szCs w:val="22"/>
          <w:color w:val="auto"/>
        </w:rPr>
        <w:t>. The amounts payable under this Section 6, to the extent taxable, shall be paid or commence to be paid within seventy (70) days after the Date of Termination or, if later, the Change in Control; provided, however, that if the 60-day period begins in one calendar year and ends in a second calendar year, such payments to the extent they qualify as “non-qualified deferred compensation” within the meaning of Section 409A of the Code, shall be paid or commence to be paid in the second calendar year by the last day of such 60-day period.</w:t>
      </w:r>
    </w:p>
    <w:p>
      <w:pPr>
        <w:spacing w:after="0" w:line="180" w:lineRule="exact"/>
        <w:rPr>
          <w:rFonts w:ascii="Times New Roman" w:cs="Times New Roman" w:eastAsia="Times New Roman" w:hAnsi="Times New Roman"/>
          <w:sz w:val="22"/>
          <w:szCs w:val="22"/>
          <w:color w:val="auto"/>
        </w:rPr>
      </w:pPr>
    </w:p>
    <w:p>
      <w:pPr>
        <w:ind w:left="263" w:hanging="263"/>
        <w:spacing w:after="0"/>
        <w:tabs>
          <w:tab w:leader="none" w:pos="263" w:val="left"/>
        </w:tabs>
        <w:numPr>
          <w:ilvl w:val="0"/>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280G Limitation</w:t>
      </w:r>
      <w:r>
        <w:rPr>
          <w:rFonts w:ascii="Times New Roman" w:cs="Times New Roman" w:eastAsia="Times New Roman" w:hAnsi="Times New Roman"/>
          <w:sz w:val="22"/>
          <w:szCs w:val="22"/>
          <w:color w:val="auto"/>
        </w:rPr>
        <w:t>.</w:t>
      </w:r>
    </w:p>
    <w:p>
      <w:pPr>
        <w:spacing w:after="0" w:line="205" w:lineRule="exact"/>
        <w:rPr>
          <w:rFonts w:ascii="Times New Roman" w:cs="Times New Roman" w:eastAsia="Times New Roman" w:hAnsi="Times New Roman"/>
          <w:sz w:val="22"/>
          <w:szCs w:val="22"/>
          <w:color w:val="auto"/>
        </w:rPr>
      </w:pPr>
    </w:p>
    <w:p>
      <w:pPr>
        <w:ind w:left="-757" w:right="60" w:firstLine="1505"/>
        <w:spacing w:after="0" w:line="232" w:lineRule="auto"/>
        <w:tabs>
          <w:tab w:leader="none" w:pos="1280" w:val="left"/>
        </w:tabs>
        <w:numPr>
          <w:ilvl w:val="1"/>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Anything in this Agreement to the contrary notwithstanding, in the event that the amount of any compensation, payment or distribution by the Company to or for the benefit of Executive, whether paid or payable or distributed or distributable pursuant to the terms of this Agreement or otherwise, calculated in a manner consistent with Section 280G of the Code, and the applicable regulations thereunder (the “</w:t>
      </w:r>
      <w:r>
        <w:rPr>
          <w:rFonts w:ascii="Times New Roman" w:cs="Times New Roman" w:eastAsia="Times New Roman" w:hAnsi="Times New Roman"/>
          <w:sz w:val="22"/>
          <w:szCs w:val="22"/>
          <w:b w:val="1"/>
          <w:bCs w:val="1"/>
          <w:i w:val="1"/>
          <w:iCs w:val="1"/>
          <w:u w:val="single" w:color="auto"/>
          <w:color w:val="auto"/>
        </w:rPr>
        <w:t>Aggregate Payments</w:t>
      </w:r>
      <w:r>
        <w:rPr>
          <w:rFonts w:ascii="Times New Roman" w:cs="Times New Roman" w:eastAsia="Times New Roman" w:hAnsi="Times New Roman"/>
          <w:sz w:val="22"/>
          <w:szCs w:val="22"/>
          <w:color w:val="auto"/>
        </w:rPr>
        <w:t>”), would be subject to the excise tax imposed by Section 4999 of the Code, then the Aggregate Payments shall be reduced (but not below zero) so that the sum of all of the Aggregate Payments shall be $1.00 less than the amount at which Executive becomes subject to the excise tax imposed by Section 4999 of the Code; provided that such reduction shall only occur if it would result in Executive receiving a higher After Tax Amount (as defined below) than Executive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(1) cash payments not subject to Section 409A of the Code; (2) cash payments subject to Section 409A of the Code; (3) equity-based payments and acceleration; and (4) non-cash forms of benefits; provided that in the case of all the foregoing Aggregate Payments all amounts or payments that are not subject to calculation under Treas. Reg. §1.280G-1, Q&amp;A-24(b) or (c) shall be reduced before any amounts that are subject to calculation under Treas. Reg. §1.280G-1, Q&amp;A-24(b) or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1459865</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3"/>
          </w:cols>
          <w:pgMar w:left="1077" w:top="1406" w:right="399" w:bottom="1440" w:gutter="0" w:footer="0" w:header="0"/>
        </w:sectPr>
      </w:pPr>
    </w:p>
    <w:bookmarkStart w:id="307" w:name="page308"/>
    <w:bookmarkEnd w:id="307"/>
    <w:p>
      <w:pPr>
        <w:ind w:left="-757" w:right="200" w:firstLine="1505"/>
        <w:spacing w:after="0" w:line="236" w:lineRule="auto"/>
        <w:tabs>
          <w:tab w:leader="none" w:pos="1280" w:val="left"/>
        </w:tabs>
        <w:numPr>
          <w:ilvl w:val="1"/>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Section 7, the “</w:t>
      </w:r>
      <w:r>
        <w:rPr>
          <w:rFonts w:ascii="Times New Roman" w:cs="Times New Roman" w:eastAsia="Times New Roman" w:hAnsi="Times New Roman"/>
          <w:sz w:val="22"/>
          <w:szCs w:val="22"/>
          <w:b w:val="1"/>
          <w:bCs w:val="1"/>
          <w:i w:val="1"/>
          <w:iCs w:val="1"/>
          <w:u w:val="single" w:color="auto"/>
          <w:color w:val="auto"/>
        </w:rPr>
        <w:t>After Tax Amount</w:t>
      </w:r>
      <w:r>
        <w:rPr>
          <w:rFonts w:ascii="Times New Roman" w:cs="Times New Roman" w:eastAsia="Times New Roman" w:hAnsi="Times New Roman"/>
          <w:sz w:val="22"/>
          <w:szCs w:val="22"/>
          <w:color w:val="auto"/>
        </w:rPr>
        <w:t>” means the amount of the Aggregate Payments less all federal, state, and local income, excise and employment taxes imposed on Executive as a result of Executive’s receipt of the Aggregate Payments. For purposes of determining the After Tax Amount,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179" w:lineRule="exact"/>
        <w:rPr>
          <w:rFonts w:ascii="Times New Roman" w:cs="Times New Roman" w:eastAsia="Times New Roman" w:hAnsi="Times New Roman"/>
          <w:sz w:val="22"/>
          <w:szCs w:val="22"/>
          <w:color w:val="auto"/>
        </w:rPr>
      </w:pPr>
    </w:p>
    <w:p>
      <w:pPr>
        <w:ind w:left="-757" w:firstLine="1505"/>
        <w:spacing w:after="0" w:line="232" w:lineRule="auto"/>
        <w:tabs>
          <w:tab w:leader="none" w:pos="1280" w:val="left"/>
        </w:tabs>
        <w:numPr>
          <w:ilvl w:val="1"/>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determining whether and the extent to which the Aggregate Payments will be subject to the excise tax, (i) no portion of the Aggregate Payments the receipt or enjoyment of which Executive shall have waived at such time and in such manner as not to constitute a “payment” within the meaning of Section 280G(b) of the Code shall be taken into account, (ii) no portion of the Aggregate Payments shall be taken into account which, in the written opinion of independent auditors or advisors of nationally recognized standing (“</w:t>
      </w:r>
      <w:r>
        <w:rPr>
          <w:rFonts w:ascii="Times New Roman" w:cs="Times New Roman" w:eastAsia="Times New Roman" w:hAnsi="Times New Roman"/>
          <w:sz w:val="22"/>
          <w:szCs w:val="22"/>
          <w:b w:val="1"/>
          <w:bCs w:val="1"/>
          <w:i w:val="1"/>
          <w:iCs w:val="1"/>
          <w:color w:val="auto"/>
        </w:rPr>
        <w:t>Independent Advisors</w:t>
      </w:r>
      <w:r>
        <w:rPr>
          <w:rFonts w:ascii="Times New Roman" w:cs="Times New Roman" w:eastAsia="Times New Roman" w:hAnsi="Times New Roman"/>
          <w:sz w:val="22"/>
          <w:szCs w:val="22"/>
          <w:color w:val="auto"/>
        </w:rPr>
        <w:t>”) selected by the Company prior to a Change in Control, does not constitute a “parachute payment” within the meaning of Section 280G(b)(2) of the Code (including by reason of Section 280G(b)(4)(A) of the Code) and, in calculating the excise tax, no portion of such Aggregate Payments shall be taken into account which, in the opinion of Independent Advisors, constitutes reasonable compensation for services actually rendered, within the meaning of Section 280G(b)(4)(B) of the Code, in excess of the “base amount” (as defined in Section 280G(b)(3) of the Code) allocable to such reasonable compensation, and (iii) the value of any non-cash benefit or any deferred payment or benefit included in the Aggregate Payments shall be determined by the Independent Advisors in accordance with the principles of Sections 280G(d)(3) and (4) of the Code. The Independent Advisors shall provide detailed supporting calculations both to the Company and Executive within fifteen (15) business days of the Date of Termination, if applicable, or at such earlier time as is reasonably requested by the Company or Executive. Any determination by the Independent Advisors shall be binding upon the Company and Executive.</w:t>
      </w:r>
    </w:p>
    <w:p>
      <w:pPr>
        <w:spacing w:after="0" w:line="188" w:lineRule="exact"/>
        <w:rPr>
          <w:rFonts w:ascii="Times New Roman" w:cs="Times New Roman" w:eastAsia="Times New Roman" w:hAnsi="Times New Roman"/>
          <w:sz w:val="22"/>
          <w:szCs w:val="22"/>
          <w:color w:val="auto"/>
        </w:rPr>
      </w:pPr>
    </w:p>
    <w:p>
      <w:pPr>
        <w:ind w:left="263" w:hanging="263"/>
        <w:spacing w:after="0"/>
        <w:tabs>
          <w:tab w:leader="none" w:pos="263" w:val="left"/>
        </w:tabs>
        <w:numPr>
          <w:ilvl w:val="0"/>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w:t>
      </w:r>
    </w:p>
    <w:p>
      <w:pPr>
        <w:spacing w:after="0" w:line="205" w:lineRule="exact"/>
        <w:rPr>
          <w:rFonts w:ascii="Times New Roman" w:cs="Times New Roman" w:eastAsia="Times New Roman" w:hAnsi="Times New Roman"/>
          <w:sz w:val="22"/>
          <w:szCs w:val="22"/>
          <w:color w:val="auto"/>
        </w:rPr>
      </w:pPr>
    </w:p>
    <w:p>
      <w:pPr>
        <w:ind w:left="-757" w:right="120" w:firstLine="1505"/>
        <w:spacing w:after="0" w:line="234" w:lineRule="auto"/>
        <w:tabs>
          <w:tab w:leader="none" w:pos="1280" w:val="left"/>
        </w:tabs>
        <w:numPr>
          <w:ilvl w:val="1"/>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Anything in this Agreement to the contrary notwithstanding, if at the time of Executive’s separation from service within the meaning of Section 409A of the Code, the Company determines that Executive is a “specified employee” within the meaning of Section 409A(a)(2)(B)(i) of the Code, then to the extent any payment or benefit that Executive becomes entitled to under this Agreement or otherwise on account of Executive’s separation from service would be considered deferred compensation otherwise subject to the 20% additional tax imposed pursuant to Section 409A(a) of the Code as a result of the application of Section 409A(a)(2)(B)(i) of the Code, such payment shall not be payable and such benefit shall not be provided until the date that is the earlier of (A) six (6) months and one day after Executive’s separation from service, or (B) Executive’s death. If any such delayed cash payment is otherwise payable on an installment basis, the first payment shall include a catch-up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1454785</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00" w:right="339" w:bottom="1440" w:gutter="0" w:footer="0" w:header="0"/>
        </w:sectPr>
      </w:pPr>
    </w:p>
    <w:bookmarkStart w:id="308" w:name="page309"/>
    <w:bookmarkEnd w:id="308"/>
    <w:p>
      <w:pPr>
        <w:ind w:right="300"/>
        <w:spacing w:after="0" w:line="258" w:lineRule="auto"/>
        <w:rPr>
          <w:sz w:val="20"/>
          <w:szCs w:val="20"/>
          <w:color w:val="auto"/>
        </w:rPr>
      </w:pPr>
      <w:r>
        <w:rPr>
          <w:rFonts w:ascii="Times New Roman" w:cs="Times New Roman" w:eastAsia="Times New Roman" w:hAnsi="Times New Roman"/>
          <w:sz w:val="22"/>
          <w:szCs w:val="22"/>
          <w:color w:val="auto"/>
        </w:rPr>
        <w:t>covering amounts that would otherwise have been paid during the 6-month period but for the application of this provision, and the balance of the installments shall be payable in accordance with their original schedule.</w:t>
      </w:r>
    </w:p>
    <w:p>
      <w:pPr>
        <w:spacing w:after="0" w:line="157" w:lineRule="exact"/>
        <w:rPr>
          <w:sz w:val="20"/>
          <w:szCs w:val="20"/>
          <w:color w:val="auto"/>
        </w:rPr>
      </w:pPr>
    </w:p>
    <w:p>
      <w:pPr>
        <w:ind w:right="40" w:firstLine="1505"/>
        <w:spacing w:after="0" w:line="235" w:lineRule="auto"/>
        <w:tabs>
          <w:tab w:leader="none" w:pos="2037" w:val="left"/>
        </w:tabs>
        <w:numPr>
          <w:ilvl w:val="0"/>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in-kind benefits provided and expenses eligible for reimbursement under this Agreement shall be provided by the Company or incurred by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80" w:lineRule="exact"/>
        <w:rPr>
          <w:rFonts w:ascii="Times New Roman" w:cs="Times New Roman" w:eastAsia="Times New Roman" w:hAnsi="Times New Roman"/>
          <w:sz w:val="22"/>
          <w:szCs w:val="22"/>
          <w:color w:val="auto"/>
        </w:rPr>
      </w:pPr>
    </w:p>
    <w:p>
      <w:pPr>
        <w:ind w:right="100" w:firstLine="1505"/>
        <w:spacing w:after="0" w:line="260" w:lineRule="exact"/>
        <w:tabs>
          <w:tab w:leader="none" w:pos="2037" w:val="left"/>
        </w:tabs>
        <w:numPr>
          <w:ilvl w:val="0"/>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any payment or benefit described in this Agreement constitutes “non-qualified deferred compensation” under Section 409A of the Code, and to the extent that such payment or benefit is payable upon Executive’s termination of employment, then such payments or benefits shall be payable only upon Executive’s “separation from service.” The determination of whether and when a separation from service has occurred shall be made in accordance with the presumptions set forth in Treasury Regulation Section 1.409A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1(h).</w:t>
      </w:r>
    </w:p>
    <w:p>
      <w:pPr>
        <w:spacing w:after="0" w:line="146" w:lineRule="exact"/>
        <w:rPr>
          <w:rFonts w:ascii="Times New Roman" w:cs="Times New Roman" w:eastAsia="Times New Roman" w:hAnsi="Times New Roman"/>
          <w:sz w:val="22"/>
          <w:szCs w:val="22"/>
          <w:color w:val="auto"/>
        </w:rPr>
      </w:pPr>
    </w:p>
    <w:p>
      <w:pPr>
        <w:ind w:firstLine="1505"/>
        <w:spacing w:after="0" w:line="249" w:lineRule="exact"/>
        <w:tabs>
          <w:tab w:leader="none" w:pos="2037" w:val="left"/>
        </w:tabs>
        <w:numPr>
          <w:ilvl w:val="0"/>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intend that this Agreement will be administered in a manner not intended to violate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 1.409A</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2(b)(2). Any such payment that may be excluded from Section 409A either as separation pay due to an involuntary separation from service or as a short-term deferral (each as described in Treasury regulations issued under Section 409A) shall be excluded from Section 409A to the greatest extent possible.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179" w:lineRule="exact"/>
        <w:rPr>
          <w:rFonts w:ascii="Times New Roman" w:cs="Times New Roman" w:eastAsia="Times New Roman" w:hAnsi="Times New Roman"/>
          <w:sz w:val="20"/>
          <w:szCs w:val="20"/>
          <w:color w:val="auto"/>
        </w:rPr>
      </w:pPr>
    </w:p>
    <w:p>
      <w:pPr>
        <w:ind w:right="240" w:firstLine="1505"/>
        <w:spacing w:after="0" w:line="244" w:lineRule="auto"/>
        <w:tabs>
          <w:tab w:leader="none" w:pos="2037" w:val="left"/>
        </w:tabs>
        <w:numPr>
          <w:ilvl w:val="0"/>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makes no representation or warranty and shall have no liability to Executive or any other person if any provisions of this Agreement are determined to constitute deferred compensation subject to Section 409A of the Code but do not satisfy an exemption from, or the conditions of, such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1449705</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309" w:name="page310"/>
    <w:bookmarkEnd w:id="309"/>
    <w:p>
      <w:pPr>
        <w:ind w:left="263" w:hanging="263"/>
        <w:spacing w:after="0"/>
        <w:tabs>
          <w:tab w:leader="none" w:pos="263" w:val="left"/>
        </w:tabs>
        <w:numPr>
          <w:ilvl w:val="0"/>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Continuing Obligations</w:t>
      </w:r>
      <w:r>
        <w:rPr>
          <w:rFonts w:ascii="Times New Roman" w:cs="Times New Roman" w:eastAsia="Times New Roman" w:hAnsi="Times New Roman"/>
          <w:sz w:val="22"/>
          <w:szCs w:val="22"/>
          <w:color w:val="auto"/>
        </w:rPr>
        <w:t>.</w:t>
      </w:r>
    </w:p>
    <w:p>
      <w:pPr>
        <w:spacing w:after="0" w:line="205" w:lineRule="exact"/>
        <w:rPr>
          <w:rFonts w:ascii="Times New Roman" w:cs="Times New Roman" w:eastAsia="Times New Roman" w:hAnsi="Times New Roman"/>
          <w:sz w:val="22"/>
          <w:szCs w:val="22"/>
          <w:color w:val="auto"/>
        </w:rPr>
      </w:pPr>
    </w:p>
    <w:p>
      <w:pPr>
        <w:ind w:left="-757" w:firstLine="1505"/>
        <w:spacing w:after="0" w:line="236" w:lineRule="auto"/>
        <w:tabs>
          <w:tab w:leader="none" w:pos="1280" w:val="left"/>
        </w:tabs>
        <w:numPr>
          <w:ilvl w:val="1"/>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PIIA Agreement</w:t>
      </w:r>
      <w:r>
        <w:rPr>
          <w:rFonts w:ascii="Times New Roman" w:cs="Times New Roman" w:eastAsia="Times New Roman" w:hAnsi="Times New Roman"/>
          <w:sz w:val="22"/>
          <w:szCs w:val="22"/>
          <w:color w:val="auto"/>
        </w:rPr>
        <w:t>. As a condition of entering into this Agreement, Executive agrees to execute and deliver, on or before the Effective Date, the PIIA Agreement, which is attached hereto as Appendix C. This PIIA Agreement shall supersede the restrictive covenants agreement that Executive entered into upon commencement of Executive’s employment pursuant to the Offer Letter. For purposes of this Agreement, the obligations in this Section 9 and those that arise in the PIIA Agreement and any other agreement relating to confidentiality, assignment of inventions, or other restrictive covenants that may later be agreed to by Executive shall collectively be referred to as the “</w:t>
      </w:r>
      <w:r>
        <w:rPr>
          <w:rFonts w:ascii="Times New Roman" w:cs="Times New Roman" w:eastAsia="Times New Roman" w:hAnsi="Times New Roman"/>
          <w:sz w:val="22"/>
          <w:szCs w:val="22"/>
          <w:b w:val="1"/>
          <w:bCs w:val="1"/>
          <w:i w:val="1"/>
          <w:iCs w:val="1"/>
          <w:u w:val="single" w:color="auto"/>
          <w:color w:val="auto"/>
        </w:rPr>
        <w:t>Continuing Obligations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757" w:right="80" w:firstLine="1505"/>
        <w:spacing w:after="0" w:line="234" w:lineRule="auto"/>
        <w:tabs>
          <w:tab w:leader="none" w:pos="1280" w:val="left"/>
        </w:tabs>
        <w:numPr>
          <w:ilvl w:val="1"/>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Third-Party Agreements and Rights</w:t>
      </w:r>
      <w:r>
        <w:rPr>
          <w:rFonts w:ascii="Times New Roman" w:cs="Times New Roman" w:eastAsia="Times New Roman" w:hAnsi="Times New Roman"/>
          <w:sz w:val="22"/>
          <w:szCs w:val="22"/>
          <w:color w:val="auto"/>
        </w:rPr>
        <w:t>. Executive hereby confirms that Executive is not bound by the terms of any agreement with any previous employer or other party which restricts in any way Executive’s use or disclosure of information, other than confidentiality restrictions (if any), or Executive’s engagement in any business. Executive represents to the Company that Executive’s execution of this Agreement to be effective as of the Effective Date, Executive’s employment with the Company and the performance of Executive’s proposed duties for the Company will not violate any obligations Executive may have to any such previous employer or other party. In Executive’s work for the Company, Executive will not disclose or make use of any information in violation of any agreements with or rights of any such previous employer or other party, and Executive will not bring to the premises of the Company any copies or other tangible embodiments of non-public information belonging to or obtained from any such previous employment or other party.</w:t>
      </w:r>
    </w:p>
    <w:p>
      <w:pPr>
        <w:spacing w:after="0" w:line="180" w:lineRule="exact"/>
        <w:rPr>
          <w:rFonts w:ascii="Times New Roman" w:cs="Times New Roman" w:eastAsia="Times New Roman" w:hAnsi="Times New Roman"/>
          <w:sz w:val="22"/>
          <w:szCs w:val="22"/>
          <w:color w:val="auto"/>
        </w:rPr>
      </w:pPr>
    </w:p>
    <w:p>
      <w:pPr>
        <w:ind w:left="-757" w:right="140" w:firstLine="1505"/>
        <w:spacing w:after="0" w:line="247" w:lineRule="exact"/>
        <w:tabs>
          <w:tab w:leader="none" w:pos="1280" w:val="left"/>
        </w:tabs>
        <w:numPr>
          <w:ilvl w:val="1"/>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Litigation and Regulatory Cooperation</w:t>
      </w:r>
      <w:r>
        <w:rPr>
          <w:rFonts w:ascii="Times New Roman" w:cs="Times New Roman" w:eastAsia="Times New Roman" w:hAnsi="Times New Roman"/>
          <w:sz w:val="22"/>
          <w:szCs w:val="22"/>
          <w:color w:val="auto"/>
        </w:rPr>
        <w:t>. During and after Executive’s employment, Executive shall cooperate fully with the Company in (i) the defense or prosecution of any claims or actions now in existence or which may be brought in the future against or on behalf of the Company which relate to events or occurrences that transpired while Executive was employed by the Company, and (ii) the investigation, whether internal or external, of any matters about which the Company believes Executive may have knowledge or information. Executive’s full cooperation in connection with such claims, actions or investigations shall include, but not be limited to, being available to meet with counsel upon reasonable notice to answer questions or to prepare for discovery or trial and to act as a witness on behalf of the Company at mutually convenient times. During and after Executive’s employment, Executive also shall cooperate fully with the Company in connection with any investigation or review of any federal, state or local regulatory authority as any such investigation or review relates to events or occurrences that transpired while Executive was employed by the Company. The Company shall reimburse Executive for any reasonable out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of</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pocket expenses incurred in connection with Executive’s performance of obligations pursuant to this Section 9(c), which shall be in addition to its obligations to provide indemnification to Executive.</w:t>
      </w:r>
    </w:p>
    <w:p>
      <w:pPr>
        <w:spacing w:after="0" w:line="181" w:lineRule="exact"/>
        <w:rPr>
          <w:rFonts w:ascii="Times New Roman" w:cs="Times New Roman" w:eastAsia="Times New Roman" w:hAnsi="Times New Roman"/>
          <w:sz w:val="22"/>
          <w:szCs w:val="22"/>
          <w:color w:val="auto"/>
        </w:rPr>
      </w:pPr>
    </w:p>
    <w:p>
      <w:pPr>
        <w:ind w:left="-757" w:right="280" w:firstLine="1505"/>
        <w:spacing w:after="0" w:line="244" w:lineRule="auto"/>
        <w:tabs>
          <w:tab w:leader="none" w:pos="1280" w:val="left"/>
        </w:tabs>
        <w:numPr>
          <w:ilvl w:val="1"/>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Non-Disparagement</w:t>
      </w:r>
      <w:r>
        <w:rPr>
          <w:rFonts w:ascii="Times New Roman" w:cs="Times New Roman" w:eastAsia="Times New Roman" w:hAnsi="Times New Roman"/>
          <w:sz w:val="22"/>
          <w:szCs w:val="22"/>
          <w:color w:val="auto"/>
        </w:rPr>
        <w:t>. Executive agrees not to disparage the Company, and/or the Company’s attorneys, directors, managers, partners, employees, agents and affiliates, in any manner likely to be harmful to them or their business, business reputation or personal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1449705</wp:posOffset>
            </wp:positionV>
            <wp:extent cx="715772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1495425</wp:posOffset>
            </wp:positionH>
            <wp:positionV relativeFrom="paragraph">
              <wp:posOffset>-5215255</wp:posOffset>
            </wp:positionV>
            <wp:extent cx="3429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6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ectPr>
          <w:pgSz w:w="11900" w:h="16838" w:orient="portrait"/>
          <w:cols w:equalWidth="0" w:num="1">
            <w:col w:w="10483"/>
          </w:cols>
          <w:pgMar w:left="1077" w:top="1406" w:right="339" w:bottom="1440" w:gutter="0" w:footer="0" w:header="0"/>
        </w:sectPr>
      </w:pPr>
    </w:p>
    <w:bookmarkStart w:id="310" w:name="page311"/>
    <w:bookmarkEnd w:id="310"/>
    <w:p>
      <w:pPr>
        <w:ind w:right="80"/>
        <w:spacing w:after="0" w:line="239" w:lineRule="auto"/>
        <w:rPr>
          <w:sz w:val="20"/>
          <w:szCs w:val="20"/>
          <w:color w:val="auto"/>
        </w:rPr>
      </w:pPr>
      <w:r>
        <w:rPr>
          <w:rFonts w:ascii="Times New Roman" w:cs="Times New Roman" w:eastAsia="Times New Roman" w:hAnsi="Times New Roman"/>
          <w:sz w:val="22"/>
          <w:szCs w:val="22"/>
          <w:color w:val="auto"/>
        </w:rPr>
        <w:t>reputation; provided that Executive may respond accurately and fully to any question, inquiry or request for information when required by legal process. Executive further agrees to delete or otherwise remove any and all disparaging public comments or statements that Executive made about or relating to the Company, including, but not limited to, comments in online forums or on websites (including, but not limited to, Facebook, Glassdoor, Yelp, and LinkedIn), as applicable.</w:t>
      </w:r>
    </w:p>
    <w:p>
      <w:pPr>
        <w:spacing w:after="0" w:line="179" w:lineRule="exact"/>
        <w:rPr>
          <w:sz w:val="20"/>
          <w:szCs w:val="20"/>
          <w:color w:val="auto"/>
        </w:rPr>
      </w:pPr>
    </w:p>
    <w:p>
      <w:pPr>
        <w:ind w:right="40" w:firstLine="1505"/>
        <w:spacing w:after="0" w:line="236" w:lineRule="auto"/>
        <w:tabs>
          <w:tab w:leader="none" w:pos="2037" w:val="left"/>
        </w:tabs>
        <w:numPr>
          <w:ilvl w:val="0"/>
          <w:numId w:val="2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Relief</w:t>
      </w:r>
      <w:r>
        <w:rPr>
          <w:rFonts w:ascii="Times New Roman" w:cs="Times New Roman" w:eastAsia="Times New Roman" w:hAnsi="Times New Roman"/>
          <w:sz w:val="22"/>
          <w:szCs w:val="22"/>
          <w:color w:val="auto"/>
        </w:rPr>
        <w:t>. Executive agrees that it would be difficult to measure any damages caused to the Company which might result from any breach by Executive of the Continuing Obligations, and that in any event monetary damages would be an inadequate remedy for any such breach. Accordingly</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Executive agrees that if Executive breaches, or proposes to breach, any portion of the Continuing Obligations, the Company shall be entitled, in addition to all other remedies that it may have, to an injunction or other appropriate equitable relief to restrain any such breach without showing or proving any actual damage to the Company.</w:t>
      </w:r>
    </w:p>
    <w:p>
      <w:pPr>
        <w:spacing w:after="0" w:line="179" w:lineRule="exact"/>
        <w:rPr>
          <w:sz w:val="20"/>
          <w:szCs w:val="20"/>
          <w:color w:val="auto"/>
        </w:rPr>
      </w:pPr>
    </w:p>
    <w:p>
      <w:pPr>
        <w:ind w:firstLine="749"/>
        <w:spacing w:after="0" w:line="239" w:lineRule="auto"/>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u w:val="single" w:color="auto"/>
          <w:color w:val="auto"/>
        </w:rPr>
        <w:t>Consent to Jurisdiction</w:t>
      </w:r>
      <w:r>
        <w:rPr>
          <w:rFonts w:ascii="Times New Roman" w:cs="Times New Roman" w:eastAsia="Times New Roman" w:hAnsi="Times New Roman"/>
          <w:sz w:val="22"/>
          <w:szCs w:val="22"/>
          <w:color w:val="auto"/>
        </w:rPr>
        <w:t>. The parties hereby consent to the jurisdiction of the state and federal courts of Connecticut in connection with any court action relating to this Agreement. Accordingly, with respect to any such court action, Executive (a) submits to the exclusive personal jurisdiction of such courts; (b) consents to service of process; and (c) waives any other requirement (whether imposed by statute, rule of court, or otherwise) with respect to personal jurisdiction or service of process.</w:t>
      </w:r>
    </w:p>
    <w:p>
      <w:pPr>
        <w:spacing w:after="0" w:line="179" w:lineRule="exact"/>
        <w:rPr>
          <w:sz w:val="20"/>
          <w:szCs w:val="20"/>
          <w:color w:val="auto"/>
        </w:rPr>
      </w:pPr>
    </w:p>
    <w:p>
      <w:pPr>
        <w:ind w:right="20" w:firstLine="749"/>
        <w:spacing w:after="0" w:line="244" w:lineRule="auto"/>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2"/>
          <w:szCs w:val="22"/>
          <w:u w:val="single" w:color="auto"/>
          <w:color w:val="auto"/>
        </w:rPr>
        <w:t>Integration</w:t>
      </w:r>
      <w:r>
        <w:rPr>
          <w:rFonts w:ascii="Times New Roman" w:cs="Times New Roman" w:eastAsia="Times New Roman" w:hAnsi="Times New Roman"/>
          <w:sz w:val="22"/>
          <w:szCs w:val="22"/>
          <w:color w:val="auto"/>
        </w:rPr>
        <w:t>. This Agreement constitutes the entire agreement between the parties with respect to the subject matter hereof and supersedes all prior agreements between the parties concerning such subject matter</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provided that the PIIA Agreement and the agreements governing any Equity Awards remain in full force and effect.</w:t>
      </w:r>
    </w:p>
    <w:p>
      <w:pPr>
        <w:spacing w:after="0" w:line="172" w:lineRule="exact"/>
        <w:rPr>
          <w:sz w:val="20"/>
          <w:szCs w:val="20"/>
          <w:color w:val="auto"/>
        </w:rPr>
      </w:pPr>
    </w:p>
    <w:p>
      <w:pPr>
        <w:ind w:right="80" w:firstLine="749"/>
        <w:spacing w:after="0" w:line="239" w:lineRule="auto"/>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u w:val="single" w:color="auto"/>
          <w:color w:val="auto"/>
        </w:rPr>
        <w:t>Withholding; Tax Effect</w:t>
      </w:r>
      <w:r>
        <w:rPr>
          <w:rFonts w:ascii="Times New Roman" w:cs="Times New Roman" w:eastAsia="Times New Roman" w:hAnsi="Times New Roman"/>
          <w:sz w:val="22"/>
          <w:szCs w:val="22"/>
          <w:color w:val="auto"/>
        </w:rPr>
        <w:t>. All payments made by the Company to Executive under this Agreement shall be net of any tax or other amounts required to be withheld by the Company under applicable law. Nothing in this Agreement shall be construed to require the Company to make any payments to compensate Executive for any adverse tax effect associated with any payments or benefits or for any deduction or withholding from any payment or benefit.</w:t>
      </w:r>
    </w:p>
    <w:p>
      <w:pPr>
        <w:spacing w:after="0" w:line="179" w:lineRule="exact"/>
        <w:rPr>
          <w:sz w:val="20"/>
          <w:szCs w:val="20"/>
          <w:color w:val="auto"/>
        </w:rPr>
      </w:pPr>
    </w:p>
    <w:p>
      <w:pPr>
        <w:ind w:firstLine="749"/>
        <w:spacing w:after="0" w:line="234" w:lineRule="auto"/>
        <w:rPr>
          <w:sz w:val="20"/>
          <w:szCs w:val="20"/>
          <w:color w:val="auto"/>
        </w:rPr>
      </w:pPr>
      <w:r>
        <w:rPr>
          <w:rFonts w:ascii="Times New Roman" w:cs="Times New Roman" w:eastAsia="Times New Roman" w:hAnsi="Times New Roman"/>
          <w:sz w:val="22"/>
          <w:szCs w:val="22"/>
          <w:color w:val="auto"/>
        </w:rPr>
        <w:t>13.</w:t>
      </w: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This Agreement will be binding upon and inure to the benefit of (a) the heirs, executors, and legal representatives of Executive upon Executive’s death as well as any beneficiaries duly designated by Executive prior to death in accordance with the terms hereof, and (b) any successor of the Company. Any such successor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 The Company shall require its respective successors to expressly assume and agree to perform this Agreement in the same manner and to the same extent that the Company would be required to perform it if no such succession had taken place. Notwithstanding the foregoing, the Company shall remain, with such successor, jointly and severally liable for all of their obligations hereunder. Except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1454785</wp:posOffset>
            </wp:positionV>
            <wp:extent cx="71577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6" w:right="359" w:bottom="1440" w:gutter="0" w:footer="0" w:header="0"/>
        </w:sectPr>
      </w:pPr>
    </w:p>
    <w:bookmarkStart w:id="311" w:name="page312"/>
    <w:bookmarkEnd w:id="311"/>
    <w:p>
      <w:pPr>
        <w:ind w:right="60"/>
        <w:spacing w:after="0" w:line="233" w:lineRule="auto"/>
        <w:rPr>
          <w:sz w:val="20"/>
          <w:szCs w:val="20"/>
          <w:color w:val="auto"/>
        </w:rPr>
      </w:pPr>
      <w:r>
        <w:rPr>
          <w:rFonts w:ascii="Times New Roman" w:cs="Times New Roman" w:eastAsia="Times New Roman" w:hAnsi="Times New Roman"/>
          <w:sz w:val="22"/>
          <w:szCs w:val="22"/>
          <w:color w:val="auto"/>
        </w:rPr>
        <w:t>herein provided, this Agreement may not otherwise be assigned by the Company and any attempted assignment in contravention hereof will be null and void. In the event of Executive’s death after Executive’s termination of employment but prior to the completion by the Company of all payments due to Executive under this Agreement, the Company shall continue such payments to Executive’s beneficiary designated in writing to the Company prior to Executive’s death (or to Executive’s estate, if Executive fails to make such designation). Executive may designate one or more persons or entities as the primary or contingent beneficiaries of any amounts to be received under this Agreement. Such designation must be in the form of a signed writing reasonably acceptable to the Board or the Board’s designee. Executive may make or change such designation at any time. Except as approved by the Board or the Board’s designee, none of the rights of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spacing w:after="0" w:line="184" w:lineRule="exact"/>
        <w:rPr>
          <w:sz w:val="20"/>
          <w:szCs w:val="20"/>
          <w:color w:val="auto"/>
        </w:rPr>
      </w:pPr>
    </w:p>
    <w:p>
      <w:pPr>
        <w:ind w:right="80" w:firstLine="749"/>
        <w:spacing w:after="0" w:line="237" w:lineRule="auto"/>
        <w:rPr>
          <w:sz w:val="20"/>
          <w:szCs w:val="20"/>
          <w:color w:val="auto"/>
        </w:rPr>
      </w:pPr>
      <w:r>
        <w:rPr>
          <w:rFonts w:ascii="Times New Roman" w:cs="Times New Roman" w:eastAsia="Times New Roman" w:hAnsi="Times New Roman"/>
          <w:sz w:val="22"/>
          <w:szCs w:val="22"/>
          <w:color w:val="auto"/>
        </w:rPr>
        <w:t>14.</w:t>
      </w:r>
      <w:r>
        <w:rPr>
          <w:rFonts w:ascii="Times New Roman" w:cs="Times New Roman" w:eastAsia="Times New Roman" w:hAnsi="Times New Roman"/>
          <w:sz w:val="22"/>
          <w:szCs w:val="22"/>
          <w:u w:val="single" w:color="auto"/>
          <w:color w:val="auto"/>
        </w:rPr>
        <w:t>Enforceability</w:t>
      </w:r>
      <w:r>
        <w:rPr>
          <w:rFonts w:ascii="Times New Roman" w:cs="Times New Roman" w:eastAsia="Times New Roman" w:hAnsi="Times New Roman"/>
          <w:sz w:val="22"/>
          <w:szCs w:val="22"/>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80" w:lineRule="exact"/>
        <w:rPr>
          <w:sz w:val="20"/>
          <w:szCs w:val="20"/>
          <w:color w:val="auto"/>
        </w:rPr>
      </w:pPr>
    </w:p>
    <w:p>
      <w:pPr>
        <w:ind w:right="40" w:firstLine="749"/>
        <w:spacing w:after="0" w:line="239" w:lineRule="auto"/>
        <w:rPr>
          <w:sz w:val="20"/>
          <w:szCs w:val="20"/>
          <w:color w:val="auto"/>
        </w:rPr>
      </w:pPr>
      <w:r>
        <w:rPr>
          <w:rFonts w:ascii="Times New Roman" w:cs="Times New Roman" w:eastAsia="Times New Roman" w:hAnsi="Times New Roman"/>
          <w:sz w:val="22"/>
          <w:szCs w:val="22"/>
          <w:color w:val="auto"/>
        </w:rPr>
        <w:t>15.</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The provisions of this Agreement shall survive the termination of this Agreement and/or the termination of Executive’s employment to the extent necessary to effectuate the terms contained herein, including but not limited to the Company’s obligation to make severance payments or provide indemnification and Executive’s obligations to comply with the Continuing Obligations.</w:t>
      </w:r>
    </w:p>
    <w:p>
      <w:pPr>
        <w:spacing w:after="0" w:line="179"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16.</w:t>
      </w: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179" w:lineRule="exact"/>
        <w:rPr>
          <w:sz w:val="20"/>
          <w:szCs w:val="20"/>
          <w:color w:val="auto"/>
        </w:rPr>
      </w:pPr>
    </w:p>
    <w:p>
      <w:pPr>
        <w:ind w:firstLine="749"/>
        <w:spacing w:after="0" w:line="236" w:lineRule="auto"/>
        <w:rPr>
          <w:sz w:val="20"/>
          <w:szCs w:val="20"/>
          <w:color w:val="auto"/>
        </w:rPr>
      </w:pPr>
      <w:r>
        <w:rPr>
          <w:rFonts w:ascii="Times New Roman" w:cs="Times New Roman" w:eastAsia="Times New Roman" w:hAnsi="Times New Roman"/>
          <w:sz w:val="22"/>
          <w:szCs w:val="22"/>
          <w:color w:val="auto"/>
        </w:rPr>
        <w:t>17.</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notices, requests, demands and other communications provided for by this Agreement shall be sufficient if in writing and (i) delivered in person, (ii) sent by a nationally recognized overnight courier service or by registered or certified mail, postage prepaid, return receipt requested, to Executive at the last address Executive has filed in writing with the Company or, in the case of the Company, at its main offices, attention of the Chief Legal Officer or (iii) sent via email to Executive at Executive’s Company email address or, in the case of the Company, to the CEO’s or Chief Legal Officer’s Company 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1454150</wp:posOffset>
            </wp:positionV>
            <wp:extent cx="715772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7" w:right="379" w:bottom="1440" w:gutter="0" w:footer="0" w:header="0"/>
        </w:sectPr>
      </w:pPr>
    </w:p>
    <w:bookmarkStart w:id="312" w:name="page313"/>
    <w:bookmarkEnd w:id="312"/>
    <w:p>
      <w:pPr>
        <w:ind w:right="20" w:firstLine="749"/>
        <w:spacing w:after="0" w:line="258" w:lineRule="auto"/>
        <w:rPr>
          <w:sz w:val="20"/>
          <w:szCs w:val="20"/>
          <w:color w:val="auto"/>
        </w:rPr>
      </w:pPr>
      <w:r>
        <w:rPr>
          <w:rFonts w:ascii="Times New Roman" w:cs="Times New Roman" w:eastAsia="Times New Roman" w:hAnsi="Times New Roman"/>
          <w:sz w:val="22"/>
          <w:szCs w:val="22"/>
          <w:color w:val="auto"/>
        </w:rPr>
        <w:t>18.</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This Agreement may be amended or modified only by a written instrument signed by Executive and by a duly authorized representative of the Company.</w:t>
      </w:r>
    </w:p>
    <w:p>
      <w:pPr>
        <w:spacing w:after="0" w:line="157" w:lineRule="exact"/>
        <w:rPr>
          <w:sz w:val="20"/>
          <w:szCs w:val="20"/>
          <w:color w:val="auto"/>
        </w:rPr>
      </w:pPr>
    </w:p>
    <w:p>
      <w:pPr>
        <w:ind w:firstLine="749"/>
        <w:spacing w:after="0" w:line="232" w:lineRule="auto"/>
        <w:rPr>
          <w:sz w:val="20"/>
          <w:szCs w:val="20"/>
          <w:color w:val="auto"/>
        </w:rPr>
      </w:pPr>
      <w:r>
        <w:rPr>
          <w:rFonts w:ascii="Times New Roman" w:cs="Times New Roman" w:eastAsia="Times New Roman" w:hAnsi="Times New Roman"/>
          <w:sz w:val="22"/>
          <w:szCs w:val="22"/>
          <w:color w:val="auto"/>
        </w:rPr>
        <w:t>19.</w:t>
      </w: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The Company will (i) indemnify Executive with respect to claims arising out of any action taken or not taken in Executive’s capacity as an officer or employee of the Company or its subsidiaries; provided, that Executive acted in good faith and in a manner that Executive reasonably believed to be in or not opposed to the best interests of the Company and, with respect to any criminal action or proceeding, had no reasonable cause to believe that Executive’s conduct was unlawful, (ii) advance to Executive all reasonable and documented out of pocket costs and expenses incurred by Executive in connection with the foregoing clause (i), including but not limited to attorneys’ fees, and (iii) provide for Executive to be covered by D&amp;O insurance, with respect to clauses (i) and (ii), on the same terms as are made available to the CEO and/or members of the Board, as applicable; provided that, this Agreement constitutes an undertaking that amounts advanced under clause (ii) shall be promptly repaid to the Company by Executive if it shall ultimately be determined that Executive is not entitled to be indemnified by the Company pursuant to this Section 19. Nothing herein shall limit any right that Executive may have in respect of indemnification, advancement or liability insurance coverage under any other policy, plan, contract or arrangement of the Company or its subsidiaries or under applicable law with respect to his or her services as an officer or employee for the Company or its subsidiaries, and the Company shall not change any right to such indemnification or advancement with respect to Executive after his or her termination of employment.</w:t>
      </w:r>
    </w:p>
    <w:p>
      <w:pPr>
        <w:spacing w:after="0" w:line="190" w:lineRule="exact"/>
        <w:rPr>
          <w:sz w:val="20"/>
          <w:szCs w:val="20"/>
          <w:color w:val="auto"/>
        </w:rPr>
      </w:pPr>
    </w:p>
    <w:p>
      <w:pPr>
        <w:ind w:right="260" w:firstLine="749"/>
        <w:spacing w:after="0" w:line="237" w:lineRule="auto"/>
        <w:rPr>
          <w:sz w:val="20"/>
          <w:szCs w:val="20"/>
          <w:color w:val="auto"/>
        </w:rPr>
      </w:pPr>
      <w:r>
        <w:rPr>
          <w:rFonts w:ascii="Times New Roman" w:cs="Times New Roman" w:eastAsia="Times New Roman" w:hAnsi="Times New Roman"/>
          <w:sz w:val="22"/>
          <w:szCs w:val="22"/>
          <w:color w:val="auto"/>
        </w:rPr>
        <w:t>20.</w:t>
      </w:r>
      <w:r>
        <w:rPr>
          <w:rFonts w:ascii="Times New Roman" w:cs="Times New Roman" w:eastAsia="Times New Roman" w:hAnsi="Times New Roman"/>
          <w:sz w:val="22"/>
          <w:szCs w:val="22"/>
          <w:u w:val="single" w:color="auto"/>
          <w:color w:val="auto"/>
        </w:rPr>
        <w:t>No Mitigation; Offset</w:t>
      </w:r>
      <w:r>
        <w:rPr>
          <w:rFonts w:ascii="Times New Roman" w:cs="Times New Roman" w:eastAsia="Times New Roman" w:hAnsi="Times New Roman"/>
          <w:sz w:val="22"/>
          <w:szCs w:val="22"/>
          <w:color w:val="auto"/>
        </w:rPr>
        <w:t>. In the event of any termination of employment and service hereunder, Executive shall be under no obligation to seek other employment, and there shall be no offset against any amounts due Executive under this Agreement on account of any remuneration attributable to any subsequent employment that Executive may obtain. The preceding sentence shall not limit the Company’s right to enforce the termination provisions set forth in Section 4 above or the repayment or recoupment provisions in Section 22(d) and Section 23 below.</w:t>
      </w:r>
    </w:p>
    <w:p>
      <w:pPr>
        <w:spacing w:after="0" w:line="180" w:lineRule="exact"/>
        <w:rPr>
          <w:sz w:val="20"/>
          <w:szCs w:val="20"/>
          <w:color w:val="auto"/>
        </w:rPr>
      </w:pPr>
    </w:p>
    <w:p>
      <w:pPr>
        <w:ind w:firstLine="749"/>
        <w:spacing w:after="0" w:line="234" w:lineRule="auto"/>
        <w:rPr>
          <w:sz w:val="20"/>
          <w:szCs w:val="20"/>
          <w:color w:val="auto"/>
        </w:rPr>
      </w:pPr>
      <w:r>
        <w:rPr>
          <w:rFonts w:ascii="Times New Roman" w:cs="Times New Roman" w:eastAsia="Times New Roman" w:hAnsi="Times New Roman"/>
          <w:sz w:val="22"/>
          <w:szCs w:val="22"/>
          <w:color w:val="auto"/>
        </w:rPr>
        <w:t>21.</w:t>
      </w:r>
      <w:r>
        <w:rPr>
          <w:rFonts w:ascii="Times New Roman" w:cs="Times New Roman" w:eastAsia="Times New Roman" w:hAnsi="Times New Roman"/>
          <w:sz w:val="22"/>
          <w:szCs w:val="22"/>
          <w:u w:val="single" w:color="auto"/>
          <w:color w:val="auto"/>
        </w:rPr>
        <w:t>Effect on Other Plans and Agreements</w:t>
      </w:r>
      <w:r>
        <w:rPr>
          <w:rFonts w:ascii="Times New Roman" w:cs="Times New Roman" w:eastAsia="Times New Roman" w:hAnsi="Times New Roman"/>
          <w:sz w:val="22"/>
          <w:szCs w:val="22"/>
          <w:color w:val="auto"/>
        </w:rPr>
        <w:t>. An election by Executive to resign for Good Reason under the provisions of this Agreement shall not be deemed a voluntary termination of employment by Executive for the purpose of interpreting the provisions of any of the Company's benefit plans, programs or policies. Nothing in this Agreement shall be construed to limit the rights of Executive under the Company’s benefit plans, programs or policies except to the extent specifically provided in Section 7 hereof, and except that Executive shall have no rights to continue any severance benefits under any Company severance pay plan, offer letter or otherwise. Except for the PIIA Agreement, in the event that Executive is party to an agreement with the Company providing for payments or benefits under such plan or agreement and under this Agreement, the terms of this Agreement shall govern and Executive may receive payment under this Agreement only and not both. Further, Section 5 and Section 6 of this Agreement are mutually exclusive and in no event shall Executive be entitled to cash severance payments or benefits pursuant to both Section 5 and Section 6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1452245</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7" w:right="379" w:bottom="1440" w:gutter="0" w:footer="0" w:header="0"/>
        </w:sectPr>
      </w:pPr>
    </w:p>
    <w:bookmarkStart w:id="313" w:name="page314"/>
    <w:bookmarkEnd w:id="313"/>
    <w:p>
      <w:pPr>
        <w:ind w:left="760"/>
        <w:spacing w:after="0"/>
        <w:rPr>
          <w:sz w:val="20"/>
          <w:szCs w:val="20"/>
          <w:color w:val="auto"/>
        </w:rPr>
      </w:pPr>
      <w:r>
        <w:rPr>
          <w:rFonts w:ascii="Times New Roman" w:cs="Times New Roman" w:eastAsia="Times New Roman" w:hAnsi="Times New Roman"/>
          <w:sz w:val="22"/>
          <w:szCs w:val="22"/>
          <w:color w:val="auto"/>
        </w:rPr>
        <w:t>22.</w:t>
      </w:r>
      <w:r>
        <w:rPr>
          <w:rFonts w:ascii="Times New Roman" w:cs="Times New Roman" w:eastAsia="Times New Roman" w:hAnsi="Times New Roman"/>
          <w:sz w:val="22"/>
          <w:szCs w:val="22"/>
          <w:u w:val="single" w:color="auto"/>
          <w:color w:val="auto"/>
        </w:rPr>
        <w:t>Governing Law; Venue and Enforcement</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ind w:right="80" w:firstLine="1505"/>
        <w:spacing w:after="0" w:line="237" w:lineRule="auto"/>
        <w:tabs>
          <w:tab w:leader="none" w:pos="2037" w:val="left"/>
        </w:tabs>
        <w:numPr>
          <w:ilvl w:val="0"/>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will be governed by and construed in accordance with applicable federal laws and, to the extent not inconsistent therewith or preempted thereby, with the laws of Connecticut, including any applicable statutes of limitation, without regard to any otherwise applicable principles of conflicts of laws or choice of law rules (whether of the State of Connecticut or any other jurisdiction) that would result in the application of the substantive or procedural rules or law of any other jurisdiction.</w:t>
      </w:r>
    </w:p>
    <w:p>
      <w:pPr>
        <w:spacing w:after="0" w:line="180" w:lineRule="exact"/>
        <w:rPr>
          <w:rFonts w:ascii="Times New Roman" w:cs="Times New Roman" w:eastAsia="Times New Roman" w:hAnsi="Times New Roman"/>
          <w:sz w:val="22"/>
          <w:szCs w:val="22"/>
          <w:color w:val="auto"/>
        </w:rPr>
      </w:pPr>
    </w:p>
    <w:p>
      <w:pPr>
        <w:ind w:firstLine="1505"/>
        <w:spacing w:after="0" w:line="266" w:lineRule="auto"/>
        <w:tabs>
          <w:tab w:leader="none" w:pos="2037" w:val="left"/>
        </w:tabs>
        <w:numPr>
          <w:ilvl w:val="0"/>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agrees that any controversy or claim arising out of or relating to this Agreement or the alleged breach hereof shall be instituted in the United States District Court for the District of Connecticut, or if that court does not have or will not accept jurisdiction, in any court of general jurisdiction in the State of Connecticut, and Executive and the Company hereby consent to the personal and exclusive jurisdiction of such court(s) and hereby waive any objection(s) that any such party may have to personal jurisdiction, the laying of venue of any such proceedings and any claim or defense of inconvenient forum.</w:t>
      </w:r>
    </w:p>
    <w:p>
      <w:pPr>
        <w:spacing w:after="0" w:line="154" w:lineRule="exact"/>
        <w:rPr>
          <w:rFonts w:ascii="Times New Roman" w:cs="Times New Roman" w:eastAsia="Times New Roman" w:hAnsi="Times New Roman"/>
          <w:sz w:val="20"/>
          <w:szCs w:val="20"/>
          <w:color w:val="auto"/>
        </w:rPr>
      </w:pPr>
    </w:p>
    <w:p>
      <w:pPr>
        <w:ind w:right="240" w:firstLine="1505"/>
        <w:spacing w:after="0" w:line="237" w:lineRule="auto"/>
        <w:tabs>
          <w:tab w:leader="none" w:pos="2037" w:val="left"/>
        </w:tabs>
        <w:numPr>
          <w:ilvl w:val="0"/>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award shall be payable to Executive no later than the end of Executive’s first taxable year in which the Company either concedes the amount (or portion of the amount) payable or is required to make payment pursuant to a judgment by a court, and shall include interest on any amounts due and payable to Executive from the date due to the date of payment, calculated at one hundred and ten percent (110%) of the base lending in effect at Citibank, N.A. (or any successor thereto) on the first of each month.</w:t>
      </w:r>
    </w:p>
    <w:p>
      <w:pPr>
        <w:spacing w:after="0" w:line="180" w:lineRule="exact"/>
        <w:rPr>
          <w:rFonts w:ascii="Times New Roman" w:cs="Times New Roman" w:eastAsia="Times New Roman" w:hAnsi="Times New Roman"/>
          <w:sz w:val="22"/>
          <w:szCs w:val="22"/>
          <w:color w:val="auto"/>
        </w:rPr>
      </w:pPr>
    </w:p>
    <w:p>
      <w:pPr>
        <w:ind w:right="160" w:firstLine="1505"/>
        <w:spacing w:after="0" w:line="233" w:lineRule="auto"/>
        <w:tabs>
          <w:tab w:leader="none" w:pos="2037" w:val="left"/>
        </w:tabs>
        <w:numPr>
          <w:ilvl w:val="0"/>
          <w:numId w:val="2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it is necessary or desirable for Executive to retain legal counsel or incur other costs and expenses in connection with the enforcement of any or all of Executive’s rights under this Agreement, the Company shall, within thirty (30) days after receipt of an invoice certifying payment by Executive of such attorney fees, or payment of such other costs and expenses, reimburse Executive’s reasonable attorneys’ fees and costs and such other expenses, including expenses of any expert witnesses, in connection with the enforcement of said rights in an amount not to exceed $100,000; provided, that to the extent (and only to the extent) such expenses are subject to Section 409A, in no event shall any payment of Executive’s fees, costs, and expenses be made after the last day of Executive’s taxable year following the taxable year in which the expense was incurred; provided, further, that Executive shall repay any such advance of fees, costs, and expenses (and no additional advances or reimbursements shall be made) (i) if there is a specific judicial finding that Executive’s request to litigate was frivolous, unreasonable or without foundation; (ii) if it has been finally determined that Executive’s termination of employment for Cause was proper; or (iii) if the Company determines in good faith that as of the date of Executive’s termination of employment and service, grounds for an involuntary termination for Cause had existed.</w:t>
      </w:r>
    </w:p>
    <w:p>
      <w:pPr>
        <w:spacing w:after="0" w:line="181" w:lineRule="exact"/>
        <w:rPr>
          <w:sz w:val="20"/>
          <w:szCs w:val="20"/>
          <w:color w:val="auto"/>
        </w:rPr>
      </w:pPr>
    </w:p>
    <w:p>
      <w:pPr>
        <w:ind w:right="120" w:firstLine="749"/>
        <w:spacing w:after="0" w:line="244" w:lineRule="auto"/>
        <w:rPr>
          <w:sz w:val="20"/>
          <w:szCs w:val="20"/>
          <w:color w:val="auto"/>
        </w:rPr>
      </w:pPr>
      <w:r>
        <w:rPr>
          <w:rFonts w:ascii="Times New Roman" w:cs="Times New Roman" w:eastAsia="Times New Roman" w:hAnsi="Times New Roman"/>
          <w:sz w:val="22"/>
          <w:szCs w:val="22"/>
          <w:color w:val="auto"/>
        </w:rPr>
        <w:t>23.</w:t>
      </w:r>
      <w:r>
        <w:rPr>
          <w:rFonts w:ascii="Times New Roman" w:cs="Times New Roman" w:eastAsia="Times New Roman" w:hAnsi="Times New Roman"/>
          <w:sz w:val="22"/>
          <w:szCs w:val="22"/>
          <w:u w:val="single" w:color="auto"/>
          <w:color w:val="auto"/>
        </w:rPr>
        <w:t>Recoupment</w:t>
      </w:r>
      <w:r>
        <w:rPr>
          <w:rFonts w:ascii="Times New Roman" w:cs="Times New Roman" w:eastAsia="Times New Roman" w:hAnsi="Times New Roman"/>
          <w:sz w:val="22"/>
          <w:szCs w:val="22"/>
          <w:color w:val="auto"/>
        </w:rPr>
        <w:t>. Executive shall be required to repay incentive pay received throughout Executive’s employment to the Company as described in this Section 23, and the Company may offset payments otherwise due and payable under this Agreement by the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1449705</wp:posOffset>
            </wp:positionV>
            <wp:extent cx="7157720"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314" w:name="page315"/>
    <w:bookmarkEnd w:id="314"/>
    <w:p>
      <w:pPr>
        <w:spacing w:after="0" w:line="233" w:lineRule="auto"/>
        <w:rPr>
          <w:sz w:val="20"/>
          <w:szCs w:val="20"/>
          <w:color w:val="auto"/>
        </w:rPr>
      </w:pPr>
      <w:r>
        <w:rPr>
          <w:rFonts w:ascii="Times New Roman" w:cs="Times New Roman" w:eastAsia="Times New Roman" w:hAnsi="Times New Roman"/>
          <w:sz w:val="22"/>
          <w:szCs w:val="22"/>
          <w:color w:val="auto"/>
        </w:rPr>
        <w:t>required to be repaid under this Section 23. Repayment of incentive pay shall be required if, and to the extent that, the Compensation Committee determines, in its sole discretion, that repayment is due on account of a restatement of the Company’s financial statements or otherwise pursuant to any clawback or compensation recoupment policy as may be in effect or amended from time to time) (the “</w:t>
      </w:r>
      <w:r>
        <w:rPr>
          <w:rFonts w:ascii="Times New Roman" w:cs="Times New Roman" w:eastAsia="Times New Roman" w:hAnsi="Times New Roman"/>
          <w:sz w:val="22"/>
          <w:szCs w:val="22"/>
          <w:b w:val="1"/>
          <w:bCs w:val="1"/>
          <w:i w:val="1"/>
          <w:iCs w:val="1"/>
          <w:color w:val="auto"/>
        </w:rPr>
        <w:t>Recoupment Policy</w:t>
      </w:r>
      <w:r>
        <w:rPr>
          <w:rFonts w:ascii="Times New Roman" w:cs="Times New Roman" w:eastAsia="Times New Roman" w:hAnsi="Times New Roman"/>
          <w:sz w:val="22"/>
          <w:szCs w:val="22"/>
          <w:color w:val="auto"/>
        </w:rPr>
        <w:t>”). Where the result of a performance measure was a factor in determining the compensation awarded or paid, but (i) the subsequently-restated performance measure was not the only factor used to determine the compensation awarded or paid, or (ii) the incentive-based compensation is not awarded or paid on a formulaic basis, the Committee will determine in its discretion the amount, if any, by which the payment or award should be reduced or recouped. If the Committee seeks to recover payment of incentive pay as a result of a restatement of the Company’s financial statements or otherwise under the Recoupment Policy, Executive shall pay to the Company, as applicable, (A) all or a portion (as determined by the Committee in its sole discretion) of the amount by which the payment received by Executive exceeds the amount that would have been paid to Executive based on the restated financial statements, or (B) the amount (as determined by the Committee in its sole discretion) to be repaid pursuant to the Recoupment Policy. Nothing in this Section 23 shall preclude the Company (or any other person) from taking any other action.</w:t>
      </w:r>
    </w:p>
    <w:p>
      <w:pPr>
        <w:spacing w:after="0" w:line="178"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22"/>
          <w:szCs w:val="22"/>
          <w:color w:val="auto"/>
        </w:rPr>
        <w:t>24.</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any number of counterparts, each of which when so executed and delivered shall be taken to be an original; but such counterparts shall together constitute one and the same document.</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IN WITNESS WHEREOF, the parties have executed this Agreement effective on the Effective Date.</w:t>
      </w:r>
    </w:p>
    <w:p>
      <w:pPr>
        <w:spacing w:after="0" w:line="20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b w:val="1"/>
          <w:bCs w:val="1"/>
          <w:color w:val="auto"/>
        </w:rPr>
        <w:t>INVIVYD, INC.</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By: /s/ Dave Hering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3369310</wp:posOffset>
            </wp:positionH>
            <wp:positionV relativeFrom="paragraph">
              <wp:posOffset>-13970</wp:posOffset>
            </wp:positionV>
            <wp:extent cx="109601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70">
                      <a:extLst>
                        <a:ext uri="{28A0092B-C50C-407E-A947-70E740481C1C}"/>
                      </a:extLst>
                    </a:blip>
                    <a:srcRect/>
                    <a:stretch>
                      <a:fillRect/>
                    </a:stretch>
                  </pic:blipFill>
                  <pic:spPr bwMode="auto">
                    <a:xfrm>
                      <a:off x="0" y="0"/>
                      <a:ext cx="1096010" cy="8255"/>
                    </a:xfrm>
                    <a:prstGeom prst="rect">
                      <a:avLst/>
                    </a:prstGeom>
                    <a:noFill/>
                  </pic:spPr>
                </pic:pic>
              </a:graphicData>
            </a:graphic>
          </wp:anchor>
        </w:drawing>
      </w:r>
    </w:p>
    <w:p>
      <w:pPr>
        <w:ind w:left="4880"/>
        <w:spacing w:after="0"/>
        <w:rPr>
          <w:sz w:val="20"/>
          <w:szCs w:val="20"/>
          <w:color w:val="auto"/>
        </w:rPr>
      </w:pPr>
      <w:r>
        <w:rPr>
          <w:rFonts w:ascii="Times New Roman" w:cs="Times New Roman" w:eastAsia="Times New Roman" w:hAnsi="Times New Roman"/>
          <w:sz w:val="22"/>
          <w:szCs w:val="22"/>
          <w:color w:val="auto"/>
        </w:rPr>
        <w:t>Its: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3369310</wp:posOffset>
            </wp:positionH>
            <wp:positionV relativeFrom="paragraph">
              <wp:posOffset>-29210</wp:posOffset>
            </wp:positionV>
            <wp:extent cx="136969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71">
                      <a:extLst>
                        <a:ext uri="{28A0092B-C50C-407E-A947-70E740481C1C}"/>
                      </a:extLst>
                    </a:blip>
                    <a:srcRect/>
                    <a:stretch>
                      <a:fillRect/>
                    </a:stretch>
                  </pic:blipFill>
                  <pic:spPr bwMode="auto">
                    <a:xfrm>
                      <a:off x="0" y="0"/>
                      <a:ext cx="13696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JULIE GREEN</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u w:val="single" w:color="auto"/>
          <w:color w:val="auto"/>
        </w:rPr>
        <w:t>/s/ Julie Green</w:t>
      </w:r>
    </w:p>
    <w:p>
      <w:pPr>
        <w:spacing w:after="0" w:line="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w:t>
      </w:r>
    </w:p>
    <w:p>
      <w:pPr>
        <w:ind w:left="488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1472565</wp:posOffset>
            </wp:positionV>
            <wp:extent cx="715772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7" w:right="359" w:bottom="1440" w:gutter="0" w:footer="0" w:header="0"/>
        </w:sectPr>
      </w:pPr>
    </w:p>
    <w:bookmarkStart w:id="315" w:name="page316"/>
    <w:bookmarkEnd w:id="315"/>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Appendix A</w:t>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Outside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1487805</wp:posOffset>
            </wp:positionV>
            <wp:extent cx="715772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3" w:right="1440" w:bottom="1440" w:gutter="0" w:footer="0" w:header="0"/>
        </w:sectPr>
      </w:pPr>
    </w:p>
    <w:bookmarkStart w:id="316" w:name="page317"/>
    <w:bookmarkEnd w:id="316"/>
    <w:p>
      <w:pPr>
        <w:jc w:val="center"/>
        <w:spacing w:after="0"/>
        <w:rPr>
          <w:sz w:val="20"/>
          <w:szCs w:val="20"/>
          <w:color w:val="auto"/>
        </w:rPr>
      </w:pPr>
      <w:r>
        <w:rPr>
          <w:rFonts w:ascii="Times New Roman" w:cs="Times New Roman" w:eastAsia="Times New Roman" w:hAnsi="Times New Roman"/>
          <w:sz w:val="22"/>
          <w:szCs w:val="22"/>
          <w:b w:val="1"/>
          <w:bCs w:val="1"/>
          <w:color w:val="auto"/>
        </w:rPr>
        <w:t>Appendix B</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SEPARATION AGREEMENT</w:t>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[Date]</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 Separation Agreement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[Name]:</w:t>
      </w:r>
    </w:p>
    <w:p>
      <w:pPr>
        <w:spacing w:after="0" w:line="205" w:lineRule="exact"/>
        <w:rPr>
          <w:sz w:val="20"/>
          <w:szCs w:val="20"/>
          <w:color w:val="auto"/>
        </w:rPr>
      </w:pPr>
    </w:p>
    <w:p>
      <w:pPr>
        <w:ind w:right="700"/>
        <w:spacing w:after="0" w:line="258" w:lineRule="auto"/>
        <w:rPr>
          <w:sz w:val="20"/>
          <w:szCs w:val="20"/>
          <w:color w:val="auto"/>
        </w:rPr>
      </w:pPr>
      <w:r>
        <w:rPr>
          <w:rFonts w:ascii="Times New Roman" w:cs="Times New Roman" w:eastAsia="Times New Roman" w:hAnsi="Times New Roman"/>
          <w:sz w:val="22"/>
          <w:szCs w:val="22"/>
          <w:color w:val="auto"/>
        </w:rPr>
        <w:t>This letter sets forth the substance of the separation agreement (the “Agreement”) which Invivyd, Inc. (the “Company”) is offering to you to aid in your employment transition.</w:t>
      </w:r>
    </w:p>
    <w:p>
      <w:pPr>
        <w:spacing w:after="0" w:line="153" w:lineRule="exact"/>
        <w:rPr>
          <w:sz w:val="20"/>
          <w:szCs w:val="20"/>
          <w:color w:val="auto"/>
        </w:rPr>
      </w:pPr>
    </w:p>
    <w:p>
      <w:pPr>
        <w:ind w:firstLine="8"/>
        <w:spacing w:after="0" w:line="261" w:lineRule="auto"/>
        <w:tabs>
          <w:tab w:leader="none" w:pos="509" w:val="left"/>
        </w:tabs>
        <w:numPr>
          <w:ilvl w:val="0"/>
          <w:numId w:val="2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Separation. </w:t>
      </w:r>
      <w:r>
        <w:rPr>
          <w:rFonts w:ascii="Times New Roman" w:cs="Times New Roman" w:eastAsia="Times New Roman" w:hAnsi="Times New Roman"/>
          <w:sz w:val="22"/>
          <w:szCs w:val="22"/>
          <w:color w:val="auto"/>
        </w:rPr>
        <w:t>Your last day of work with the Company and your employment termination date will be [Date]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“Separation Date”).</w:t>
      </w:r>
    </w:p>
    <w:p>
      <w:pPr>
        <w:spacing w:after="0" w:line="150" w:lineRule="exact"/>
        <w:rPr>
          <w:rFonts w:ascii="Times New Roman" w:cs="Times New Roman" w:eastAsia="Times New Roman" w:hAnsi="Times New Roman"/>
          <w:sz w:val="22"/>
          <w:szCs w:val="22"/>
          <w:b w:val="1"/>
          <w:bCs w:val="1"/>
          <w:color w:val="auto"/>
        </w:rPr>
      </w:pPr>
    </w:p>
    <w:p>
      <w:pPr>
        <w:jc w:val="both"/>
        <w:ind w:firstLine="8"/>
        <w:spacing w:after="0" w:line="246" w:lineRule="auto"/>
        <w:tabs>
          <w:tab w:leader="none" w:pos="509" w:val="left"/>
        </w:tabs>
        <w:numPr>
          <w:ilvl w:val="0"/>
          <w:numId w:val="2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Accrued Salary. </w:t>
      </w:r>
      <w:r>
        <w:rPr>
          <w:rFonts w:ascii="Times New Roman" w:cs="Times New Roman" w:eastAsia="Times New Roman" w:hAnsi="Times New Roman"/>
          <w:sz w:val="22"/>
          <w:szCs w:val="22"/>
          <w:color w:val="auto"/>
        </w:rPr>
        <w:t>On the Separation Date, the Company will pay you all accrued salary earned through the Separation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standard payroll deductions and withholdings. You will receive these payments regardless of whether or not you sign this Agreement.</w:t>
      </w:r>
    </w:p>
    <w:p>
      <w:pPr>
        <w:spacing w:after="0" w:line="165" w:lineRule="exact"/>
        <w:rPr>
          <w:rFonts w:ascii="Times New Roman" w:cs="Times New Roman" w:eastAsia="Times New Roman" w:hAnsi="Times New Roman"/>
          <w:sz w:val="22"/>
          <w:szCs w:val="22"/>
          <w:b w:val="1"/>
          <w:bCs w:val="1"/>
          <w:color w:val="auto"/>
        </w:rPr>
      </w:pPr>
    </w:p>
    <w:p>
      <w:pPr>
        <w:ind w:firstLine="8"/>
        <w:spacing w:after="0" w:line="261" w:lineRule="auto"/>
        <w:tabs>
          <w:tab w:leader="none" w:pos="509" w:val="left"/>
        </w:tabs>
        <w:numPr>
          <w:ilvl w:val="0"/>
          <w:numId w:val="2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Severance Benefits. </w:t>
      </w:r>
      <w:r>
        <w:rPr>
          <w:rFonts w:ascii="Times New Roman" w:cs="Times New Roman" w:eastAsia="Times New Roman" w:hAnsi="Times New Roman"/>
          <w:sz w:val="22"/>
          <w:szCs w:val="22"/>
          <w:color w:val="auto"/>
        </w:rPr>
        <w:t>If you execute and do not revoke this Agreement set forth below in Section 13, the Company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 you with the following Severance Benefits pursuant to the terms of your [month, date, year] Employment Agreement.</w:t>
      </w:r>
    </w:p>
    <w:p>
      <w:pPr>
        <w:spacing w:after="0" w:line="155" w:lineRule="exact"/>
        <w:rPr>
          <w:sz w:val="20"/>
          <w:szCs w:val="20"/>
          <w:color w:val="auto"/>
        </w:rPr>
      </w:pPr>
    </w:p>
    <w:p>
      <w:pPr>
        <w:ind w:right="60" w:firstLine="749"/>
        <w:spacing w:after="0" w:line="236" w:lineRule="auto"/>
        <w:rPr>
          <w:sz w:val="20"/>
          <w:szCs w:val="20"/>
          <w:color w:val="auto"/>
        </w:rPr>
      </w:pPr>
      <w:r>
        <w:rPr>
          <w:rFonts w:ascii="Times New Roman" w:cs="Times New Roman" w:eastAsia="Times New Roman" w:hAnsi="Times New Roman"/>
          <w:sz w:val="22"/>
          <w:szCs w:val="22"/>
          <w:color w:val="auto"/>
        </w:rPr>
        <w:t>The Company is offering severance to you in reliance on Treasury Regulation Section 1.409A-1(b)(9) and the short term deferral exemption in Treasury Regulation Section 1.409A-1(b)(4). Any payments made in reliance on Treasury Regulation Section 1.409A-1(b)(4) will be made not later than March 15, 20__. For purposes of Code Section 409A, your right to receive any installment payments under this Agreement (whether severance payments, reimbursements or otherwise) shall be treated as a right to receive a series of separate payments and, accordingly, each installment payment hereunder shall at all times be considered a separate and distinct payment.</w:t>
      </w:r>
    </w:p>
    <w:p>
      <w:pPr>
        <w:spacing w:after="0" w:line="175" w:lineRule="exact"/>
        <w:rPr>
          <w:sz w:val="20"/>
          <w:szCs w:val="20"/>
          <w:color w:val="auto"/>
        </w:rPr>
      </w:pPr>
    </w:p>
    <w:p>
      <w:pPr>
        <w:ind w:left="520" w:hanging="512"/>
        <w:spacing w:after="0"/>
        <w:tabs>
          <w:tab w:leader="none" w:pos="520" w:val="left"/>
        </w:tabs>
        <w:numPr>
          <w:ilvl w:val="0"/>
          <w:numId w:val="29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Benefit Plans.</w:t>
      </w:r>
    </w:p>
    <w:p>
      <w:pPr>
        <w:spacing w:after="0" w:line="209" w:lineRule="exact"/>
        <w:rPr>
          <w:sz w:val="20"/>
          <w:szCs w:val="20"/>
          <w:color w:val="auto"/>
        </w:rPr>
      </w:pPr>
    </w:p>
    <w:p>
      <w:pPr>
        <w:ind w:right="220"/>
        <w:spacing w:after="0" w:line="239" w:lineRule="auto"/>
        <w:rPr>
          <w:sz w:val="20"/>
          <w:szCs w:val="20"/>
          <w:color w:val="auto"/>
        </w:rPr>
      </w:pPr>
      <w:r>
        <w:rPr>
          <w:rFonts w:ascii="Times New Roman" w:cs="Times New Roman" w:eastAsia="Times New Roman" w:hAnsi="Times New Roman"/>
          <w:sz w:val="22"/>
          <w:szCs w:val="22"/>
          <w:color w:val="auto"/>
        </w:rPr>
        <w:t xml:space="preserve">If you are currently participating in the Company’s group health insurance plans, your participation as an employee will end on [the Separation Date] </w:t>
      </w:r>
      <w:r>
        <w:rPr>
          <w:rFonts w:ascii="Times New Roman" w:cs="Times New Roman" w:eastAsia="Times New Roman" w:hAnsi="Times New Roman"/>
          <w:sz w:val="22"/>
          <w:szCs w:val="22"/>
          <w:i w:val="1"/>
          <w:iCs w:val="1"/>
          <w:color w:val="auto"/>
        </w:rPr>
        <w:t>or</w:t>
      </w:r>
      <w:r>
        <w:rPr>
          <w:rFonts w:ascii="Times New Roman" w:cs="Times New Roman" w:eastAsia="Times New Roman" w:hAnsi="Times New Roman"/>
          <w:sz w:val="22"/>
          <w:szCs w:val="22"/>
          <w:color w:val="auto"/>
        </w:rPr>
        <w:t xml:space="preserve"> [the last day of the month in which separation occurs]. Thereafter, to the extent provided by the federal COBRA law or, if applicable, state insurance laws, and by the Company’s current group health insurance policies, you will be eligible to continue your group health insurance benefits at your own expense. Later,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1454150</wp:posOffset>
            </wp:positionV>
            <wp:extent cx="715772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317" w:name="page318"/>
    <w:bookmarkEnd w:id="317"/>
    <w:p>
      <w:pPr>
        <w:spacing w:after="0"/>
        <w:rPr>
          <w:sz w:val="20"/>
          <w:szCs w:val="20"/>
          <w:color w:val="auto"/>
        </w:rPr>
      </w:pPr>
      <w:r>
        <w:rPr>
          <w:rFonts w:ascii="Times New Roman" w:cs="Times New Roman" w:eastAsia="Times New Roman" w:hAnsi="Times New Roman"/>
          <w:sz w:val="22"/>
          <w:szCs w:val="22"/>
          <w:color w:val="auto"/>
        </w:rPr>
        <w:t>you may be able to convert to an individual policy through the provider of the Company’s health insurance, if you wish.</w:t>
      </w:r>
    </w:p>
    <w:p>
      <w:pPr>
        <w:spacing w:after="0" w:line="20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Deductions for the 401(k) Plan will end with your last regular paycheck. You will receive information by mail concerning 401(k) plan rollover procedures should you be a participant in this program.</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You may be eligible for unemployment insurance benefits after the Separation Date.</w:t>
      </w:r>
    </w:p>
    <w:p>
      <w:pPr>
        <w:spacing w:after="0" w:line="201" w:lineRule="exact"/>
        <w:rPr>
          <w:sz w:val="20"/>
          <w:szCs w:val="20"/>
          <w:color w:val="auto"/>
        </w:rPr>
      </w:pPr>
    </w:p>
    <w:p>
      <w:pPr>
        <w:jc w:val="both"/>
        <w:ind w:right="20" w:firstLine="8"/>
        <w:spacing w:after="0" w:line="246" w:lineRule="auto"/>
        <w:tabs>
          <w:tab w:leader="none" w:pos="509" w:val="left"/>
        </w:tabs>
        <w:numPr>
          <w:ilvl w:val="0"/>
          <w:numId w:val="2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Stock Options. </w:t>
      </w:r>
      <w:r>
        <w:rPr>
          <w:rFonts w:ascii="Times New Roman" w:cs="Times New Roman" w:eastAsia="Times New Roman" w:hAnsi="Times New Roman"/>
          <w:sz w:val="22"/>
          <w:szCs w:val="22"/>
          <w:color w:val="auto"/>
        </w:rPr>
        <w:t>You were granted an option to purchase ________ shares of the Company’s common stock, pursuant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Company’s [correct name of Stock or incentive plan] (the “Plan”). Under the terms of the Plan and your stock option grant, vesting will cease as of the Separation Date.</w:t>
      </w:r>
    </w:p>
    <w:p>
      <w:pPr>
        <w:spacing w:after="0" w:line="165" w:lineRule="exact"/>
        <w:rPr>
          <w:rFonts w:ascii="Times New Roman" w:cs="Times New Roman" w:eastAsia="Times New Roman" w:hAnsi="Times New Roman"/>
          <w:sz w:val="22"/>
          <w:szCs w:val="22"/>
          <w:b w:val="1"/>
          <w:bCs w:val="1"/>
          <w:color w:val="auto"/>
        </w:rPr>
      </w:pPr>
    </w:p>
    <w:p>
      <w:pPr>
        <w:jc w:val="both"/>
        <w:ind w:firstLine="8"/>
        <w:spacing w:after="0"/>
        <w:tabs>
          <w:tab w:leader="none" w:pos="509" w:val="left"/>
        </w:tabs>
        <w:numPr>
          <w:ilvl w:val="0"/>
          <w:numId w:val="2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Other Compensation or Benefits. </w:t>
      </w:r>
      <w:r>
        <w:rPr>
          <w:rFonts w:ascii="Times New Roman" w:cs="Times New Roman" w:eastAsia="Times New Roman" w:hAnsi="Times New Roman"/>
          <w:sz w:val="22"/>
          <w:szCs w:val="22"/>
          <w:color w:val="auto"/>
        </w:rPr>
        <w:t>You acknowledge that, except as expressly provided in this Agreement, as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Separation Date, you have been fully paid any and all compensation, severance, benefits due to you, including all wages, salary, commissions, bonuses, options, shares, stock, incentive payments, equity interests, profit-sharing payments, expense reimbursements, accrued but unused vacation pay, leave or other benefits.</w:t>
      </w:r>
    </w:p>
    <w:p>
      <w:pPr>
        <w:spacing w:after="0" w:line="174" w:lineRule="exact"/>
        <w:rPr>
          <w:rFonts w:ascii="Times New Roman" w:cs="Times New Roman" w:eastAsia="Times New Roman" w:hAnsi="Times New Roman"/>
          <w:sz w:val="22"/>
          <w:szCs w:val="22"/>
          <w:b w:val="1"/>
          <w:bCs w:val="1"/>
          <w:color w:val="auto"/>
        </w:rPr>
      </w:pPr>
    </w:p>
    <w:p>
      <w:pPr>
        <w:jc w:val="both"/>
        <w:ind w:firstLine="8"/>
        <w:spacing w:after="0"/>
        <w:tabs>
          <w:tab w:leader="none" w:pos="509" w:val="left"/>
        </w:tabs>
        <w:numPr>
          <w:ilvl w:val="0"/>
          <w:numId w:val="2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Expense Reimbursements. </w:t>
      </w:r>
      <w:r>
        <w:rPr>
          <w:rFonts w:ascii="Times New Roman" w:cs="Times New Roman" w:eastAsia="Times New Roman" w:hAnsi="Times New Roman"/>
          <w:sz w:val="22"/>
          <w:szCs w:val="22"/>
          <w:color w:val="auto"/>
        </w:rPr>
        <w:t>You agree that, within ten (10) days of the Separation Date, you will submit your final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documented expense reimbursement statement reflecting all business expenses you incurred through the Separation Date, if any, for which you seek reimbursement. The Company will reimburse you for reasonable business expenses pursuant to its regular business practice.</w:t>
      </w:r>
    </w:p>
    <w:p>
      <w:pPr>
        <w:spacing w:after="0" w:line="174" w:lineRule="exact"/>
        <w:rPr>
          <w:rFonts w:ascii="Times New Roman" w:cs="Times New Roman" w:eastAsia="Times New Roman" w:hAnsi="Times New Roman"/>
          <w:sz w:val="22"/>
          <w:szCs w:val="22"/>
          <w:b w:val="1"/>
          <w:bCs w:val="1"/>
          <w:color w:val="auto"/>
        </w:rPr>
      </w:pPr>
    </w:p>
    <w:p>
      <w:pPr>
        <w:jc w:val="both"/>
        <w:ind w:firstLine="8"/>
        <w:spacing w:after="0" w:line="263" w:lineRule="auto"/>
        <w:tabs>
          <w:tab w:leader="none" w:pos="509" w:val="left"/>
        </w:tabs>
        <w:numPr>
          <w:ilvl w:val="0"/>
          <w:numId w:val="29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Return of Company Property. </w:t>
      </w:r>
      <w:r>
        <w:rPr>
          <w:rFonts w:ascii="Times New Roman" w:cs="Times New Roman" w:eastAsia="Times New Roman" w:hAnsi="Times New Roman"/>
          <w:sz w:val="20"/>
          <w:szCs w:val="20"/>
          <w:color w:val="auto"/>
        </w:rPr>
        <w:t>By the Separation Date, you agree to return to the Company all Company documents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all copies thereof) and other Company property that you have had in your possession at any time, including, but not limited to, Company files, notes, drawings, records, business plans and forecasts, financial information, specifications, computer-recorded information, tangible property (including, but not limited to, computers), credit cards, entry cards, identification badges and keys; and, any materials of any kind that contain or embody any proprietary or confidential information of the Company (and all reproductions thereof). Please coordinate return of Company property with [name/title]. </w:t>
      </w:r>
      <w:r>
        <w:rPr>
          <w:rFonts w:ascii="Times New Roman" w:cs="Times New Roman" w:eastAsia="Times New Roman" w:hAnsi="Times New Roman"/>
          <w:sz w:val="20"/>
          <w:szCs w:val="20"/>
          <w:b w:val="1"/>
          <w:bCs w:val="1"/>
          <w:color w:val="auto"/>
        </w:rPr>
        <w:t>Receipt of the severance benefits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described in Section 3 of this Agreement is expressly conditioned upon return of all Company Property.</w:t>
      </w:r>
    </w:p>
    <w:p>
      <w:pPr>
        <w:spacing w:after="0" w:line="150" w:lineRule="exact"/>
        <w:rPr>
          <w:rFonts w:ascii="Times New Roman" w:cs="Times New Roman" w:eastAsia="Times New Roman" w:hAnsi="Times New Roman"/>
          <w:sz w:val="20"/>
          <w:szCs w:val="20"/>
          <w:b w:val="1"/>
          <w:bCs w:val="1"/>
          <w:color w:val="auto"/>
        </w:rPr>
      </w:pPr>
    </w:p>
    <w:p>
      <w:pPr>
        <w:jc w:val="both"/>
        <w:ind w:firstLine="8"/>
        <w:spacing w:after="0" w:line="237" w:lineRule="auto"/>
        <w:tabs>
          <w:tab w:leader="none" w:pos="509" w:val="left"/>
        </w:tabs>
        <w:numPr>
          <w:ilvl w:val="0"/>
          <w:numId w:val="2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Confidential Information and Post-Termination Obligations. </w:t>
      </w:r>
      <w:r>
        <w:rPr>
          <w:rFonts w:ascii="Times New Roman" w:cs="Times New Roman" w:eastAsia="Times New Roman" w:hAnsi="Times New Roman"/>
          <w:sz w:val="22"/>
          <w:szCs w:val="22"/>
          <w:color w:val="auto"/>
        </w:rPr>
        <w:t>Both during and after your employment you acknowledge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your continuing obligations under your Employee Proprietary Information and Inventions Assignment Agreement (“Restrictive Covenants Agreement”) not to use or disclose any confidential or proprietary information of the Company, to refrain from certain solicitation and competition activities, and your agreement to arbitrate any/all claims you may have against the Company permitted by applicable law. A copy of your Restrictive Covenants Agreement is attached hereto. If you have any doubts as to the scope of the restrictions in your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1452880</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318" w:name="page319"/>
    <w:bookmarkEnd w:id="318"/>
    <w:p>
      <w:pPr>
        <w:jc w:val="both"/>
        <w:ind w:firstLine="509"/>
        <w:spacing w:after="0" w:line="261" w:lineRule="auto"/>
        <w:rPr>
          <w:sz w:val="20"/>
          <w:szCs w:val="20"/>
          <w:color w:val="auto"/>
        </w:rPr>
      </w:pPr>
      <w:r>
        <w:rPr>
          <w:rFonts w:ascii="Times New Roman" w:cs="Times New Roman" w:eastAsia="Times New Roman" w:hAnsi="Times New Roman"/>
          <w:sz w:val="20"/>
          <w:szCs w:val="20"/>
          <w:color w:val="auto"/>
        </w:rPr>
        <w:t>agreement, you should contact [name/title] immediately to assess your compliance. As you know, the Company will enforce its contract rights. Please familiarize yourself with the enclosed agreement which you signed. Confidential information that is also a “trade secret,” as defined by law, may be disclosed (A) if it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In addition, in the event that you file a lawsuit for retaliation by the Company for reporting a suspected violation of law, you may disclose the trade secret to your attorney and use the trade secret information in the court proceeding, if you: (A) file any document containing the trade secret under seal; and (B) do not disclose the trade secret, except pursuant to court order.</w:t>
      </w:r>
    </w:p>
    <w:p>
      <w:pPr>
        <w:spacing w:after="0" w:line="153" w:lineRule="exact"/>
        <w:rPr>
          <w:sz w:val="20"/>
          <w:szCs w:val="20"/>
          <w:color w:val="auto"/>
        </w:rPr>
      </w:pPr>
    </w:p>
    <w:p>
      <w:pPr>
        <w:jc w:val="both"/>
        <w:ind w:firstLine="8"/>
        <w:spacing w:after="0" w:line="234" w:lineRule="auto"/>
        <w:tabs>
          <w:tab w:leader="none" w:pos="509" w:val="left"/>
        </w:tabs>
        <w:numPr>
          <w:ilvl w:val="0"/>
          <w:numId w:val="2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Non-Compete. </w:t>
      </w:r>
      <w:r>
        <w:rPr>
          <w:rFonts w:ascii="Times New Roman" w:cs="Times New Roman" w:eastAsia="Times New Roman" w:hAnsi="Times New Roman"/>
          <w:sz w:val="22"/>
          <w:szCs w:val="22"/>
          <w:color w:val="auto"/>
        </w:rPr>
        <w:t>In exchange for the payments and other consideration under this Agreement, to which you would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otherwise be entitled, you agree that during the one year period after the Separation Date, you will not, whether paid or not: (i) serve as a partner, principal, licensor, licensee, employee, consultant, officer, director, manager, agent, affiliate, representative, advisor, promoter, associate, investor, or otherwise for, (ii) directly or indirectly, own, purchase, organize or take preparatory steps for the organization of, or (iii) build, design, finance, acquire, lease, operate, manage, control, invest in, work or consult for or otherwise join, participate in or affiliate yourself with, any business whose business, products or operations are in any respect involved in Conflicting Services (defined below) anywhere in the Restricted Territory (defined below). Should you obtain other employment within 12 months immediately following the Separation Date, you agree to provide written notification to the Company as to the name and address of your new employer, the position that you expect to hold, and a general description of your duties and responsibilities, at least three business days prior to starting such employment.</w:t>
      </w:r>
    </w:p>
    <w:p>
      <w:pPr>
        <w:spacing w:after="0" w:line="180" w:lineRule="exact"/>
        <w:rPr>
          <w:rFonts w:ascii="Times New Roman" w:cs="Times New Roman" w:eastAsia="Times New Roman" w:hAnsi="Times New Roman"/>
          <w:sz w:val="22"/>
          <w:szCs w:val="22"/>
          <w:b w:val="1"/>
          <w:bCs w:val="1"/>
          <w:color w:val="auto"/>
        </w:rPr>
      </w:pPr>
    </w:p>
    <w:p>
      <w:pPr>
        <w:jc w:val="both"/>
        <w:ind w:firstLine="757"/>
        <w:spacing w:after="0" w:line="244" w:lineRule="auto"/>
        <w:tabs>
          <w:tab w:leader="none" w:pos="1018" w:val="left"/>
        </w:tabs>
        <w:numPr>
          <w:ilvl w:val="1"/>
          <w:numId w:val="2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parties agree that for purposes of this Agreement, “Conflicting Services” means any business in which the Company is engaged, or in which the Company has plans to be engaged, or any service that the Company provides or has plans to provide.</w:t>
      </w:r>
    </w:p>
    <w:p>
      <w:pPr>
        <w:spacing w:after="0" w:line="172" w:lineRule="exact"/>
        <w:rPr>
          <w:rFonts w:ascii="Times New Roman" w:cs="Times New Roman" w:eastAsia="Times New Roman" w:hAnsi="Times New Roman"/>
          <w:sz w:val="22"/>
          <w:szCs w:val="22"/>
          <w:b w:val="1"/>
          <w:bCs w:val="1"/>
          <w:color w:val="auto"/>
        </w:rPr>
      </w:pPr>
    </w:p>
    <w:p>
      <w:pPr>
        <w:jc w:val="both"/>
        <w:ind w:firstLine="757"/>
        <w:spacing w:after="0" w:line="244" w:lineRule="auto"/>
        <w:tabs>
          <w:tab w:leader="none" w:pos="1018" w:val="left"/>
        </w:tabs>
        <w:numPr>
          <w:ilvl w:val="1"/>
          <w:numId w:val="2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parties further agree that for purposes of this Agreement, “Restricted Territory” means the geographic areas in which you provided services for the Company or had a material presence or influence, during any time within the last two years prior to the Separation Date.</w:t>
      </w:r>
    </w:p>
    <w:p>
      <w:pPr>
        <w:spacing w:after="0" w:line="168" w:lineRule="exact"/>
        <w:rPr>
          <w:rFonts w:ascii="Times New Roman" w:cs="Times New Roman" w:eastAsia="Times New Roman" w:hAnsi="Times New Roman"/>
          <w:sz w:val="22"/>
          <w:szCs w:val="22"/>
          <w:b w:val="1"/>
          <w:bCs w:val="1"/>
          <w:color w:val="auto"/>
        </w:rPr>
      </w:pPr>
    </w:p>
    <w:p>
      <w:pPr>
        <w:jc w:val="both"/>
        <w:ind w:firstLine="8"/>
        <w:spacing w:after="0" w:line="236" w:lineRule="auto"/>
        <w:tabs>
          <w:tab w:leader="none" w:pos="509" w:val="left"/>
        </w:tabs>
        <w:numPr>
          <w:ilvl w:val="0"/>
          <w:numId w:val="2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Confidentiality. </w:t>
      </w:r>
      <w:r>
        <w:rPr>
          <w:rFonts w:ascii="Times New Roman" w:cs="Times New Roman" w:eastAsia="Times New Roman" w:hAnsi="Times New Roman"/>
          <w:sz w:val="22"/>
          <w:szCs w:val="22"/>
          <w:color w:val="auto"/>
        </w:rPr>
        <w:t>The provisions of this Agreement will be held in strictest confidence by you and will not be publicized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disclosed in any manner whatsoever;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(a) you may disclose this Agreement to your immediate family; (b) you may disclose this Agreement in confidence to your attorney, accountant, auditor, tax preparer, and financial advisor; and (c) you may disclose this Agreement insofar as such disclosure may be required by law. Notwithstanding the foregoing, nothing in this Agreement shall limit your right to voluntarily communicate with the Equal Employment Opportunity Commission, United States Department of Labor, the National Labor Relations Board, the Securities and Exchange Commission, other federal government agency or similar state or local agency or to discuss the terms and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1452880</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319" w:name="page320"/>
    <w:bookmarkEnd w:id="319"/>
    <w:p>
      <w:pPr>
        <w:ind w:left="512"/>
        <w:spacing w:after="0"/>
        <w:rPr>
          <w:sz w:val="20"/>
          <w:szCs w:val="20"/>
          <w:color w:val="auto"/>
        </w:rPr>
      </w:pPr>
      <w:r>
        <w:rPr>
          <w:rFonts w:ascii="Times New Roman" w:cs="Times New Roman" w:eastAsia="Times New Roman" w:hAnsi="Times New Roman"/>
          <w:sz w:val="22"/>
          <w:szCs w:val="22"/>
          <w:color w:val="auto"/>
        </w:rPr>
        <w:t>of your employment with others to the extent expressly permitted by Section 7 of the National Labor Relations Act.</w:t>
      </w:r>
    </w:p>
    <w:p>
      <w:pPr>
        <w:spacing w:after="0" w:line="201" w:lineRule="exact"/>
        <w:rPr>
          <w:sz w:val="20"/>
          <w:szCs w:val="20"/>
          <w:color w:val="auto"/>
        </w:rPr>
      </w:pPr>
    </w:p>
    <w:p>
      <w:pPr>
        <w:jc w:val="both"/>
        <w:ind w:left="-8" w:firstLine="8"/>
        <w:spacing w:after="0" w:line="260" w:lineRule="auto"/>
        <w:tabs>
          <w:tab w:leader="none" w:pos="501" w:val="left"/>
        </w:tabs>
        <w:numPr>
          <w:ilvl w:val="0"/>
          <w:numId w:val="30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Mutual Non-Disparagement. </w:t>
      </w:r>
      <w:r>
        <w:rPr>
          <w:rFonts w:ascii="Times New Roman" w:cs="Times New Roman" w:eastAsia="Times New Roman" w:hAnsi="Times New Roman"/>
          <w:sz w:val="20"/>
          <w:szCs w:val="20"/>
          <w:color w:val="auto"/>
        </w:rPr>
        <w:t>You agree not to disparage the Company, and/or the Company’s attorneys, directors,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managers, partners, employees, agents and affiliates, in any manner likely to be harmful to them or their business, business reputation or personal reputation; provided that you may respond accurately and fully to any question, inquiry or request for information when required by legal process. You further agree that, by no later than the Effective Date, you shall delete or otherwise remove any and all disparaging public comments or statements that you made prior to the Effective Date about or relating to the Company, including, but not limited to, comments in online forums or on websites (including, but not limited to, Facebook, Glassdoor, Yelp, and LinkedIn), as applicable. Likewise, the Company agrees to instruct the current Chief Executive Officer, Chief Financial Officer, Chief Legal Officer, Chief Operating Officer, Chief Medical Officer, Chief Technology &amp; Manufacturing Officer, Chief Scientific Officer and the Company’s current Board of Directors not to disparage you.</w:t>
      </w:r>
    </w:p>
    <w:p>
      <w:pPr>
        <w:spacing w:after="0" w:line="157" w:lineRule="exact"/>
        <w:rPr>
          <w:rFonts w:ascii="Times New Roman" w:cs="Times New Roman" w:eastAsia="Times New Roman" w:hAnsi="Times New Roman"/>
          <w:sz w:val="20"/>
          <w:szCs w:val="20"/>
          <w:b w:val="1"/>
          <w:bCs w:val="1"/>
          <w:color w:val="auto"/>
        </w:rPr>
      </w:pPr>
    </w:p>
    <w:p>
      <w:pPr>
        <w:jc w:val="both"/>
        <w:ind w:left="-8" w:firstLine="8"/>
        <w:spacing w:after="0"/>
        <w:tabs>
          <w:tab w:leader="none" w:pos="501" w:val="left"/>
        </w:tabs>
        <w:numPr>
          <w:ilvl w:val="0"/>
          <w:numId w:val="3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Cooperation after Termination. </w:t>
      </w:r>
      <w:r>
        <w:rPr>
          <w:rFonts w:ascii="Times New Roman" w:cs="Times New Roman" w:eastAsia="Times New Roman" w:hAnsi="Times New Roman"/>
          <w:sz w:val="22"/>
          <w:szCs w:val="22"/>
          <w:color w:val="auto"/>
        </w:rPr>
        <w:t>You agree to cooperate fully with the Company in all matters relating to the transition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your work and responsibilities on behalf of the Company, including, but not limited to, any present, prior or subsequent relationships and the orderly transfer of any such work and institutional knowledge to such other persons as may be designated by the Company, by making yourself reasonably available during regular business hours.</w:t>
      </w:r>
    </w:p>
    <w:p>
      <w:pPr>
        <w:spacing w:after="0" w:line="174" w:lineRule="exact"/>
        <w:rPr>
          <w:rFonts w:ascii="Times New Roman" w:cs="Times New Roman" w:eastAsia="Times New Roman" w:hAnsi="Times New Roman"/>
          <w:sz w:val="22"/>
          <w:szCs w:val="22"/>
          <w:b w:val="1"/>
          <w:bCs w:val="1"/>
          <w:color w:val="auto"/>
        </w:rPr>
      </w:pPr>
    </w:p>
    <w:p>
      <w:pPr>
        <w:jc w:val="both"/>
        <w:ind w:left="-8" w:firstLine="8"/>
        <w:spacing w:after="0" w:line="232" w:lineRule="auto"/>
        <w:tabs>
          <w:tab w:leader="none" w:pos="501" w:val="left"/>
        </w:tabs>
        <w:numPr>
          <w:ilvl w:val="0"/>
          <w:numId w:val="3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Release. </w:t>
      </w:r>
      <w:r>
        <w:rPr>
          <w:rFonts w:ascii="Times New Roman" w:cs="Times New Roman" w:eastAsia="Times New Roman" w:hAnsi="Times New Roman"/>
          <w:sz w:val="22"/>
          <w:szCs w:val="22"/>
          <w:color w:val="auto"/>
        </w:rPr>
        <w:t>In exchange for the payments and other consideration under this Agreement, to which you would not otherwise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entitled, and except as otherwise set forth in this Agreement, you, on behalf of yourself and, to the extent permitted by law, on behalf of your spouse, heirs, executors, administrators, assigns, insurers, attorneys and other persons or entities, acting or purporting to act on your behalf (collectively, the “Employee Parties”), hereby generally and completely release, acquit and forever discharge the Company, its parents and subsidiaries, and its and their officers, directors, managers, partners, agents, representatives, employees, attorneys, shareholders, predecessors, successors, assigns, insurers and affiliates (the “Company Parties”) of and from any and all claims, liabilities, demands, contentions, actions, causes of action, suits, costs, expenses, attorneys’ fees, damages, indemnities, debts, judgments, levies, executions and obligations of every kind and nature, in law, equity, or otherwise, both known and unknown, suspected and unsuspected, disclosed and undisclosed, arising out of or in any way related to agreements, events, acts or conduct at any time prior to and including the execution date of this Agreement, including but not limited to: all such claims and demands directly or indirectly arising out of or in any way connected with your employment with the Company or the termination of that employment; claims or demands related to salary, bonuses, commissions, stock, stock options, or any other ownership interests in the Company, vacation pay, fringe benefits, expense reimbursements, severance pay, or any other form of compensation; claims pursuant to any federal, state or local law, statute, or cause of action; tort law; or contract law (individually a “Claim” and collectively “Claims”). The Claims you are releasing and waiving in this Agreement include, but are not limited to, any and all Claims that any of the Company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1461135</wp:posOffset>
            </wp:positionV>
            <wp:extent cx="715772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06" w:right="339" w:bottom="1440" w:gutter="0" w:footer="0" w:header="0"/>
        </w:sectPr>
      </w:pPr>
    </w:p>
    <w:bookmarkStart w:id="320" w:name="page321"/>
    <w:bookmarkEnd w:id="320"/>
    <w:p>
      <w:pPr>
        <w:ind w:left="690" w:right="660" w:hanging="690"/>
        <w:spacing w:after="0" w:line="258" w:lineRule="auto"/>
        <w:tabs>
          <w:tab w:leader="none" w:pos="426" w:val="left"/>
        </w:tabs>
        <w:numPr>
          <w:ilvl w:val="0"/>
          <w:numId w:val="3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violated its personnel policies, handbooks, contracts of employment, or covenants of good faith and fair dealing;</w:t>
      </w:r>
    </w:p>
    <w:p>
      <w:pPr>
        <w:spacing w:after="0" w:line="157" w:lineRule="exact"/>
        <w:rPr>
          <w:rFonts w:ascii="Times New Roman" w:cs="Times New Roman" w:eastAsia="Times New Roman" w:hAnsi="Times New Roman"/>
          <w:sz w:val="22"/>
          <w:szCs w:val="22"/>
          <w:color w:val="auto"/>
        </w:rPr>
      </w:pPr>
    </w:p>
    <w:p>
      <w:pPr>
        <w:ind w:left="690" w:right="60" w:hanging="690"/>
        <w:spacing w:after="0" w:line="232" w:lineRule="auto"/>
        <w:tabs>
          <w:tab w:leader="none" w:pos="426" w:val="left"/>
        </w:tabs>
        <w:numPr>
          <w:ilvl w:val="0"/>
          <w:numId w:val="3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discriminated against you on the basis of age, race, color, sex (including sexual harassment), national origin, ancestry, disability, religion, sexual orientation, marital status, parental status, source of income, entitlement to benefits, any union activities or other protected category in violation of any local, state or federal law, constitution, ordinance, or regulation, including but not limited to: Title VII of the Civil Rights Act of 1964, the Civil Rights Act of 1866 (42 U.S.C. 1981), the Civil Rights Act of 1991, the Genetic Information Nondiscrimination Act, Executive Order 11246, which prohibit discrimination based on race, color, national origin, religion, or sex; the Americans with Disabilities Act and Sections 503 and 504 of the Rehabilitation Act of 1973, which prohibit discrimination against the disabled, the Age Discrimination in Employment Act (ADEA), which prohibits discrimination based on age, the Older Workers Benefit Protection Act, the National Labor Relations Act, the Lily Ledbetter Fair Pay Act, the anti-retaliation provisions of the Sarbanes-Oxley Act, or any other federal or state law regarding whistleblower retaliation; the Massachusetts Fair Employment Practices Act (M.G.L. c. 151B), the Massachusetts Equal Rights Act, the Massachusetts Equal Pay Act, the Massachusetts Privacy Statute, the Massachusetts Sick Leave Law, the Massachusetts Civil Rights Act, the Connecticut Whistleblower Law, the Connecticut Fair Employment Practices Act; all as amended, and any and all other federal, state or local laws, rules, regulations, constitutions, ordinances or public policies, whether known or unknown, prohibiting employment discrimination;</w:t>
      </w:r>
    </w:p>
    <w:p>
      <w:pPr>
        <w:spacing w:after="0" w:line="186" w:lineRule="exact"/>
        <w:rPr>
          <w:rFonts w:ascii="Times New Roman" w:cs="Times New Roman" w:eastAsia="Times New Roman" w:hAnsi="Times New Roman"/>
          <w:sz w:val="22"/>
          <w:szCs w:val="22"/>
          <w:color w:val="auto"/>
        </w:rPr>
      </w:pPr>
    </w:p>
    <w:p>
      <w:pPr>
        <w:ind w:left="690" w:hanging="690"/>
        <w:spacing w:after="0" w:line="233" w:lineRule="auto"/>
        <w:tabs>
          <w:tab w:leader="none" w:pos="426" w:val="left"/>
        </w:tabs>
        <w:numPr>
          <w:ilvl w:val="0"/>
          <w:numId w:val="3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violated any employment statutes, such as the WARN Act which requires that advance notice be given of certain workforce reductions; the Employee Retirement Income Security Act of 1974 (ERISA) which, among other things, protects employee benefits; the Fair Labor Standards Act of 1938, which regulates wage and hour matters; the National Labor Relations Act, which protects forms of concerted activity; the Family and Medical Leave Act of 1993, which requires employers to provide leaves of absence under certain circumstances; the Fair Credit Reporting Act, the Employee Polygraph Protection Act, the Massachusetts Payment of Wages Act (M.G.L. c. 149 sections 148 and 150), the Massachusetts Overtime regulations (M.G.L. c. 151 sections 1A and 1B), the Massachusetts Meal Break regulations (M.G.L. c. 149 sections 100 and 101), the Connecticut Family and Medical Leave Act, the Connecticut Free Speech Law, the Connecticut minimum wage and wage payment laws, all as amended, and any and all other federal, state or local laws, rules, regulations, constitutions, ordinances or public policies, whether known or unknown relating to employment laws, such as veterans’ reemployment rights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-521335</wp:posOffset>
            </wp:positionH>
            <wp:positionV relativeFrom="paragraph">
              <wp:posOffset>1455420</wp:posOffset>
            </wp:positionV>
            <wp:extent cx="7157720"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90"/>
          </w:cols>
          <w:pgMar w:left="1130" w:top="1407" w:right="379" w:bottom="1440" w:gutter="0" w:footer="0" w:header="0"/>
        </w:sectPr>
      </w:pPr>
    </w:p>
    <w:bookmarkStart w:id="321" w:name="page322"/>
    <w:bookmarkEnd w:id="321"/>
    <w:p>
      <w:pPr>
        <w:ind w:left="1500" w:right="160" w:hanging="690"/>
        <w:spacing w:after="0" w:line="234" w:lineRule="auto"/>
        <w:tabs>
          <w:tab w:leader="none" w:pos="1236" w:val="left"/>
        </w:tabs>
        <w:numPr>
          <w:ilvl w:val="0"/>
          <w:numId w:val="3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violated any other laws, such as federal, state, or local laws providing workers’ compensation benefits, restricting an employer’s right to terminate employees, or otherwise regulating employment; any federal, state or local law enforcing express or implied employment contracts or requiring an employer to deal with employees fairly or in good faith; any other federal, state or local laws providing recourse for alleged wrongful discharge, retaliatory discharge, negligent hiring, retention, or supervision, physical or personal injury, emotional distress, assault, battery, false imprisonment, fraud, negligent misrepresentation, defamation, intentional or negligent infliction of emotional distress and/or mental anguish, intentional interference with contract, negligence, detrimental reliance, loss of consortium to you or any member of your family, whistleblowing, and similar or related claims.</w:t>
      </w:r>
    </w:p>
    <w:p>
      <w:pPr>
        <w:spacing w:after="0" w:line="180" w:lineRule="exact"/>
        <w:rPr>
          <w:sz w:val="20"/>
          <w:szCs w:val="20"/>
          <w:color w:val="auto"/>
        </w:rPr>
      </w:pPr>
    </w:p>
    <w:p>
      <w:pPr>
        <w:ind w:right="60"/>
        <w:spacing w:after="0" w:line="232" w:lineRule="auto"/>
        <w:rPr>
          <w:sz w:val="20"/>
          <w:szCs w:val="20"/>
          <w:color w:val="auto"/>
        </w:rPr>
      </w:pPr>
      <w:r>
        <w:rPr>
          <w:rFonts w:ascii="Times New Roman" w:cs="Times New Roman" w:eastAsia="Times New Roman" w:hAnsi="Times New Roman"/>
          <w:sz w:val="22"/>
          <w:szCs w:val="22"/>
          <w:color w:val="auto"/>
        </w:rPr>
        <w:t>Notwithstanding the foregoing, other than events expressly contemplated by this Agreement you do not waive or release rights or Claims that may arise from events that occur after the date this waiver is executed or your right to enforce this Agreement. Also excluded from this Agreement are any Claims which cannot be waived by law, including, without limitation, any rights you may have under applicable workers’ compensation laws and your right, if applicable, to file or participate in an investigative proceeding of any federal, state or local governmental agency. Nothing in this Agreement shall prevent you from filing, cooperating with, or participating in any proceeding or investigation before the Equal Employment Opportunity Commission, United States Department of Labor, the National Labor Relations Board, the Occupational Safety and Health Administration, the Securities and Exchange Commission or any other federal government agency, or similar state or local agency (“Government Agencies”), or exercising any rights pursuant to Section 7 of the National Labor Relations Act. You further understand this Agreement does not limit your ability to voluntarily communicate with any Government Agencies or otherwise participate in any investigation or proceeding that may be conducted by any Government Agency, including providing documents or other information, without notice to the Company. While this Agreement does not limit your right to receive an award for information provided to the Securities and Exchange Commission, you understand and agree that, you are otherwise waiving, to the fullest extent permitted by law, any and all rights you may have to individual relief based on any Claims that you have released and any rights you have waived by signing this Agreement. If any Claim is not subject to release, to the extent permitted by law, you waive any right or ability to be a class or collective action representative or to otherwise participate in any putative or certified class, collective or multi-party action or proceeding based on such a Claim in which any of the Company Parties is a party. This Agreement does not abrogate your existing rights under any Company benefit plan or any plan or agreement related to equity ownership in the Company; however, it does waive, release and forever discharge Claims existing as of the date you execute this Agreement pursuant to any such plan or agreement.</w:t>
      </w:r>
    </w:p>
    <w:p>
      <w:pPr>
        <w:spacing w:after="0" w:line="175" w:lineRule="exact"/>
        <w:rPr>
          <w:sz w:val="20"/>
          <w:szCs w:val="20"/>
          <w:color w:val="auto"/>
        </w:rPr>
      </w:pPr>
    </w:p>
    <w:p>
      <w:pPr>
        <w:jc w:val="both"/>
        <w:ind w:firstLine="8"/>
        <w:spacing w:after="0" w:line="246" w:lineRule="auto"/>
        <w:tabs>
          <w:tab w:leader="none" w:pos="509" w:val="left"/>
        </w:tabs>
        <w:numPr>
          <w:ilvl w:val="0"/>
          <w:numId w:val="3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Your Acknowledgments and Affirmations/ Effective Date of Agreement. </w:t>
      </w:r>
      <w:r>
        <w:rPr>
          <w:rFonts w:ascii="Times New Roman" w:cs="Times New Roman" w:eastAsia="Times New Roman" w:hAnsi="Times New Roman"/>
          <w:sz w:val="22"/>
          <w:szCs w:val="22"/>
          <w:color w:val="auto"/>
        </w:rPr>
        <w:t>You acknowledge that you are knowingly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voluntarily waiving and releasing any and all rights you may have under the ADEA, as amended. You also acknowledge and agree that (i)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1448435</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322" w:name="page323"/>
    <w:bookmarkEnd w:id="322"/>
    <w:p>
      <w:pPr>
        <w:jc w:val="both"/>
        <w:ind w:firstLine="509"/>
        <w:spacing w:after="0" w:line="231" w:lineRule="auto"/>
        <w:rPr>
          <w:sz w:val="20"/>
          <w:szCs w:val="20"/>
          <w:color w:val="auto"/>
        </w:rPr>
      </w:pPr>
      <w:r>
        <w:rPr>
          <w:rFonts w:ascii="Times New Roman" w:cs="Times New Roman" w:eastAsia="Times New Roman" w:hAnsi="Times New Roman"/>
          <w:sz w:val="22"/>
          <w:szCs w:val="22"/>
          <w:color w:val="auto"/>
        </w:rPr>
        <w:t>consideration given to you in exchange for the waiver and release in this Agreement is in addition to anything of value to which you were already entitled, and (ii) that you have been paid for all time worked, have received all the leave, leaves of absence and leave benefits and protections for which you are eligible, and have not suffered any on-the-job injury for which you have not already filed a Claim. You affirm that all of the decisions of the Company Parties regarding your pay and benefits through the date of your execution of this Agreement were not discriminatory based on age, disability, race, color, sex, religion, national origin or any other classification protected by law. You affirm that you have not filed or caused to be filed, and are not presently a party to, a Claim against any of the Company Parties. You further affirm that you have no known workplace injuries or occupational diseases. You acknowledge and affirm that you have not been retaliated against for reporting any allegation of corporate fraud or other wrongdoing by any of the Company Parties, or for exercising any rights protected by law, including any rights protected by the Fair Labor Standards Act, the Family Medical Leave Act or any related statute or local leave or disability accommodation laws, or any applicable state workers’ compensation law. You further acknowledge and affirm that you have been advised by this writing that: (a) your waiver and release do not apply to any rights or Claims that may arise after the execution date of this Agreement; (b) you have been advised hereby that you have the right to consult with an attorney prior to executing this Agreement; (c) you have been given [twenty-one (21)/forty-five (45)] days to consider this Agreement (although you may choose to voluntarily execute this Agreement earlier and if you do you will sign the Consideration Period waiver below); (d) you have seven (7) business days following your execution of this Agreement to revoke this Agreement by providing written notice of your decision to revoke the Agreement to the Company, Attention: [Jill Andersen, Chief Legal Officer, 1601 Trapelo Road, Suite 178, Waltham, MA 02451], by no later than 12:01 a.m. on the eighth (8th) calendar day after the date by which you have signed this Agreement (the “Revocation Deadline”); and (e) this Agreement shall not be effective until the date upon which the revocation period has expired unexercised (the "Effective Date"), which shall be the eighth business day after this Agreement is executed by you[ and (f) you acknowledge that with your receipt of this Agreement, you also received an “Age Discrimination in Employment Act Disclosure,” attached as Exhibit A].</w:t>
      </w:r>
    </w:p>
    <w:p>
      <w:pPr>
        <w:spacing w:after="0" w:line="195" w:lineRule="exact"/>
        <w:rPr>
          <w:sz w:val="20"/>
          <w:szCs w:val="20"/>
          <w:color w:val="auto"/>
        </w:rPr>
      </w:pPr>
    </w:p>
    <w:p>
      <w:pPr>
        <w:jc w:val="both"/>
        <w:ind w:firstLine="8"/>
        <w:spacing w:after="0" w:line="246" w:lineRule="auto"/>
        <w:tabs>
          <w:tab w:leader="none" w:pos="509" w:val="left"/>
        </w:tabs>
        <w:numPr>
          <w:ilvl w:val="0"/>
          <w:numId w:val="3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 Admission. </w:t>
      </w:r>
      <w:r>
        <w:rPr>
          <w:rFonts w:ascii="Times New Roman" w:cs="Times New Roman" w:eastAsia="Times New Roman" w:hAnsi="Times New Roman"/>
          <w:sz w:val="22"/>
          <w:szCs w:val="22"/>
          <w:color w:val="auto"/>
        </w:rPr>
        <w:t>This Agreement does not constitute an admission by the Company of any wrongful action or violation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federal, state, or local statute, or common law rights, including those relating to the provisions of any law or statute concerning employment actions, or of any other possible or claimed violation of law or rights.</w:t>
      </w:r>
    </w:p>
    <w:p>
      <w:pPr>
        <w:spacing w:after="0" w:line="165" w:lineRule="exact"/>
        <w:rPr>
          <w:rFonts w:ascii="Times New Roman" w:cs="Times New Roman" w:eastAsia="Times New Roman" w:hAnsi="Times New Roman"/>
          <w:sz w:val="22"/>
          <w:szCs w:val="22"/>
          <w:b w:val="1"/>
          <w:bCs w:val="1"/>
          <w:color w:val="auto"/>
        </w:rPr>
      </w:pPr>
    </w:p>
    <w:p>
      <w:pPr>
        <w:jc w:val="both"/>
        <w:ind w:firstLine="8"/>
        <w:spacing w:after="0" w:line="236" w:lineRule="auto"/>
        <w:tabs>
          <w:tab w:leader="none" w:pos="509" w:val="left"/>
        </w:tabs>
        <w:numPr>
          <w:ilvl w:val="0"/>
          <w:numId w:val="30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Breach. </w:t>
      </w:r>
      <w:r>
        <w:rPr>
          <w:rFonts w:ascii="Times New Roman" w:cs="Times New Roman" w:eastAsia="Times New Roman" w:hAnsi="Times New Roman"/>
          <w:sz w:val="22"/>
          <w:szCs w:val="22"/>
          <w:color w:val="auto"/>
        </w:rPr>
        <w:t>You agree that upon any breach of this Agreement you will forfeit all amounts paid or owing to you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Further, you acknowledge that it may be impossible to assess the damages caused by your violation of the terms of Sections 8, 9, 10 and 11 of this Agreement and further agree that any threatened or actual violation or breach of those Sections of this Agreement will constitute immediate and irreparable injury to the Company. You therefore agree that any such breach of this Agreement is a material breach of this Agreement, and, in addition to any and all other damages and remedies available to the Company upon your breach of this Agreement, the Company shall be entitled to an injunction to prevent you from violating or breaching this Agreement. You agree that if the Company is successful in whole or part in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1452880</wp:posOffset>
            </wp:positionV>
            <wp:extent cx="7157720"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323" w:name="page324"/>
    <w:bookmarkEnd w:id="323"/>
    <w:p>
      <w:pPr>
        <w:ind w:firstLine="509"/>
        <w:spacing w:after="0" w:line="258" w:lineRule="auto"/>
        <w:rPr>
          <w:sz w:val="20"/>
          <w:szCs w:val="20"/>
          <w:color w:val="auto"/>
        </w:rPr>
      </w:pPr>
      <w:r>
        <w:rPr>
          <w:rFonts w:ascii="Times New Roman" w:cs="Times New Roman" w:eastAsia="Times New Roman" w:hAnsi="Times New Roman"/>
          <w:sz w:val="22"/>
          <w:szCs w:val="22"/>
          <w:color w:val="auto"/>
        </w:rPr>
        <w:t>legal or equitable action against you under this Agreement, you agree to pay all of the costs, including reasonable attorneys’ fees, incurred by the Company in enforcing the terms of this Agreement.</w:t>
      </w:r>
    </w:p>
    <w:p>
      <w:pPr>
        <w:spacing w:after="0" w:line="153" w:lineRule="exact"/>
        <w:rPr>
          <w:sz w:val="20"/>
          <w:szCs w:val="20"/>
          <w:color w:val="auto"/>
        </w:rPr>
      </w:pPr>
    </w:p>
    <w:p>
      <w:pPr>
        <w:jc w:val="both"/>
        <w:ind w:firstLine="8"/>
        <w:spacing w:after="0" w:line="233" w:lineRule="auto"/>
        <w:tabs>
          <w:tab w:leader="none" w:pos="509" w:val="left"/>
        </w:tabs>
        <w:numPr>
          <w:ilvl w:val="0"/>
          <w:numId w:val="3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Miscellaneous. </w:t>
      </w:r>
      <w:r>
        <w:rPr>
          <w:rFonts w:ascii="Times New Roman" w:cs="Times New Roman" w:eastAsia="Times New Roman" w:hAnsi="Times New Roman"/>
          <w:sz w:val="22"/>
          <w:szCs w:val="22"/>
          <w:color w:val="auto"/>
        </w:rPr>
        <w:t>Except as set forth herein, this Agreement, including any exhibits, constitutes the complete, final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exclusive embodiment of the entire agreement between you and the Company with regard to this subject matter. It is entered into without reliance on any promise or representation, written or oral, other than those expressly contained herein, and it supersedes any other such promises, warranties or representations, including with respect to any such promises, warranties or representations as set forth in the Offer Letter and the Employment Agreement. This Agreement may not be modified or amended except in a writing signed by both you and a duly authorized officer of the Company.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will not affect any other provision of this Agreement and the provision in question will be modified by the court so as to be rendered enforceable. This Agreement will be deemed to have been entered into and will be construed and enforced in accordance with the laws of the State of Connecticut as applied to contracts made and to be performed entirely within Connecticut.</w:t>
      </w:r>
    </w:p>
    <w:p>
      <w:pPr>
        <w:spacing w:after="0" w:line="185" w:lineRule="exact"/>
        <w:rPr>
          <w:rFonts w:ascii="Times New Roman" w:cs="Times New Roman" w:eastAsia="Times New Roman" w:hAnsi="Times New Roman"/>
          <w:sz w:val="22"/>
          <w:szCs w:val="22"/>
          <w:b w:val="1"/>
          <w:bCs w:val="1"/>
          <w:color w:val="auto"/>
        </w:rPr>
      </w:pPr>
    </w:p>
    <w:p>
      <w:pPr>
        <w:jc w:val="both"/>
        <w:ind w:firstLine="8"/>
        <w:spacing w:after="0" w:line="232" w:lineRule="auto"/>
        <w:tabs>
          <w:tab w:leader="none" w:pos="509" w:val="left"/>
        </w:tabs>
        <w:numPr>
          <w:ilvl w:val="0"/>
          <w:numId w:val="3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To ensure the rapid and economical resolution of disputes that may arise from or relating to the enforcement, breach, performance, or interpretation of this Agreement shall be resolved, to the fullest extent permitted by law, by final, binding and confidential arbitration conducted by JAMS or its successor, under JAMS’ then applicable rules and procedures for employment disputes (available upon request and also currently available at http://www.jamsadr.com/rules-employment-arbitration/). </w:t>
      </w:r>
      <w:r>
        <w:rPr>
          <w:rFonts w:ascii="Times New Roman" w:cs="Times New Roman" w:eastAsia="Times New Roman" w:hAnsi="Times New Roman"/>
          <w:sz w:val="22"/>
          <w:szCs w:val="22"/>
          <w:b w:val="1"/>
          <w:bCs w:val="1"/>
          <w:color w:val="auto"/>
        </w:rPr>
        <w:t>You</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acknowledge that by agreeing to this arbitration procedure, both you and the Company waive the right to resolve any such dispute through a trial by jury or judge or administrative proceeding. </w:t>
      </w:r>
      <w:r>
        <w:rPr>
          <w:rFonts w:ascii="Times New Roman" w:cs="Times New Roman" w:eastAsia="Times New Roman" w:hAnsi="Times New Roman"/>
          <w:sz w:val="22"/>
          <w:szCs w:val="22"/>
          <w:color w:val="auto"/>
        </w:rPr>
        <w:t>You will have the right to be represented by legal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counsel at any arbitration proceeding. The arbitrator shall: (a) have the authority to compel adequate discovery for the resolution of the dispute and to award such relief as would otherwise be permitted by law; and (b) issue a written statement signed by the arbitrator regarding the disposition of each claim and the relief, if any, awarded as to each claim, the reasons for the award, and the arbitrator’s essential findings and conclusions on which the award is based. The arbitrator shall be authorized to award all relief that you or the Company would be entitled to seek in a court of law. The Company shall pay all JAMS arbitration fees in excess of the administrative fees that you would be required to pay if the dispute were decided in a court of law. Nothing in this Agreement is intended to prevent either you or the Company from obtaining injunctive relief in court to prevent irreparable harm pending the conclusion of any such arbitration. Further, nothing herein is intended to supersede the mutual agreement to arbitrate as set forth in the Restrictive Covenants Agreement.</w:t>
      </w:r>
    </w:p>
    <w:p>
      <w:pPr>
        <w:spacing w:after="0" w:line="188"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2"/>
          <w:szCs w:val="22"/>
          <w:color w:val="auto"/>
        </w:rPr>
        <w:t>If this Agreement is acceptable to you, please sign below and return the original to me on or after your Separation Date, but no later than the date that is [twenty-one (21)/forty-five (45)]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1440180</wp:posOffset>
            </wp:positionV>
            <wp:extent cx="715772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324" w:name="page325"/>
    <w:bookmarkEnd w:id="324"/>
    <w:p>
      <w:pPr>
        <w:spacing w:after="0"/>
        <w:rPr>
          <w:sz w:val="20"/>
          <w:szCs w:val="20"/>
          <w:color w:val="auto"/>
        </w:rPr>
      </w:pPr>
      <w:r>
        <w:rPr>
          <w:rFonts w:ascii="Times New Roman" w:cs="Times New Roman" w:eastAsia="Times New Roman" w:hAnsi="Times New Roman"/>
          <w:sz w:val="20"/>
          <w:szCs w:val="20"/>
          <w:color w:val="auto"/>
        </w:rPr>
        <w:t>after you receive this Agreement. This offer will expire if we have not received your executed copy by that date.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wish you good luck in your future endeavors.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Sincerely,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Invivyd, Inc.</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____________________________________</w:t>
      </w:r>
    </w:p>
    <w:p>
      <w:pPr>
        <w:spacing w:after="0" w:line="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David Hering</w:t>
      </w:r>
    </w:p>
    <w:p>
      <w:pPr>
        <w:ind w:left="44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greed to and</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ccepted</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________________________________________</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Julie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1866900</wp:posOffset>
            </wp:positionV>
            <wp:extent cx="7157720"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7" w:right="1440" w:bottom="1440" w:gutter="0" w:footer="0" w:header="0"/>
        </w:sectPr>
      </w:pPr>
    </w:p>
    <w:bookmarkStart w:id="325" w:name="page326"/>
    <w:bookmarkEnd w:id="325"/>
    <w:p>
      <w:pPr>
        <w:jc w:val="center"/>
        <w:ind w:right="-419"/>
        <w:spacing w:after="0"/>
        <w:rPr>
          <w:sz w:val="20"/>
          <w:szCs w:val="20"/>
          <w:color w:val="auto"/>
        </w:rPr>
      </w:pPr>
      <w:r>
        <w:rPr>
          <w:rFonts w:ascii="Times New Roman" w:cs="Times New Roman" w:eastAsia="Times New Roman" w:hAnsi="Times New Roman"/>
          <w:sz w:val="22"/>
          <w:szCs w:val="22"/>
          <w:b w:val="1"/>
          <w:bCs w:val="1"/>
          <w:color w:val="auto"/>
        </w:rPr>
        <w:t>CONSIDERATION PERIOD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____________________, understand that I have the right to take at least [21][45] days to consider whether to sign this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Agreement, which I received on ___________ __, 20__. If I elect to sign this Agreement before [21][45] days have passed, I</w:t>
      </w:r>
    </w:p>
    <w:p>
      <w:pPr>
        <w:spacing w:after="0" w:line="13"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22"/>
          <w:szCs w:val="22"/>
          <w:color w:val="auto"/>
        </w:rPr>
        <w:t>understand I am to sign and date below this paragraph to confirm that I knowingly and voluntarily agree to waive the 21-day consideration period.</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greed</w:t>
      </w:r>
      <w:r>
        <w:rPr>
          <w:rFonts w:ascii="Times New Roman" w:cs="Times New Roman" w:eastAsia="Times New Roman" w:hAnsi="Times New Roman"/>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27368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83">
                      <a:extLst>
                        <a:ext uri="{28A0092B-C50C-407E-A947-70E740481C1C}"/>
                      </a:extLst>
                    </a:blip>
                    <a:srcRect/>
                    <a:stretch>
                      <a:fillRect/>
                    </a:stretch>
                  </pic:blipFill>
                  <pic:spPr bwMode="auto">
                    <a:xfrm>
                      <a:off x="0" y="0"/>
                      <a:ext cx="2736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__________________________________________</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1866900</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402" w:right="739" w:bottom="1440" w:gutter="0" w:footer="0" w:header="0"/>
        </w:sectPr>
      </w:pPr>
    </w:p>
    <w:bookmarkStart w:id="326" w:name="page327"/>
    <w:bookmarkEnd w:id="326"/>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Appendix C</w:t>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PIIA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1487805</wp:posOffset>
            </wp:positionV>
            <wp:extent cx="7157720"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3" w:right="1440" w:bottom="1440" w:gutter="0" w:footer="0" w:header="0"/>
        </w:sectPr>
      </w:pPr>
    </w:p>
    <w:bookmarkStart w:id="327" w:name="page328"/>
    <w:bookmarkEnd w:id="327"/>
    <w:p>
      <w:pPr>
        <w:ind w:left="10020"/>
        <w:spacing w:after="0"/>
        <w:rPr>
          <w:sz w:val="20"/>
          <w:szCs w:val="20"/>
          <w:color w:val="auto"/>
        </w:rPr>
      </w:pPr>
      <w:r>
        <w:rPr>
          <w:rFonts w:ascii="Times New Roman" w:cs="Times New Roman" w:eastAsia="Times New Roman" w:hAnsi="Times New Roman"/>
          <w:sz w:val="20"/>
          <w:szCs w:val="20"/>
          <w:b w:val="1"/>
          <w:bCs w:val="1"/>
          <w:color w:val="auto"/>
        </w:rPr>
        <w:t>Exhibit 10.23</w:t>
      </w:r>
    </w:p>
    <w:p>
      <w:pPr>
        <w:spacing w:after="0" w:line="259" w:lineRule="exact"/>
        <w:rPr>
          <w:sz w:val="20"/>
          <w:szCs w:val="20"/>
          <w:color w:val="auto"/>
        </w:rPr>
      </w:pPr>
    </w:p>
    <w:p>
      <w:pPr>
        <w:jc w:val="center"/>
        <w:ind w:right="40"/>
        <w:spacing w:after="0" w:line="242" w:lineRule="auto"/>
        <w:rPr>
          <w:sz w:val="20"/>
          <w:szCs w:val="20"/>
          <w:color w:val="auto"/>
        </w:rPr>
      </w:pPr>
      <w:r>
        <w:rPr>
          <w:rFonts w:ascii="Times New Roman" w:cs="Times New Roman" w:eastAsia="Times New Roman" w:hAnsi="Times New Roman"/>
          <w:sz w:val="22"/>
          <w:szCs w:val="22"/>
          <w:color w:val="auto"/>
        </w:rPr>
        <w:t>CERTAIN CONFIDENTIAL INFORMATION CONTAINED IN THIS DOCUMENT, MARKED BY “[***]”, HAS BEEN OMITTED BECAUSE IT IS BOTH (I) NOT MATERIAL AND (II) IS THE TYPE THAT THE REGISTRANT TREATS AS PRIVATE OR CONFIDENTIAL.</w:t>
      </w:r>
    </w:p>
    <w:p>
      <w:pPr>
        <w:jc w:val="right"/>
        <w:spacing w:after="0" w:line="206" w:lineRule="auto"/>
        <w:rPr>
          <w:sz w:val="20"/>
          <w:szCs w:val="20"/>
          <w:color w:val="auto"/>
        </w:rPr>
      </w:pPr>
      <w:r>
        <w:rPr>
          <w:rFonts w:ascii="Calibri" w:cs="Calibri" w:eastAsia="Calibri" w:hAnsi="Calibri"/>
          <w:sz w:val="22"/>
          <w:szCs w:val="22"/>
          <w:color w:val="auto"/>
        </w:rPr>
        <w:t>CONFIDENTIAL</w:t>
      </w:r>
    </w:p>
    <w:p>
      <w:pPr>
        <w:spacing w:after="0" w:line="218" w:lineRule="exact"/>
        <w:rPr>
          <w:sz w:val="20"/>
          <w:szCs w:val="20"/>
          <w:color w:val="auto"/>
        </w:rPr>
      </w:pPr>
    </w:p>
    <w:p>
      <w:pPr>
        <w:jc w:val="center"/>
        <w:spacing w:after="0"/>
        <w:rPr>
          <w:sz w:val="20"/>
          <w:szCs w:val="20"/>
          <w:color w:val="auto"/>
        </w:rPr>
      </w:pPr>
      <w:r>
        <w:rPr>
          <w:rFonts w:ascii="Calibri" w:cs="Calibri" w:eastAsia="Calibri" w:hAnsi="Calibri"/>
          <w:sz w:val="25"/>
          <w:szCs w:val="25"/>
          <w:b w:val="1"/>
          <w:bCs w:val="1"/>
          <w:color w:val="auto"/>
        </w:rPr>
        <w:t>AMENDMENT NO. 2 TO THE CELL LINE LICENSE AGREEMENT</w:t>
      </w:r>
    </w:p>
    <w:p>
      <w:pPr>
        <w:spacing w:after="0" w:line="233" w:lineRule="exact"/>
        <w:rPr>
          <w:sz w:val="20"/>
          <w:szCs w:val="20"/>
          <w:color w:val="auto"/>
        </w:rPr>
      </w:pPr>
    </w:p>
    <w:p>
      <w:pPr>
        <w:jc w:val="both"/>
        <w:spacing w:after="0" w:line="238" w:lineRule="auto"/>
        <w:rPr>
          <w:sz w:val="20"/>
          <w:szCs w:val="20"/>
          <w:color w:val="auto"/>
        </w:rPr>
      </w:pPr>
      <w:r>
        <w:rPr>
          <w:rFonts w:ascii="Calibri" w:cs="Calibri" w:eastAsia="Calibri" w:hAnsi="Calibri"/>
          <w:sz w:val="22"/>
          <w:szCs w:val="22"/>
          <w:b w:val="1"/>
          <w:bCs w:val="1"/>
          <w:color w:val="auto"/>
        </w:rPr>
        <w:t xml:space="preserve">THIS AMENDMENT NO. 2 TO THE CELL LINE LICENSE AGREEMENT </w:t>
      </w:r>
      <w:r>
        <w:rPr>
          <w:rFonts w:ascii="Calibri" w:cs="Calibri" w:eastAsia="Calibri" w:hAnsi="Calibri"/>
          <w:sz w:val="22"/>
          <w:szCs w:val="22"/>
          <w:color w:val="auto"/>
        </w:rPr>
        <w:t>(this “</w:t>
      </w:r>
      <w:r>
        <w:rPr>
          <w:rFonts w:ascii="Calibri" w:cs="Calibri" w:eastAsia="Calibri" w:hAnsi="Calibri"/>
          <w:sz w:val="22"/>
          <w:szCs w:val="22"/>
          <w:b w:val="1"/>
          <w:bCs w:val="1"/>
          <w:color w:val="auto"/>
        </w:rPr>
        <w:t>Amendment No. 2</w:t>
      </w:r>
      <w:r>
        <w:rPr>
          <w:rFonts w:ascii="Calibri" w:cs="Calibri" w:eastAsia="Calibri" w:hAnsi="Calibri"/>
          <w:sz w:val="22"/>
          <w:szCs w:val="22"/>
          <w:color w:val="auto"/>
        </w:rPr>
        <w:t>”), efectve as of March 13, 2024</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 xml:space="preserve">(“the </w:t>
      </w:r>
      <w:r>
        <w:rPr>
          <w:rFonts w:ascii="Calibri" w:cs="Calibri" w:eastAsia="Calibri" w:hAnsi="Calibri"/>
          <w:sz w:val="22"/>
          <w:szCs w:val="22"/>
          <w:b w:val="1"/>
          <w:bCs w:val="1"/>
          <w:color w:val="auto"/>
        </w:rPr>
        <w:t>Amendment No. 2 Efectve Date</w:t>
      </w:r>
      <w:r>
        <w:rPr>
          <w:rFonts w:ascii="Calibri" w:cs="Calibri" w:eastAsia="Calibri" w:hAnsi="Calibri"/>
          <w:sz w:val="22"/>
          <w:szCs w:val="22"/>
          <w:color w:val="auto"/>
        </w:rPr>
        <w:t xml:space="preserve">”), is entered and made by and between </w:t>
      </w:r>
      <w:r>
        <w:rPr>
          <w:rFonts w:ascii="Calibri" w:cs="Calibri" w:eastAsia="Calibri" w:hAnsi="Calibri"/>
          <w:sz w:val="22"/>
          <w:szCs w:val="22"/>
          <w:b w:val="1"/>
          <w:bCs w:val="1"/>
          <w:color w:val="auto"/>
        </w:rPr>
        <w:t>WuXi Biologics (Hong Kong) Limited</w:t>
      </w:r>
      <w:r>
        <w:rPr>
          <w:rFonts w:ascii="Calibri" w:cs="Calibri" w:eastAsia="Calibri" w:hAnsi="Calibri"/>
          <w:sz w:val="22"/>
          <w:szCs w:val="22"/>
          <w:color w:val="auto"/>
        </w:rPr>
        <w:t>, having an address at Flat/RM826, 8/F Ocean Centre Harbour City, 5 Canton Road TST, Hong Kong (“</w:t>
      </w:r>
      <w:r>
        <w:rPr>
          <w:rFonts w:ascii="Calibri" w:cs="Calibri" w:eastAsia="Calibri" w:hAnsi="Calibri"/>
          <w:sz w:val="22"/>
          <w:szCs w:val="22"/>
          <w:b w:val="1"/>
          <w:bCs w:val="1"/>
          <w:color w:val="auto"/>
        </w:rPr>
        <w:t>WuXi Biologics</w:t>
      </w:r>
      <w:r>
        <w:rPr>
          <w:rFonts w:ascii="Calibri" w:cs="Calibri" w:eastAsia="Calibri" w:hAnsi="Calibri"/>
          <w:sz w:val="22"/>
          <w:szCs w:val="22"/>
          <w:color w:val="auto"/>
        </w:rPr>
        <w:t xml:space="preserve">”), and </w:t>
      </w:r>
      <w:r>
        <w:rPr>
          <w:rFonts w:ascii="Calibri" w:cs="Calibri" w:eastAsia="Calibri" w:hAnsi="Calibri"/>
          <w:sz w:val="22"/>
          <w:szCs w:val="22"/>
          <w:b w:val="1"/>
          <w:bCs w:val="1"/>
          <w:color w:val="auto"/>
        </w:rPr>
        <w:t>Invivyd, Inc.</w:t>
      </w:r>
      <w:r>
        <w:rPr>
          <w:rFonts w:ascii="Calibri" w:cs="Calibri" w:eastAsia="Calibri" w:hAnsi="Calibri"/>
          <w:sz w:val="22"/>
          <w:szCs w:val="22"/>
          <w:color w:val="auto"/>
        </w:rPr>
        <w:t xml:space="preserve"> having its principal place of business at 1601 Trapelo Road, Suite 178, Waltham, MA 02451 (“</w:t>
      </w:r>
      <w:r>
        <w:rPr>
          <w:rFonts w:ascii="Calibri" w:cs="Calibri" w:eastAsia="Calibri" w:hAnsi="Calibri"/>
          <w:sz w:val="22"/>
          <w:szCs w:val="22"/>
          <w:b w:val="1"/>
          <w:bCs w:val="1"/>
          <w:color w:val="auto"/>
        </w:rPr>
        <w:t>Licensee</w:t>
      </w:r>
      <w:r>
        <w:rPr>
          <w:rFonts w:ascii="Calibri" w:cs="Calibri" w:eastAsia="Calibri" w:hAnsi="Calibri"/>
          <w:sz w:val="22"/>
          <w:szCs w:val="22"/>
          <w:color w:val="auto"/>
        </w:rPr>
        <w:t>”). WuXi Biologics and Licensee may be referred to herein individually as a “</w:t>
      </w:r>
      <w:r>
        <w:rPr>
          <w:rFonts w:ascii="Calibri" w:cs="Calibri" w:eastAsia="Calibri" w:hAnsi="Calibri"/>
          <w:sz w:val="22"/>
          <w:szCs w:val="22"/>
          <w:b w:val="1"/>
          <w:bCs w:val="1"/>
          <w:color w:val="auto"/>
        </w:rPr>
        <w:t>Party</w:t>
      </w:r>
      <w:r>
        <w:rPr>
          <w:rFonts w:ascii="Calibri" w:cs="Calibri" w:eastAsia="Calibri" w:hAnsi="Calibri"/>
          <w:sz w:val="22"/>
          <w:szCs w:val="22"/>
          <w:color w:val="auto"/>
        </w:rPr>
        <w:t>” and collectvely as the “</w:t>
      </w:r>
      <w:r>
        <w:rPr>
          <w:rFonts w:ascii="Calibri" w:cs="Calibri" w:eastAsia="Calibri" w:hAnsi="Calibri"/>
          <w:sz w:val="22"/>
          <w:szCs w:val="22"/>
          <w:b w:val="1"/>
          <w:bCs w:val="1"/>
          <w:color w:val="auto"/>
        </w:rPr>
        <w:t>Partes</w:t>
      </w:r>
      <w:r>
        <w:rPr>
          <w:rFonts w:ascii="Calibri" w:cs="Calibri" w:eastAsia="Calibri" w:hAnsi="Calibri"/>
          <w:sz w:val="22"/>
          <w:szCs w:val="22"/>
          <w:color w:val="auto"/>
        </w:rPr>
        <w:t>.”</w:t>
      </w:r>
    </w:p>
    <w:p>
      <w:pPr>
        <w:spacing w:after="0" w:line="233" w:lineRule="exact"/>
        <w:rPr>
          <w:sz w:val="20"/>
          <w:szCs w:val="20"/>
          <w:color w:val="auto"/>
        </w:rPr>
      </w:pPr>
    </w:p>
    <w:p>
      <w:pPr>
        <w:jc w:val="both"/>
        <w:spacing w:after="0" w:line="234" w:lineRule="auto"/>
        <w:rPr>
          <w:sz w:val="20"/>
          <w:szCs w:val="20"/>
          <w:color w:val="auto"/>
        </w:rPr>
      </w:pPr>
      <w:r>
        <w:rPr>
          <w:rFonts w:ascii="Calibri" w:cs="Calibri" w:eastAsia="Calibri" w:hAnsi="Calibri"/>
          <w:sz w:val="22"/>
          <w:szCs w:val="22"/>
          <w:color w:val="auto"/>
        </w:rPr>
        <w:t>WHEREAS, Licensee was formerly known as “Adagio Therapeutcs, Inc.” with its principal place of business at 303 Wyman Street, Suite 300, Waltham, MA 02451; and</w:t>
      </w:r>
    </w:p>
    <w:p>
      <w:pPr>
        <w:spacing w:after="0" w:line="231" w:lineRule="exact"/>
        <w:rPr>
          <w:sz w:val="20"/>
          <w:szCs w:val="20"/>
          <w:color w:val="auto"/>
        </w:rPr>
      </w:pPr>
    </w:p>
    <w:p>
      <w:pPr>
        <w:jc w:val="both"/>
        <w:spacing w:after="0" w:line="236" w:lineRule="auto"/>
        <w:rPr>
          <w:sz w:val="20"/>
          <w:szCs w:val="20"/>
          <w:color w:val="auto"/>
        </w:rPr>
      </w:pPr>
      <w:r>
        <w:rPr>
          <w:rFonts w:ascii="Calibri" w:cs="Calibri" w:eastAsia="Calibri" w:hAnsi="Calibri"/>
          <w:sz w:val="22"/>
          <w:szCs w:val="22"/>
          <w:color w:val="auto"/>
        </w:rPr>
        <w:t>WHEREAS, WuXi Biologics and Licensee (then stll known as Adagio Therapeutcs, Inc.) entered into that certain Cell Line License Agreement, dated as of December 2, 2020, and amended as of February 2, 2023 via Amendment No. 1 (the “</w:t>
      </w:r>
      <w:r>
        <w:rPr>
          <w:rFonts w:ascii="Calibri" w:cs="Calibri" w:eastAsia="Calibri" w:hAnsi="Calibri"/>
          <w:sz w:val="22"/>
          <w:szCs w:val="22"/>
          <w:b w:val="1"/>
          <w:bCs w:val="1"/>
          <w:color w:val="auto"/>
        </w:rPr>
        <w:t>License</w:t>
      </w:r>
      <w:r>
        <w:rPr>
          <w:rFonts w:ascii="Calibri" w:cs="Calibri" w:eastAsia="Calibri" w:hAnsi="Calibri"/>
          <w:sz w:val="22"/>
          <w:szCs w:val="22"/>
          <w:color w:val="auto"/>
        </w:rPr>
        <w:t xml:space="preserve"> </w:t>
      </w:r>
      <w:r>
        <w:rPr>
          <w:rFonts w:ascii="Calibri" w:cs="Calibri" w:eastAsia="Calibri" w:hAnsi="Calibri"/>
          <w:sz w:val="22"/>
          <w:szCs w:val="22"/>
          <w:b w:val="1"/>
          <w:bCs w:val="1"/>
          <w:color w:val="auto"/>
        </w:rPr>
        <w:t>Agreement</w:t>
      </w:r>
      <w:r>
        <w:rPr>
          <w:rFonts w:ascii="Calibri" w:cs="Calibri" w:eastAsia="Calibri" w:hAnsi="Calibri"/>
          <w:sz w:val="22"/>
          <w:szCs w:val="22"/>
          <w:color w:val="auto"/>
        </w:rPr>
        <w:t>”); and</w:t>
      </w:r>
    </w:p>
    <w:p>
      <w:pPr>
        <w:spacing w:after="0" w:line="233" w:lineRule="exact"/>
        <w:rPr>
          <w:sz w:val="20"/>
          <w:szCs w:val="20"/>
          <w:color w:val="auto"/>
        </w:rPr>
      </w:pPr>
    </w:p>
    <w:p>
      <w:pPr>
        <w:jc w:val="both"/>
        <w:spacing w:after="0" w:line="234" w:lineRule="auto"/>
        <w:rPr>
          <w:sz w:val="20"/>
          <w:szCs w:val="20"/>
          <w:color w:val="auto"/>
        </w:rPr>
      </w:pPr>
      <w:r>
        <w:rPr>
          <w:rFonts w:ascii="Calibri" w:cs="Calibri" w:eastAsia="Calibri" w:hAnsi="Calibri"/>
          <w:sz w:val="22"/>
          <w:szCs w:val="22"/>
          <w:color w:val="auto"/>
        </w:rPr>
        <w:t>WHEREAS, as of September 13, 2022, Licensee changed its company name from “Adagio Therapeutcs, Inc.” to “Invivyd, Inc.”; and</w:t>
      </w:r>
    </w:p>
    <w:p>
      <w:pPr>
        <w:spacing w:after="0" w:line="219" w:lineRule="exact"/>
        <w:rPr>
          <w:sz w:val="20"/>
          <w:szCs w:val="20"/>
          <w:color w:val="auto"/>
        </w:rPr>
      </w:pPr>
    </w:p>
    <w:p>
      <w:pPr>
        <w:spacing w:after="0"/>
        <w:rPr>
          <w:sz w:val="20"/>
          <w:szCs w:val="20"/>
          <w:color w:val="auto"/>
        </w:rPr>
      </w:pPr>
      <w:r>
        <w:rPr>
          <w:rFonts w:ascii="Calibri" w:cs="Calibri" w:eastAsia="Calibri" w:hAnsi="Calibri"/>
          <w:sz w:val="22"/>
          <w:szCs w:val="22"/>
          <w:color w:val="auto"/>
        </w:rPr>
        <w:t>WHEREAS, the Partes now desire to amend the License Agreement as set forth herein.</w:t>
      </w:r>
    </w:p>
    <w:p>
      <w:pPr>
        <w:spacing w:after="0" w:line="230" w:lineRule="exact"/>
        <w:rPr>
          <w:sz w:val="20"/>
          <w:szCs w:val="20"/>
          <w:color w:val="auto"/>
        </w:rPr>
      </w:pPr>
    </w:p>
    <w:p>
      <w:pPr>
        <w:jc w:val="both"/>
        <w:spacing w:after="0" w:line="234" w:lineRule="auto"/>
        <w:rPr>
          <w:sz w:val="20"/>
          <w:szCs w:val="20"/>
          <w:color w:val="auto"/>
        </w:rPr>
      </w:pPr>
      <w:r>
        <w:rPr>
          <w:rFonts w:ascii="Calibri" w:cs="Calibri" w:eastAsia="Calibri" w:hAnsi="Calibri"/>
          <w:sz w:val="22"/>
          <w:szCs w:val="22"/>
          <w:b w:val="1"/>
          <w:bCs w:val="1"/>
          <w:color w:val="auto"/>
        </w:rPr>
        <w:t>NOW THEREFORE</w:t>
      </w:r>
      <w:r>
        <w:rPr>
          <w:rFonts w:ascii="Calibri" w:cs="Calibri" w:eastAsia="Calibri" w:hAnsi="Calibri"/>
          <w:sz w:val="22"/>
          <w:szCs w:val="22"/>
          <w:color w:val="auto"/>
        </w:rPr>
        <w:t>, in consideraton of the mutual covenants and agreements contained herein below, the sufciency of which is</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acknowledged by both Partes, the Partes agree as follows:</w:t>
      </w:r>
    </w:p>
    <w:p>
      <w:pPr>
        <w:spacing w:after="0" w:line="231" w:lineRule="exact"/>
        <w:rPr>
          <w:sz w:val="20"/>
          <w:szCs w:val="20"/>
          <w:color w:val="auto"/>
        </w:rPr>
      </w:pPr>
    </w:p>
    <w:p>
      <w:pPr>
        <w:ind w:left="760" w:right="20" w:hanging="752"/>
        <w:spacing w:after="0" w:line="234" w:lineRule="auto"/>
        <w:tabs>
          <w:tab w:leader="none" w:pos="760" w:val="left"/>
        </w:tabs>
        <w:numPr>
          <w:ilvl w:val="0"/>
          <w:numId w:val="306"/>
        </w:numPr>
        <w:rPr>
          <w:rFonts w:ascii="Calibri" w:cs="Calibri" w:eastAsia="Calibri" w:hAnsi="Calibri"/>
          <w:sz w:val="22"/>
          <w:szCs w:val="22"/>
          <w:b w:val="1"/>
          <w:bCs w:val="1"/>
          <w:color w:val="auto"/>
        </w:rPr>
      </w:pPr>
      <w:r>
        <w:rPr>
          <w:rFonts w:ascii="Calibri" w:cs="Calibri" w:eastAsia="Calibri" w:hAnsi="Calibri"/>
          <w:sz w:val="22"/>
          <w:szCs w:val="22"/>
          <w:color w:val="auto"/>
        </w:rPr>
        <w:t>The table of [***] in Appendix I of the License Agreement is hereby deleted in its entrety and replaced with the following:</w:t>
      </w:r>
    </w:p>
    <w:p>
      <w:pPr>
        <w:spacing w:after="0" w:line="218" w:lineRule="exact"/>
        <w:rPr>
          <w:rFonts w:ascii="Calibri" w:cs="Calibri" w:eastAsia="Calibri" w:hAnsi="Calibri"/>
          <w:sz w:val="22"/>
          <w:szCs w:val="22"/>
          <w:b w:val="1"/>
          <w:bCs w:val="1"/>
          <w:color w:val="auto"/>
        </w:rPr>
      </w:pPr>
    </w:p>
    <w:p>
      <w:pPr>
        <w:ind w:left="760"/>
        <w:spacing w:after="0"/>
        <w:rPr>
          <w:rFonts w:ascii="Calibri" w:cs="Calibri" w:eastAsia="Calibri" w:hAnsi="Calibri"/>
          <w:sz w:val="22"/>
          <w:szCs w:val="22"/>
          <w:b w:val="1"/>
          <w:bCs w:val="1"/>
          <w:color w:val="auto"/>
        </w:rPr>
      </w:pPr>
      <w:r>
        <w:rPr>
          <w:rFonts w:ascii="Calibri" w:cs="Calibri" w:eastAsia="Calibri" w:hAnsi="Calibri"/>
          <w:sz w:val="22"/>
          <w:szCs w:val="22"/>
          <w:color w:val="auto"/>
        </w:rPr>
        <w:t>[***]</w:t>
      </w:r>
    </w:p>
    <w:p>
      <w:pPr>
        <w:spacing w:after="0" w:line="283" w:lineRule="exact"/>
        <w:rPr>
          <w:rFonts w:ascii="Calibri" w:cs="Calibri" w:eastAsia="Calibri" w:hAnsi="Calibri"/>
          <w:sz w:val="22"/>
          <w:szCs w:val="22"/>
          <w:b w:val="1"/>
          <w:bCs w:val="1"/>
          <w:color w:val="auto"/>
        </w:rPr>
      </w:pPr>
    </w:p>
    <w:p>
      <w:pPr>
        <w:jc w:val="both"/>
        <w:ind w:left="760" w:hanging="752"/>
        <w:spacing w:after="0" w:line="236" w:lineRule="auto"/>
        <w:tabs>
          <w:tab w:leader="none" w:pos="760" w:val="left"/>
        </w:tabs>
        <w:numPr>
          <w:ilvl w:val="0"/>
          <w:numId w:val="306"/>
        </w:numPr>
        <w:rPr>
          <w:rFonts w:ascii="Calibri" w:cs="Calibri" w:eastAsia="Calibri" w:hAnsi="Calibri"/>
          <w:sz w:val="22"/>
          <w:szCs w:val="22"/>
          <w:b w:val="1"/>
          <w:bCs w:val="1"/>
          <w:color w:val="auto"/>
        </w:rPr>
      </w:pPr>
      <w:r>
        <w:rPr>
          <w:rFonts w:ascii="Calibri" w:cs="Calibri" w:eastAsia="Calibri" w:hAnsi="Calibri"/>
          <w:sz w:val="22"/>
          <w:szCs w:val="22"/>
          <w:color w:val="auto"/>
        </w:rPr>
        <w:t>Except as expressly amended by this Amendment No. 2, the License Agreement is and shall remain unchanged and in full force and efect in accordance with its terms and the Partes hereby ratfy and reafrm the License Agreement as amended hereby.</w:t>
      </w:r>
    </w:p>
    <w:p>
      <w:pPr>
        <w:spacing w:after="0" w:line="232" w:lineRule="exact"/>
        <w:rPr>
          <w:rFonts w:ascii="Calibri" w:cs="Calibri" w:eastAsia="Calibri" w:hAnsi="Calibri"/>
          <w:sz w:val="22"/>
          <w:szCs w:val="22"/>
          <w:b w:val="1"/>
          <w:bCs w:val="1"/>
          <w:color w:val="auto"/>
        </w:rPr>
      </w:pPr>
    </w:p>
    <w:p>
      <w:pPr>
        <w:jc w:val="both"/>
        <w:ind w:left="760" w:hanging="752"/>
        <w:spacing w:after="0" w:line="236" w:lineRule="auto"/>
        <w:tabs>
          <w:tab w:leader="none" w:pos="760" w:val="left"/>
        </w:tabs>
        <w:numPr>
          <w:ilvl w:val="0"/>
          <w:numId w:val="306"/>
        </w:numPr>
        <w:rPr>
          <w:rFonts w:ascii="Calibri" w:cs="Calibri" w:eastAsia="Calibri" w:hAnsi="Calibri"/>
          <w:sz w:val="22"/>
          <w:szCs w:val="22"/>
          <w:b w:val="1"/>
          <w:bCs w:val="1"/>
          <w:color w:val="auto"/>
        </w:rPr>
      </w:pPr>
      <w:r>
        <w:rPr>
          <w:rFonts w:ascii="Calibri" w:cs="Calibri" w:eastAsia="Calibri" w:hAnsi="Calibri"/>
          <w:sz w:val="22"/>
          <w:szCs w:val="22"/>
          <w:color w:val="auto"/>
        </w:rPr>
        <w:t>The laws of the State of New York, USA, without giving efect to principles of confict of laws, govern all maters relatng to this Amendment No. 2 and the enforcement and interpretaton thereof. Any dispute arising out of or in connecton with this Amendment No. 2 shall be resolved in accordance with Secton 14.6 of the License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1035050</wp:posOffset>
            </wp:positionV>
            <wp:extent cx="7157720"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328" w:name="page329"/>
    <w:bookmarkEnd w:id="328"/>
    <w:p>
      <w:pPr>
        <w:jc w:val="both"/>
        <w:ind w:left="760" w:hanging="752"/>
        <w:spacing w:after="0" w:line="237" w:lineRule="auto"/>
        <w:tabs>
          <w:tab w:leader="none" w:pos="760" w:val="left"/>
        </w:tabs>
        <w:numPr>
          <w:ilvl w:val="0"/>
          <w:numId w:val="307"/>
        </w:numPr>
        <w:rPr>
          <w:rFonts w:ascii="Calibri" w:cs="Calibri" w:eastAsia="Calibri" w:hAnsi="Calibri"/>
          <w:sz w:val="22"/>
          <w:szCs w:val="22"/>
          <w:b w:val="1"/>
          <w:bCs w:val="1"/>
          <w:color w:val="auto"/>
        </w:rPr>
      </w:pPr>
      <w:r>
        <w:rPr>
          <w:rFonts w:ascii="Calibri" w:cs="Calibri" w:eastAsia="Calibri" w:hAnsi="Calibri"/>
          <w:sz w:val="22"/>
          <w:szCs w:val="22"/>
          <w:color w:val="auto"/>
        </w:rPr>
        <w:t>This Amendment No. 2 may be executed in two or more counterparts, each of which shall be deemed an original, but all of which together shall consttute one and the same instrument. Each Party may rely on the delivery of executed electronic copies of counterpart executon pages of this Amendment No. 2 and such electronic copies shall be legally efectve to create a valid and binding agreement among the Partes.</w:t>
      </w:r>
    </w:p>
    <w:p>
      <w:pPr>
        <w:spacing w:after="0" w:line="233" w:lineRule="exact"/>
        <w:rPr>
          <w:rFonts w:ascii="Calibri" w:cs="Calibri" w:eastAsia="Calibri" w:hAnsi="Calibri"/>
          <w:sz w:val="22"/>
          <w:szCs w:val="22"/>
          <w:b w:val="1"/>
          <w:bCs w:val="1"/>
          <w:color w:val="auto"/>
        </w:rPr>
      </w:pPr>
    </w:p>
    <w:p>
      <w:pPr>
        <w:jc w:val="both"/>
        <w:ind w:left="760" w:right="20" w:hanging="752"/>
        <w:spacing w:after="0" w:line="238" w:lineRule="auto"/>
        <w:tabs>
          <w:tab w:leader="none" w:pos="760" w:val="left"/>
        </w:tabs>
        <w:numPr>
          <w:ilvl w:val="0"/>
          <w:numId w:val="307"/>
        </w:numPr>
        <w:rPr>
          <w:rFonts w:ascii="Calibri" w:cs="Calibri" w:eastAsia="Calibri" w:hAnsi="Calibri"/>
          <w:sz w:val="22"/>
          <w:szCs w:val="22"/>
          <w:b w:val="1"/>
          <w:bCs w:val="1"/>
          <w:color w:val="auto"/>
        </w:rPr>
      </w:pPr>
      <w:r>
        <w:rPr>
          <w:rFonts w:ascii="Calibri" w:cs="Calibri" w:eastAsia="Calibri" w:hAnsi="Calibri"/>
          <w:sz w:val="22"/>
          <w:szCs w:val="22"/>
          <w:color w:val="auto"/>
        </w:rPr>
        <w:t>Any capitalized term used in this Amendment No. 2 and not otherwise defned herein shall have the meaning given to that term in the License Agreement. This Amendment No. 2 and the rights and obligatons of the Partes hereto shall be governed, construed, and enforced in accordance with the governing law as stated in the License Agreement, and if no such governing law is specifed therein, then with the laws of Hong Kong, without regard to the confict of laws provision thereof.</w:t>
      </w:r>
    </w:p>
    <w:p>
      <w:pPr>
        <w:spacing w:after="0" w:line="233" w:lineRule="exact"/>
        <w:rPr>
          <w:sz w:val="20"/>
          <w:szCs w:val="20"/>
          <w:color w:val="auto"/>
        </w:rPr>
      </w:pPr>
    </w:p>
    <w:p>
      <w:pPr>
        <w:ind w:right="220"/>
        <w:spacing w:after="0" w:line="234" w:lineRule="auto"/>
        <w:rPr>
          <w:sz w:val="20"/>
          <w:szCs w:val="20"/>
          <w:color w:val="auto"/>
        </w:rPr>
      </w:pPr>
      <w:r>
        <w:rPr>
          <w:rFonts w:ascii="Calibri" w:cs="Calibri" w:eastAsia="Calibri" w:hAnsi="Calibri"/>
          <w:sz w:val="22"/>
          <w:szCs w:val="22"/>
          <w:color w:val="auto"/>
        </w:rPr>
        <w:t>IN WITNESS WHEREOF, the Partes hereto have caused this Amendment No. 2 to be duly executed as of the Amendment No. 2 Efectve Date set forth above.</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4500" w:type="dxa"/>
            <w:vAlign w:val="bottom"/>
            <w:gridSpan w:val="3"/>
          </w:tcPr>
          <w:p>
            <w:pPr>
              <w:ind w:left="100"/>
              <w:spacing w:after="0"/>
              <w:rPr>
                <w:sz w:val="20"/>
                <w:szCs w:val="20"/>
                <w:color w:val="auto"/>
              </w:rPr>
            </w:pPr>
            <w:r>
              <w:rPr>
                <w:rFonts w:ascii="Calibri" w:cs="Calibri" w:eastAsia="Calibri" w:hAnsi="Calibri"/>
                <w:sz w:val="22"/>
                <w:szCs w:val="22"/>
                <w:b w:val="1"/>
                <w:bCs w:val="1"/>
                <w:color w:val="auto"/>
              </w:rPr>
              <w:t>WuXi Biologics (Hong Kong) Limited</w:t>
            </w:r>
          </w:p>
        </w:tc>
        <w:tc>
          <w:tcPr>
            <w:tcW w:w="6740" w:type="dxa"/>
            <w:vAlign w:val="bottom"/>
            <w:gridSpan w:val="3"/>
          </w:tcPr>
          <w:p>
            <w:pPr>
              <w:ind w:left="1220"/>
              <w:spacing w:after="0"/>
              <w:rPr>
                <w:sz w:val="20"/>
                <w:szCs w:val="20"/>
                <w:color w:val="auto"/>
              </w:rPr>
            </w:pPr>
            <w:r>
              <w:rPr>
                <w:rFonts w:ascii="Calibri" w:cs="Calibri" w:eastAsia="Calibri" w:hAnsi="Calibri"/>
                <w:sz w:val="22"/>
                <w:szCs w:val="22"/>
                <w:b w:val="1"/>
                <w:bCs w:val="1"/>
                <w:color w:val="auto"/>
              </w:rPr>
              <w:t>Invivyd, Inc.</w:t>
            </w:r>
          </w:p>
        </w:tc>
      </w:tr>
      <w:tr>
        <w:trPr>
          <w:trHeight w:val="744"/>
        </w:trPr>
        <w:tc>
          <w:tcPr>
            <w:tcW w:w="4500" w:type="dxa"/>
            <w:vAlign w:val="bottom"/>
            <w:gridSpan w:val="3"/>
          </w:tcPr>
          <w:p>
            <w:pPr>
              <w:ind w:left="100"/>
              <w:spacing w:after="0"/>
              <w:rPr>
                <w:sz w:val="20"/>
                <w:szCs w:val="20"/>
                <w:color w:val="auto"/>
              </w:rPr>
            </w:pPr>
            <w:r>
              <w:rPr>
                <w:rFonts w:ascii="Calibri" w:cs="Calibri" w:eastAsia="Calibri" w:hAnsi="Calibri"/>
                <w:sz w:val="22"/>
                <w:szCs w:val="22"/>
                <w:color w:val="auto"/>
              </w:rPr>
              <w:t>By: /s/ [***]_________________</w:t>
            </w:r>
          </w:p>
        </w:tc>
        <w:tc>
          <w:tcPr>
            <w:tcW w:w="6740" w:type="dxa"/>
            <w:vAlign w:val="bottom"/>
            <w:gridSpan w:val="3"/>
          </w:tcPr>
          <w:p>
            <w:pPr>
              <w:ind w:left="1220"/>
              <w:spacing w:after="0"/>
              <w:rPr>
                <w:sz w:val="20"/>
                <w:szCs w:val="20"/>
                <w:color w:val="auto"/>
              </w:rPr>
            </w:pPr>
            <w:r>
              <w:rPr>
                <w:rFonts w:ascii="Calibri" w:cs="Calibri" w:eastAsia="Calibri" w:hAnsi="Calibri"/>
                <w:sz w:val="22"/>
                <w:szCs w:val="22"/>
                <w:color w:val="auto"/>
              </w:rPr>
              <w:t>By: /s/ [***]____________________</w:t>
            </w:r>
          </w:p>
        </w:tc>
      </w:tr>
      <w:tr>
        <w:trPr>
          <w:trHeight w:val="20"/>
        </w:trPr>
        <w:tc>
          <w:tcPr>
            <w:tcW w:w="4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423"/>
        </w:trPr>
        <w:tc>
          <w:tcPr>
            <w:tcW w:w="4500" w:type="dxa"/>
            <w:vAlign w:val="bottom"/>
            <w:gridSpan w:val="3"/>
          </w:tcPr>
          <w:p>
            <w:pPr>
              <w:ind w:left="100"/>
              <w:spacing w:after="0"/>
              <w:rPr>
                <w:sz w:val="20"/>
                <w:szCs w:val="20"/>
                <w:color w:val="auto"/>
              </w:rPr>
            </w:pPr>
            <w:r>
              <w:rPr>
                <w:rFonts w:ascii="Calibri" w:cs="Calibri" w:eastAsia="Calibri" w:hAnsi="Calibri"/>
                <w:sz w:val="22"/>
                <w:szCs w:val="22"/>
                <w:color w:val="auto"/>
              </w:rPr>
              <w:t>Name: [***]</w:t>
            </w:r>
          </w:p>
        </w:tc>
        <w:tc>
          <w:tcPr>
            <w:tcW w:w="6740" w:type="dxa"/>
            <w:vAlign w:val="bottom"/>
            <w:gridSpan w:val="3"/>
          </w:tcPr>
          <w:p>
            <w:pPr>
              <w:ind w:left="1220"/>
              <w:spacing w:after="0"/>
              <w:rPr>
                <w:sz w:val="20"/>
                <w:szCs w:val="20"/>
                <w:color w:val="auto"/>
              </w:rPr>
            </w:pPr>
            <w:r>
              <w:rPr>
                <w:rFonts w:ascii="Calibri" w:cs="Calibri" w:eastAsia="Calibri" w:hAnsi="Calibri"/>
                <w:sz w:val="22"/>
                <w:szCs w:val="22"/>
                <w:color w:val="auto"/>
              </w:rPr>
              <w:t>Name: [***]</w:t>
            </w:r>
          </w:p>
        </w:tc>
      </w:tr>
      <w:tr>
        <w:trPr>
          <w:trHeight w:val="405"/>
        </w:trPr>
        <w:tc>
          <w:tcPr>
            <w:tcW w:w="4500" w:type="dxa"/>
            <w:vAlign w:val="bottom"/>
            <w:gridSpan w:val="3"/>
          </w:tcPr>
          <w:p>
            <w:pPr>
              <w:ind w:left="100"/>
              <w:spacing w:after="0"/>
              <w:rPr>
                <w:sz w:val="20"/>
                <w:szCs w:val="20"/>
                <w:color w:val="auto"/>
              </w:rPr>
            </w:pPr>
            <w:r>
              <w:rPr>
                <w:rFonts w:ascii="Calibri" w:cs="Calibri" w:eastAsia="Calibri" w:hAnsi="Calibri"/>
                <w:sz w:val="22"/>
                <w:szCs w:val="22"/>
                <w:color w:val="auto"/>
              </w:rPr>
              <w:t>Title: [***]</w:t>
            </w:r>
          </w:p>
        </w:tc>
        <w:tc>
          <w:tcPr>
            <w:tcW w:w="6740" w:type="dxa"/>
            <w:vAlign w:val="bottom"/>
            <w:gridSpan w:val="3"/>
          </w:tcPr>
          <w:p>
            <w:pPr>
              <w:ind w:left="1220"/>
              <w:spacing w:after="0"/>
              <w:rPr>
                <w:sz w:val="20"/>
                <w:szCs w:val="20"/>
                <w:color w:val="auto"/>
              </w:rPr>
            </w:pPr>
            <w:r>
              <w:rPr>
                <w:rFonts w:ascii="Calibri" w:cs="Calibri" w:eastAsia="Calibri" w:hAnsi="Calibri"/>
                <w:sz w:val="22"/>
                <w:szCs w:val="22"/>
                <w:color w:val="auto"/>
              </w:rPr>
              <w:t>Title: [***]</w:t>
            </w:r>
          </w:p>
        </w:tc>
      </w:tr>
      <w:tr>
        <w:trPr>
          <w:trHeight w:val="1991"/>
        </w:trPr>
        <w:tc>
          <w:tcPr>
            <w:tcW w:w="4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8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18" w:right="339" w:bottom="1440" w:gutter="0" w:footer="0" w:header="0"/>
        </w:sectPr>
      </w:pPr>
    </w:p>
    <w:bookmarkStart w:id="329" w:name="page330"/>
    <w:bookmarkEnd w:id="32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(Nos. 333-267643 and 333-276986) and Form S-8 (Nos.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333-259008 and 333-264920) of Invivyd, Inc. of our report dated March 28, 2024, relating to the financial statements, which appears in this Form 10-K.</w:t>
      </w:r>
    </w:p>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28,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30" w:name="page331"/>
    <w:bookmarkEnd w:id="33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Hering, certify that:</w:t>
      </w:r>
    </w:p>
    <w:p>
      <w:pPr>
        <w:spacing w:after="0" w:line="225" w:lineRule="exact"/>
        <w:rPr>
          <w:sz w:val="20"/>
          <w:szCs w:val="20"/>
          <w:color w:val="auto"/>
        </w:rPr>
      </w:pPr>
    </w:p>
    <w:p>
      <w:pPr>
        <w:ind w:left="520" w:hanging="512"/>
        <w:spacing w:after="0"/>
        <w:tabs>
          <w:tab w:leader="none" w:pos="52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Invivyd, Inc.;</w:t>
      </w:r>
    </w:p>
    <w:p>
      <w:pPr>
        <w:spacing w:after="0" w:line="224" w:lineRule="exact"/>
        <w:rPr>
          <w:rFonts w:ascii="Times New Roman" w:cs="Times New Roman" w:eastAsia="Times New Roman" w:hAnsi="Times New Roman"/>
          <w:sz w:val="18"/>
          <w:szCs w:val="18"/>
          <w:color w:val="auto"/>
        </w:rPr>
      </w:pPr>
    </w:p>
    <w:p>
      <w:pPr>
        <w:jc w:val="both"/>
        <w:ind w:left="520" w:right="260" w:hanging="512"/>
        <w:spacing w:after="0" w:line="265" w:lineRule="auto"/>
        <w:tabs>
          <w:tab w:leader="none" w:pos="52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jc w:val="both"/>
        <w:ind w:left="520" w:right="260" w:hanging="512"/>
        <w:spacing w:after="0" w:line="265" w:lineRule="auto"/>
        <w:tabs>
          <w:tab w:leader="none" w:pos="52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ind w:left="1020" w:right="20" w:hanging="504"/>
        <w:spacing w:after="0" w:line="265" w:lineRule="auto"/>
        <w:tabs>
          <w:tab w:leader="none" w:pos="1020" w:val="left"/>
        </w:tabs>
        <w:numPr>
          <w:ilvl w:val="1"/>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1020" w:right="340" w:hanging="504"/>
        <w:spacing w:after="0" w:line="265" w:lineRule="auto"/>
        <w:tabs>
          <w:tab w:leader="none" w:pos="1020" w:val="left"/>
        </w:tabs>
        <w:numPr>
          <w:ilvl w:val="1"/>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jc w:val="both"/>
        <w:ind w:left="1020" w:right="500" w:hanging="504"/>
        <w:spacing w:after="0" w:line="312" w:lineRule="auto"/>
        <w:tabs>
          <w:tab w:leader="none" w:pos="1020" w:val="left"/>
        </w:tabs>
        <w:numPr>
          <w:ilvl w:val="1"/>
          <w:numId w:val="3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020" w:right="20" w:hanging="504"/>
        <w:spacing w:after="0" w:line="265" w:lineRule="auto"/>
        <w:tabs>
          <w:tab w:leader="none" w:pos="1020" w:val="left"/>
        </w:tabs>
        <w:numPr>
          <w:ilvl w:val="1"/>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020" w:right="740" w:hanging="504"/>
        <w:spacing w:after="0" w:line="281" w:lineRule="auto"/>
        <w:tabs>
          <w:tab w:leader="none" w:pos="1020" w:val="left"/>
        </w:tabs>
        <w:numPr>
          <w:ilvl w:val="1"/>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020" w:right="440" w:hanging="504"/>
        <w:spacing w:after="0" w:line="281" w:lineRule="auto"/>
        <w:tabs>
          <w:tab w:leader="none" w:pos="1020" w:val="left"/>
        </w:tabs>
        <w:numPr>
          <w:ilvl w:val="1"/>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ind w:left="20"/>
        <w:spacing w:after="0"/>
        <w:tabs>
          <w:tab w:leader="none" w:pos="5680" w:val="left"/>
          <w:tab w:leader="none" w:pos="7700" w:val="left"/>
        </w:tabs>
        <w:rPr>
          <w:sz w:val="20"/>
          <w:szCs w:val="20"/>
          <w:color w:val="auto"/>
        </w:rPr>
      </w:pPr>
      <w:r>
        <w:rPr>
          <w:rFonts w:ascii="Times New Roman" w:cs="Times New Roman" w:eastAsia="Times New Roman" w:hAnsi="Times New Roman"/>
          <w:sz w:val="18"/>
          <w:szCs w:val="18"/>
          <w:color w:val="auto"/>
        </w:rPr>
        <w:t>Date: March 28,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Hering,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26035</wp:posOffset>
            </wp:positionV>
            <wp:extent cx="331343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90">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21"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b w:val="1"/>
          <w:bCs w:val="1"/>
          <w:color w:val="auto"/>
        </w:rPr>
        <w:t>David Hering, M.B.A.</w:t>
      </w:r>
    </w:p>
    <w:p>
      <w:pPr>
        <w:spacing w:after="0" w:line="22"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2"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b w:val="1"/>
          <w:bCs w:val="1"/>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1174750</wp:posOffset>
            </wp:positionV>
            <wp:extent cx="7157720"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31" w:name="page332"/>
    <w:bookmarkEnd w:id="33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Duke, Jr., certify that:</w:t>
      </w:r>
    </w:p>
    <w:p>
      <w:pPr>
        <w:spacing w:after="0" w:line="225" w:lineRule="exact"/>
        <w:rPr>
          <w:sz w:val="20"/>
          <w:szCs w:val="20"/>
          <w:color w:val="auto"/>
        </w:rPr>
      </w:pPr>
    </w:p>
    <w:p>
      <w:pPr>
        <w:ind w:left="520" w:hanging="512"/>
        <w:spacing w:after="0"/>
        <w:tabs>
          <w:tab w:leader="none" w:pos="52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Invivyd, Inc.;</w:t>
      </w:r>
    </w:p>
    <w:p>
      <w:pPr>
        <w:spacing w:after="0" w:line="224" w:lineRule="exact"/>
        <w:rPr>
          <w:rFonts w:ascii="Times New Roman" w:cs="Times New Roman" w:eastAsia="Times New Roman" w:hAnsi="Times New Roman"/>
          <w:sz w:val="18"/>
          <w:szCs w:val="18"/>
          <w:color w:val="auto"/>
        </w:rPr>
      </w:pPr>
    </w:p>
    <w:p>
      <w:pPr>
        <w:jc w:val="both"/>
        <w:ind w:left="520" w:right="260" w:hanging="512"/>
        <w:spacing w:after="0" w:line="265" w:lineRule="auto"/>
        <w:tabs>
          <w:tab w:leader="none" w:pos="52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jc w:val="both"/>
        <w:ind w:left="520" w:right="260" w:hanging="512"/>
        <w:spacing w:after="0" w:line="265" w:lineRule="auto"/>
        <w:tabs>
          <w:tab w:leader="none" w:pos="52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ind w:left="1020" w:right="20" w:hanging="504"/>
        <w:spacing w:after="0" w:line="265" w:lineRule="auto"/>
        <w:tabs>
          <w:tab w:leader="none" w:pos="1020"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1020" w:right="340" w:hanging="504"/>
        <w:spacing w:after="0" w:line="265" w:lineRule="auto"/>
        <w:tabs>
          <w:tab w:leader="none" w:pos="1020"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jc w:val="both"/>
        <w:ind w:left="1020" w:right="500" w:hanging="504"/>
        <w:spacing w:after="0" w:line="312" w:lineRule="auto"/>
        <w:tabs>
          <w:tab w:leader="none" w:pos="1020" w:val="left"/>
        </w:tabs>
        <w:numPr>
          <w:ilvl w:val="1"/>
          <w:numId w:val="3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020" w:right="20" w:hanging="504"/>
        <w:spacing w:after="0" w:line="265" w:lineRule="auto"/>
        <w:tabs>
          <w:tab w:leader="none" w:pos="1020"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020" w:right="740" w:hanging="504"/>
        <w:spacing w:after="0" w:line="281" w:lineRule="auto"/>
        <w:tabs>
          <w:tab w:leader="none" w:pos="1020"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020" w:right="440" w:hanging="504"/>
        <w:spacing w:after="0" w:line="281" w:lineRule="auto"/>
        <w:tabs>
          <w:tab w:leader="none" w:pos="1020"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ind w:left="20"/>
        <w:spacing w:after="0"/>
        <w:tabs>
          <w:tab w:leader="none" w:pos="5680" w:val="left"/>
          <w:tab w:leader="none" w:pos="7860" w:val="left"/>
        </w:tabs>
        <w:rPr>
          <w:sz w:val="20"/>
          <w:szCs w:val="20"/>
          <w:color w:val="auto"/>
        </w:rPr>
      </w:pPr>
      <w:r>
        <w:rPr>
          <w:rFonts w:ascii="Times New Roman" w:cs="Times New Roman" w:eastAsia="Times New Roman" w:hAnsi="Times New Roman"/>
          <w:sz w:val="18"/>
          <w:szCs w:val="18"/>
          <w:color w:val="auto"/>
        </w:rPr>
        <w:t>Date: March 28,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William Duke,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26035</wp:posOffset>
            </wp:positionV>
            <wp:extent cx="331343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92">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William Duke, Jr.</w:t>
      </w:r>
    </w:p>
    <w:p>
      <w:pPr>
        <w:spacing w:after="0" w:line="22"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2"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i w:val="1"/>
          <w:iCs w:val="1"/>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1174750</wp:posOffset>
            </wp:positionV>
            <wp:extent cx="715772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32" w:name="page333"/>
    <w:bookmarkEnd w:id="33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6" w:lineRule="exact"/>
        <w:rPr>
          <w:sz w:val="20"/>
          <w:szCs w:val="20"/>
          <w:color w:val="auto"/>
        </w:rPr>
      </w:pPr>
    </w:p>
    <w:p>
      <w:pPr>
        <w:ind w:right="320" w:firstLine="509"/>
        <w:spacing w:after="0" w:line="265" w:lineRule="auto"/>
        <w:rPr>
          <w:sz w:val="20"/>
          <w:szCs w:val="20"/>
          <w:color w:val="auto"/>
        </w:rPr>
      </w:pPr>
      <w:r>
        <w:rPr>
          <w:rFonts w:ascii="Times New Roman" w:cs="Times New Roman" w:eastAsia="Times New Roman" w:hAnsi="Times New Roman"/>
          <w:sz w:val="18"/>
          <w:szCs w:val="18"/>
          <w:color w:val="auto"/>
        </w:rPr>
        <w:t>In connection with the Annual Report of Invivyd, Inc. (the “Company”) on Form 10-K for the period ended December 31, 2023 as filed with the Securities and Exchange Commission on the date hereof (the “Report”), I certify, pursuant to 18 U.S.C. § 1350, as adopted pursuant to § 906 of the Sarbanes-Oxley Act of 2002, that:</w:t>
      </w:r>
    </w:p>
    <w:p>
      <w:pPr>
        <w:spacing w:after="0" w:line="177" w:lineRule="exact"/>
        <w:rPr>
          <w:sz w:val="20"/>
          <w:szCs w:val="20"/>
          <w:color w:val="auto"/>
        </w:rPr>
      </w:pPr>
    </w:p>
    <w:p>
      <w:pPr>
        <w:ind w:left="1020" w:hanging="504"/>
        <w:spacing w:after="0"/>
        <w:tabs>
          <w:tab w:leader="none" w:pos="102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4" w:lineRule="exact"/>
        <w:rPr>
          <w:rFonts w:ascii="Times New Roman" w:cs="Times New Roman" w:eastAsia="Times New Roman" w:hAnsi="Times New Roman"/>
          <w:sz w:val="18"/>
          <w:szCs w:val="18"/>
          <w:color w:val="auto"/>
        </w:rPr>
      </w:pPr>
    </w:p>
    <w:p>
      <w:pPr>
        <w:ind w:left="1020" w:right="560" w:hanging="504"/>
        <w:spacing w:after="0" w:line="281" w:lineRule="auto"/>
        <w:tabs>
          <w:tab w:leader="none" w:pos="102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90" w:lineRule="exact"/>
        <w:rPr>
          <w:sz w:val="20"/>
          <w:szCs w:val="20"/>
          <w:color w:val="auto"/>
        </w:rPr>
      </w:pPr>
    </w:p>
    <w:p>
      <w:pPr>
        <w:ind w:left="20"/>
        <w:spacing w:after="0"/>
        <w:tabs>
          <w:tab w:leader="none" w:pos="5680" w:val="left"/>
          <w:tab w:leader="none" w:pos="7700" w:val="left"/>
        </w:tabs>
        <w:rPr>
          <w:sz w:val="20"/>
          <w:szCs w:val="20"/>
          <w:color w:val="auto"/>
        </w:rPr>
      </w:pPr>
      <w:r>
        <w:rPr>
          <w:rFonts w:ascii="Times New Roman" w:cs="Times New Roman" w:eastAsia="Times New Roman" w:hAnsi="Times New Roman"/>
          <w:sz w:val="18"/>
          <w:szCs w:val="18"/>
          <w:color w:val="auto"/>
        </w:rPr>
        <w:t>Date: March 28,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Hering,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26035</wp:posOffset>
            </wp:positionV>
            <wp:extent cx="331343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94">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David Hering, M.B.A.</w:t>
      </w:r>
    </w:p>
    <w:p>
      <w:pPr>
        <w:spacing w:after="0" w:line="22"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2"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i w:val="1"/>
          <w:iCs w:val="1"/>
          <w:color w:val="auto"/>
        </w:rPr>
        <w:t>(Principal Executive Officer)</w:t>
      </w:r>
    </w:p>
    <w:p>
      <w:pPr>
        <w:spacing w:after="0" w:line="233" w:lineRule="exact"/>
        <w:rPr>
          <w:sz w:val="20"/>
          <w:szCs w:val="20"/>
          <w:color w:val="auto"/>
        </w:rPr>
      </w:pPr>
    </w:p>
    <w:p>
      <w:pPr>
        <w:ind w:right="460"/>
        <w:spacing w:after="0" w:line="265" w:lineRule="auto"/>
        <w:rPr>
          <w:sz w:val="20"/>
          <w:szCs w:val="20"/>
          <w:color w:val="auto"/>
        </w:rPr>
      </w:pPr>
      <w:r>
        <w:rPr>
          <w:rFonts w:ascii="Times New Roman" w:cs="Times New Roman" w:eastAsia="Times New Roman" w:hAnsi="Times New Roman"/>
          <w:sz w:val="18"/>
          <w:szCs w:val="18"/>
          <w:color w:val="auto"/>
        </w:rPr>
        <w:t>This certification accompanies the Report to which it relates, is not deemed filed with the Securities and Exchange Commission and is not to be incorporated by reference into any of the Company’s filings under the Securities Act of 1933, as amended, or the Securities Exchange Act of 1934, as amended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591185</wp:posOffset>
            </wp:positionV>
            <wp:extent cx="7157720"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33" w:name="page334"/>
    <w:bookmarkEnd w:id="33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6" w:lineRule="exact"/>
        <w:rPr>
          <w:sz w:val="20"/>
          <w:szCs w:val="20"/>
          <w:color w:val="auto"/>
        </w:rPr>
      </w:pPr>
    </w:p>
    <w:p>
      <w:pPr>
        <w:ind w:right="320" w:firstLine="509"/>
        <w:spacing w:after="0" w:line="265" w:lineRule="auto"/>
        <w:rPr>
          <w:sz w:val="20"/>
          <w:szCs w:val="20"/>
          <w:color w:val="auto"/>
        </w:rPr>
      </w:pPr>
      <w:r>
        <w:rPr>
          <w:rFonts w:ascii="Times New Roman" w:cs="Times New Roman" w:eastAsia="Times New Roman" w:hAnsi="Times New Roman"/>
          <w:sz w:val="18"/>
          <w:szCs w:val="18"/>
          <w:color w:val="auto"/>
        </w:rPr>
        <w:t>In connection with the Annual Report of Invivyd, Inc. (the “Company”) on Form 10-K for the period ended December 31, 2023 as filed with the Securities and Exchange Commission on the date hereof (the “Report”), I certify, pursuant to 18 U.S.C. § 1350, as adopted pursuant to § 906 of the Sarbanes-Oxley Act of 2002, that:</w:t>
      </w:r>
    </w:p>
    <w:p>
      <w:pPr>
        <w:spacing w:after="0" w:line="177" w:lineRule="exact"/>
        <w:rPr>
          <w:sz w:val="20"/>
          <w:szCs w:val="20"/>
          <w:color w:val="auto"/>
        </w:rPr>
      </w:pPr>
    </w:p>
    <w:p>
      <w:pPr>
        <w:ind w:left="1020" w:hanging="504"/>
        <w:spacing w:after="0"/>
        <w:tabs>
          <w:tab w:leader="none" w:pos="102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4" w:lineRule="exact"/>
        <w:rPr>
          <w:rFonts w:ascii="Times New Roman" w:cs="Times New Roman" w:eastAsia="Times New Roman" w:hAnsi="Times New Roman"/>
          <w:sz w:val="18"/>
          <w:szCs w:val="18"/>
          <w:color w:val="auto"/>
        </w:rPr>
      </w:pPr>
    </w:p>
    <w:p>
      <w:pPr>
        <w:ind w:left="1020" w:right="560" w:hanging="504"/>
        <w:spacing w:after="0" w:line="281" w:lineRule="auto"/>
        <w:tabs>
          <w:tab w:leader="none" w:pos="102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90" w:lineRule="exact"/>
        <w:rPr>
          <w:sz w:val="20"/>
          <w:szCs w:val="20"/>
          <w:color w:val="auto"/>
        </w:rPr>
      </w:pPr>
    </w:p>
    <w:p>
      <w:pPr>
        <w:ind w:left="20"/>
        <w:spacing w:after="0"/>
        <w:tabs>
          <w:tab w:leader="none" w:pos="5680" w:val="left"/>
          <w:tab w:leader="none" w:pos="7860" w:val="left"/>
        </w:tabs>
        <w:rPr>
          <w:sz w:val="20"/>
          <w:szCs w:val="20"/>
          <w:color w:val="auto"/>
        </w:rPr>
      </w:pPr>
      <w:r>
        <w:rPr>
          <w:rFonts w:ascii="Times New Roman" w:cs="Times New Roman" w:eastAsia="Times New Roman" w:hAnsi="Times New Roman"/>
          <w:sz w:val="18"/>
          <w:szCs w:val="18"/>
          <w:color w:val="auto"/>
        </w:rPr>
        <w:t>Date: March 28,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William Duke,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26035</wp:posOffset>
            </wp:positionV>
            <wp:extent cx="331343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96">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William Duke, Jr.</w:t>
      </w:r>
    </w:p>
    <w:p>
      <w:pPr>
        <w:spacing w:after="0" w:line="22"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2"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i w:val="1"/>
          <w:iCs w:val="1"/>
          <w:color w:val="auto"/>
        </w:rPr>
        <w:t>(Principal Financial Officer and Principal Accounting Officer)</w:t>
      </w:r>
    </w:p>
    <w:p>
      <w:pPr>
        <w:spacing w:after="0" w:line="233" w:lineRule="exact"/>
        <w:rPr>
          <w:sz w:val="20"/>
          <w:szCs w:val="20"/>
          <w:color w:val="auto"/>
        </w:rPr>
      </w:pPr>
    </w:p>
    <w:p>
      <w:pPr>
        <w:ind w:right="460"/>
        <w:spacing w:after="0" w:line="265" w:lineRule="auto"/>
        <w:rPr>
          <w:sz w:val="20"/>
          <w:szCs w:val="20"/>
          <w:color w:val="auto"/>
        </w:rPr>
      </w:pPr>
      <w:r>
        <w:rPr>
          <w:rFonts w:ascii="Times New Roman" w:cs="Times New Roman" w:eastAsia="Times New Roman" w:hAnsi="Times New Roman"/>
          <w:sz w:val="18"/>
          <w:szCs w:val="18"/>
          <w:color w:val="auto"/>
        </w:rPr>
        <w:t>This certification accompanies the Report to which it relates, is not deemed filed with the Securities and Exchange Commission and is not to be incorporated by reference into any of the Company’s filings under the Securities Act of 1933, as amended, or the Securities Exchange Act of 1934, as amended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591185</wp:posOffset>
            </wp:positionV>
            <wp:extent cx="7157720"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34" w:name="page335"/>
    <w:bookmarkEnd w:id="334"/>
    <w:p>
      <w:pPr>
        <w:jc w:val="right"/>
        <w:spacing w:after="0"/>
        <w:rPr>
          <w:sz w:val="20"/>
          <w:szCs w:val="20"/>
          <w:color w:val="auto"/>
        </w:rPr>
      </w:pPr>
      <w:r>
        <w:rPr>
          <w:rFonts w:ascii="Calibri" w:cs="Calibri" w:eastAsia="Calibri" w:hAnsi="Calibri"/>
          <w:sz w:val="22"/>
          <w:szCs w:val="22"/>
          <w:b w:val="1"/>
          <w:bCs w:val="1"/>
          <w:color w:val="auto"/>
        </w:rPr>
        <w:t>Exhibit 97.1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2890520</wp:posOffset>
            </wp:positionH>
            <wp:positionV relativeFrom="paragraph">
              <wp:posOffset>18415</wp:posOffset>
            </wp:positionV>
            <wp:extent cx="1336040" cy="19685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98">
                      <a:extLst>
                        <a:ext uri="{28A0092B-C50C-407E-A947-70E740481C1C}"/>
                      </a:extLst>
                    </a:blip>
                    <a:srcRect/>
                    <a:stretch>
                      <a:fillRect/>
                    </a:stretch>
                  </pic:blipFill>
                  <pic:spPr bwMode="auto">
                    <a:xfrm>
                      <a:off x="0" y="0"/>
                      <a:ext cx="1336040" cy="19685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INCENTIVE COMPENSATION RECOVERY POLICY</w:t>
      </w:r>
    </w:p>
    <w:p>
      <w:pPr>
        <w:spacing w:after="0" w:line="200" w:lineRule="exact"/>
        <w:rPr>
          <w:sz w:val="20"/>
          <w:szCs w:val="20"/>
          <w:color w:val="auto"/>
        </w:rPr>
      </w:pPr>
    </w:p>
    <w:p>
      <w:pPr>
        <w:spacing w:after="0" w:line="247" w:lineRule="exact"/>
        <w:rPr>
          <w:sz w:val="20"/>
          <w:szCs w:val="20"/>
          <w:color w:val="auto"/>
        </w:rPr>
      </w:pPr>
    </w:p>
    <w:p>
      <w:pPr>
        <w:spacing w:after="0"/>
        <w:tabs>
          <w:tab w:leader="none" w:pos="640" w:val="left"/>
        </w:tabs>
        <w:rPr>
          <w:sz w:val="20"/>
          <w:szCs w:val="20"/>
          <w:color w:val="auto"/>
        </w:rPr>
      </w:pPr>
      <w:r>
        <w:rPr>
          <w:rFonts w:ascii="Calibri" w:cs="Calibri" w:eastAsia="Calibri" w:hAnsi="Calibri"/>
          <w:sz w:val="21"/>
          <w:szCs w:val="21"/>
          <w:b w:val="1"/>
          <w:bCs w:val="1"/>
          <w:color w:val="auto"/>
        </w:rPr>
        <w:t>1.0</w:t>
      </w:r>
      <w:r>
        <w:rPr>
          <w:sz w:val="20"/>
          <w:szCs w:val="20"/>
          <w:color w:val="auto"/>
        </w:rPr>
        <w:tab/>
      </w:r>
      <w:r>
        <w:rPr>
          <w:rFonts w:ascii="Calibri" w:cs="Calibri" w:eastAsia="Calibri" w:hAnsi="Calibri"/>
          <w:sz w:val="20"/>
          <w:szCs w:val="20"/>
          <w:b w:val="1"/>
          <w:bCs w:val="1"/>
          <w:color w:val="auto"/>
        </w:rPr>
        <w:t>INTRODUCTION</w:t>
      </w:r>
    </w:p>
    <w:p>
      <w:pPr>
        <w:spacing w:after="0" w:line="114" w:lineRule="exact"/>
        <w:rPr>
          <w:sz w:val="20"/>
          <w:szCs w:val="20"/>
          <w:color w:val="auto"/>
        </w:rPr>
      </w:pPr>
    </w:p>
    <w:p>
      <w:pPr>
        <w:jc w:val="both"/>
        <w:ind w:left="680" w:hanging="673"/>
        <w:spacing w:after="0" w:line="237" w:lineRule="auto"/>
        <w:tabs>
          <w:tab w:leader="none" w:pos="660" w:val="left"/>
        </w:tabs>
        <w:rPr>
          <w:sz w:val="20"/>
          <w:szCs w:val="20"/>
          <w:color w:val="auto"/>
        </w:rPr>
      </w:pPr>
      <w:r>
        <w:rPr>
          <w:rFonts w:ascii="Calibri" w:cs="Calibri" w:eastAsia="Calibri" w:hAnsi="Calibri"/>
          <w:sz w:val="20"/>
          <w:szCs w:val="20"/>
          <w:color w:val="auto"/>
        </w:rPr>
        <w:t>1.1</w:t>
      </w:r>
      <w:r>
        <w:rPr>
          <w:sz w:val="20"/>
          <w:szCs w:val="20"/>
          <w:color w:val="auto"/>
        </w:rPr>
        <w:tab/>
      </w:r>
      <w:r>
        <w:rPr>
          <w:rFonts w:ascii="Calibri" w:cs="Calibri" w:eastAsia="Calibri" w:hAnsi="Calibri"/>
          <w:sz w:val="20"/>
          <w:szCs w:val="20"/>
          <w:color w:val="auto"/>
        </w:rPr>
        <w:t>Invivyd, Inc. (the “</w:t>
      </w:r>
      <w:r>
        <w:rPr>
          <w:rFonts w:ascii="Calibri" w:cs="Calibri" w:eastAsia="Calibri" w:hAnsi="Calibri"/>
          <w:sz w:val="20"/>
          <w:szCs w:val="20"/>
          <w:b w:val="1"/>
          <w:bCs w:val="1"/>
          <w:i w:val="1"/>
          <w:iCs w:val="1"/>
          <w:color w:val="auto"/>
        </w:rPr>
        <w:t>Company</w:t>
      </w:r>
      <w:r>
        <w:rPr>
          <w:rFonts w:ascii="Calibri" w:cs="Calibri" w:eastAsia="Calibri" w:hAnsi="Calibri"/>
          <w:sz w:val="20"/>
          <w:szCs w:val="20"/>
          <w:color w:val="auto"/>
        </w:rPr>
        <w:t>”) is commited to conductng business in accordance with the highest ethical and legal standards, and the Board of Directors of the Company (the “</w:t>
      </w:r>
      <w:r>
        <w:rPr>
          <w:rFonts w:ascii="Calibri" w:cs="Calibri" w:eastAsia="Calibri" w:hAnsi="Calibri"/>
          <w:sz w:val="20"/>
          <w:szCs w:val="20"/>
          <w:b w:val="1"/>
          <w:bCs w:val="1"/>
          <w:i w:val="1"/>
          <w:iCs w:val="1"/>
          <w:color w:val="auto"/>
        </w:rPr>
        <w:t>Board</w:t>
      </w:r>
      <w:r>
        <w:rPr>
          <w:rFonts w:ascii="Calibri" w:cs="Calibri" w:eastAsia="Calibri" w:hAnsi="Calibri"/>
          <w:sz w:val="20"/>
          <w:szCs w:val="20"/>
          <w:color w:val="auto"/>
        </w:rPr>
        <w:t>”) believes that a culture that emphasizes integrity and accountability is in the best interests of the Company and its stockholders and essental to the Company’s success. The Board is therefore adoptng this Incentve Compensaton Recovery Policy (this “</w:t>
      </w:r>
      <w:r>
        <w:rPr>
          <w:rFonts w:ascii="Calibri" w:cs="Calibri" w:eastAsia="Calibri" w:hAnsi="Calibri"/>
          <w:sz w:val="20"/>
          <w:szCs w:val="20"/>
          <w:b w:val="1"/>
          <w:bCs w:val="1"/>
          <w:i w:val="1"/>
          <w:iCs w:val="1"/>
          <w:color w:val="auto"/>
        </w:rPr>
        <w:t>Policy</w:t>
      </w:r>
      <w:r>
        <w:rPr>
          <w:rFonts w:ascii="Calibri" w:cs="Calibri" w:eastAsia="Calibri" w:hAnsi="Calibri"/>
          <w:sz w:val="20"/>
          <w:szCs w:val="20"/>
          <w:color w:val="auto"/>
        </w:rPr>
        <w:t>”) to provide for the recovery of certain incentve compensaton in the event of an Accountng Restatement. This Policy is intended to foster a culture of compliance and accountability, to reward integrity, and to reinforce the Company’s pay-for-performance compensaton philosophy.</w:t>
      </w:r>
    </w:p>
    <w:p>
      <w:pPr>
        <w:spacing w:after="0" w:line="118" w:lineRule="exact"/>
        <w:rPr>
          <w:sz w:val="20"/>
          <w:szCs w:val="20"/>
          <w:color w:val="auto"/>
        </w:rPr>
      </w:pPr>
    </w:p>
    <w:p>
      <w:pPr>
        <w:jc w:val="both"/>
        <w:ind w:left="680" w:hanging="673"/>
        <w:spacing w:after="0" w:line="235" w:lineRule="auto"/>
        <w:tabs>
          <w:tab w:leader="none" w:pos="660" w:val="left"/>
        </w:tabs>
        <w:rPr>
          <w:sz w:val="20"/>
          <w:szCs w:val="20"/>
          <w:color w:val="auto"/>
        </w:rPr>
      </w:pPr>
      <w:r>
        <w:rPr>
          <w:rFonts w:ascii="Calibri" w:cs="Calibri" w:eastAsia="Calibri" w:hAnsi="Calibri"/>
          <w:sz w:val="20"/>
          <w:szCs w:val="20"/>
          <w:color w:val="auto"/>
        </w:rPr>
        <w:t>1.2</w:t>
      </w:r>
      <w:r>
        <w:rPr>
          <w:sz w:val="20"/>
          <w:szCs w:val="20"/>
          <w:color w:val="auto"/>
        </w:rPr>
        <w:tab/>
      </w:r>
      <w:r>
        <w:rPr>
          <w:rFonts w:ascii="Calibri" w:cs="Calibri" w:eastAsia="Calibri" w:hAnsi="Calibri"/>
          <w:sz w:val="20"/>
          <w:szCs w:val="20"/>
          <w:color w:val="auto"/>
        </w:rPr>
        <w:t>This Policy is adopted as of September 21, 2023 and shall apply to any Incentve Compensaton received on or afer October 2, 2023. Additonally, it may be amended from tme to tme by the Compensaton Commitee of the Board (the “</w:t>
      </w:r>
      <w:r>
        <w:rPr>
          <w:rFonts w:ascii="Calibri" w:cs="Calibri" w:eastAsia="Calibri" w:hAnsi="Calibri"/>
          <w:sz w:val="20"/>
          <w:szCs w:val="20"/>
          <w:b w:val="1"/>
          <w:bCs w:val="1"/>
          <w:i w:val="1"/>
          <w:iCs w:val="1"/>
          <w:color w:val="auto"/>
        </w:rPr>
        <w:t>Compensaton</w:t>
      </w:r>
      <w:r>
        <w:rPr>
          <w:rFonts w:ascii="Calibri" w:cs="Calibri" w:eastAsia="Calibri" w:hAnsi="Calibri"/>
          <w:sz w:val="20"/>
          <w:szCs w:val="20"/>
          <w:color w:val="auto"/>
        </w:rPr>
        <w:t xml:space="preserve"> </w:t>
      </w:r>
      <w:r>
        <w:rPr>
          <w:rFonts w:ascii="Calibri" w:cs="Calibri" w:eastAsia="Calibri" w:hAnsi="Calibri"/>
          <w:sz w:val="20"/>
          <w:szCs w:val="20"/>
          <w:b w:val="1"/>
          <w:bCs w:val="1"/>
          <w:i w:val="1"/>
          <w:iCs w:val="1"/>
          <w:color w:val="auto"/>
        </w:rPr>
        <w:t>Commitee</w:t>
      </w:r>
      <w:r>
        <w:rPr>
          <w:rFonts w:ascii="Calibri" w:cs="Calibri" w:eastAsia="Calibri" w:hAnsi="Calibri"/>
          <w:sz w:val="20"/>
          <w:szCs w:val="20"/>
          <w:color w:val="auto"/>
        </w:rPr>
        <w:t>”).</w:t>
      </w:r>
    </w:p>
    <w:p>
      <w:pPr>
        <w:spacing w:after="0" w:line="99" w:lineRule="exact"/>
        <w:rPr>
          <w:sz w:val="20"/>
          <w:szCs w:val="20"/>
          <w:color w:val="auto"/>
        </w:rPr>
      </w:pPr>
    </w:p>
    <w:p>
      <w:pPr>
        <w:spacing w:after="0"/>
        <w:tabs>
          <w:tab w:leader="none" w:pos="640" w:val="left"/>
        </w:tabs>
        <w:rPr>
          <w:sz w:val="20"/>
          <w:szCs w:val="20"/>
          <w:color w:val="auto"/>
        </w:rPr>
      </w:pPr>
      <w:r>
        <w:rPr>
          <w:rFonts w:ascii="Calibri" w:cs="Calibri" w:eastAsia="Calibri" w:hAnsi="Calibri"/>
          <w:sz w:val="21"/>
          <w:szCs w:val="21"/>
          <w:b w:val="1"/>
          <w:bCs w:val="1"/>
          <w:color w:val="auto"/>
        </w:rPr>
        <w:t>2.0</w:t>
      </w:r>
      <w:r>
        <w:rPr>
          <w:sz w:val="20"/>
          <w:szCs w:val="20"/>
          <w:color w:val="auto"/>
        </w:rPr>
        <w:tab/>
      </w:r>
      <w:r>
        <w:rPr>
          <w:rFonts w:ascii="Calibri" w:cs="Calibri" w:eastAsia="Calibri" w:hAnsi="Calibri"/>
          <w:sz w:val="19"/>
          <w:szCs w:val="19"/>
          <w:b w:val="1"/>
          <w:bCs w:val="1"/>
          <w:color w:val="auto"/>
        </w:rPr>
        <w:t>STATEMENT OF POLICY</w:t>
      </w:r>
    </w:p>
    <w:p>
      <w:pPr>
        <w:spacing w:after="0" w:line="104" w:lineRule="exact"/>
        <w:rPr>
          <w:sz w:val="20"/>
          <w:szCs w:val="20"/>
          <w:color w:val="auto"/>
        </w:rPr>
      </w:pPr>
    </w:p>
    <w:p>
      <w:pPr>
        <w:spacing w:after="0"/>
        <w:tabs>
          <w:tab w:leader="none" w:pos="660" w:val="left"/>
        </w:tabs>
        <w:rPr>
          <w:sz w:val="20"/>
          <w:szCs w:val="20"/>
          <w:color w:val="auto"/>
        </w:rPr>
      </w:pPr>
      <w:r>
        <w:rPr>
          <w:rFonts w:ascii="Calibri" w:cs="Calibri" w:eastAsia="Calibri" w:hAnsi="Calibri"/>
          <w:sz w:val="20"/>
          <w:szCs w:val="20"/>
          <w:color w:val="auto"/>
        </w:rPr>
        <w:t>2.1</w:t>
      </w:r>
      <w:r>
        <w:rPr>
          <w:sz w:val="20"/>
          <w:szCs w:val="20"/>
          <w:color w:val="auto"/>
        </w:rPr>
        <w:tab/>
      </w:r>
      <w:r>
        <w:rPr>
          <w:rFonts w:ascii="Calibri" w:cs="Calibri" w:eastAsia="Calibri" w:hAnsi="Calibri"/>
          <w:sz w:val="19"/>
          <w:szCs w:val="19"/>
          <w:color w:val="auto"/>
        </w:rPr>
        <w:t>Scope</w:t>
      </w:r>
    </w:p>
    <w:p>
      <w:pPr>
        <w:spacing w:after="0" w:line="116" w:lineRule="exact"/>
        <w:rPr>
          <w:sz w:val="20"/>
          <w:szCs w:val="20"/>
          <w:color w:val="auto"/>
        </w:rPr>
      </w:pPr>
    </w:p>
    <w:p>
      <w:pPr>
        <w:jc w:val="both"/>
        <w:ind w:left="680"/>
        <w:spacing w:after="0" w:line="235" w:lineRule="auto"/>
        <w:rPr>
          <w:sz w:val="20"/>
          <w:szCs w:val="20"/>
          <w:color w:val="auto"/>
        </w:rPr>
      </w:pPr>
      <w:r>
        <w:rPr>
          <w:rFonts w:ascii="Calibri" w:cs="Calibri" w:eastAsia="Calibri" w:hAnsi="Calibri"/>
          <w:sz w:val="20"/>
          <w:szCs w:val="20"/>
          <w:color w:val="auto"/>
        </w:rPr>
        <w:t>In the event that the Company is required to prepare an Accountng Restatement, except as otherwise set forth in this Policy, the Company shall recover, reasonably promptly, the Excess Incentve Compensaton received by any Covered Executve during the Recoupment Period.</w:t>
      </w:r>
    </w:p>
    <w:p>
      <w:pPr>
        <w:spacing w:after="0" w:line="119" w:lineRule="exact"/>
        <w:rPr>
          <w:sz w:val="20"/>
          <w:szCs w:val="20"/>
          <w:color w:val="auto"/>
        </w:rPr>
      </w:pPr>
    </w:p>
    <w:p>
      <w:pPr>
        <w:jc w:val="both"/>
        <w:ind w:left="660"/>
        <w:spacing w:after="0" w:line="236" w:lineRule="auto"/>
        <w:rPr>
          <w:sz w:val="20"/>
          <w:szCs w:val="20"/>
          <w:color w:val="auto"/>
        </w:rPr>
      </w:pPr>
      <w:r>
        <w:rPr>
          <w:rFonts w:ascii="Calibri" w:cs="Calibri" w:eastAsia="Calibri" w:hAnsi="Calibri"/>
          <w:sz w:val="20"/>
          <w:szCs w:val="20"/>
          <w:color w:val="auto"/>
        </w:rPr>
        <w:t>This Policy applies to all Incentve Compensaton received during the Recoupment Period by a person (a) afer beginning service as a Covered Executve, (b) who served as a Covered Executve at any tme during the performance period for that Incentve Compensaton and (c) while the Company has a class of securites listed on the Nasdaq Stock Market LLC (“</w:t>
      </w:r>
      <w:r>
        <w:rPr>
          <w:rFonts w:ascii="Calibri" w:cs="Calibri" w:eastAsia="Calibri" w:hAnsi="Calibri"/>
          <w:sz w:val="20"/>
          <w:szCs w:val="20"/>
          <w:b w:val="1"/>
          <w:bCs w:val="1"/>
          <w:i w:val="1"/>
          <w:iCs w:val="1"/>
          <w:color w:val="auto"/>
        </w:rPr>
        <w:t>Nasdaq</w:t>
      </w:r>
      <w:r>
        <w:rPr>
          <w:rFonts w:ascii="Calibri" w:cs="Calibri" w:eastAsia="Calibri" w:hAnsi="Calibri"/>
          <w:sz w:val="20"/>
          <w:szCs w:val="20"/>
          <w:color w:val="auto"/>
        </w:rPr>
        <w:t>”) or another natonal securites exchange or associaton. This Policy may therefore apply to a Covered Executve even afer that person is no longer a Company employee or a Covered Executve at the tme of recovery.</w:t>
      </w:r>
    </w:p>
    <w:p>
      <w:pPr>
        <w:spacing w:after="0" w:line="189" w:lineRule="exact"/>
        <w:rPr>
          <w:sz w:val="20"/>
          <w:szCs w:val="20"/>
          <w:color w:val="auto"/>
        </w:rPr>
      </w:pPr>
    </w:p>
    <w:p>
      <w:pPr>
        <w:jc w:val="both"/>
        <w:ind w:left="660"/>
        <w:spacing w:after="0"/>
        <w:rPr>
          <w:sz w:val="20"/>
          <w:szCs w:val="20"/>
          <w:color w:val="auto"/>
        </w:rPr>
      </w:pPr>
      <w:r>
        <w:rPr>
          <w:rFonts w:ascii="Calibri" w:cs="Calibri" w:eastAsia="Calibri" w:hAnsi="Calibri"/>
          <w:sz w:val="20"/>
          <w:szCs w:val="20"/>
          <w:color w:val="auto"/>
        </w:rPr>
        <w:t>Incentve Compensaton is deemed “received” for purposes of this Policy in the fscal period during which the fnancial reportng measure specifed in the Incentve Compensaton award is atained, even if the payment or issuance of such Incentve Compensaton occurs afer the end of that period. For example, if the performance target for an award is based on total stockholder return or revenue for the year ended December 31, 2023, the award will be deemed to have been received in 2023 even if paid in 2024.</w:t>
      </w:r>
    </w:p>
    <w:p>
      <w:pPr>
        <w:spacing w:after="0" w:line="200" w:lineRule="exact"/>
        <w:rPr>
          <w:sz w:val="20"/>
          <w:szCs w:val="20"/>
          <w:color w:val="auto"/>
        </w:rPr>
      </w:pPr>
    </w:p>
    <w:p>
      <w:pPr>
        <w:spacing w:after="0" w:line="216" w:lineRule="exact"/>
        <w:rPr>
          <w:sz w:val="20"/>
          <w:szCs w:val="20"/>
          <w:color w:val="auto"/>
        </w:rPr>
      </w:pPr>
    </w:p>
    <w:p>
      <w:pPr>
        <w:spacing w:after="0"/>
        <w:tabs>
          <w:tab w:leader="none" w:pos="660" w:val="left"/>
        </w:tabs>
        <w:rPr>
          <w:sz w:val="20"/>
          <w:szCs w:val="20"/>
          <w:color w:val="auto"/>
        </w:rPr>
      </w:pPr>
      <w:r>
        <w:rPr>
          <w:rFonts w:ascii="Calibri" w:cs="Calibri" w:eastAsia="Calibri" w:hAnsi="Calibri"/>
          <w:sz w:val="20"/>
          <w:szCs w:val="20"/>
          <w:color w:val="auto"/>
        </w:rPr>
        <w:t>2.2</w:t>
      </w:r>
      <w:r>
        <w:rPr>
          <w:sz w:val="20"/>
          <w:szCs w:val="20"/>
          <w:color w:val="auto"/>
        </w:rPr>
        <w:tab/>
      </w:r>
      <w:r>
        <w:rPr>
          <w:rFonts w:ascii="Calibri" w:cs="Calibri" w:eastAsia="Calibri" w:hAnsi="Calibri"/>
          <w:sz w:val="20"/>
          <w:szCs w:val="20"/>
          <w:color w:val="auto"/>
        </w:rPr>
        <w:t>Exceptons</w:t>
      </w:r>
    </w:p>
    <w:p>
      <w:pPr>
        <w:spacing w:after="0" w:line="116" w:lineRule="exact"/>
        <w:rPr>
          <w:sz w:val="20"/>
          <w:szCs w:val="20"/>
          <w:color w:val="auto"/>
        </w:rPr>
      </w:pPr>
    </w:p>
    <w:p>
      <w:pPr>
        <w:jc w:val="both"/>
        <w:ind w:left="680" w:right="20"/>
        <w:spacing w:after="0" w:line="235" w:lineRule="auto"/>
        <w:rPr>
          <w:sz w:val="20"/>
          <w:szCs w:val="20"/>
          <w:color w:val="auto"/>
        </w:rPr>
      </w:pPr>
      <w:r>
        <w:rPr>
          <w:rFonts w:ascii="Calibri" w:cs="Calibri" w:eastAsia="Calibri" w:hAnsi="Calibri"/>
          <w:sz w:val="20"/>
          <w:szCs w:val="20"/>
          <w:color w:val="auto"/>
        </w:rPr>
        <w:t>The Company is not required to recover Excess Incentve Compensaton pursuant to this Policy to the extent the Compensaton Commitee makes a determinaton that recovery would be impractcable for one of the following reasons (and the applicable procedural requirements are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1011555</wp:posOffset>
            </wp:positionV>
            <wp:extent cx="7157720"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335" w:name="page336"/>
    <w:bookmarkEnd w:id="335"/>
    <w:p>
      <w:pPr>
        <w:jc w:val="both"/>
        <w:ind w:left="1060" w:hanging="378"/>
        <w:spacing w:after="0" w:line="235" w:lineRule="auto"/>
        <w:tabs>
          <w:tab w:leader="none" w:pos="1060" w:val="left"/>
        </w:tabs>
        <w:numPr>
          <w:ilvl w:val="0"/>
          <w:numId w:val="312"/>
        </w:numPr>
        <w:rPr>
          <w:rFonts w:ascii="Calibri" w:cs="Calibri" w:eastAsia="Calibri" w:hAnsi="Calibri"/>
          <w:sz w:val="20"/>
          <w:szCs w:val="20"/>
          <w:color w:val="auto"/>
        </w:rPr>
      </w:pPr>
      <w:r>
        <w:rPr>
          <w:rFonts w:ascii="Calibri" w:cs="Calibri" w:eastAsia="Calibri" w:hAnsi="Calibri"/>
          <w:sz w:val="20"/>
          <w:szCs w:val="20"/>
          <w:color w:val="auto"/>
        </w:rPr>
        <w:t>afer making a reasonable and documented atempt to recover the Excess Incentve Compensaton, which documentaton will be provided to Nasdaq to the extent required, the Compensaton Commitee determines that the direct expenses that would be paid to a third party to assist in enforcing this Policy would exceed the amount to be recovered; or</w:t>
      </w:r>
    </w:p>
    <w:p>
      <w:pPr>
        <w:spacing w:after="0" w:line="118" w:lineRule="exact"/>
        <w:rPr>
          <w:rFonts w:ascii="Calibri" w:cs="Calibri" w:eastAsia="Calibri" w:hAnsi="Calibri"/>
          <w:sz w:val="20"/>
          <w:szCs w:val="20"/>
          <w:color w:val="auto"/>
        </w:rPr>
      </w:pPr>
    </w:p>
    <w:p>
      <w:pPr>
        <w:jc w:val="both"/>
        <w:ind w:left="1060" w:hanging="378"/>
        <w:spacing w:after="0" w:line="235" w:lineRule="auto"/>
        <w:tabs>
          <w:tab w:leader="none" w:pos="1060" w:val="left"/>
        </w:tabs>
        <w:numPr>
          <w:ilvl w:val="0"/>
          <w:numId w:val="312"/>
        </w:numPr>
        <w:rPr>
          <w:rFonts w:ascii="Calibri" w:cs="Calibri" w:eastAsia="Calibri" w:hAnsi="Calibri"/>
          <w:sz w:val="20"/>
          <w:szCs w:val="20"/>
          <w:color w:val="auto"/>
        </w:rPr>
      </w:pPr>
      <w:r>
        <w:rPr>
          <w:rFonts w:ascii="Calibri" w:cs="Calibri" w:eastAsia="Calibri" w:hAnsi="Calibri"/>
          <w:sz w:val="20"/>
          <w:szCs w:val="20"/>
          <w:color w:val="auto"/>
        </w:rPr>
        <w:t>the Compensaton Commitee determines that recovery would likely cause an otherwise tax-qualifed retrement plan, under which benefts are broadly available to employees of the Company, to fail to meet the requirements of 26 U.S.C. 401(a)(13) or 26 U.S.C. 411(a) and regulatons thereunder.</w:t>
      </w:r>
    </w:p>
    <w:p>
      <w:pPr>
        <w:spacing w:after="0" w:line="166" w:lineRule="exact"/>
        <w:rPr>
          <w:sz w:val="20"/>
          <w:szCs w:val="20"/>
          <w:color w:val="auto"/>
        </w:rPr>
      </w:pPr>
    </w:p>
    <w:p>
      <w:pPr>
        <w:spacing w:after="0"/>
        <w:tabs>
          <w:tab w:leader="none" w:pos="640" w:val="left"/>
        </w:tabs>
        <w:rPr>
          <w:sz w:val="20"/>
          <w:szCs w:val="20"/>
          <w:color w:val="auto"/>
        </w:rPr>
      </w:pPr>
      <w:r>
        <w:rPr>
          <w:rFonts w:ascii="Calibri" w:cs="Calibri" w:eastAsia="Calibri" w:hAnsi="Calibri"/>
          <w:sz w:val="21"/>
          <w:szCs w:val="21"/>
          <w:b w:val="1"/>
          <w:bCs w:val="1"/>
          <w:color w:val="auto"/>
        </w:rPr>
        <w:t>3.0</w:t>
      </w:r>
      <w:r>
        <w:rPr>
          <w:sz w:val="20"/>
          <w:szCs w:val="20"/>
          <w:color w:val="auto"/>
        </w:rPr>
        <w:tab/>
      </w:r>
      <w:r>
        <w:rPr>
          <w:rFonts w:ascii="Calibri" w:cs="Calibri" w:eastAsia="Calibri" w:hAnsi="Calibri"/>
          <w:sz w:val="20"/>
          <w:szCs w:val="20"/>
          <w:b w:val="1"/>
          <w:bCs w:val="1"/>
          <w:color w:val="auto"/>
        </w:rPr>
        <w:t>DEFINITIONS</w:t>
      </w:r>
    </w:p>
    <w:p>
      <w:pPr>
        <w:spacing w:after="0" w:line="114" w:lineRule="exact"/>
        <w:rPr>
          <w:sz w:val="20"/>
          <w:szCs w:val="20"/>
          <w:color w:val="auto"/>
        </w:rPr>
      </w:pPr>
    </w:p>
    <w:p>
      <w:pPr>
        <w:jc w:val="both"/>
        <w:ind w:left="680" w:hanging="673"/>
        <w:spacing w:after="0" w:line="237" w:lineRule="auto"/>
        <w:tabs>
          <w:tab w:leader="none" w:pos="660" w:val="left"/>
        </w:tabs>
        <w:rPr>
          <w:sz w:val="20"/>
          <w:szCs w:val="20"/>
          <w:color w:val="auto"/>
        </w:rPr>
      </w:pPr>
      <w:r>
        <w:rPr>
          <w:rFonts w:ascii="Calibri" w:cs="Calibri" w:eastAsia="Calibri" w:hAnsi="Calibri"/>
          <w:sz w:val="20"/>
          <w:szCs w:val="20"/>
          <w:color w:val="auto"/>
        </w:rPr>
        <w:t>3.1</w:t>
      </w:r>
      <w:r>
        <w:rPr>
          <w:sz w:val="20"/>
          <w:szCs w:val="20"/>
          <w:color w:val="auto"/>
        </w:rPr>
        <w:tab/>
      </w:r>
      <w:r>
        <w:rPr>
          <w:rFonts w:ascii="Calibri" w:cs="Calibri" w:eastAsia="Calibri" w:hAnsi="Calibri"/>
          <w:sz w:val="20"/>
          <w:szCs w:val="20"/>
          <w:color w:val="auto"/>
        </w:rPr>
        <w:t>“</w:t>
      </w:r>
      <w:r>
        <w:rPr>
          <w:rFonts w:ascii="Calibri" w:cs="Calibri" w:eastAsia="Calibri" w:hAnsi="Calibri"/>
          <w:sz w:val="20"/>
          <w:szCs w:val="20"/>
          <w:b w:val="1"/>
          <w:bCs w:val="1"/>
          <w:i w:val="1"/>
          <w:iCs w:val="1"/>
          <w:color w:val="auto"/>
        </w:rPr>
        <w:t>Accountng Restatement</w:t>
      </w:r>
      <w:r>
        <w:rPr>
          <w:rFonts w:ascii="Calibri" w:cs="Calibri" w:eastAsia="Calibri" w:hAnsi="Calibri"/>
          <w:sz w:val="20"/>
          <w:szCs w:val="20"/>
          <w:color w:val="auto"/>
        </w:rPr>
        <w:t>” means an accountng restatement due to the material noncompliance of the Company with any fnancial reportng requirement under the securites laws, including any required accountng restatement to correct an error in previously issued fnancial statements that is material to the previously issued fnancial statements, or that would result in a material misstatement if the error were corrected in the current period or lef uncorrected in the current period. For the avoidance of doubt, a restatement resultng solely from any one or more of the following is not an Accountng Restatement: retrospectve applicaton of a change in generally accepted accountng principles; retrospectve revision to reportable segment informaton due to a change in the structure of an issuer’s internal organizaton; retrospectve reclassifcaton due to a discontnued operaton; retrospectve applicaton of a change in reportng entty, such as from a reorganizaton of enttes under common control; retrospectve adjustment to provisional amounts in connecton with a prior business combinaton; and retrospectve revision for stock splits, reverse stock splits, stock dividends or other changes in capital structure.</w:t>
      </w:r>
    </w:p>
    <w:p>
      <w:pPr>
        <w:spacing w:after="0" w:line="124" w:lineRule="exact"/>
        <w:rPr>
          <w:sz w:val="20"/>
          <w:szCs w:val="20"/>
          <w:color w:val="auto"/>
        </w:rPr>
      </w:pPr>
    </w:p>
    <w:p>
      <w:pPr>
        <w:jc w:val="both"/>
        <w:ind w:left="680" w:hanging="673"/>
        <w:spacing w:after="0" w:line="237" w:lineRule="auto"/>
        <w:tabs>
          <w:tab w:leader="none" w:pos="660" w:val="left"/>
        </w:tabs>
        <w:rPr>
          <w:sz w:val="20"/>
          <w:szCs w:val="20"/>
          <w:color w:val="auto"/>
        </w:rPr>
      </w:pPr>
      <w:r>
        <w:rPr>
          <w:rFonts w:ascii="Calibri" w:cs="Calibri" w:eastAsia="Calibri" w:hAnsi="Calibri"/>
          <w:sz w:val="20"/>
          <w:szCs w:val="20"/>
          <w:color w:val="auto"/>
        </w:rPr>
        <w:t>3.2</w:t>
      </w:r>
      <w:r>
        <w:rPr>
          <w:sz w:val="20"/>
          <w:szCs w:val="20"/>
          <w:color w:val="auto"/>
        </w:rPr>
        <w:tab/>
      </w:r>
      <w:r>
        <w:rPr>
          <w:rFonts w:ascii="Calibri" w:cs="Calibri" w:eastAsia="Calibri" w:hAnsi="Calibri"/>
          <w:sz w:val="20"/>
          <w:szCs w:val="20"/>
          <w:color w:val="auto"/>
        </w:rPr>
        <w:t>“</w:t>
      </w:r>
      <w:r>
        <w:rPr>
          <w:rFonts w:ascii="Calibri" w:cs="Calibri" w:eastAsia="Calibri" w:hAnsi="Calibri"/>
          <w:sz w:val="20"/>
          <w:szCs w:val="20"/>
          <w:b w:val="1"/>
          <w:bCs w:val="1"/>
          <w:i w:val="1"/>
          <w:iCs w:val="1"/>
          <w:color w:val="auto"/>
        </w:rPr>
        <w:t>Covered Executve</w:t>
      </w:r>
      <w:r>
        <w:rPr>
          <w:rFonts w:ascii="Calibri" w:cs="Calibri" w:eastAsia="Calibri" w:hAnsi="Calibri"/>
          <w:sz w:val="20"/>
          <w:szCs w:val="20"/>
          <w:color w:val="auto"/>
        </w:rPr>
        <w:t>” means the Company’s Chief Executve Ofcer, President, Chief Financial Ofcer, principal accountng ofcer (or if there is no such accountng ofcer, the controller), any vice-president of the Company in charge of a principal business unit, division, or functon, any other ofcer who performs a policy-making functon for the Company, any other person who performs similar policy-making functons for the Company, and any other employee who may from tme to tme be deemed subject to this Policy by the Compensaton Commitee. For purposes of the foregoing, designaton by the Board as an “Ofcer” for purposes of Rule 16a-1(f) under the Securites Exchange Act of 1934, as amended (the “</w:t>
      </w:r>
      <w:r>
        <w:rPr>
          <w:rFonts w:ascii="Calibri" w:cs="Calibri" w:eastAsia="Calibri" w:hAnsi="Calibri"/>
          <w:sz w:val="20"/>
          <w:szCs w:val="20"/>
          <w:b w:val="1"/>
          <w:bCs w:val="1"/>
          <w:i w:val="1"/>
          <w:iCs w:val="1"/>
          <w:color w:val="auto"/>
        </w:rPr>
        <w:t>Exchange Act</w:t>
      </w:r>
      <w:r>
        <w:rPr>
          <w:rFonts w:ascii="Calibri" w:cs="Calibri" w:eastAsia="Calibri" w:hAnsi="Calibri"/>
          <w:sz w:val="20"/>
          <w:szCs w:val="20"/>
          <w:color w:val="auto"/>
        </w:rPr>
        <w:t>”) shall consttute designaton as a Covered Executve.</w:t>
      </w:r>
    </w:p>
    <w:p>
      <w:pPr>
        <w:spacing w:after="0" w:line="119" w:lineRule="exact"/>
        <w:rPr>
          <w:sz w:val="20"/>
          <w:szCs w:val="20"/>
          <w:color w:val="auto"/>
        </w:rPr>
      </w:pPr>
    </w:p>
    <w:p>
      <w:pPr>
        <w:jc w:val="both"/>
        <w:ind w:left="680" w:hanging="673"/>
        <w:spacing w:after="0" w:line="236" w:lineRule="auto"/>
        <w:tabs>
          <w:tab w:leader="none" w:pos="660" w:val="left"/>
        </w:tabs>
        <w:rPr>
          <w:sz w:val="20"/>
          <w:szCs w:val="20"/>
          <w:color w:val="auto"/>
        </w:rPr>
      </w:pPr>
      <w:r>
        <w:rPr>
          <w:rFonts w:ascii="Calibri" w:cs="Calibri" w:eastAsia="Calibri" w:hAnsi="Calibri"/>
          <w:sz w:val="20"/>
          <w:szCs w:val="20"/>
          <w:color w:val="auto"/>
        </w:rPr>
        <w:t>3.3</w:t>
      </w:r>
      <w:r>
        <w:rPr>
          <w:sz w:val="20"/>
          <w:szCs w:val="20"/>
          <w:color w:val="auto"/>
        </w:rPr>
        <w:tab/>
      </w:r>
      <w:r>
        <w:rPr>
          <w:rFonts w:ascii="Calibri" w:cs="Calibri" w:eastAsia="Calibri" w:hAnsi="Calibri"/>
          <w:sz w:val="20"/>
          <w:szCs w:val="20"/>
          <w:color w:val="auto"/>
        </w:rPr>
        <w:t>“</w:t>
      </w:r>
      <w:r>
        <w:rPr>
          <w:rFonts w:ascii="Calibri" w:cs="Calibri" w:eastAsia="Calibri" w:hAnsi="Calibri"/>
          <w:sz w:val="20"/>
          <w:szCs w:val="20"/>
          <w:b w:val="1"/>
          <w:bCs w:val="1"/>
          <w:i w:val="1"/>
          <w:iCs w:val="1"/>
          <w:color w:val="auto"/>
        </w:rPr>
        <w:t>Excess Incentve Compensaton</w:t>
      </w:r>
      <w:r>
        <w:rPr>
          <w:rFonts w:ascii="Calibri" w:cs="Calibri" w:eastAsia="Calibri" w:hAnsi="Calibri"/>
          <w:sz w:val="20"/>
          <w:szCs w:val="20"/>
          <w:color w:val="auto"/>
        </w:rPr>
        <w:t>” means the amount of Incentve Compensaton received during the Recoupment Period by any Covered Executve that exceeds the amount of Incentve Compensaton that otherwise would have been received by such Covered Executve if the determinaton of the Incentve Compensaton to be received had been determined based on restated amounts in the Accountng Restatement and without regard to any taxes paid.</w:t>
      </w:r>
    </w:p>
    <w:p>
      <w:pPr>
        <w:spacing w:after="0" w:line="118" w:lineRule="exact"/>
        <w:rPr>
          <w:sz w:val="20"/>
          <w:szCs w:val="20"/>
          <w:color w:val="auto"/>
        </w:rPr>
      </w:pPr>
    </w:p>
    <w:p>
      <w:pPr>
        <w:jc w:val="both"/>
        <w:ind w:left="680" w:hanging="673"/>
        <w:spacing w:after="0"/>
        <w:tabs>
          <w:tab w:leader="none" w:pos="660" w:val="left"/>
        </w:tabs>
        <w:rPr>
          <w:sz w:val="20"/>
          <w:szCs w:val="20"/>
          <w:color w:val="auto"/>
        </w:rPr>
      </w:pPr>
      <w:r>
        <w:rPr>
          <w:rFonts w:ascii="Calibri" w:cs="Calibri" w:eastAsia="Calibri" w:hAnsi="Calibri"/>
          <w:sz w:val="20"/>
          <w:szCs w:val="20"/>
          <w:color w:val="auto"/>
        </w:rPr>
        <w:t>3.4</w:t>
      </w:r>
      <w:r>
        <w:rPr>
          <w:sz w:val="20"/>
          <w:szCs w:val="20"/>
          <w:color w:val="auto"/>
        </w:rPr>
        <w:tab/>
      </w:r>
      <w:r>
        <w:rPr>
          <w:rFonts w:ascii="Calibri" w:cs="Calibri" w:eastAsia="Calibri" w:hAnsi="Calibri"/>
          <w:sz w:val="20"/>
          <w:szCs w:val="20"/>
          <w:color w:val="auto"/>
        </w:rPr>
        <w:t>“</w:t>
      </w:r>
      <w:r>
        <w:rPr>
          <w:rFonts w:ascii="Calibri" w:cs="Calibri" w:eastAsia="Calibri" w:hAnsi="Calibri"/>
          <w:sz w:val="20"/>
          <w:szCs w:val="20"/>
          <w:b w:val="1"/>
          <w:bCs w:val="1"/>
          <w:i w:val="1"/>
          <w:iCs w:val="1"/>
          <w:color w:val="auto"/>
        </w:rPr>
        <w:t>Incentve Compensaton</w:t>
      </w:r>
      <w:r>
        <w:rPr>
          <w:rFonts w:ascii="Calibri" w:cs="Calibri" w:eastAsia="Calibri" w:hAnsi="Calibri"/>
          <w:sz w:val="20"/>
          <w:szCs w:val="20"/>
          <w:color w:val="auto"/>
        </w:rPr>
        <w:t>” means any compensaton (including cash and equity compensaton) that is granted, earned, or vested based wholly or in part upon the atainment of a fnancial reportng measure. For purposes of this defniton, a “</w:t>
      </w:r>
      <w:r>
        <w:rPr>
          <w:rFonts w:ascii="Calibri" w:cs="Calibri" w:eastAsia="Calibri" w:hAnsi="Calibri"/>
          <w:sz w:val="20"/>
          <w:szCs w:val="20"/>
          <w:b w:val="1"/>
          <w:bCs w:val="1"/>
          <w:i w:val="1"/>
          <w:iCs w:val="1"/>
          <w:color w:val="auto"/>
        </w:rPr>
        <w:t>fnancial</w:t>
      </w:r>
      <w:r>
        <w:rPr>
          <w:rFonts w:ascii="Calibri" w:cs="Calibri" w:eastAsia="Calibri" w:hAnsi="Calibri"/>
          <w:sz w:val="20"/>
          <w:szCs w:val="20"/>
          <w:color w:val="auto"/>
        </w:rPr>
        <w:t xml:space="preserve"> </w:t>
      </w:r>
      <w:r>
        <w:rPr>
          <w:rFonts w:ascii="Calibri" w:cs="Calibri" w:eastAsia="Calibri" w:hAnsi="Calibri"/>
          <w:sz w:val="20"/>
          <w:szCs w:val="20"/>
          <w:b w:val="1"/>
          <w:bCs w:val="1"/>
          <w:i w:val="1"/>
          <w:iCs w:val="1"/>
          <w:color w:val="auto"/>
        </w:rPr>
        <w:t>reportng measure</w:t>
      </w:r>
      <w:r>
        <w:rPr>
          <w:rFonts w:ascii="Calibri" w:cs="Calibri" w:eastAsia="Calibri" w:hAnsi="Calibri"/>
          <w:sz w:val="20"/>
          <w:szCs w:val="20"/>
          <w:color w:val="auto"/>
        </w:rPr>
        <w:t>” is (i) any measure that is determined and presented in accordance with the accountng principles used in</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color w:val="auto"/>
        </w:rPr>
        <w:t>preparing the Company’s fnancial statements and any measure derived wholly or in part from such measures, or (ii) the Company’s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1112520</wp:posOffset>
            </wp:positionV>
            <wp:extent cx="7157720"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0" w:right="339" w:bottom="1440" w:gutter="0" w:footer="0" w:header="0"/>
        </w:sectPr>
      </w:pPr>
    </w:p>
    <w:bookmarkStart w:id="336" w:name="page337"/>
    <w:bookmarkEnd w:id="336"/>
    <w:p>
      <w:pPr>
        <w:spacing w:after="0" w:line="78" w:lineRule="exact"/>
        <w:rPr>
          <w:sz w:val="20"/>
          <w:szCs w:val="20"/>
          <w:color w:val="auto"/>
        </w:rPr>
      </w:pPr>
    </w:p>
    <w:p>
      <w:pPr>
        <w:jc w:val="both"/>
        <w:ind w:left="680"/>
        <w:spacing w:after="0" w:line="235" w:lineRule="auto"/>
        <w:rPr>
          <w:sz w:val="20"/>
          <w:szCs w:val="20"/>
          <w:color w:val="auto"/>
        </w:rPr>
      </w:pPr>
      <w:r>
        <w:rPr>
          <w:rFonts w:ascii="Calibri" w:cs="Calibri" w:eastAsia="Calibri" w:hAnsi="Calibri"/>
          <w:sz w:val="20"/>
          <w:szCs w:val="20"/>
          <w:color w:val="auto"/>
        </w:rPr>
        <w:t>price and/or total shareholder return. A fnancial reportng measure need not be presented within the fnancial statements or included in a fling with the U.S. Securites and Exchange Commission. Incentve Compensaton subject to this Policy may be provided by the Company or subsidiaries or afliates of the Company (“</w:t>
      </w:r>
      <w:r>
        <w:rPr>
          <w:rFonts w:ascii="Calibri" w:cs="Calibri" w:eastAsia="Calibri" w:hAnsi="Calibri"/>
          <w:sz w:val="20"/>
          <w:szCs w:val="20"/>
          <w:b w:val="1"/>
          <w:bCs w:val="1"/>
          <w:i w:val="1"/>
          <w:iCs w:val="1"/>
          <w:color w:val="auto"/>
        </w:rPr>
        <w:t>Company Afliates</w:t>
      </w:r>
      <w:r>
        <w:rPr>
          <w:rFonts w:ascii="Calibri" w:cs="Calibri" w:eastAsia="Calibri" w:hAnsi="Calibri"/>
          <w:sz w:val="20"/>
          <w:szCs w:val="20"/>
          <w:color w:val="auto"/>
        </w:rPr>
        <w:t>”).</w:t>
      </w:r>
    </w:p>
    <w:p>
      <w:pPr>
        <w:spacing w:after="0" w:line="119" w:lineRule="exact"/>
        <w:rPr>
          <w:sz w:val="20"/>
          <w:szCs w:val="20"/>
          <w:color w:val="auto"/>
        </w:rPr>
      </w:pPr>
    </w:p>
    <w:p>
      <w:pPr>
        <w:jc w:val="both"/>
        <w:ind w:left="680" w:right="20" w:hanging="673"/>
        <w:spacing w:after="0" w:line="235" w:lineRule="auto"/>
        <w:tabs>
          <w:tab w:leader="none" w:pos="660" w:val="left"/>
        </w:tabs>
        <w:rPr>
          <w:sz w:val="20"/>
          <w:szCs w:val="20"/>
          <w:color w:val="auto"/>
        </w:rPr>
      </w:pPr>
      <w:r>
        <w:rPr>
          <w:rFonts w:ascii="Calibri" w:cs="Calibri" w:eastAsia="Calibri" w:hAnsi="Calibri"/>
          <w:sz w:val="20"/>
          <w:szCs w:val="20"/>
          <w:color w:val="auto"/>
        </w:rPr>
        <w:t>3.5</w:t>
      </w:r>
      <w:r>
        <w:rPr>
          <w:sz w:val="20"/>
          <w:szCs w:val="20"/>
          <w:color w:val="auto"/>
        </w:rPr>
        <w:tab/>
      </w:r>
      <w:r>
        <w:rPr>
          <w:rFonts w:ascii="Calibri" w:cs="Calibri" w:eastAsia="Calibri" w:hAnsi="Calibri"/>
          <w:sz w:val="20"/>
          <w:szCs w:val="20"/>
          <w:color w:val="auto"/>
        </w:rPr>
        <w:t>“</w:t>
      </w:r>
      <w:r>
        <w:rPr>
          <w:rFonts w:ascii="Calibri" w:cs="Calibri" w:eastAsia="Calibri" w:hAnsi="Calibri"/>
          <w:sz w:val="20"/>
          <w:szCs w:val="20"/>
          <w:b w:val="1"/>
          <w:bCs w:val="1"/>
          <w:i w:val="1"/>
          <w:iCs w:val="1"/>
          <w:color w:val="auto"/>
        </w:rPr>
        <w:t>Recoupment Period</w:t>
      </w:r>
      <w:r>
        <w:rPr>
          <w:rFonts w:ascii="Calibri" w:cs="Calibri" w:eastAsia="Calibri" w:hAnsi="Calibri"/>
          <w:sz w:val="20"/>
          <w:szCs w:val="20"/>
          <w:color w:val="auto"/>
        </w:rPr>
        <w:t>” means the three completed fscal years preceding the Trigger Date, and any transiton period (that results from a change in the Company’s fscal year) of less than nine months within or immediately following those three completed fscal years, provided that any transiton period of nine months or more shall count as a full fscal year.</w:t>
      </w:r>
    </w:p>
    <w:p>
      <w:pPr>
        <w:spacing w:after="0" w:line="119" w:lineRule="exact"/>
        <w:rPr>
          <w:sz w:val="20"/>
          <w:szCs w:val="20"/>
          <w:color w:val="auto"/>
        </w:rPr>
      </w:pPr>
    </w:p>
    <w:p>
      <w:pPr>
        <w:jc w:val="both"/>
        <w:ind w:left="680" w:hanging="673"/>
        <w:spacing w:after="0"/>
        <w:tabs>
          <w:tab w:leader="none" w:pos="660" w:val="left"/>
        </w:tabs>
        <w:rPr>
          <w:sz w:val="20"/>
          <w:szCs w:val="20"/>
          <w:color w:val="auto"/>
        </w:rPr>
      </w:pPr>
      <w:r>
        <w:rPr>
          <w:rFonts w:ascii="Calibri" w:cs="Calibri" w:eastAsia="Calibri" w:hAnsi="Calibri"/>
          <w:sz w:val="20"/>
          <w:szCs w:val="20"/>
          <w:color w:val="auto"/>
        </w:rPr>
        <w:t>3.6</w:t>
      </w:r>
      <w:r>
        <w:rPr>
          <w:sz w:val="20"/>
          <w:szCs w:val="20"/>
          <w:color w:val="auto"/>
        </w:rPr>
        <w:tab/>
      </w:r>
      <w:r>
        <w:rPr>
          <w:rFonts w:ascii="Calibri" w:cs="Calibri" w:eastAsia="Calibri" w:hAnsi="Calibri"/>
          <w:sz w:val="20"/>
          <w:szCs w:val="20"/>
          <w:color w:val="auto"/>
        </w:rPr>
        <w:t>“</w:t>
      </w:r>
      <w:r>
        <w:rPr>
          <w:rFonts w:ascii="Calibri" w:cs="Calibri" w:eastAsia="Calibri" w:hAnsi="Calibri"/>
          <w:sz w:val="20"/>
          <w:szCs w:val="20"/>
          <w:b w:val="1"/>
          <w:bCs w:val="1"/>
          <w:i w:val="1"/>
          <w:iCs w:val="1"/>
          <w:color w:val="auto"/>
        </w:rPr>
        <w:t>Trigger Date</w:t>
      </w:r>
      <w:r>
        <w:rPr>
          <w:rFonts w:ascii="Calibri" w:cs="Calibri" w:eastAsia="Calibri" w:hAnsi="Calibri"/>
          <w:sz w:val="20"/>
          <w:szCs w:val="20"/>
          <w:color w:val="auto"/>
        </w:rPr>
        <w:t>” means the earlier to occur of: (a) the date the Board, the Audit Commitee of the Board (or such other commitee of the Board as may be authorized to make such a conclusion), or the ofcer or ofcers of the Company authorized to take such acton if acton by the Board is not required concludes, or reasonably should have concluded, that the Company is required to prepare an Accountng Restatement; and (b) the date a court, regulator, or other legally authorized body directs the Company to prepare an Accountng Restatement; in the case of both (a) and (b) regardless of if or when restated fnancial statements are fled.</w:t>
      </w:r>
    </w:p>
    <w:p>
      <w:pPr>
        <w:spacing w:after="0" w:line="323" w:lineRule="exact"/>
        <w:rPr>
          <w:sz w:val="20"/>
          <w:szCs w:val="20"/>
          <w:color w:val="auto"/>
        </w:rPr>
      </w:pPr>
    </w:p>
    <w:p>
      <w:pPr>
        <w:spacing w:after="0"/>
        <w:tabs>
          <w:tab w:leader="none" w:pos="640" w:val="left"/>
        </w:tabs>
        <w:rPr>
          <w:sz w:val="20"/>
          <w:szCs w:val="20"/>
          <w:color w:val="auto"/>
        </w:rPr>
      </w:pPr>
      <w:r>
        <w:rPr>
          <w:rFonts w:ascii="Calibri" w:cs="Calibri" w:eastAsia="Calibri" w:hAnsi="Calibri"/>
          <w:sz w:val="21"/>
          <w:szCs w:val="21"/>
          <w:b w:val="1"/>
          <w:bCs w:val="1"/>
          <w:color w:val="auto"/>
        </w:rPr>
        <w:t>4.0</w:t>
      </w:r>
      <w:r>
        <w:rPr>
          <w:sz w:val="20"/>
          <w:szCs w:val="20"/>
          <w:color w:val="auto"/>
        </w:rPr>
        <w:tab/>
      </w:r>
      <w:r>
        <w:rPr>
          <w:rFonts w:ascii="Calibri" w:cs="Calibri" w:eastAsia="Calibri" w:hAnsi="Calibri"/>
          <w:sz w:val="20"/>
          <w:szCs w:val="20"/>
          <w:b w:val="1"/>
          <w:bCs w:val="1"/>
          <w:color w:val="auto"/>
        </w:rPr>
        <w:t>ADMINISTRATION</w:t>
      </w:r>
    </w:p>
    <w:p>
      <w:pPr>
        <w:spacing w:after="0" w:line="114" w:lineRule="exact"/>
        <w:rPr>
          <w:sz w:val="20"/>
          <w:szCs w:val="20"/>
          <w:color w:val="auto"/>
        </w:rPr>
      </w:pPr>
    </w:p>
    <w:p>
      <w:pPr>
        <w:jc w:val="both"/>
        <w:ind w:left="680" w:hanging="673"/>
        <w:spacing w:after="0" w:line="236" w:lineRule="auto"/>
        <w:tabs>
          <w:tab w:leader="none" w:pos="660" w:val="left"/>
        </w:tabs>
        <w:rPr>
          <w:sz w:val="20"/>
          <w:szCs w:val="20"/>
          <w:color w:val="auto"/>
        </w:rPr>
      </w:pPr>
      <w:r>
        <w:rPr>
          <w:rFonts w:ascii="Calibri" w:cs="Calibri" w:eastAsia="Calibri" w:hAnsi="Calibri"/>
          <w:sz w:val="20"/>
          <w:szCs w:val="20"/>
          <w:color w:val="auto"/>
        </w:rPr>
        <w:t>4.1</w:t>
      </w:r>
      <w:r>
        <w:rPr>
          <w:sz w:val="20"/>
          <w:szCs w:val="20"/>
          <w:color w:val="auto"/>
        </w:rPr>
        <w:tab/>
      </w:r>
      <w:r>
        <w:rPr>
          <w:rFonts w:ascii="Calibri" w:cs="Calibri" w:eastAsia="Calibri" w:hAnsi="Calibri"/>
          <w:sz w:val="20"/>
          <w:szCs w:val="20"/>
          <w:color w:val="auto"/>
        </w:rPr>
        <w:t>This Policy is intended to comply with Nasdaq Listng Rule 5608, Secton 10D of the Exchange Act, and Rule 10D-1(b)(1) as promulgated under the Exchange Act, and shall be interpreted in a manner consistent with those requirements. The Compensaton Commitee has full authority to interpret and administer this, Policy. The Compensaton Commitee’s determinatons under this Policy shall be fnal and binding on all persons, need not be uniform with respect to each individual covered by the Policy, and shall be given the maximum deference permited by law.</w:t>
      </w:r>
    </w:p>
    <w:p>
      <w:pPr>
        <w:spacing w:after="0" w:line="121" w:lineRule="exact"/>
        <w:rPr>
          <w:sz w:val="20"/>
          <w:szCs w:val="20"/>
          <w:color w:val="auto"/>
        </w:rPr>
      </w:pPr>
    </w:p>
    <w:p>
      <w:pPr>
        <w:jc w:val="both"/>
        <w:ind w:left="680" w:hanging="673"/>
        <w:spacing w:after="0" w:line="236" w:lineRule="auto"/>
        <w:tabs>
          <w:tab w:leader="none" w:pos="660" w:val="left"/>
        </w:tabs>
        <w:rPr>
          <w:sz w:val="20"/>
          <w:szCs w:val="20"/>
          <w:color w:val="auto"/>
        </w:rPr>
      </w:pPr>
      <w:r>
        <w:rPr>
          <w:rFonts w:ascii="Calibri" w:cs="Calibri" w:eastAsia="Calibri" w:hAnsi="Calibri"/>
          <w:sz w:val="20"/>
          <w:szCs w:val="20"/>
          <w:color w:val="auto"/>
        </w:rPr>
        <w:t>4.2</w:t>
      </w:r>
      <w:r>
        <w:rPr>
          <w:sz w:val="20"/>
          <w:szCs w:val="20"/>
          <w:color w:val="auto"/>
        </w:rPr>
        <w:tab/>
      </w:r>
      <w:r>
        <w:rPr>
          <w:rFonts w:ascii="Calibri" w:cs="Calibri" w:eastAsia="Calibri" w:hAnsi="Calibri"/>
          <w:sz w:val="20"/>
          <w:szCs w:val="20"/>
          <w:color w:val="auto"/>
        </w:rPr>
        <w:t>The Compensaton Commitee has the authority to determine the appropriate means of recovering Excess Incentve Compensaton based on the partcular facts and circumstances, which could include, but is not limited to, seeking direct reimbursement, forfeiture of awards, ofsets against other payments, and forfeiture of deferred compensaton (subject to compliance with Secton 409A of the Internal Revenue Code).</w:t>
      </w:r>
    </w:p>
    <w:p>
      <w:pPr>
        <w:spacing w:after="0" w:line="118" w:lineRule="exact"/>
        <w:rPr>
          <w:sz w:val="20"/>
          <w:szCs w:val="20"/>
          <w:color w:val="auto"/>
        </w:rPr>
      </w:pPr>
    </w:p>
    <w:p>
      <w:pPr>
        <w:jc w:val="both"/>
        <w:ind w:left="680" w:hanging="673"/>
        <w:spacing w:after="0" w:line="235" w:lineRule="auto"/>
        <w:tabs>
          <w:tab w:leader="none" w:pos="660" w:val="left"/>
        </w:tabs>
        <w:rPr>
          <w:sz w:val="20"/>
          <w:szCs w:val="20"/>
          <w:color w:val="auto"/>
        </w:rPr>
      </w:pPr>
      <w:r>
        <w:rPr>
          <w:rFonts w:ascii="Calibri" w:cs="Calibri" w:eastAsia="Calibri" w:hAnsi="Calibri"/>
          <w:sz w:val="20"/>
          <w:szCs w:val="20"/>
          <w:color w:val="auto"/>
        </w:rPr>
        <w:t>4.3</w:t>
      </w:r>
      <w:r>
        <w:rPr>
          <w:sz w:val="20"/>
          <w:szCs w:val="20"/>
          <w:color w:val="auto"/>
        </w:rPr>
        <w:tab/>
      </w:r>
      <w:r>
        <w:rPr>
          <w:rFonts w:ascii="Calibri" w:cs="Calibri" w:eastAsia="Calibri" w:hAnsi="Calibri"/>
          <w:sz w:val="20"/>
          <w:szCs w:val="20"/>
          <w:color w:val="auto"/>
        </w:rPr>
        <w:t>Subject to any limitatons under applicable law, the Compensaton Commitee may authorize any ofcer or employee of the Company to take actons necessary or appropriate to carry out the purpose and intent of this Policy, provided that no such authorizaton shall relate to any recovery under this Policy that involves such ofcer or employee.</w:t>
      </w:r>
    </w:p>
    <w:p>
      <w:pPr>
        <w:spacing w:after="0" w:line="119" w:lineRule="exact"/>
        <w:rPr>
          <w:sz w:val="20"/>
          <w:szCs w:val="20"/>
          <w:color w:val="auto"/>
        </w:rPr>
      </w:pPr>
    </w:p>
    <w:p>
      <w:pPr>
        <w:jc w:val="both"/>
        <w:ind w:left="680" w:hanging="673"/>
        <w:spacing w:after="0" w:line="236" w:lineRule="auto"/>
        <w:tabs>
          <w:tab w:leader="none" w:pos="660" w:val="left"/>
        </w:tabs>
        <w:rPr>
          <w:sz w:val="20"/>
          <w:szCs w:val="20"/>
          <w:color w:val="auto"/>
        </w:rPr>
      </w:pPr>
      <w:r>
        <w:rPr>
          <w:rFonts w:ascii="Calibri" w:cs="Calibri" w:eastAsia="Calibri" w:hAnsi="Calibri"/>
          <w:sz w:val="20"/>
          <w:szCs w:val="20"/>
          <w:color w:val="auto"/>
        </w:rPr>
        <w:t>4.4</w:t>
      </w:r>
      <w:r>
        <w:rPr>
          <w:sz w:val="20"/>
          <w:szCs w:val="20"/>
          <w:color w:val="auto"/>
        </w:rPr>
        <w:tab/>
      </w:r>
      <w:r>
        <w:rPr>
          <w:rFonts w:ascii="Calibri" w:cs="Calibri" w:eastAsia="Calibri" w:hAnsi="Calibri"/>
          <w:sz w:val="20"/>
          <w:szCs w:val="20"/>
          <w:color w:val="auto"/>
        </w:rPr>
        <w:t>If the Compensaton Commitee cannot determine the amount of excess Incentve Compensaton received by a Covered Executve directly from the informaton in the Accountng Restatement, such as in the case of Incentve Compensaton ted to stock price or total stockholder return, then it shall make its determinaton based on its reasonable estmate of the efect of the Accountng Restatement and shall maintain documentaton of such determinaton, including for purposes of providing such documentaton to Nasdaq.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970280</wp:posOffset>
            </wp:positionV>
            <wp:extent cx="715772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7" w:name="page338"/>
    <w:bookmarkEnd w:id="337"/>
    <w:p>
      <w:pPr>
        <w:spacing w:after="0" w:line="78" w:lineRule="exact"/>
        <w:rPr>
          <w:sz w:val="20"/>
          <w:szCs w:val="20"/>
          <w:color w:val="auto"/>
        </w:rPr>
      </w:pPr>
    </w:p>
    <w:p>
      <w:pPr>
        <w:jc w:val="both"/>
        <w:ind w:left="680" w:hanging="673"/>
        <w:spacing w:after="0" w:line="235" w:lineRule="auto"/>
        <w:tabs>
          <w:tab w:leader="none" w:pos="660" w:val="left"/>
        </w:tabs>
        <w:rPr>
          <w:sz w:val="20"/>
          <w:szCs w:val="20"/>
          <w:color w:val="auto"/>
        </w:rPr>
      </w:pPr>
      <w:r>
        <w:rPr>
          <w:rFonts w:ascii="Calibri" w:cs="Calibri" w:eastAsia="Calibri" w:hAnsi="Calibri"/>
          <w:sz w:val="20"/>
          <w:szCs w:val="20"/>
          <w:color w:val="auto"/>
        </w:rPr>
        <w:t>4.5</w:t>
      </w:r>
      <w:r>
        <w:rPr>
          <w:sz w:val="20"/>
          <w:szCs w:val="20"/>
          <w:color w:val="auto"/>
        </w:rPr>
        <w:tab/>
      </w:r>
      <w:r>
        <w:rPr>
          <w:rFonts w:ascii="Calibri" w:cs="Calibri" w:eastAsia="Calibri" w:hAnsi="Calibri"/>
          <w:sz w:val="20"/>
          <w:szCs w:val="20"/>
          <w:color w:val="auto"/>
        </w:rPr>
        <w:t>Except where an acton is required by Nasdaq Listng Rule 5608, Secton 10D of the Exchange Act or Rule 10D-1(b)(1) promulgated under the Exchange Act to be determined in a diferent mater, the Board may act to have the independent directors of the Board administer this Policy in place of the Compensaton Commitee in any partcular circumstance.</w:t>
      </w:r>
    </w:p>
    <w:p>
      <w:pPr>
        <w:spacing w:after="0" w:line="109" w:lineRule="exact"/>
        <w:rPr>
          <w:sz w:val="20"/>
          <w:szCs w:val="20"/>
          <w:color w:val="auto"/>
        </w:rPr>
      </w:pPr>
    </w:p>
    <w:p>
      <w:pPr>
        <w:spacing w:after="0"/>
        <w:tabs>
          <w:tab w:leader="none" w:pos="660" w:val="left"/>
        </w:tabs>
        <w:rPr>
          <w:sz w:val="20"/>
          <w:szCs w:val="20"/>
          <w:color w:val="auto"/>
        </w:rPr>
      </w:pPr>
      <w:r>
        <w:rPr>
          <w:rFonts w:ascii="Calibri" w:cs="Calibri" w:eastAsia="Calibri" w:hAnsi="Calibri"/>
          <w:sz w:val="20"/>
          <w:szCs w:val="20"/>
          <w:color w:val="auto"/>
        </w:rPr>
        <w:t>4.6</w:t>
      </w:r>
      <w:r>
        <w:rPr>
          <w:sz w:val="20"/>
          <w:szCs w:val="20"/>
          <w:color w:val="auto"/>
        </w:rPr>
        <w:tab/>
      </w:r>
      <w:r>
        <w:rPr>
          <w:rFonts w:ascii="Calibri" w:cs="Calibri" w:eastAsia="Calibri" w:hAnsi="Calibri"/>
          <w:sz w:val="20"/>
          <w:szCs w:val="20"/>
          <w:color w:val="auto"/>
        </w:rPr>
        <w:t>Each Covered Executve shall sign an Incentve Compensaton Recovery Policy Acknowledgment and Agreement in the form</w:t>
      </w:r>
    </w:p>
    <w:p>
      <w:pPr>
        <w:ind w:left="680"/>
        <w:spacing w:after="0" w:line="238" w:lineRule="auto"/>
        <w:rPr>
          <w:sz w:val="20"/>
          <w:szCs w:val="20"/>
          <w:color w:val="auto"/>
        </w:rPr>
      </w:pPr>
      <w:r>
        <w:rPr>
          <w:rFonts w:ascii="Calibri" w:cs="Calibri" w:eastAsia="Calibri" w:hAnsi="Calibri"/>
          <w:sz w:val="20"/>
          <w:szCs w:val="20"/>
          <w:color w:val="auto"/>
        </w:rPr>
        <w:t xml:space="preserve">atached to this Policy as </w:t>
      </w:r>
      <w:r>
        <w:rPr>
          <w:rFonts w:ascii="Calibri" w:cs="Calibri" w:eastAsia="Calibri" w:hAnsi="Calibri"/>
          <w:sz w:val="20"/>
          <w:szCs w:val="20"/>
          <w:u w:val="single" w:color="auto"/>
          <w:color w:val="auto"/>
        </w:rPr>
        <w:t>Exhibit A</w:t>
      </w:r>
      <w:r>
        <w:rPr>
          <w:rFonts w:ascii="Calibri" w:cs="Calibri" w:eastAsia="Calibri" w:hAnsi="Calibri"/>
          <w:sz w:val="20"/>
          <w:szCs w:val="20"/>
          <w:color w:val="auto"/>
        </w:rPr>
        <w:t xml:space="preserve"> or such other form as approved by the Compensaton Commitee in its sole discreton.</w:t>
      </w:r>
    </w:p>
    <w:p>
      <w:pPr>
        <w:spacing w:after="0" w:line="97" w:lineRule="exact"/>
        <w:rPr>
          <w:sz w:val="20"/>
          <w:szCs w:val="20"/>
          <w:color w:val="auto"/>
        </w:rPr>
      </w:pPr>
    </w:p>
    <w:p>
      <w:pPr>
        <w:spacing w:after="0"/>
        <w:tabs>
          <w:tab w:leader="none" w:pos="640" w:val="left"/>
        </w:tabs>
        <w:rPr>
          <w:sz w:val="20"/>
          <w:szCs w:val="20"/>
          <w:color w:val="auto"/>
        </w:rPr>
      </w:pPr>
      <w:r>
        <w:rPr>
          <w:rFonts w:ascii="Calibri" w:cs="Calibri" w:eastAsia="Calibri" w:hAnsi="Calibri"/>
          <w:sz w:val="21"/>
          <w:szCs w:val="21"/>
          <w:b w:val="1"/>
          <w:bCs w:val="1"/>
          <w:color w:val="auto"/>
        </w:rPr>
        <w:t>5.0</w:t>
      </w:r>
      <w:r>
        <w:rPr>
          <w:sz w:val="20"/>
          <w:szCs w:val="20"/>
          <w:color w:val="auto"/>
        </w:rPr>
        <w:tab/>
      </w:r>
      <w:r>
        <w:rPr>
          <w:rFonts w:ascii="Calibri" w:cs="Calibri" w:eastAsia="Calibri" w:hAnsi="Calibri"/>
          <w:sz w:val="20"/>
          <w:szCs w:val="20"/>
          <w:b w:val="1"/>
          <w:bCs w:val="1"/>
          <w:color w:val="auto"/>
        </w:rPr>
        <w:t>NO INDEMNIFICATION OR ADVANCEMENT OF LEGAL FEES</w:t>
      </w:r>
    </w:p>
    <w:p>
      <w:pPr>
        <w:spacing w:after="0" w:line="114" w:lineRule="exact"/>
        <w:rPr>
          <w:sz w:val="20"/>
          <w:szCs w:val="20"/>
          <w:color w:val="auto"/>
        </w:rPr>
      </w:pPr>
    </w:p>
    <w:p>
      <w:pPr>
        <w:jc w:val="both"/>
        <w:ind w:left="660"/>
        <w:spacing w:after="0" w:line="236" w:lineRule="auto"/>
        <w:rPr>
          <w:sz w:val="20"/>
          <w:szCs w:val="20"/>
          <w:color w:val="auto"/>
        </w:rPr>
      </w:pPr>
      <w:r>
        <w:rPr>
          <w:rFonts w:ascii="Calibri" w:cs="Calibri" w:eastAsia="Calibri" w:hAnsi="Calibri"/>
          <w:sz w:val="20"/>
          <w:szCs w:val="20"/>
          <w:color w:val="auto"/>
        </w:rPr>
        <w:t>Notwithstanding the terms of any indemnifcaton agreement, insurance policy, contractual arrangement, the governing documents of the Company or other document or arrangement, the Company shall not indemnify any Covered Executve against, or pay the premiums for any insurance policy to cover, any amounts recovered under this Policy or any expenses that a Covered Executve incurs in opposing Company eforts to recoup amounts pursuant to the Policy.</w:t>
      </w:r>
    </w:p>
    <w:p>
      <w:pPr>
        <w:spacing w:after="0" w:line="166" w:lineRule="exact"/>
        <w:rPr>
          <w:sz w:val="20"/>
          <w:szCs w:val="20"/>
          <w:color w:val="auto"/>
        </w:rPr>
      </w:pPr>
    </w:p>
    <w:p>
      <w:pPr>
        <w:spacing w:after="0"/>
        <w:tabs>
          <w:tab w:leader="none" w:pos="640" w:val="left"/>
        </w:tabs>
        <w:rPr>
          <w:sz w:val="20"/>
          <w:szCs w:val="20"/>
          <w:color w:val="auto"/>
        </w:rPr>
      </w:pPr>
      <w:r>
        <w:rPr>
          <w:rFonts w:ascii="Calibri" w:cs="Calibri" w:eastAsia="Calibri" w:hAnsi="Calibri"/>
          <w:sz w:val="21"/>
          <w:szCs w:val="21"/>
          <w:b w:val="1"/>
          <w:bCs w:val="1"/>
          <w:color w:val="auto"/>
        </w:rPr>
        <w:t>6.0</w:t>
      </w:r>
      <w:r>
        <w:rPr>
          <w:sz w:val="20"/>
          <w:szCs w:val="20"/>
          <w:color w:val="auto"/>
        </w:rPr>
        <w:tab/>
      </w:r>
      <w:r>
        <w:rPr>
          <w:rFonts w:ascii="Calibri" w:cs="Calibri" w:eastAsia="Calibri" w:hAnsi="Calibri"/>
          <w:sz w:val="20"/>
          <w:szCs w:val="20"/>
          <w:b w:val="1"/>
          <w:bCs w:val="1"/>
          <w:color w:val="auto"/>
        </w:rPr>
        <w:t>NON-EXCLUSIVE REMEDY; SUCCESSORS</w:t>
      </w:r>
    </w:p>
    <w:p>
      <w:pPr>
        <w:spacing w:after="0" w:line="114" w:lineRule="exact"/>
        <w:rPr>
          <w:sz w:val="20"/>
          <w:szCs w:val="20"/>
          <w:color w:val="auto"/>
        </w:rPr>
      </w:pPr>
    </w:p>
    <w:p>
      <w:pPr>
        <w:jc w:val="both"/>
        <w:ind w:left="680" w:hanging="673"/>
        <w:spacing w:after="0" w:line="237" w:lineRule="auto"/>
        <w:tabs>
          <w:tab w:leader="none" w:pos="660" w:val="left"/>
        </w:tabs>
        <w:rPr>
          <w:sz w:val="20"/>
          <w:szCs w:val="20"/>
          <w:color w:val="auto"/>
        </w:rPr>
      </w:pPr>
      <w:r>
        <w:rPr>
          <w:rFonts w:ascii="Calibri" w:cs="Calibri" w:eastAsia="Calibri" w:hAnsi="Calibri"/>
          <w:sz w:val="20"/>
          <w:szCs w:val="20"/>
          <w:color w:val="auto"/>
        </w:rPr>
        <w:t>6.1</w:t>
      </w:r>
      <w:r>
        <w:rPr>
          <w:sz w:val="20"/>
          <w:szCs w:val="20"/>
          <w:color w:val="auto"/>
        </w:rPr>
        <w:tab/>
      </w:r>
      <w:r>
        <w:rPr>
          <w:rFonts w:ascii="Calibri" w:cs="Calibri" w:eastAsia="Calibri" w:hAnsi="Calibri"/>
          <w:sz w:val="20"/>
          <w:szCs w:val="20"/>
          <w:color w:val="auto"/>
        </w:rPr>
        <w:t>Recovery of Incentve Compensaton pursuant to this Policy shall not in any way limit or afect the rights of the Company to pursue disciplinary, legal, or other acton or pursue any other remedies available to it. This Policy shall be in additon to, and is not intended to limit, any rights of the Company to recover Incentve Compensaton from Covered Executves under any legal remedy available to the Company and applicable laws and regulatons, including but not limited to the Sarbanes-Oxley Act of 2002, as amended, or pursuant to the terms of any other Company policy, employment agreement, equity award agreement, or similar agreement with a Covered Executve.</w:t>
      </w:r>
    </w:p>
    <w:p>
      <w:pPr>
        <w:spacing w:after="0" w:line="118" w:lineRule="exact"/>
        <w:rPr>
          <w:sz w:val="20"/>
          <w:szCs w:val="20"/>
          <w:color w:val="auto"/>
        </w:rPr>
      </w:pPr>
    </w:p>
    <w:p>
      <w:pPr>
        <w:jc w:val="both"/>
        <w:ind w:left="680" w:right="20" w:hanging="673"/>
        <w:spacing w:after="0" w:line="234" w:lineRule="auto"/>
        <w:tabs>
          <w:tab w:leader="none" w:pos="660" w:val="left"/>
        </w:tabs>
        <w:rPr>
          <w:sz w:val="20"/>
          <w:szCs w:val="20"/>
          <w:color w:val="auto"/>
        </w:rPr>
      </w:pPr>
      <w:r>
        <w:rPr>
          <w:rFonts w:ascii="Calibri" w:cs="Calibri" w:eastAsia="Calibri" w:hAnsi="Calibri"/>
          <w:sz w:val="20"/>
          <w:szCs w:val="20"/>
          <w:color w:val="auto"/>
        </w:rPr>
        <w:t>6.2</w:t>
      </w:r>
      <w:r>
        <w:rPr>
          <w:sz w:val="20"/>
          <w:szCs w:val="20"/>
          <w:color w:val="auto"/>
        </w:rPr>
        <w:tab/>
      </w:r>
      <w:r>
        <w:rPr>
          <w:rFonts w:ascii="Calibri" w:cs="Calibri" w:eastAsia="Calibri" w:hAnsi="Calibri"/>
          <w:sz w:val="20"/>
          <w:szCs w:val="20"/>
          <w:color w:val="auto"/>
        </w:rPr>
        <w:t>This Policy shall be binding and enforceable against all Covered Executves and their successors, benefciaries, heirs, executors, administrators, or other legal representatves.</w:t>
      </w:r>
    </w:p>
    <w:p>
      <w:pPr>
        <w:spacing w:after="0" w:line="97" w:lineRule="exact"/>
        <w:rPr>
          <w:sz w:val="20"/>
          <w:szCs w:val="20"/>
          <w:color w:val="auto"/>
        </w:rPr>
      </w:pPr>
    </w:p>
    <w:p>
      <w:pPr>
        <w:spacing w:after="0"/>
        <w:tabs>
          <w:tab w:leader="none" w:pos="640" w:val="left"/>
        </w:tabs>
        <w:rPr>
          <w:sz w:val="20"/>
          <w:szCs w:val="20"/>
          <w:color w:val="auto"/>
        </w:rPr>
      </w:pPr>
      <w:r>
        <w:rPr>
          <w:rFonts w:ascii="Calibri" w:cs="Calibri" w:eastAsia="Calibri" w:hAnsi="Calibri"/>
          <w:sz w:val="21"/>
          <w:szCs w:val="21"/>
          <w:b w:val="1"/>
          <w:bCs w:val="1"/>
          <w:color w:val="auto"/>
        </w:rPr>
        <w:t>7.0</w:t>
      </w:r>
      <w:r>
        <w:rPr>
          <w:sz w:val="20"/>
          <w:szCs w:val="20"/>
          <w:color w:val="auto"/>
        </w:rPr>
        <w:tab/>
      </w:r>
      <w:r>
        <w:rPr>
          <w:rFonts w:ascii="Calibri" w:cs="Calibri" w:eastAsia="Calibri" w:hAnsi="Calibri"/>
          <w:sz w:val="20"/>
          <w:szCs w:val="20"/>
          <w:b w:val="1"/>
          <w:bCs w:val="1"/>
          <w:color w:val="auto"/>
        </w:rPr>
        <w:t>QUESTIONS</w:t>
      </w:r>
    </w:p>
    <w:p>
      <w:pPr>
        <w:spacing w:after="0" w:line="114" w:lineRule="exact"/>
        <w:rPr>
          <w:sz w:val="20"/>
          <w:szCs w:val="20"/>
          <w:color w:val="auto"/>
        </w:rPr>
      </w:pPr>
    </w:p>
    <w:p>
      <w:pPr>
        <w:ind w:left="660" w:right="540"/>
        <w:spacing w:after="0" w:line="234" w:lineRule="auto"/>
        <w:rPr>
          <w:sz w:val="20"/>
          <w:szCs w:val="20"/>
          <w:color w:val="auto"/>
        </w:rPr>
      </w:pPr>
      <w:r>
        <w:rPr>
          <w:rFonts w:ascii="Calibri" w:cs="Calibri" w:eastAsia="Calibri" w:hAnsi="Calibri"/>
          <w:sz w:val="20"/>
          <w:szCs w:val="20"/>
          <w:color w:val="auto"/>
        </w:rPr>
        <w:t>Any Company personnel having questons regarding this Policy may contact the Chief Compliance Ofcer or the Chief Legal Ofcer.</w:t>
      </w:r>
    </w:p>
    <w:p>
      <w:pPr>
        <w:spacing w:after="0" w:line="178" w:lineRule="exact"/>
        <w:rPr>
          <w:sz w:val="20"/>
          <w:szCs w:val="20"/>
          <w:color w:val="auto"/>
        </w:rPr>
      </w:pPr>
    </w:p>
    <w:p>
      <w:pPr>
        <w:spacing w:after="0"/>
        <w:tabs>
          <w:tab w:leader="none" w:pos="640" w:val="left"/>
        </w:tabs>
        <w:rPr>
          <w:sz w:val="20"/>
          <w:szCs w:val="20"/>
          <w:color w:val="auto"/>
        </w:rPr>
      </w:pPr>
      <w:r>
        <w:rPr>
          <w:rFonts w:ascii="Calibri" w:cs="Calibri" w:eastAsia="Calibri" w:hAnsi="Calibri"/>
          <w:sz w:val="21"/>
          <w:szCs w:val="21"/>
          <w:b w:val="1"/>
          <w:bCs w:val="1"/>
          <w:color w:val="auto"/>
        </w:rPr>
        <w:t>8.0</w:t>
      </w:r>
      <w:r>
        <w:rPr>
          <w:sz w:val="20"/>
          <w:szCs w:val="20"/>
          <w:color w:val="auto"/>
        </w:rPr>
        <w:tab/>
      </w:r>
      <w:r>
        <w:rPr>
          <w:rFonts w:ascii="Calibri" w:cs="Calibri" w:eastAsia="Calibri" w:hAnsi="Calibri"/>
          <w:sz w:val="19"/>
          <w:szCs w:val="19"/>
          <w:b w:val="1"/>
          <w:bCs w:val="1"/>
          <w:color w:val="auto"/>
        </w:rPr>
        <w:t>ATTACHMENTS</w:t>
      </w:r>
    </w:p>
    <w:p>
      <w:pPr>
        <w:spacing w:after="0" w:line="104" w:lineRule="exact"/>
        <w:rPr>
          <w:sz w:val="20"/>
          <w:szCs w:val="20"/>
          <w:color w:val="auto"/>
        </w:rPr>
      </w:pPr>
    </w:p>
    <w:p>
      <w:pPr>
        <w:spacing w:after="0"/>
        <w:rPr>
          <w:sz w:val="20"/>
          <w:szCs w:val="20"/>
          <w:color w:val="auto"/>
        </w:rPr>
      </w:pPr>
      <w:r>
        <w:rPr>
          <w:rFonts w:ascii="Calibri" w:cs="Calibri" w:eastAsia="Calibri" w:hAnsi="Calibri"/>
          <w:sz w:val="20"/>
          <w:szCs w:val="20"/>
          <w:color w:val="auto"/>
        </w:rPr>
        <w:t>8.1 Exhibit A – Form of Acknowledgment and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1146810</wp:posOffset>
            </wp:positionV>
            <wp:extent cx="7157720"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8" w:name="page339"/>
    <w:bookmarkEnd w:id="338"/>
    <w:p>
      <w:pPr>
        <w:jc w:val="center"/>
        <w:spacing w:after="0"/>
        <w:rPr>
          <w:sz w:val="20"/>
          <w:szCs w:val="20"/>
          <w:color w:val="auto"/>
        </w:rPr>
      </w:pPr>
      <w:r>
        <w:rPr>
          <w:rFonts w:ascii="Calibri" w:cs="Calibri" w:eastAsia="Calibri" w:hAnsi="Calibri"/>
          <w:sz w:val="20"/>
          <w:szCs w:val="20"/>
          <w:b w:val="1"/>
          <w:bCs w:val="1"/>
          <w:u w:val="single" w:color="auto"/>
          <w:color w:val="auto"/>
        </w:rPr>
        <w:t>EXHIBIT A – FORM OF ACKNOWLEDGMENT AND AGREEMENT</w:t>
      </w:r>
    </w:p>
    <w:p>
      <w:pPr>
        <w:spacing w:after="0" w:line="174"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INVIVYD, INC.</w:t>
      </w:r>
    </w:p>
    <w:p>
      <w:pPr>
        <w:spacing w:after="0" w:line="187"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INCENTIVE COMPENSATION RECOVERY POLICY</w:t>
      </w:r>
    </w:p>
    <w:p>
      <w:pPr>
        <w:spacing w:after="0" w:line="174"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ACKNOWLEDGMENT AND AGREEMENT</w:t>
      </w:r>
    </w:p>
    <w:p>
      <w:pPr>
        <w:spacing w:after="0" w:line="174" w:lineRule="exact"/>
        <w:rPr>
          <w:sz w:val="20"/>
          <w:szCs w:val="20"/>
          <w:color w:val="auto"/>
        </w:rPr>
      </w:pPr>
    </w:p>
    <w:p>
      <w:pPr>
        <w:ind w:left="760"/>
        <w:spacing w:after="0"/>
        <w:rPr>
          <w:sz w:val="20"/>
          <w:szCs w:val="20"/>
          <w:color w:val="auto"/>
        </w:rPr>
      </w:pPr>
      <w:r>
        <w:rPr>
          <w:rFonts w:ascii="Calibri" w:cs="Calibri" w:eastAsia="Calibri" w:hAnsi="Calibri"/>
          <w:sz w:val="20"/>
          <w:szCs w:val="20"/>
          <w:color w:val="auto"/>
        </w:rPr>
        <w:t>This Acknowledgment and Agreement (this “</w:t>
      </w:r>
      <w:r>
        <w:rPr>
          <w:rFonts w:ascii="Calibri" w:cs="Calibri" w:eastAsia="Calibri" w:hAnsi="Calibri"/>
          <w:sz w:val="20"/>
          <w:szCs w:val="20"/>
          <w:b w:val="1"/>
          <w:bCs w:val="1"/>
          <w:i w:val="1"/>
          <w:iCs w:val="1"/>
          <w:color w:val="auto"/>
        </w:rPr>
        <w:t>Agreement</w:t>
      </w:r>
      <w:r>
        <w:rPr>
          <w:rFonts w:ascii="Calibri" w:cs="Calibri" w:eastAsia="Calibri" w:hAnsi="Calibri"/>
          <w:sz w:val="20"/>
          <w:szCs w:val="20"/>
          <w:color w:val="auto"/>
        </w:rPr>
        <w:t>”) is entered into as of the ___ day of ______, 20___, between Invivyd,</w:t>
      </w:r>
    </w:p>
    <w:p>
      <w:pPr>
        <w:spacing w:after="0" w:line="238" w:lineRule="auto"/>
        <w:rPr>
          <w:sz w:val="20"/>
          <w:szCs w:val="20"/>
          <w:color w:val="auto"/>
        </w:rPr>
      </w:pPr>
      <w:r>
        <w:rPr>
          <w:rFonts w:ascii="Calibri" w:cs="Calibri" w:eastAsia="Calibri" w:hAnsi="Calibri"/>
          <w:sz w:val="20"/>
          <w:szCs w:val="20"/>
          <w:color w:val="auto"/>
        </w:rPr>
        <w:t>Inc., a Delaware corporaton (the “</w:t>
      </w:r>
      <w:r>
        <w:rPr>
          <w:rFonts w:ascii="Calibri" w:cs="Calibri" w:eastAsia="Calibri" w:hAnsi="Calibri"/>
          <w:sz w:val="20"/>
          <w:szCs w:val="20"/>
          <w:b w:val="1"/>
          <w:bCs w:val="1"/>
          <w:i w:val="1"/>
          <w:iCs w:val="1"/>
          <w:color w:val="auto"/>
        </w:rPr>
        <w:t>Company</w:t>
      </w:r>
      <w:r>
        <w:rPr>
          <w:rFonts w:ascii="Calibri" w:cs="Calibri" w:eastAsia="Calibri" w:hAnsi="Calibri"/>
          <w:sz w:val="20"/>
          <w:szCs w:val="20"/>
          <w:color w:val="auto"/>
        </w:rPr>
        <w:t>”), and __________________ (the “</w:t>
      </w:r>
      <w:r>
        <w:rPr>
          <w:rFonts w:ascii="Calibri" w:cs="Calibri" w:eastAsia="Calibri" w:hAnsi="Calibri"/>
          <w:sz w:val="20"/>
          <w:szCs w:val="20"/>
          <w:b w:val="1"/>
          <w:bCs w:val="1"/>
          <w:i w:val="1"/>
          <w:iCs w:val="1"/>
          <w:color w:val="auto"/>
        </w:rPr>
        <w:t>Executve</w:t>
      </w:r>
      <w:r>
        <w:rPr>
          <w:rFonts w:ascii="Calibri" w:cs="Calibri" w:eastAsia="Calibri" w:hAnsi="Calibri"/>
          <w:sz w:val="20"/>
          <w:szCs w:val="20"/>
          <w:color w:val="auto"/>
        </w:rPr>
        <w:t>”), under the following circumstances:</w:t>
      </w:r>
    </w:p>
    <w:p>
      <w:pPr>
        <w:spacing w:after="0" w:line="117" w:lineRule="exact"/>
        <w:rPr>
          <w:sz w:val="20"/>
          <w:szCs w:val="20"/>
          <w:color w:val="auto"/>
        </w:rPr>
      </w:pPr>
    </w:p>
    <w:p>
      <w:pPr>
        <w:jc w:val="both"/>
        <w:ind w:firstLine="749"/>
        <w:spacing w:after="0" w:line="234" w:lineRule="auto"/>
        <w:rPr>
          <w:sz w:val="20"/>
          <w:szCs w:val="20"/>
          <w:color w:val="auto"/>
        </w:rPr>
      </w:pPr>
      <w:r>
        <w:rPr>
          <w:rFonts w:ascii="Calibri" w:cs="Calibri" w:eastAsia="Calibri" w:hAnsi="Calibri"/>
          <w:sz w:val="20"/>
          <w:szCs w:val="20"/>
          <w:color w:val="auto"/>
        </w:rPr>
        <w:t>WHEREAS, the Board of Directors of the Company (the “</w:t>
      </w:r>
      <w:r>
        <w:rPr>
          <w:rFonts w:ascii="Calibri" w:cs="Calibri" w:eastAsia="Calibri" w:hAnsi="Calibri"/>
          <w:sz w:val="20"/>
          <w:szCs w:val="20"/>
          <w:b w:val="1"/>
          <w:bCs w:val="1"/>
          <w:i w:val="1"/>
          <w:iCs w:val="1"/>
          <w:color w:val="auto"/>
        </w:rPr>
        <w:t>Board</w:t>
      </w:r>
      <w:r>
        <w:rPr>
          <w:rFonts w:ascii="Calibri" w:cs="Calibri" w:eastAsia="Calibri" w:hAnsi="Calibri"/>
          <w:sz w:val="20"/>
          <w:szCs w:val="20"/>
          <w:color w:val="auto"/>
        </w:rPr>
        <w:t>”) has adopted the Invivyd, Inc. Incentve Compensaton Recovery Policy (the “</w:t>
      </w:r>
      <w:r>
        <w:rPr>
          <w:rFonts w:ascii="Calibri" w:cs="Calibri" w:eastAsia="Calibri" w:hAnsi="Calibri"/>
          <w:sz w:val="20"/>
          <w:szCs w:val="20"/>
          <w:b w:val="1"/>
          <w:bCs w:val="1"/>
          <w:i w:val="1"/>
          <w:iCs w:val="1"/>
          <w:color w:val="auto"/>
        </w:rPr>
        <w:t>Policy</w:t>
      </w:r>
      <w:r>
        <w:rPr>
          <w:rFonts w:ascii="Calibri" w:cs="Calibri" w:eastAsia="Calibri" w:hAnsi="Calibri"/>
          <w:sz w:val="20"/>
          <w:szCs w:val="20"/>
          <w:color w:val="auto"/>
        </w:rPr>
        <w:t>”);</w:t>
      </w:r>
    </w:p>
    <w:p>
      <w:pPr>
        <w:spacing w:after="0" w:line="188" w:lineRule="exact"/>
        <w:rPr>
          <w:sz w:val="20"/>
          <w:szCs w:val="20"/>
          <w:color w:val="auto"/>
        </w:rPr>
      </w:pPr>
    </w:p>
    <w:p>
      <w:pPr>
        <w:ind w:left="760"/>
        <w:spacing w:after="0"/>
        <w:rPr>
          <w:sz w:val="20"/>
          <w:szCs w:val="20"/>
          <w:color w:val="auto"/>
        </w:rPr>
      </w:pPr>
      <w:r>
        <w:rPr>
          <w:rFonts w:ascii="Calibri" w:cs="Calibri" w:eastAsia="Calibri" w:hAnsi="Calibri"/>
          <w:sz w:val="20"/>
          <w:szCs w:val="20"/>
          <w:color w:val="auto"/>
        </w:rPr>
        <w:t>WHEREAS, the Executve has been designated as a “Covered Executve” of the Company as defned in the Policy;</w:t>
      </w:r>
    </w:p>
    <w:p>
      <w:pPr>
        <w:spacing w:after="0" w:line="184" w:lineRule="exact"/>
        <w:rPr>
          <w:sz w:val="20"/>
          <w:szCs w:val="20"/>
          <w:color w:val="auto"/>
        </w:rPr>
      </w:pPr>
    </w:p>
    <w:p>
      <w:pPr>
        <w:jc w:val="both"/>
        <w:ind w:right="20" w:firstLine="749"/>
        <w:spacing w:after="0" w:line="236" w:lineRule="auto"/>
        <w:rPr>
          <w:sz w:val="20"/>
          <w:szCs w:val="20"/>
          <w:color w:val="auto"/>
        </w:rPr>
      </w:pPr>
      <w:r>
        <w:rPr>
          <w:rFonts w:ascii="Calibri" w:cs="Calibri" w:eastAsia="Calibri" w:hAnsi="Calibri"/>
          <w:sz w:val="20"/>
          <w:szCs w:val="20"/>
          <w:color w:val="auto"/>
        </w:rPr>
        <w:t>WHEREAS, in consideraton of, and as a conditon to the receipt of, future cash and equity-based awards, performance-based compensaton, and other forms of cash or equity compensaton made under the Company’s 2020 Equity Incentve Plan, 2021 Equity Incentve Plan, or any other incentve compensaton plan or program of the Company, the Executve and the Company are entering into this Agreement; and</w:t>
      </w:r>
    </w:p>
    <w:p>
      <w:pPr>
        <w:spacing w:after="0" w:line="176" w:lineRule="exact"/>
        <w:rPr>
          <w:sz w:val="20"/>
          <w:szCs w:val="20"/>
          <w:color w:val="auto"/>
        </w:rPr>
      </w:pPr>
    </w:p>
    <w:p>
      <w:pPr>
        <w:ind w:left="760"/>
        <w:spacing w:after="0"/>
        <w:rPr>
          <w:sz w:val="20"/>
          <w:szCs w:val="20"/>
          <w:color w:val="auto"/>
        </w:rPr>
      </w:pPr>
      <w:r>
        <w:rPr>
          <w:rFonts w:ascii="Calibri" w:cs="Calibri" w:eastAsia="Calibri" w:hAnsi="Calibri"/>
          <w:sz w:val="20"/>
          <w:szCs w:val="20"/>
          <w:color w:val="auto"/>
        </w:rPr>
        <w:t>WHEREAS, defned terms used but not defned in this Agreement shall have the meanings set forth in the Policy.</w:t>
      </w:r>
    </w:p>
    <w:p>
      <w:pPr>
        <w:spacing w:after="0" w:line="187" w:lineRule="exact"/>
        <w:rPr>
          <w:sz w:val="20"/>
          <w:szCs w:val="20"/>
          <w:color w:val="auto"/>
        </w:rPr>
      </w:pPr>
    </w:p>
    <w:p>
      <w:pPr>
        <w:ind w:left="380"/>
        <w:spacing w:after="0"/>
        <w:rPr>
          <w:sz w:val="20"/>
          <w:szCs w:val="20"/>
          <w:color w:val="auto"/>
        </w:rPr>
      </w:pPr>
      <w:r>
        <w:rPr>
          <w:rFonts w:ascii="Calibri" w:cs="Calibri" w:eastAsia="Calibri" w:hAnsi="Calibri"/>
          <w:sz w:val="20"/>
          <w:szCs w:val="20"/>
          <w:color w:val="auto"/>
        </w:rPr>
        <w:t>NOW, THEREFORE, the Company and the Executve hereby agree as follows:</w:t>
      </w:r>
    </w:p>
    <w:p>
      <w:pPr>
        <w:spacing w:after="0" w:line="184" w:lineRule="exact"/>
        <w:rPr>
          <w:sz w:val="20"/>
          <w:szCs w:val="20"/>
          <w:color w:val="auto"/>
        </w:rPr>
      </w:pPr>
    </w:p>
    <w:p>
      <w:pPr>
        <w:jc w:val="both"/>
        <w:ind w:left="760" w:hanging="378"/>
        <w:spacing w:after="0" w:line="235" w:lineRule="auto"/>
        <w:tabs>
          <w:tab w:leader="none" w:pos="760" w:val="left"/>
        </w:tabs>
        <w:numPr>
          <w:ilvl w:val="0"/>
          <w:numId w:val="313"/>
        </w:numPr>
        <w:rPr>
          <w:rFonts w:ascii="Calibri" w:cs="Calibri" w:eastAsia="Calibri" w:hAnsi="Calibri"/>
          <w:sz w:val="20"/>
          <w:szCs w:val="20"/>
          <w:color w:val="auto"/>
        </w:rPr>
      </w:pPr>
      <w:r>
        <w:rPr>
          <w:rFonts w:ascii="Calibri" w:cs="Calibri" w:eastAsia="Calibri" w:hAnsi="Calibri"/>
          <w:sz w:val="20"/>
          <w:szCs w:val="20"/>
          <w:color w:val="auto"/>
        </w:rPr>
        <w:t>The Executve hereby acknowledges receipt of the Policy, to which this Agreement is atached, and the terms of which are hereby incorporated into this Agreement by reference. The Executve has read and understands the Policy and has had the opportunity to ask questons to the Company regarding the Policy.</w:t>
      </w:r>
    </w:p>
    <w:p>
      <w:pPr>
        <w:spacing w:after="0" w:line="186" w:lineRule="exact"/>
        <w:rPr>
          <w:rFonts w:ascii="Calibri" w:cs="Calibri" w:eastAsia="Calibri" w:hAnsi="Calibri"/>
          <w:sz w:val="20"/>
          <w:szCs w:val="20"/>
          <w:color w:val="auto"/>
        </w:rPr>
      </w:pPr>
    </w:p>
    <w:p>
      <w:pPr>
        <w:jc w:val="both"/>
        <w:ind w:left="760" w:hanging="378"/>
        <w:spacing w:after="0" w:line="235" w:lineRule="auto"/>
        <w:tabs>
          <w:tab w:leader="none" w:pos="760" w:val="left"/>
        </w:tabs>
        <w:numPr>
          <w:ilvl w:val="0"/>
          <w:numId w:val="313"/>
        </w:numPr>
        <w:rPr>
          <w:rFonts w:ascii="Calibri" w:cs="Calibri" w:eastAsia="Calibri" w:hAnsi="Calibri"/>
          <w:sz w:val="20"/>
          <w:szCs w:val="20"/>
          <w:color w:val="auto"/>
        </w:rPr>
      </w:pPr>
      <w:r>
        <w:rPr>
          <w:rFonts w:ascii="Calibri" w:cs="Calibri" w:eastAsia="Calibri" w:hAnsi="Calibri"/>
          <w:sz w:val="20"/>
          <w:szCs w:val="20"/>
          <w:color w:val="auto"/>
        </w:rPr>
        <w:t>The Executve hereby acknowledges and agrees that the Policy shall apply to any Incentve Compensaton granted to the Executve by the Board or the Compensaton Commitee of the Board (the “</w:t>
      </w:r>
      <w:r>
        <w:rPr>
          <w:rFonts w:ascii="Calibri" w:cs="Calibri" w:eastAsia="Calibri" w:hAnsi="Calibri"/>
          <w:sz w:val="20"/>
          <w:szCs w:val="20"/>
          <w:b w:val="1"/>
          <w:bCs w:val="1"/>
          <w:i w:val="1"/>
          <w:iCs w:val="1"/>
          <w:color w:val="auto"/>
        </w:rPr>
        <w:t>Compensaton Commitee</w:t>
      </w:r>
      <w:r>
        <w:rPr>
          <w:rFonts w:ascii="Calibri" w:cs="Calibri" w:eastAsia="Calibri" w:hAnsi="Calibri"/>
          <w:sz w:val="20"/>
          <w:szCs w:val="20"/>
          <w:color w:val="auto"/>
        </w:rPr>
        <w:t>”) as set forth in the Policy and that all such Incentve Compensaton shall be subject to recovery under the Policy.</w:t>
      </w:r>
    </w:p>
    <w:p>
      <w:pPr>
        <w:spacing w:after="0" w:line="199" w:lineRule="exact"/>
        <w:rPr>
          <w:rFonts w:ascii="Calibri" w:cs="Calibri" w:eastAsia="Calibri" w:hAnsi="Calibri"/>
          <w:sz w:val="20"/>
          <w:szCs w:val="20"/>
          <w:color w:val="auto"/>
        </w:rPr>
      </w:pPr>
    </w:p>
    <w:p>
      <w:pPr>
        <w:jc w:val="both"/>
        <w:ind w:left="760" w:hanging="378"/>
        <w:spacing w:after="0" w:line="237" w:lineRule="auto"/>
        <w:tabs>
          <w:tab w:leader="none" w:pos="760" w:val="left"/>
        </w:tabs>
        <w:numPr>
          <w:ilvl w:val="0"/>
          <w:numId w:val="313"/>
        </w:numPr>
        <w:rPr>
          <w:rFonts w:ascii="Calibri" w:cs="Calibri" w:eastAsia="Calibri" w:hAnsi="Calibri"/>
          <w:sz w:val="20"/>
          <w:szCs w:val="20"/>
          <w:color w:val="auto"/>
        </w:rPr>
      </w:pPr>
      <w:r>
        <w:rPr>
          <w:rFonts w:ascii="Calibri" w:cs="Calibri" w:eastAsia="Calibri" w:hAnsi="Calibri"/>
          <w:sz w:val="20"/>
          <w:szCs w:val="20"/>
          <w:color w:val="auto"/>
        </w:rPr>
        <w:t>Any applicable award agreement or other document setng forth the terms and conditons of any Incentve Compensaton granted to the Executve by the Board or the Compensaton Commitee shall be deemed to include the restrictons imposed by the Policy and incorporate the Policy by reference. In the event of any inconsistency between the provisions of the Policy and the applicable award agreement or other document setng forth the terms and conditons of any Incentve Compensaton granted to the Executve, the terms of the Policy shall govern unless the terms of such other agreement or other document would result in a greater recovery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339" w:name="page340"/>
    <w:bookmarkEnd w:id="339"/>
    <w:p>
      <w:pPr>
        <w:jc w:val="both"/>
        <w:ind w:left="380" w:hanging="378"/>
        <w:spacing w:after="0" w:line="235" w:lineRule="auto"/>
        <w:tabs>
          <w:tab w:leader="none" w:pos="380" w:val="left"/>
        </w:tabs>
        <w:numPr>
          <w:ilvl w:val="0"/>
          <w:numId w:val="314"/>
        </w:numPr>
        <w:rPr>
          <w:rFonts w:ascii="Calibri" w:cs="Calibri" w:eastAsia="Calibri" w:hAnsi="Calibri"/>
          <w:sz w:val="20"/>
          <w:szCs w:val="20"/>
          <w:color w:val="auto"/>
        </w:rPr>
      </w:pPr>
      <w:r>
        <w:rPr>
          <w:rFonts w:ascii="Calibri" w:cs="Calibri" w:eastAsia="Calibri" w:hAnsi="Calibri"/>
          <w:sz w:val="20"/>
          <w:szCs w:val="20"/>
          <w:color w:val="auto"/>
        </w:rPr>
        <w:t>The Executve hereby acknowledges that, notwithstanding any indemnifcaton agreement or other arrangement between the Company and the Executve, the Company shall not indemnify the Executve against, or pay the premiums for any insurance policy to cover, losses incurred under the Policy.</w:t>
      </w:r>
    </w:p>
    <w:p>
      <w:pPr>
        <w:spacing w:after="0" w:line="186" w:lineRule="exact"/>
        <w:rPr>
          <w:rFonts w:ascii="Calibri" w:cs="Calibri" w:eastAsia="Calibri" w:hAnsi="Calibri"/>
          <w:sz w:val="20"/>
          <w:szCs w:val="20"/>
          <w:color w:val="auto"/>
        </w:rPr>
      </w:pPr>
    </w:p>
    <w:p>
      <w:pPr>
        <w:jc w:val="both"/>
        <w:ind w:left="380" w:hanging="378"/>
        <w:spacing w:after="0" w:line="235" w:lineRule="auto"/>
        <w:tabs>
          <w:tab w:leader="none" w:pos="380" w:val="left"/>
        </w:tabs>
        <w:numPr>
          <w:ilvl w:val="0"/>
          <w:numId w:val="314"/>
        </w:numPr>
        <w:rPr>
          <w:rFonts w:ascii="Calibri" w:cs="Calibri" w:eastAsia="Calibri" w:hAnsi="Calibri"/>
          <w:sz w:val="20"/>
          <w:szCs w:val="20"/>
          <w:color w:val="auto"/>
        </w:rPr>
      </w:pPr>
      <w:r>
        <w:rPr>
          <w:rFonts w:ascii="Calibri" w:cs="Calibri" w:eastAsia="Calibri" w:hAnsi="Calibri"/>
          <w:sz w:val="20"/>
          <w:szCs w:val="20"/>
          <w:color w:val="auto"/>
        </w:rPr>
        <w:t>In the event it is determined by the Company that any amounts granted, awarded, earned or paid to the Executve must be forfeited or reimbursed to the Company, the Executve will promptly take any acton necessary to efectuate such forfeiture and/or reimbursement.</w:t>
      </w:r>
    </w:p>
    <w:p>
      <w:pPr>
        <w:spacing w:after="0" w:line="199" w:lineRule="exact"/>
        <w:rPr>
          <w:rFonts w:ascii="Calibri" w:cs="Calibri" w:eastAsia="Calibri" w:hAnsi="Calibri"/>
          <w:sz w:val="20"/>
          <w:szCs w:val="20"/>
          <w:color w:val="auto"/>
        </w:rPr>
      </w:pPr>
    </w:p>
    <w:p>
      <w:pPr>
        <w:ind w:left="380" w:hanging="378"/>
        <w:spacing w:after="0" w:line="234" w:lineRule="auto"/>
        <w:tabs>
          <w:tab w:leader="none" w:pos="380" w:val="left"/>
        </w:tabs>
        <w:numPr>
          <w:ilvl w:val="0"/>
          <w:numId w:val="314"/>
        </w:numPr>
        <w:rPr>
          <w:rFonts w:ascii="Calibri" w:cs="Calibri" w:eastAsia="Calibri" w:hAnsi="Calibri"/>
          <w:sz w:val="20"/>
          <w:szCs w:val="20"/>
          <w:color w:val="auto"/>
        </w:rPr>
      </w:pPr>
      <w:r>
        <w:rPr>
          <w:rFonts w:ascii="Calibri" w:cs="Calibri" w:eastAsia="Calibri" w:hAnsi="Calibri"/>
          <w:sz w:val="20"/>
          <w:szCs w:val="20"/>
          <w:color w:val="auto"/>
        </w:rPr>
        <w:t>This Agreement and the Policy shall survive and contnue in full force and in accordance with their terms notwithstanding any terminaton of the Executve’s employment with the Company and its afliates.</w:t>
      </w:r>
    </w:p>
    <w:p>
      <w:pPr>
        <w:spacing w:after="0" w:line="184" w:lineRule="exact"/>
        <w:rPr>
          <w:rFonts w:ascii="Calibri" w:cs="Calibri" w:eastAsia="Calibri" w:hAnsi="Calibri"/>
          <w:sz w:val="20"/>
          <w:szCs w:val="20"/>
          <w:color w:val="auto"/>
        </w:rPr>
      </w:pPr>
    </w:p>
    <w:p>
      <w:pPr>
        <w:ind w:left="380" w:hanging="378"/>
        <w:spacing w:after="0" w:line="234" w:lineRule="auto"/>
        <w:tabs>
          <w:tab w:leader="none" w:pos="380" w:val="left"/>
        </w:tabs>
        <w:numPr>
          <w:ilvl w:val="0"/>
          <w:numId w:val="314"/>
        </w:numPr>
        <w:rPr>
          <w:rFonts w:ascii="Calibri" w:cs="Calibri" w:eastAsia="Calibri" w:hAnsi="Calibri"/>
          <w:sz w:val="20"/>
          <w:szCs w:val="20"/>
          <w:color w:val="auto"/>
        </w:rPr>
      </w:pPr>
      <w:r>
        <w:rPr>
          <w:rFonts w:ascii="Calibri" w:cs="Calibri" w:eastAsia="Calibri" w:hAnsi="Calibri"/>
          <w:sz w:val="20"/>
          <w:szCs w:val="20"/>
          <w:color w:val="auto"/>
        </w:rPr>
        <w:t>This Agreement may be executed in two or more counterparts, and by facsimile or electronic transmission (such as PDF), each of which will be deemed to be an original but all of which, taken together, shall consttute one and the same Agreement.</w:t>
      </w:r>
    </w:p>
    <w:p>
      <w:pPr>
        <w:spacing w:after="0" w:line="174" w:lineRule="exact"/>
        <w:rPr>
          <w:rFonts w:ascii="Calibri" w:cs="Calibri" w:eastAsia="Calibri" w:hAnsi="Calibri"/>
          <w:sz w:val="20"/>
          <w:szCs w:val="20"/>
          <w:color w:val="auto"/>
        </w:rPr>
      </w:pPr>
    </w:p>
    <w:p>
      <w:pPr>
        <w:ind w:left="380" w:hanging="378"/>
        <w:spacing w:after="0"/>
        <w:tabs>
          <w:tab w:leader="none" w:pos="380" w:val="left"/>
        </w:tabs>
        <w:numPr>
          <w:ilvl w:val="0"/>
          <w:numId w:val="314"/>
        </w:numPr>
        <w:rPr>
          <w:rFonts w:ascii="Calibri" w:cs="Calibri" w:eastAsia="Calibri" w:hAnsi="Calibri"/>
          <w:sz w:val="20"/>
          <w:szCs w:val="20"/>
          <w:color w:val="auto"/>
        </w:rPr>
      </w:pPr>
      <w:r>
        <w:rPr>
          <w:rFonts w:ascii="Calibri" w:cs="Calibri" w:eastAsia="Calibri" w:hAnsi="Calibri"/>
          <w:sz w:val="20"/>
          <w:szCs w:val="20"/>
          <w:color w:val="auto"/>
        </w:rPr>
        <w:t>This Agreement shall be governed by the laws of the State of Delaware, without reference to principles of confict of laws.</w:t>
      </w:r>
    </w:p>
    <w:p>
      <w:pPr>
        <w:spacing w:after="0" w:line="197" w:lineRule="exact"/>
        <w:rPr>
          <w:rFonts w:ascii="Calibri" w:cs="Calibri" w:eastAsia="Calibri" w:hAnsi="Calibri"/>
          <w:sz w:val="20"/>
          <w:szCs w:val="20"/>
          <w:color w:val="auto"/>
        </w:rPr>
      </w:pPr>
    </w:p>
    <w:p>
      <w:pPr>
        <w:jc w:val="both"/>
        <w:ind w:left="380" w:hanging="378"/>
        <w:spacing w:after="0" w:line="236" w:lineRule="auto"/>
        <w:tabs>
          <w:tab w:leader="none" w:pos="380" w:val="left"/>
        </w:tabs>
        <w:numPr>
          <w:ilvl w:val="0"/>
          <w:numId w:val="314"/>
        </w:numPr>
        <w:rPr>
          <w:rFonts w:ascii="Calibri" w:cs="Calibri" w:eastAsia="Calibri" w:hAnsi="Calibri"/>
          <w:sz w:val="20"/>
          <w:szCs w:val="20"/>
          <w:color w:val="auto"/>
        </w:rPr>
      </w:pPr>
      <w:r>
        <w:rPr>
          <w:rFonts w:ascii="Calibri" w:cs="Calibri" w:eastAsia="Calibri" w:hAnsi="Calibri"/>
          <w:sz w:val="20"/>
          <w:szCs w:val="20"/>
          <w:color w:val="auto"/>
        </w:rPr>
        <w:t>No modifcatons or amendments of the terms of this Agreement shall be efectve unless in writng and signed by the partes hereto or their respectve duly authorized agents. The provisions of this Agreement shall inure to the beneft of, and be binding upon, the successors, administrators, heirs, legal representatves and assigns of the Executve, and the successors and assigns of the Company.</w:t>
      </w:r>
    </w:p>
    <w:p>
      <w:pPr>
        <w:spacing w:after="0" w:line="176" w:lineRule="exact"/>
        <w:rPr>
          <w:sz w:val="20"/>
          <w:szCs w:val="20"/>
          <w:color w:val="auto"/>
        </w:rPr>
      </w:pPr>
    </w:p>
    <w:p>
      <w:pPr>
        <w:jc w:val="center"/>
        <w:ind w:right="38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i w:val="1"/>
          <w:iCs w:val="1"/>
          <w:color w:val="auto"/>
        </w:rPr>
        <w:t>Signature Page Follows</w:t>
      </w:r>
      <w:r>
        <w:rPr>
          <w:rFonts w:ascii="Calibri" w:cs="Calibri" w:eastAsia="Calibri" w:hAnsi="Calibri"/>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1421130</wp:posOffset>
            </wp:positionV>
            <wp:extent cx="7157720"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410" w:right="339" w:bottom="1440" w:gutter="0" w:footer="0" w:header="0"/>
        </w:sectPr>
      </w:pPr>
    </w:p>
    <w:bookmarkStart w:id="340" w:name="page341"/>
    <w:bookmarkEnd w:id="340"/>
    <w:p>
      <w:pPr>
        <w:spacing w:after="0"/>
        <w:rPr>
          <w:sz w:val="20"/>
          <w:szCs w:val="20"/>
          <w:color w:val="auto"/>
        </w:rPr>
      </w:pPr>
      <w:r>
        <w:rPr>
          <w:rFonts w:ascii="Calibri" w:cs="Calibri" w:eastAsia="Calibri" w:hAnsi="Calibri"/>
          <w:sz w:val="20"/>
          <w:szCs w:val="20"/>
          <w:color w:val="auto"/>
        </w:rPr>
        <w:t>IN WITNESS WHEREOF, the partes hereto have executed this Agreement as of the day and year frst above writen.</w:t>
      </w:r>
    </w:p>
    <w:p>
      <w:pPr>
        <w:sectPr>
          <w:pgSz w:w="11900" w:h="16838" w:orient="portrait"/>
          <w:cols w:equalWidth="0" w:num="1">
            <w:col w:w="9380"/>
          </w:cols>
          <w:pgMar w:left="1080" w:top="1399" w:right="1439" w:bottom="1440" w:gutter="0" w:footer="0" w:header="0"/>
        </w:sectPr>
      </w:pPr>
    </w:p>
    <w:p>
      <w:pPr>
        <w:spacing w:after="0" w:line="174" w:lineRule="exact"/>
        <w:rPr>
          <w:sz w:val="20"/>
          <w:szCs w:val="20"/>
          <w:color w:val="auto"/>
        </w:rPr>
      </w:pPr>
    </w:p>
    <w:p>
      <w:pPr>
        <w:ind w:left="4480"/>
        <w:spacing w:after="0"/>
        <w:rPr>
          <w:sz w:val="20"/>
          <w:szCs w:val="20"/>
          <w:color w:val="auto"/>
        </w:rPr>
      </w:pPr>
      <w:r>
        <w:rPr>
          <w:rFonts w:ascii="Calibri" w:cs="Calibri" w:eastAsia="Calibri" w:hAnsi="Calibri"/>
          <w:sz w:val="20"/>
          <w:szCs w:val="20"/>
          <w:b w:val="1"/>
          <w:bCs w:val="1"/>
          <w:color w:val="auto"/>
        </w:rPr>
        <w:t>INVIVYD,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480"/>
        <w:spacing w:after="0"/>
        <w:rPr>
          <w:sz w:val="20"/>
          <w:szCs w:val="20"/>
          <w:color w:val="auto"/>
        </w:rPr>
      </w:pPr>
      <w:r>
        <w:rPr>
          <w:rFonts w:ascii="Calibri" w:cs="Calibri" w:eastAsia="Calibri" w:hAnsi="Calibri"/>
          <w:sz w:val="20"/>
          <w:szCs w:val="20"/>
          <w:color w:val="auto"/>
        </w:rPr>
        <w:t>By:_______________________________________</w:t>
      </w:r>
    </w:p>
    <w:p>
      <w:pPr>
        <w:spacing w:after="0" w:line="187" w:lineRule="exact"/>
        <w:rPr>
          <w:sz w:val="20"/>
          <w:szCs w:val="20"/>
          <w:color w:val="auto"/>
        </w:rPr>
      </w:pPr>
    </w:p>
    <w:p>
      <w:pPr>
        <w:ind w:left="4480"/>
        <w:spacing w:after="0"/>
        <w:rPr>
          <w:sz w:val="20"/>
          <w:szCs w:val="20"/>
          <w:color w:val="auto"/>
        </w:rPr>
      </w:pPr>
      <w:r>
        <w:rPr>
          <w:rFonts w:ascii="Calibri" w:cs="Calibri" w:eastAsia="Calibri" w:hAnsi="Calibri"/>
          <w:sz w:val="20"/>
          <w:szCs w:val="20"/>
          <w:color w:val="auto"/>
        </w:rPr>
        <w:t>Name:</w:t>
      </w:r>
    </w:p>
    <w:p>
      <w:pPr>
        <w:spacing w:after="0" w:line="174"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480"/>
        <w:spacing w:after="0"/>
        <w:rPr>
          <w:sz w:val="20"/>
          <w:szCs w:val="20"/>
          <w:color w:val="auto"/>
        </w:rPr>
      </w:pPr>
      <w:r>
        <w:rPr>
          <w:rFonts w:ascii="Calibri" w:cs="Calibri" w:eastAsia="Calibri" w:hAnsi="Calibri"/>
          <w:sz w:val="20"/>
          <w:szCs w:val="20"/>
          <w:b w:val="1"/>
          <w:bCs w:val="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480"/>
        <w:spacing w:after="0"/>
        <w:rPr>
          <w:sz w:val="20"/>
          <w:szCs w:val="20"/>
          <w:color w:val="auto"/>
        </w:rPr>
      </w:pPr>
      <w:r>
        <w:rPr>
          <w:rFonts w:ascii="Calibri" w:cs="Calibri" w:eastAsia="Calibri" w:hAnsi="Calibri"/>
          <w:sz w:val="20"/>
          <w:szCs w:val="20"/>
          <w:color w:val="auto"/>
        </w:rPr>
        <w:t>_______________________________________</w:t>
      </w:r>
    </w:p>
    <w:p>
      <w:pPr>
        <w:spacing w:after="0" w:line="174"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1010285</wp:posOffset>
            </wp:positionV>
            <wp:extent cx="715772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80"/>
          </w:cols>
          <w:pgMar w:left="1080" w:top="1399" w:right="1439" w:bottom="1440" w:gutter="0" w:footer="0" w:header="0"/>
          <w:type w:val="continuous"/>
        </w:sectPr>
      </w:pPr>
    </w:p>
    <w:bookmarkStart w:id="341" w:name="page342"/>
    <w:bookmarkEnd w:id="34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7180B0B"/>
    <w:multiLevelType w:val="hybridMultilevel"/>
    <w:lvl w:ilvl="0">
      <w:lvlJc w:val="left"/>
      <w:lvlText w:val="☒"/>
      <w:numFmt w:val="bullet"/>
      <w:start w:val="1"/>
    </w:lvl>
  </w:abstractNum>
  <w:abstractNum w:abstractNumId="1">
    <w:nsid w:val="579328B9"/>
    <w:multiLevelType w:val="hybridMultilevel"/>
    <w:lvl w:ilvl="0">
      <w:lvlJc w:val="left"/>
      <w:lvlText w:val="☐"/>
      <w:numFmt w:val="bullet"/>
      <w:start w:val="1"/>
    </w:lvl>
  </w:abstractNum>
  <w:abstractNum w:abstractNumId="2">
    <w:nsid w:val="5D205E20"/>
    <w:multiLevelType w:val="hybridMultilevel"/>
    <w:lvl w:ilvl="0">
      <w:lvlJc w:val="left"/>
      <w:lvlText w:val="•"/>
      <w:numFmt w:val="bullet"/>
      <w:start w:val="1"/>
    </w:lvl>
  </w:abstractNum>
  <w:abstractNum w:abstractNumId="3">
    <w:nsid w:val="11CCA8BA"/>
    <w:multiLevelType w:val="hybridMultilevel"/>
    <w:lvl w:ilvl="0">
      <w:lvlJc w:val="left"/>
      <w:lvlText w:val="•"/>
      <w:numFmt w:val="bullet"/>
      <w:start w:val="1"/>
    </w:lvl>
  </w:abstractNum>
  <w:abstractNum w:abstractNumId="4">
    <w:nsid w:val="4D32AB86"/>
    <w:multiLevelType w:val="hybridMultilevel"/>
    <w:lvl w:ilvl="0">
      <w:lvlJc w:val="left"/>
      <w:lvlText w:val="•"/>
      <w:numFmt w:val="bullet"/>
      <w:start w:val="1"/>
    </w:lvl>
  </w:abstractNum>
  <w:abstractNum w:abstractNumId="5">
    <w:nsid w:val="3F07ACC3"/>
    <w:multiLevelType w:val="hybridMultilevel"/>
    <w:lvl w:ilvl="0">
      <w:lvlJc w:val="left"/>
      <w:lvlText w:val="•"/>
      <w:numFmt w:val="bullet"/>
      <w:start w:val="1"/>
    </w:lvl>
  </w:abstractNum>
  <w:abstractNum w:abstractNumId="6">
    <w:nsid w:val="6B47F63E"/>
    <w:multiLevelType w:val="hybridMultilevel"/>
    <w:lvl w:ilvl="0">
      <w:lvlJc w:val="left"/>
      <w:lvlText w:val="•"/>
      <w:numFmt w:val="bullet"/>
      <w:start w:val="1"/>
    </w:lvl>
  </w:abstractNum>
  <w:abstractNum w:abstractNumId="7">
    <w:nsid w:val="5CB44A05"/>
    <w:multiLevelType w:val="hybridMultilevel"/>
    <w:lvl w:ilvl="0">
      <w:lvlJc w:val="left"/>
      <w:lvlText w:val="•"/>
      <w:numFmt w:val="bullet"/>
      <w:start w:val="1"/>
    </w:lvl>
  </w:abstractNum>
  <w:abstractNum w:abstractNumId="8">
    <w:nsid w:val="16CF80F1"/>
    <w:multiLevelType w:val="hybridMultilevel"/>
    <w:lvl w:ilvl="0">
      <w:lvlJc w:val="left"/>
      <w:lvlText w:val="•"/>
      <w:numFmt w:val="bullet"/>
      <w:start w:val="1"/>
    </w:lvl>
  </w:abstractNum>
  <w:abstractNum w:abstractNumId="9">
    <w:nsid w:val="1C695DEC"/>
    <w:multiLevelType w:val="hybridMultilevel"/>
    <w:lvl w:ilvl="0">
      <w:lvlJc w:val="left"/>
      <w:lvlText w:val="•"/>
      <w:numFmt w:val="bullet"/>
      <w:start w:val="1"/>
    </w:lvl>
  </w:abstractNum>
  <w:abstractNum w:abstractNumId="10">
    <w:nsid w:val="3FCFAED9"/>
    <w:multiLevelType w:val="hybridMultilevel"/>
    <w:lvl w:ilvl="0">
      <w:lvlJc w:val="left"/>
      <w:lvlText w:val="•"/>
      <w:numFmt w:val="bullet"/>
      <w:start w:val="1"/>
    </w:lvl>
  </w:abstractNum>
  <w:abstractNum w:abstractNumId="11">
    <w:nsid w:val="F856867"/>
    <w:multiLevelType w:val="hybridMultilevel"/>
    <w:lvl w:ilvl="0">
      <w:lvlJc w:val="left"/>
      <w:lvlText w:val="•"/>
      <w:numFmt w:val="bullet"/>
      <w:start w:val="1"/>
    </w:lvl>
  </w:abstractNum>
  <w:abstractNum w:abstractNumId="12">
    <w:nsid w:val="11B1CC33"/>
    <w:multiLevelType w:val="hybridMultilevel"/>
    <w:lvl w:ilvl="0">
      <w:lvlJc w:val="left"/>
      <w:lvlText w:val="•"/>
      <w:numFmt w:val="bullet"/>
      <w:start w:val="1"/>
    </w:lvl>
  </w:abstractNum>
  <w:abstractNum w:abstractNumId="13">
    <w:nsid w:val="2E22FBB7"/>
    <w:multiLevelType w:val="hybridMultilevel"/>
    <w:lvl w:ilvl="0">
      <w:lvlJc w:val="left"/>
      <w:lvlText w:val="•"/>
      <w:numFmt w:val="bullet"/>
      <w:start w:val="1"/>
    </w:lvl>
  </w:abstractNum>
  <w:abstractNum w:abstractNumId="14">
    <w:nsid w:val="29934699"/>
    <w:multiLevelType w:val="hybridMultilevel"/>
    <w:lvl w:ilvl="0">
      <w:lvlJc w:val="left"/>
      <w:lvlText w:val="•"/>
      <w:numFmt w:val="bullet"/>
      <w:start w:val="1"/>
    </w:lvl>
  </w:abstractNum>
  <w:abstractNum w:abstractNumId="15">
    <w:nsid w:val="77485850"/>
    <w:multiLevelType w:val="hybridMultilevel"/>
    <w:lvl w:ilvl="0">
      <w:lvlJc w:val="left"/>
      <w:lvlText w:val="•"/>
      <w:numFmt w:val="bullet"/>
      <w:start w:val="1"/>
    </w:lvl>
  </w:abstractNum>
  <w:abstractNum w:abstractNumId="16">
    <w:nsid w:val="744939A3"/>
    <w:multiLevelType w:val="hybridMultilevel"/>
    <w:lvl w:ilvl="0">
      <w:lvlJc w:val="left"/>
      <w:lvlText w:val="•"/>
      <w:numFmt w:val="bullet"/>
      <w:start w:val="1"/>
    </w:lvl>
  </w:abstractNum>
  <w:abstractNum w:abstractNumId="17">
    <w:nsid w:val="4FA0D2E3"/>
    <w:multiLevelType w:val="hybridMultilevel"/>
    <w:lvl w:ilvl="0">
      <w:lvlJc w:val="left"/>
      <w:lvlText w:val="(%1)"/>
      <w:numFmt w:val="decimal"/>
      <w:start w:val="3"/>
    </w:lvl>
  </w:abstractNum>
  <w:abstractNum w:abstractNumId="18">
    <w:nsid w:val="6B1D2C14"/>
    <w:multiLevelType w:val="hybridMultilevel"/>
    <w:lvl w:ilvl="0">
      <w:lvlJc w:val="left"/>
      <w:lvlText w:val="•"/>
      <w:numFmt w:val="bullet"/>
      <w:start w:val="1"/>
    </w:lvl>
  </w:abstractNum>
  <w:abstractNum w:abstractNumId="19">
    <w:nsid w:val="68B867D3"/>
    <w:multiLevelType w:val="hybridMultilevel"/>
    <w:lvl w:ilvl="0">
      <w:lvlJc w:val="left"/>
      <w:lvlText w:val="•"/>
      <w:numFmt w:val="bullet"/>
      <w:start w:val="1"/>
    </w:lvl>
  </w:abstractNum>
  <w:abstractNum w:abstractNumId="20">
    <w:nsid w:val="3F7F5DD9"/>
    <w:multiLevelType w:val="hybridMultilevel"/>
    <w:lvl w:ilvl="0">
      <w:lvlJc w:val="left"/>
      <w:lvlText w:val="•"/>
      <w:numFmt w:val="bullet"/>
      <w:start w:val="1"/>
    </w:lvl>
  </w:abstractNum>
  <w:abstractNum w:abstractNumId="21">
    <w:nsid w:val="2AE05A34"/>
    <w:multiLevelType w:val="hybridMultilevel"/>
    <w:lvl w:ilvl="0">
      <w:lvlJc w:val="left"/>
      <w:lvlText w:val="•"/>
      <w:numFmt w:val="bullet"/>
      <w:start w:val="1"/>
    </w:lvl>
  </w:abstractNum>
  <w:abstractNum w:abstractNumId="22">
    <w:nsid w:val="32794FF7"/>
    <w:multiLevelType w:val="hybridMultilevel"/>
    <w:lvl w:ilvl="0">
      <w:lvlJc w:val="left"/>
      <w:lvlText w:val="•"/>
      <w:numFmt w:val="bullet"/>
      <w:start w:val="1"/>
    </w:lvl>
  </w:abstractNum>
  <w:abstractNum w:abstractNumId="23">
    <w:nsid w:val="5454945E"/>
    <w:multiLevelType w:val="hybridMultilevel"/>
    <w:lvl w:ilvl="0">
      <w:lvlJc w:val="left"/>
      <w:lvlText w:val="•"/>
      <w:numFmt w:val="bullet"/>
      <w:start w:val="1"/>
    </w:lvl>
  </w:abstractNum>
  <w:abstractNum w:abstractNumId="24">
    <w:nsid w:val="4DEFDFA0"/>
    <w:multiLevelType w:val="hybridMultilevel"/>
    <w:lvl w:ilvl="0">
      <w:lvlJc w:val="left"/>
      <w:lvlText w:val="•"/>
      <w:numFmt w:val="bullet"/>
      <w:start w:val="1"/>
    </w:lvl>
  </w:abstractNum>
  <w:abstractNum w:abstractNumId="25">
    <w:nsid w:val="2123D5F2"/>
    <w:multiLevelType w:val="hybridMultilevel"/>
    <w:lvl w:ilvl="0">
      <w:lvlJc w:val="left"/>
      <w:lvlText w:val="•"/>
      <w:numFmt w:val="bullet"/>
      <w:start w:val="1"/>
    </w:lvl>
  </w:abstractNum>
  <w:abstractNum w:abstractNumId="26">
    <w:nsid w:val="135B8110"/>
    <w:multiLevelType w:val="hybridMultilevel"/>
    <w:lvl w:ilvl="0">
      <w:lvlJc w:val="left"/>
      <w:lvlText w:val="•"/>
      <w:numFmt w:val="bullet"/>
      <w:start w:val="1"/>
    </w:lvl>
  </w:abstractNum>
  <w:abstractNum w:abstractNumId="27">
    <w:nsid w:val="94927A8"/>
    <w:multiLevelType w:val="hybridMultilevel"/>
    <w:lvl w:ilvl="0">
      <w:lvlJc w:val="left"/>
      <w:lvlText w:val="•"/>
      <w:numFmt w:val="bullet"/>
      <w:start w:val="1"/>
    </w:lvl>
  </w:abstractNum>
  <w:abstractNum w:abstractNumId="28">
    <w:nsid w:val="DCDF8F6"/>
    <w:multiLevelType w:val="hybridMultilevel"/>
    <w:lvl w:ilvl="0">
      <w:lvlJc w:val="left"/>
      <w:lvlText w:val="•"/>
      <w:numFmt w:val="bullet"/>
      <w:start w:val="1"/>
    </w:lvl>
  </w:abstractNum>
  <w:abstractNum w:abstractNumId="29">
    <w:nsid w:val="52D7B105"/>
    <w:multiLevelType w:val="hybridMultilevel"/>
    <w:lvl w:ilvl="0">
      <w:lvlJc w:val="left"/>
      <w:lvlText w:val="•"/>
      <w:numFmt w:val="bullet"/>
      <w:start w:val="1"/>
    </w:lvl>
  </w:abstractNum>
  <w:abstractNum w:abstractNumId="30">
    <w:nsid w:val="2E8A6394"/>
    <w:multiLevelType w:val="hybridMultilevel"/>
    <w:lvl w:ilvl="0">
      <w:lvlJc w:val="left"/>
      <w:lvlText w:val="•"/>
      <w:numFmt w:val="bullet"/>
      <w:start w:val="1"/>
    </w:lvl>
  </w:abstractNum>
  <w:abstractNum w:abstractNumId="31">
    <w:nsid w:val="24E60401"/>
    <w:multiLevelType w:val="hybridMultilevel"/>
    <w:lvl w:ilvl="0">
      <w:lvlJc w:val="left"/>
      <w:lvlText w:val="•"/>
      <w:numFmt w:val="bullet"/>
      <w:start w:val="1"/>
    </w:lvl>
  </w:abstractNum>
  <w:abstractNum w:abstractNumId="32">
    <w:nsid w:val="2A6AD9BE"/>
    <w:multiLevelType w:val="hybridMultilevel"/>
    <w:lvl w:ilvl="0">
      <w:lvlJc w:val="left"/>
      <w:lvlText w:val="•"/>
      <w:numFmt w:val="bullet"/>
      <w:start w:val="1"/>
    </w:lvl>
  </w:abstractNum>
  <w:abstractNum w:abstractNumId="33">
    <w:nsid w:val="BAAC1B4"/>
    <w:multiLevelType w:val="hybridMultilevel"/>
    <w:lvl w:ilvl="0">
      <w:lvlJc w:val="left"/>
      <w:lvlText w:val="(%1)"/>
      <w:numFmt w:val="lowerRoman"/>
      <w:start w:val="1"/>
    </w:lvl>
  </w:abstractNum>
  <w:abstractNum w:abstractNumId="34">
    <w:nsid w:val="36B2ACBC"/>
    <w:multiLevelType w:val="hybridMultilevel"/>
    <w:lvl w:ilvl="0">
      <w:lvlJc w:val="left"/>
      <w:lvlText w:val="•"/>
      <w:numFmt w:val="bullet"/>
      <w:start w:val="1"/>
    </w:lvl>
  </w:abstractNum>
  <w:abstractNum w:abstractNumId="35">
    <w:nsid w:val="779D8544"/>
    <w:multiLevelType w:val="hybridMultilevel"/>
    <w:lvl w:ilvl="0">
      <w:lvlJc w:val="left"/>
      <w:lvlText w:val="•"/>
      <w:numFmt w:val="bullet"/>
      <w:start w:val="1"/>
    </w:lvl>
  </w:abstractNum>
  <w:abstractNum w:abstractNumId="36">
    <w:nsid w:val="4AB26E78"/>
    <w:multiLevelType w:val="hybridMultilevel"/>
    <w:lvl w:ilvl="0">
      <w:lvlJc w:val="left"/>
      <w:lvlText w:val="•"/>
      <w:numFmt w:val="bullet"/>
      <w:start w:val="1"/>
    </w:lvl>
  </w:abstractNum>
  <w:abstractNum w:abstractNumId="37">
    <w:nsid w:val="21FAA2FA"/>
    <w:multiLevelType w:val="hybridMultilevel"/>
    <w:lvl w:ilvl="0">
      <w:lvlJc w:val="left"/>
      <w:lvlText w:val="•"/>
      <w:numFmt w:val="bullet"/>
      <w:start w:val="1"/>
    </w:lvl>
  </w:abstractNum>
  <w:abstractNum w:abstractNumId="38">
    <w:nsid w:val="5451CF49"/>
    <w:multiLevelType w:val="hybridMultilevel"/>
    <w:lvl w:ilvl="0">
      <w:lvlJc w:val="left"/>
      <w:lvlText w:val="•"/>
      <w:numFmt w:val="bullet"/>
      <w:start w:val="1"/>
    </w:lvl>
  </w:abstractNum>
  <w:abstractNum w:abstractNumId="39">
    <w:nsid w:val="6181EF69"/>
    <w:multiLevelType w:val="hybridMultilevel"/>
    <w:lvl w:ilvl="0">
      <w:lvlJc w:val="left"/>
      <w:lvlText w:val="•"/>
      <w:numFmt w:val="bullet"/>
      <w:start w:val="1"/>
    </w:lvl>
  </w:abstractNum>
  <w:abstractNum w:abstractNumId="40">
    <w:nsid w:val="3E6400E6"/>
    <w:multiLevelType w:val="hybridMultilevel"/>
    <w:lvl w:ilvl="0">
      <w:lvlJc w:val="left"/>
      <w:lvlText w:val="•"/>
      <w:numFmt w:val="bullet"/>
      <w:start w:val="1"/>
    </w:lvl>
  </w:abstractNum>
  <w:abstractNum w:abstractNumId="41">
    <w:nsid w:val="14217E23"/>
    <w:multiLevelType w:val="hybridMultilevel"/>
    <w:lvl w:ilvl="0">
      <w:lvlJc w:val="left"/>
      <w:lvlText w:val="•"/>
      <w:numFmt w:val="bullet"/>
      <w:start w:val="1"/>
    </w:lvl>
  </w:abstractNum>
  <w:abstractNum w:abstractNumId="42">
    <w:nsid w:val="710757D0"/>
    <w:multiLevelType w:val="hybridMultilevel"/>
    <w:lvl w:ilvl="0">
      <w:lvlJc w:val="left"/>
      <w:lvlText w:val="•"/>
      <w:numFmt w:val="bullet"/>
      <w:start w:val="1"/>
    </w:lvl>
  </w:abstractNum>
  <w:abstractNum w:abstractNumId="43">
    <w:nsid w:val="5015CD1A"/>
    <w:multiLevelType w:val="hybridMultilevel"/>
    <w:lvl w:ilvl="0">
      <w:lvlJc w:val="left"/>
      <w:lvlText w:val="•"/>
      <w:numFmt w:val="bullet"/>
      <w:start w:val="1"/>
    </w:lvl>
  </w:abstractNum>
  <w:abstractNum w:abstractNumId="44">
    <w:nsid w:val="424479DA"/>
    <w:multiLevelType w:val="hybridMultilevel"/>
    <w:lvl w:ilvl="0">
      <w:lvlJc w:val="left"/>
      <w:lvlText w:val="•"/>
      <w:numFmt w:val="bullet"/>
      <w:start w:val="1"/>
    </w:lvl>
  </w:abstractNum>
  <w:abstractNum w:abstractNumId="45">
    <w:nsid w:val="1A9A9E69"/>
    <w:multiLevelType w:val="hybridMultilevel"/>
    <w:lvl w:ilvl="0">
      <w:lvlJc w:val="left"/>
      <w:lvlText w:val="•"/>
      <w:numFmt w:val="bullet"/>
      <w:start w:val="1"/>
    </w:lvl>
  </w:abstractNum>
  <w:abstractNum w:abstractNumId="46">
    <w:nsid w:val="475E256A"/>
    <w:multiLevelType w:val="hybridMultilevel"/>
    <w:lvl w:ilvl="0">
      <w:lvlJc w:val="left"/>
      <w:lvlText w:val="•"/>
      <w:numFmt w:val="bullet"/>
      <w:start w:val="1"/>
    </w:lvl>
  </w:abstractNum>
  <w:abstractNum w:abstractNumId="47">
    <w:nsid w:val="368DB37E"/>
    <w:multiLevelType w:val="hybridMultilevel"/>
    <w:lvl w:ilvl="0">
      <w:lvlJc w:val="left"/>
      <w:lvlText w:val="•"/>
      <w:numFmt w:val="bullet"/>
      <w:start w:val="1"/>
    </w:lvl>
  </w:abstractNum>
  <w:abstractNum w:abstractNumId="48">
    <w:nsid w:val="6A3B714C"/>
    <w:multiLevelType w:val="hybridMultilevel"/>
    <w:lvl w:ilvl="0">
      <w:lvlJc w:val="left"/>
      <w:lvlText w:val="•"/>
      <w:numFmt w:val="bullet"/>
      <w:start w:val="1"/>
    </w:lvl>
  </w:abstractNum>
  <w:abstractNum w:abstractNumId="49">
    <w:nsid w:val="327B517E"/>
    <w:multiLevelType w:val="hybridMultilevel"/>
    <w:lvl w:ilvl="0">
      <w:lvlJc w:val="left"/>
      <w:lvlText w:val="•"/>
      <w:numFmt w:val="bullet"/>
      <w:start w:val="1"/>
    </w:lvl>
  </w:abstractNum>
  <w:abstractNum w:abstractNumId="50">
    <w:nsid w:val="1F461B51"/>
    <w:multiLevelType w:val="hybridMultilevel"/>
    <w:lvl w:ilvl="0">
      <w:lvlJc w:val="left"/>
      <w:lvlText w:val="•"/>
      <w:numFmt w:val="bullet"/>
      <w:start w:val="1"/>
    </w:lvl>
  </w:abstractNum>
  <w:abstractNum w:abstractNumId="51">
    <w:nsid w:val="29BACF25"/>
    <w:multiLevelType w:val="hybridMultilevel"/>
    <w:lvl w:ilvl="0">
      <w:lvlJc w:val="left"/>
      <w:lvlText w:val="•"/>
      <w:numFmt w:val="bullet"/>
      <w:start w:val="1"/>
    </w:lvl>
  </w:abstractNum>
  <w:abstractNum w:abstractNumId="52">
    <w:nsid w:val="5D5BABB3"/>
    <w:multiLevelType w:val="hybridMultilevel"/>
    <w:lvl w:ilvl="0">
      <w:lvlJc w:val="left"/>
      <w:lvlText w:val="•"/>
      <w:numFmt w:val="bullet"/>
      <w:start w:val="1"/>
    </w:lvl>
  </w:abstractNum>
  <w:abstractNum w:abstractNumId="53">
    <w:nsid w:val="51BF6B48"/>
    <w:multiLevelType w:val="hybridMultilevel"/>
    <w:lvl w:ilvl="0">
      <w:lvlJc w:val="left"/>
      <w:lvlText w:val="•"/>
      <w:numFmt w:val="bullet"/>
      <w:start w:val="1"/>
    </w:lvl>
  </w:abstractNum>
  <w:abstractNum w:abstractNumId="54">
    <w:nsid w:val="7E0F6384"/>
    <w:multiLevelType w:val="hybridMultilevel"/>
    <w:lvl w:ilvl="0">
      <w:lvlJc w:val="left"/>
      <w:lvlText w:val="(%1)"/>
      <w:numFmt w:val="decimal"/>
      <w:start w:val="1"/>
    </w:lvl>
  </w:abstractNum>
  <w:abstractNum w:abstractNumId="55">
    <w:nsid w:val="2B4B8B53"/>
    <w:multiLevelType w:val="hybridMultilevel"/>
    <w:lvl w:ilvl="0">
      <w:lvlJc w:val="left"/>
      <w:lvlText w:val="•"/>
      <w:numFmt w:val="bullet"/>
      <w:start w:val="1"/>
    </w:lvl>
  </w:abstractNum>
  <w:abstractNum w:abstractNumId="56">
    <w:nsid w:val="72E3413A"/>
    <w:multiLevelType w:val="hybridMultilevel"/>
    <w:lvl w:ilvl="0">
      <w:lvlJc w:val="left"/>
      <w:lvlText w:val="•"/>
      <w:numFmt w:val="bullet"/>
      <w:start w:val="1"/>
    </w:lvl>
  </w:abstractNum>
  <w:abstractNum w:abstractNumId="57">
    <w:nsid w:val="116AE494"/>
    <w:multiLevelType w:val="hybridMultilevel"/>
    <w:lvl w:ilvl="0">
      <w:lvlJc w:val="left"/>
      <w:lvlText w:val="•"/>
      <w:numFmt w:val="bullet"/>
      <w:start w:val="1"/>
    </w:lvl>
  </w:abstractNum>
  <w:abstractNum w:abstractNumId="58">
    <w:nsid w:val="3494B2FB"/>
    <w:multiLevelType w:val="hybridMultilevel"/>
    <w:lvl w:ilvl="0">
      <w:lvlJc w:val="left"/>
      <w:lvlText w:val="•"/>
      <w:numFmt w:val="bullet"/>
      <w:start w:val="1"/>
    </w:lvl>
  </w:abstractNum>
  <w:abstractNum w:abstractNumId="59">
    <w:nsid w:val="B13A31"/>
    <w:multiLevelType w:val="hybridMultilevel"/>
    <w:lvl w:ilvl="0">
      <w:lvlJc w:val="left"/>
      <w:lvlText w:val="(%1)"/>
      <w:numFmt w:val="decimal"/>
      <w:start w:val="1"/>
    </w:lvl>
  </w:abstractNum>
  <w:abstractNum w:abstractNumId="60">
    <w:nsid w:val="64429599"/>
    <w:multiLevelType w:val="hybridMultilevel"/>
    <w:lvl w:ilvl="0">
      <w:lvlJc w:val="left"/>
      <w:lvlText w:val="•"/>
      <w:numFmt w:val="bullet"/>
      <w:start w:val="1"/>
    </w:lvl>
  </w:abstractNum>
  <w:abstractNum w:abstractNumId="61">
    <w:nsid w:val="631F1690"/>
    <w:multiLevelType w:val="hybridMultilevel"/>
    <w:lvl w:ilvl="0">
      <w:lvlJc w:val="left"/>
      <w:lvlText w:val="•"/>
      <w:numFmt w:val="bullet"/>
      <w:start w:val="1"/>
    </w:lvl>
  </w:abstractNum>
  <w:abstractNum w:abstractNumId="62">
    <w:nsid w:val="25973E32"/>
    <w:multiLevelType w:val="hybridMultilevel"/>
    <w:lvl w:ilvl="0">
      <w:lvlJc w:val="left"/>
      <w:lvlText w:val="•"/>
      <w:numFmt w:val="bullet"/>
      <w:start w:val="1"/>
    </w:lvl>
  </w:abstractNum>
  <w:abstractNum w:abstractNumId="63">
    <w:nsid w:val="EAD6F57"/>
    <w:multiLevelType w:val="hybridMultilevel"/>
    <w:lvl w:ilvl="0">
      <w:lvlJc w:val="left"/>
      <w:lvlText w:val="•"/>
      <w:numFmt w:val="bullet"/>
      <w:start w:val="1"/>
    </w:lvl>
  </w:abstractNum>
  <w:abstractNum w:abstractNumId="64">
    <w:nsid w:val="6EC9D844"/>
    <w:multiLevelType w:val="hybridMultilevel"/>
    <w:lvl w:ilvl="0">
      <w:lvlJc w:val="left"/>
      <w:lvlText w:val="•"/>
      <w:numFmt w:val="bullet"/>
      <w:start w:val="1"/>
    </w:lvl>
  </w:abstractNum>
  <w:abstractNum w:abstractNumId="65">
    <w:nsid w:val="5C49EAEE"/>
    <w:multiLevelType w:val="hybridMultilevel"/>
    <w:lvl w:ilvl="0">
      <w:lvlJc w:val="left"/>
      <w:lvlText w:val="•"/>
      <w:numFmt w:val="bullet"/>
      <w:start w:val="1"/>
    </w:lvl>
  </w:abstractNum>
  <w:abstractNum w:abstractNumId="66">
    <w:nsid w:val="64AF49B"/>
    <w:multiLevelType w:val="hybridMultilevel"/>
    <w:lvl w:ilvl="0">
      <w:lvlJc w:val="left"/>
      <w:lvlText w:val="•"/>
      <w:numFmt w:val="bullet"/>
      <w:start w:val="1"/>
    </w:lvl>
  </w:abstractNum>
  <w:abstractNum w:abstractNumId="67">
    <w:nsid w:val="397C46BC"/>
    <w:multiLevelType w:val="hybridMultilevel"/>
    <w:lvl w:ilvl="0">
      <w:lvlJc w:val="left"/>
      <w:lvlText w:val="*"/>
      <w:numFmt w:val="bullet"/>
      <w:start w:val="1"/>
    </w:lvl>
  </w:abstractNum>
  <w:abstractNum w:abstractNumId="68">
    <w:nsid w:val="7E448DE9"/>
    <w:multiLevelType w:val="hybridMultilevel"/>
    <w:lvl w:ilvl="0">
      <w:lvlJc w:val="left"/>
      <w:lvlText w:val="+"/>
      <w:numFmt w:val="bullet"/>
      <w:start w:val="1"/>
    </w:lvl>
  </w:abstractNum>
  <w:abstractNum w:abstractNumId="69">
    <w:nsid w:val="5A9CC3E5"/>
    <w:multiLevelType w:val="hybridMultilevel"/>
    <w:lvl w:ilvl="0">
      <w:lvlJc w:val="left"/>
      <w:lvlText w:val="†"/>
      <w:numFmt w:val="bullet"/>
      <w:start w:val="1"/>
    </w:lvl>
  </w:abstractNum>
  <w:abstractNum w:abstractNumId="70">
    <w:nsid w:val="1AFE3625"/>
    <w:multiLevelType w:val="hybridMultilevel"/>
    <w:lvl w:ilvl="0">
      <w:lvlJc w:val="left"/>
      <w:lvlText w:val="#"/>
      <w:numFmt w:val="bullet"/>
      <w:start w:val="1"/>
    </w:lvl>
  </w:abstractNum>
  <w:abstractNum w:abstractNumId="71">
    <w:nsid w:val="3CA88ECF"/>
    <w:multiLevelType w:val="hybridMultilevel"/>
    <w:lvl w:ilvl="0">
      <w:lvlJc w:val="left"/>
      <w:lvlText w:val="^"/>
      <w:numFmt w:val="bullet"/>
      <w:start w:val="1"/>
    </w:lvl>
  </w:abstractNum>
  <w:abstractNum w:abstractNumId="72">
    <w:nsid w:val="6EBE4208"/>
    <w:multiLevelType w:val="hybridMultilevel"/>
    <w:lvl w:ilvl="0">
      <w:lvlJc w:val="left"/>
      <w:lvlText w:val="(%1)"/>
      <w:numFmt w:val="decimal"/>
      <w:start w:val="1"/>
    </w:lvl>
  </w:abstractNum>
  <w:abstractNum w:abstractNumId="73">
    <w:nsid w:val="C058DF5"/>
    <w:multiLevelType w:val="hybridMultilevel"/>
    <w:lvl w:ilvl="0">
      <w:lvlJc w:val="left"/>
      <w:lvlText w:val="•"/>
      <w:numFmt w:val="bullet"/>
      <w:start w:val="1"/>
    </w:lvl>
  </w:abstractNum>
  <w:abstractNum w:abstractNumId="74">
    <w:nsid w:val="CBE5BE9"/>
    <w:multiLevelType w:val="hybridMultilevel"/>
    <w:lvl w:ilvl="0">
      <w:lvlJc w:val="left"/>
      <w:lvlText w:val="•"/>
      <w:numFmt w:val="bullet"/>
      <w:start w:val="1"/>
    </w:lvl>
  </w:abstractNum>
  <w:abstractNum w:abstractNumId="75">
    <w:nsid w:val="3102BBE2"/>
    <w:multiLevelType w:val="hybridMultilevel"/>
    <w:lvl w:ilvl="0">
      <w:lvlJc w:val="left"/>
      <w:lvlText w:val="•"/>
      <w:numFmt w:val="bullet"/>
      <w:start w:val="1"/>
    </w:lvl>
  </w:abstractNum>
  <w:abstractNum w:abstractNumId="76">
    <w:nsid w:val="26A02C5E"/>
    <w:multiLevelType w:val="hybridMultilevel"/>
    <w:lvl w:ilvl="0">
      <w:lvlJc w:val="left"/>
      <w:lvlText w:val="•"/>
      <w:numFmt w:val="bullet"/>
      <w:start w:val="1"/>
    </w:lvl>
  </w:abstractNum>
  <w:abstractNum w:abstractNumId="77">
    <w:nsid w:val="541C8153"/>
    <w:multiLevelType w:val="hybridMultilevel"/>
    <w:lvl w:ilvl="0">
      <w:lvlJc w:val="left"/>
      <w:lvlText w:val="•"/>
      <w:numFmt w:val="bullet"/>
      <w:start w:val="1"/>
    </w:lvl>
  </w:abstractNum>
  <w:abstractNum w:abstractNumId="78">
    <w:nsid w:val="67906F60"/>
    <w:multiLevelType w:val="hybridMultilevel"/>
    <w:lvl w:ilvl="0">
      <w:lvlJc w:val="left"/>
      <w:lvlText w:val="•"/>
      <w:numFmt w:val="bullet"/>
      <w:start w:val="1"/>
    </w:lvl>
  </w:abstractNum>
  <w:abstractNum w:abstractNumId="79">
    <w:nsid w:val="10DB9DA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80">
    <w:nsid w:val="697D2D2"/>
    <w:multiLevelType w:val="hybridMultilevel"/>
    <w:lvl w:ilvl="0">
      <w:lvlJc w:val="left"/>
      <w:lvlText w:val="%1"/>
      <w:numFmt w:val="decimal"/>
      <w:start w:val="1"/>
    </w:lvl>
    <w:lvl w:ilvl="1">
      <w:lvlJc w:val="left"/>
      <w:lvlText w:val="(%2)"/>
      <w:numFmt w:val="lowerRoman"/>
      <w:start w:val="2"/>
    </w:lvl>
  </w:abstractNum>
  <w:abstractNum w:abstractNumId="81">
    <w:nsid w:val="6D68AB2"/>
    <w:multiLevelType w:val="hybridMultilevel"/>
    <w:lvl w:ilvl="0">
      <w:lvlJc w:val="left"/>
      <w:lvlText w:val="(%1)"/>
      <w:numFmt w:val="decimal"/>
      <w:start w:val="3"/>
    </w:lvl>
    <w:lvl w:ilvl="1">
      <w:lvlJc w:val="left"/>
      <w:lvlText w:val="%2"/>
      <w:numFmt w:val="lowerRoman"/>
      <w:start w:val="1"/>
    </w:lvl>
  </w:abstractNum>
  <w:abstractNum w:abstractNumId="82">
    <w:nsid w:val="3A966CD0"/>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83">
    <w:nsid w:val="63F37E85"/>
    <w:multiLevelType w:val="hybridMultilevel"/>
    <w:lvl w:ilvl="0">
      <w:lvlJc w:val="left"/>
      <w:lvlText w:val="%1."/>
      <w:numFmt w:val="decimal"/>
      <w:start w:val="4"/>
    </w:lvl>
  </w:abstractNum>
  <w:abstractNum w:abstractNumId="84">
    <w:nsid w:val="5895F5FA"/>
    <w:multiLevelType w:val="hybridMultilevel"/>
    <w:lvl w:ilvl="0">
      <w:lvlJc w:val="left"/>
      <w:lvlText w:val="(%1)"/>
      <w:numFmt w:val="lowerLetter"/>
      <w:start w:val="1"/>
    </w:lvl>
    <w:lvl w:ilvl="1">
      <w:lvlJc w:val="left"/>
      <w:lvlText w:val="(%2)"/>
      <w:numFmt w:val="lowerRoman"/>
      <w:start w:val="1"/>
    </w:lvl>
  </w:abstractNum>
  <w:abstractNum w:abstractNumId="85">
    <w:nsid w:val="38A5D054"/>
    <w:multiLevelType w:val="hybridMultilevel"/>
    <w:lvl w:ilvl="0">
      <w:lvlJc w:val="left"/>
      <w:lvlText w:val="(%1)"/>
      <w:numFmt w:val="lowerLetter"/>
      <w:start w:val="5"/>
    </w:lvl>
    <w:lvl w:ilvl="1">
      <w:lvlJc w:val="left"/>
      <w:lvlText w:val="(%2)"/>
      <w:numFmt w:val="lowerRoman"/>
      <w:start w:val="1"/>
    </w:lvl>
  </w:abstractNum>
  <w:abstractNum w:abstractNumId="86">
    <w:nsid w:val="F3F09D8"/>
    <w:multiLevelType w:val="hybridMultilevel"/>
    <w:lvl w:ilvl="0">
      <w:lvlJc w:val="left"/>
      <w:lvlText w:val="%1"/>
      <w:numFmt w:val="decimal"/>
      <w:start w:val="1"/>
    </w:lvl>
    <w:lvl w:ilvl="1">
      <w:lvlJc w:val="left"/>
      <w:lvlText w:val="(%2)"/>
      <w:numFmt w:val="lowerLetter"/>
      <w:start w:val="9"/>
    </w:lvl>
    <w:lvl w:ilvl="2">
      <w:lvlJc w:val="left"/>
      <w:lvlText w:val="%3"/>
      <w:numFmt w:val="lowerRoman"/>
      <w:start w:val="1"/>
    </w:lvl>
    <w:lvl w:ilvl="3">
      <w:lvlJc w:val="left"/>
      <w:lvlText w:val="%4"/>
      <w:numFmt w:val="decimal"/>
      <w:start w:val="1"/>
    </w:lvl>
  </w:abstractNum>
  <w:abstractNum w:abstractNumId="87">
    <w:nsid w:val="4B793735"/>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88">
    <w:nsid w:val="4A10B4E8"/>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2"/>
    </w:lvl>
    <w:lvl w:ilvl="3">
      <w:lvlJc w:val="left"/>
      <w:lvlText w:val="(%4)"/>
      <w:numFmt w:val="decimal"/>
      <w:start w:val="1"/>
    </w:lvl>
  </w:abstractNum>
  <w:abstractNum w:abstractNumId="89">
    <w:nsid w:val="43D3BCD4"/>
    <w:multiLevelType w:val="hybridMultilevel"/>
    <w:lvl w:ilvl="0">
      <w:lvlJc w:val="left"/>
      <w:lvlText w:val="(%1)"/>
      <w:numFmt w:val="lowerRoman"/>
      <w:start w:val="3"/>
    </w:lvl>
    <w:lvl w:ilvl="1">
      <w:lvlJc w:val="left"/>
      <w:lvlText w:val="(%2)"/>
      <w:numFmt w:val="lowerRoman"/>
      <w:start w:val="6"/>
    </w:lvl>
    <w:lvl w:ilvl="2">
      <w:lvlJc w:val="left"/>
      <w:lvlText w:val="%3"/>
      <w:numFmt w:val="lowerRoman"/>
      <w:start w:val="1"/>
    </w:lvl>
    <w:lvl w:ilvl="3">
      <w:lvlJc w:val="left"/>
      <w:lvlText w:val="%4"/>
      <w:numFmt w:val="decimal"/>
      <w:start w:val="1"/>
    </w:lvl>
  </w:abstractNum>
  <w:abstractNum w:abstractNumId="90">
    <w:nsid w:val="4C2A7166"/>
    <w:multiLevelType w:val="hybridMultilevel"/>
    <w:lvl w:ilvl="0">
      <w:lvlJc w:val="left"/>
      <w:lvlText w:val="%1"/>
      <w:numFmt w:val="decimal"/>
      <w:start w:val="1"/>
    </w:lvl>
    <w:lvl w:ilvl="1">
      <w:lvlJc w:val="left"/>
      <w:lvlText w:val="(%2)"/>
      <w:numFmt w:val="lowerLetter"/>
      <w:start w:val="2"/>
    </w:lvl>
  </w:abstractNum>
  <w:abstractNum w:abstractNumId="91">
    <w:nsid w:val="2E534A82"/>
    <w:multiLevelType w:val="hybridMultilevel"/>
    <w:lvl w:ilvl="0">
      <w:lvlJc w:val="left"/>
      <w:lvlText w:val="%1."/>
      <w:numFmt w:val="decimal"/>
      <w:start w:val="6"/>
    </w:lvl>
    <w:lvl w:ilvl="1">
      <w:lvlJc w:val="left"/>
      <w:lvlText w:val="(%2)"/>
      <w:numFmt w:val="lowerLetter"/>
      <w:start w:val="1"/>
    </w:lvl>
  </w:abstractNum>
  <w:abstractNum w:abstractNumId="92">
    <w:nsid w:val="26F2D364"/>
    <w:multiLevelType w:val="hybridMultilevel"/>
    <w:lvl w:ilvl="0">
      <w:lvlJc w:val="left"/>
      <w:lvlText w:val="(%1)"/>
      <w:numFmt w:val="lowerLetter"/>
      <w:start w:val="2"/>
    </w:lvl>
    <w:lvl w:ilvl="1">
      <w:lvlJc w:val="left"/>
      <w:lvlText w:val="(%2)"/>
      <w:numFmt w:val="lowerRoman"/>
      <w:start w:val="1"/>
    </w:lvl>
  </w:abstractNum>
  <w:abstractNum w:abstractNumId="93">
    <w:nsid w:val="71C1AF9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94">
    <w:nsid w:val="3D00B9D9"/>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95">
    <w:nsid w:val="15BCABA8"/>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96">
    <w:nsid w:val="4E0B9A87"/>
    <w:multiLevelType w:val="hybridMultilevel"/>
    <w:lvl w:ilvl="0">
      <w:lvlJc w:val="left"/>
      <w:lvlText w:val="%1"/>
      <w:numFmt w:val="lowerLetter"/>
      <w:start w:val="1"/>
    </w:lvl>
    <w:lvl w:ilvl="1">
      <w:lvlJc w:val="left"/>
      <w:lvlText w:val="(%2)"/>
      <w:numFmt w:val="lowerRoman"/>
      <w:start w:val="6"/>
    </w:lvl>
  </w:abstractNum>
  <w:abstractNum w:abstractNumId="97">
    <w:nsid w:val="434BAE75"/>
    <w:multiLevelType w:val="hybridMultilevel"/>
    <w:lvl w:ilvl="0">
      <w:lvlJc w:val="left"/>
      <w:lvlText w:val="(%1)"/>
      <w:numFmt w:val="lowerLetter"/>
      <w:start w:val="3"/>
    </w:lvl>
    <w:lvl w:ilvl="1">
      <w:lvlJc w:val="left"/>
      <w:lvlText w:val="(%2)"/>
      <w:numFmt w:val="lowerRoman"/>
      <w:start w:val="1"/>
    </w:lvl>
  </w:abstractNum>
  <w:abstractNum w:abstractNumId="98">
    <w:nsid w:val="4F38F265"/>
    <w:multiLevelType w:val="hybridMultilevel"/>
    <w:lvl w:ilvl="0">
      <w:lvlJc w:val="left"/>
      <w:lvlText w:val="%1"/>
      <w:numFmt w:val="decimal"/>
      <w:start w:val="1"/>
    </w:lvl>
    <w:lvl w:ilvl="1">
      <w:lvlJc w:val="left"/>
      <w:lvlText w:val="(%2)"/>
      <w:numFmt w:val="lowerLetter"/>
      <w:start w:val="4"/>
    </w:lvl>
  </w:abstractNum>
  <w:abstractNum w:abstractNumId="99">
    <w:nsid w:val="4C502870"/>
    <w:multiLevelType w:val="hybridMultilevel"/>
    <w:lvl w:ilvl="0">
      <w:lvlJc w:val="left"/>
      <w:lvlText w:val="%1."/>
      <w:numFmt w:val="decimal"/>
      <w:start w:val="8"/>
    </w:lvl>
    <w:lvl w:ilvl="1">
      <w:lvlJc w:val="left"/>
      <w:lvlText w:val="(%2)"/>
      <w:numFmt w:val="lowerLetter"/>
      <w:start w:val="1"/>
    </w:lvl>
  </w:abstractNum>
  <w:abstractNum w:abstractNumId="100">
    <w:nsid w:val="1DE8725A"/>
    <w:multiLevelType w:val="hybridMultilevel"/>
    <w:lvl w:ilvl="0">
      <w:lvlJc w:val="left"/>
      <w:lvlText w:val="%1."/>
      <w:numFmt w:val="decimal"/>
      <w:start w:val="9"/>
    </w:lvl>
    <w:lvl w:ilvl="1">
      <w:lvlJc w:val="left"/>
      <w:lvlText w:val="(%2)"/>
      <w:numFmt w:val="lowerLetter"/>
      <w:start w:val="1"/>
    </w:lvl>
  </w:abstractNum>
  <w:abstractNum w:abstractNumId="101">
    <w:nsid w:val="6A37288A"/>
    <w:multiLevelType w:val="hybridMultilevel"/>
    <w:lvl w:ilvl="0">
      <w:lvlJc w:val="left"/>
      <w:lvlText w:val="(%1)"/>
      <w:numFmt w:val="lowerLetter"/>
      <w:start w:val="9"/>
    </w:lvl>
  </w:abstractNum>
  <w:abstractNum w:abstractNumId="102">
    <w:nsid w:val="8F8B73F"/>
    <w:multiLevelType w:val="hybridMultilevel"/>
    <w:lvl w:ilvl="0">
      <w:lvlJc w:val="left"/>
      <w:lvlText w:val="%1"/>
      <w:numFmt w:val="decimal"/>
      <w:start w:val="1"/>
    </w:lvl>
    <w:lvl w:ilvl="1">
      <w:lvlJc w:val="left"/>
      <w:lvlText w:val="(%2)"/>
      <w:numFmt w:val="lowerLetter"/>
      <w:start w:val="15"/>
    </w:lvl>
  </w:abstractNum>
  <w:abstractNum w:abstractNumId="103">
    <w:nsid w:val="CA6B462"/>
    <w:multiLevelType w:val="hybridMultilevel"/>
    <w:lvl w:ilvl="0">
      <w:lvlJc w:val="left"/>
      <w:lvlText w:val="%1."/>
      <w:numFmt w:val="decimal"/>
      <w:start w:val="10"/>
    </w:lvl>
    <w:lvl w:ilvl="1">
      <w:lvlJc w:val="left"/>
      <w:lvlText w:val="%2"/>
      <w:numFmt w:val="lowerLetter"/>
      <w:start w:val="1"/>
    </w:lvl>
  </w:abstractNum>
  <w:abstractNum w:abstractNumId="104">
    <w:nsid w:val="763CB680"/>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105">
    <w:nsid w:val="15B71329"/>
    <w:multiLevelType w:val="hybridMultilevel"/>
    <w:lvl w:ilvl="0">
      <w:lvlJc w:val="left"/>
      <w:lvlText w:val="(%1)"/>
      <w:numFmt w:val="lowerRoman"/>
      <w:start w:val="1"/>
    </w:lvl>
  </w:abstractNum>
  <w:abstractNum w:abstractNumId="106">
    <w:nsid w:val="3DA97044"/>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107">
    <w:nsid w:val="1CDCE2DE"/>
    <w:multiLevelType w:val="hybridMultilevel"/>
    <w:lvl w:ilvl="0">
      <w:lvlJc w:val="left"/>
      <w:lvlText w:val="%1"/>
      <w:numFmt w:val="lowerLetter"/>
      <w:start w:val="1"/>
    </w:lvl>
    <w:lvl w:ilvl="1">
      <w:lvlJc w:val="left"/>
      <w:lvlText w:val="(%2)"/>
      <w:numFmt w:val="lowerLetter"/>
      <w:start w:val="35"/>
    </w:lvl>
    <w:lvl w:ilvl="2">
      <w:lvlJc w:val="left"/>
      <w:lvlText w:val="(%3)"/>
      <w:numFmt w:val="decimal"/>
      <w:start w:val="1"/>
    </w:lvl>
  </w:abstractNum>
  <w:abstractNum w:abstractNumId="108">
    <w:nsid w:val="69D3947C"/>
    <w:multiLevelType w:val="hybridMultilevel"/>
    <w:lvl w:ilvl="0">
      <w:lvlJc w:val="left"/>
      <w:lvlText w:val="(%1)"/>
      <w:numFmt w:val="lowerLetter"/>
      <w:start w:val="4"/>
    </w:lvl>
    <w:lvl w:ilvl="1">
      <w:lvlJc w:val="left"/>
      <w:lvlText w:val="(%2)"/>
      <w:numFmt w:val="lowerLetter"/>
      <w:start w:val="9"/>
    </w:lvl>
    <w:lvl w:ilvl="2">
      <w:lvlJc w:val="left"/>
      <w:lvlText w:val="%3"/>
      <w:numFmt w:val="decimal"/>
      <w:start w:val="1"/>
    </w:lvl>
  </w:abstractNum>
  <w:abstractNum w:abstractNumId="109">
    <w:nsid w:val="2539DFA5"/>
    <w:multiLevelType w:val="hybridMultilevel"/>
    <w:lvl w:ilvl="0">
      <w:lvlJc w:val="left"/>
      <w:lvlText w:val="%1"/>
      <w:numFmt w:val="lowerLetter"/>
      <w:start w:val="1"/>
    </w:lvl>
    <w:lvl w:ilvl="1">
      <w:lvlJc w:val="left"/>
      <w:lvlText w:val="(%2)"/>
      <w:numFmt w:val="lowerLetter"/>
      <w:start w:val="35"/>
    </w:lvl>
  </w:abstractNum>
  <w:abstractNum w:abstractNumId="110">
    <w:nsid w:val="2DB88089"/>
    <w:multiLevelType w:val="hybridMultilevel"/>
    <w:lvl w:ilvl="0">
      <w:lvlJc w:val="left"/>
      <w:lvlText w:val="(%1)"/>
      <w:numFmt w:val="lowerLetter"/>
      <w:start w:val="5"/>
    </w:lvl>
    <w:lvl w:ilvl="1">
      <w:lvlJc w:val="left"/>
      <w:lvlText w:val="(%2)"/>
      <w:numFmt w:val="lowerLetter"/>
      <w:start w:val="9"/>
    </w:lvl>
  </w:abstractNum>
  <w:abstractNum w:abstractNumId="111">
    <w:nsid w:val="706B674E"/>
    <w:multiLevelType w:val="hybridMultilevel"/>
    <w:lvl w:ilvl="0">
      <w:lvlJc w:val="left"/>
      <w:lvlText w:val="(%1)"/>
      <w:numFmt w:val="lowerRoman"/>
      <w:start w:val="2"/>
    </w:lvl>
  </w:abstractNum>
  <w:abstractNum w:abstractNumId="112">
    <w:nsid w:val="2C106A57"/>
    <w:multiLevelType w:val="hybridMultilevel"/>
    <w:lvl w:ilvl="0">
      <w:lvlJc w:val="left"/>
      <w:lvlText w:val="%1."/>
      <w:numFmt w:val="decimal"/>
      <w:start w:val="12"/>
    </w:lvl>
  </w:abstractNum>
  <w:abstractNum w:abstractNumId="113">
    <w:nsid w:val="684EED59"/>
    <w:multiLevelType w:val="hybridMultilevel"/>
    <w:lvl w:ilvl="0">
      <w:lvlJc w:val="left"/>
      <w:lvlText w:val="%1."/>
      <w:numFmt w:val="decimal"/>
      <w:start w:val="13"/>
    </w:lvl>
  </w:abstractNum>
  <w:abstractNum w:abstractNumId="114">
    <w:nsid w:val="545EE5D3"/>
    <w:multiLevelType w:val="hybridMultilevel"/>
    <w:lvl w:ilvl="0">
      <w:lvlJc w:val="left"/>
      <w:lvlText w:val="(%1)"/>
      <w:numFmt w:val="lowerRoman"/>
      <w:start w:val="1"/>
    </w:lvl>
  </w:abstractNum>
  <w:abstractNum w:abstractNumId="115">
    <w:nsid w:val="4A66051"/>
    <w:multiLevelType w:val="hybridMultilevel"/>
    <w:lvl w:ilvl="0">
      <w:lvlJc w:val="left"/>
      <w:lvlText w:val="%1."/>
      <w:numFmt w:val="decimal"/>
      <w:start w:val="14"/>
    </w:lvl>
  </w:abstractNum>
  <w:abstractNum w:abstractNumId="116">
    <w:nsid w:val="20F4BDAD"/>
    <w:multiLevelType w:val="hybridMultilevel"/>
    <w:lvl w:ilvl="0">
      <w:lvlJc w:val="left"/>
      <w:lvlText w:val="(%1)"/>
      <w:numFmt w:val="lowerLetter"/>
      <w:start w:val="1"/>
    </w:lvl>
  </w:abstractNum>
  <w:abstractNum w:abstractNumId="117">
    <w:nsid w:val="639DEFAC"/>
    <w:multiLevelType w:val="hybridMultilevel"/>
    <w:lvl w:ilvl="0">
      <w:lvlJc w:val="left"/>
      <w:lvlText w:val="%1"/>
      <w:numFmt w:val="upperLetter"/>
      <w:start w:val="1"/>
    </w:lvl>
    <w:lvl w:ilvl="1">
      <w:lvlJc w:val="left"/>
      <w:lvlText w:val="(%2)"/>
      <w:numFmt w:val="lowerLetter"/>
      <w:start w:val="10"/>
    </w:lvl>
    <w:lvl w:ilvl="2">
      <w:lvlJc w:val="left"/>
      <w:lvlText w:val="(%3)"/>
      <w:numFmt w:val="lowerRoman"/>
      <w:start w:val="1"/>
    </w:lvl>
  </w:abstractNum>
  <w:abstractNum w:abstractNumId="118">
    <w:nsid w:val="501F9786"/>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2"/>
    </w:lvl>
  </w:abstractNum>
  <w:abstractNum w:abstractNumId="119">
    <w:nsid w:val="6B057295"/>
    <w:multiLevelType w:val="hybridMultilevel"/>
    <w:lvl w:ilvl="0">
      <w:lvlJc w:val="left"/>
      <w:lvlText w:val="(%1)"/>
      <w:numFmt w:val="lowerLetter"/>
      <w:start w:val="11"/>
    </w:lvl>
  </w:abstractNum>
  <w:abstractNum w:abstractNumId="120">
    <w:nsid w:val="2771AC80"/>
    <w:multiLevelType w:val="hybridMultilevel"/>
    <w:lvl w:ilvl="0">
      <w:lvlJc w:val="left"/>
      <w:lvlText w:val="(%1)"/>
      <w:numFmt w:val="lowerLetter"/>
      <w:start w:val="13"/>
    </w:lvl>
    <w:lvl w:ilvl="1">
      <w:lvlJc w:val="left"/>
      <w:lvlText w:val="(%2)"/>
      <w:numFmt w:val="lowerRoman"/>
      <w:start w:val="1"/>
    </w:lvl>
  </w:abstractNum>
  <w:abstractNum w:abstractNumId="121">
    <w:nsid w:val="1C4A08EC"/>
    <w:multiLevelType w:val="hybridMultilevel"/>
    <w:lvl w:ilvl="0">
      <w:lvlJc w:val="left"/>
      <w:lvlText w:val="(%1)"/>
      <w:numFmt w:val="lowerLetter"/>
      <w:start w:val="19"/>
    </w:lvl>
  </w:abstractNum>
  <w:abstractNum w:abstractNumId="122">
    <w:nsid w:val="1958BD17"/>
    <w:multiLevelType w:val="hybridMultilevel"/>
    <w:lvl w:ilvl="0">
      <w:lvlJc w:val="left"/>
      <w:lvlText w:val="(%1)"/>
      <w:numFmt w:val="lowerLetter"/>
      <w:start w:val="27"/>
    </w:lvl>
    <w:lvl w:ilvl="1">
      <w:lvlJc w:val="left"/>
      <w:lvlText w:val="(%2)"/>
      <w:numFmt w:val="lowerRoman"/>
      <w:start w:val="1"/>
    </w:lvl>
  </w:abstractNum>
  <w:abstractNum w:abstractNumId="123">
    <w:nsid w:val="4E647FE4"/>
    <w:multiLevelType w:val="hybridMultilevel"/>
    <w:lvl w:ilvl="0">
      <w:lvlJc w:val="left"/>
      <w:lvlText w:val="(%1)"/>
      <w:numFmt w:val="lowerLetter"/>
      <w:start w:val="31"/>
    </w:lvl>
  </w:abstractNum>
  <w:abstractNum w:abstractNumId="124">
    <w:nsid w:val="E0BB885"/>
    <w:multiLevelType w:val="hybridMultilevel"/>
    <w:lvl w:ilvl="0">
      <w:lvlJc w:val="left"/>
      <w:lvlText w:val="(%1)"/>
      <w:numFmt w:val="lowerLetter"/>
      <w:start w:val="42"/>
    </w:lvl>
  </w:abstractNum>
  <w:abstractNum w:abstractNumId="125">
    <w:nsid w:val="565976F1"/>
    <w:multiLevelType w:val="hybridMultilevel"/>
    <w:lvl w:ilvl="0">
      <w:lvlJc w:val="left"/>
      <w:lvlText w:val="(%1)"/>
      <w:numFmt w:val="lowerLetter"/>
      <w:start w:val="50"/>
    </w:lvl>
  </w:abstractNum>
  <w:abstractNum w:abstractNumId="126">
    <w:nsid w:val="64212B8C"/>
    <w:multiLevelType w:val="hybridMultilevel"/>
    <w:lvl w:ilvl="0">
      <w:lvlJc w:val="left"/>
      <w:lvlText w:val="(%1)"/>
      <w:numFmt w:val="lowerLetter"/>
      <w:start w:val="53"/>
    </w:lvl>
  </w:abstractNum>
  <w:abstractNum w:abstractNumId="127">
    <w:nsid w:val="5C17530C"/>
    <w:multiLevelType w:val="hybridMultilevel"/>
    <w:lvl w:ilvl="0">
      <w:lvlJc w:val="left"/>
      <w:lvlText w:val="(%1)"/>
      <w:numFmt w:val="lowerLetter"/>
      <w:start w:val="61"/>
    </w:lvl>
  </w:abstractNum>
  <w:abstractNum w:abstractNumId="128">
    <w:nsid w:val="19A52566"/>
    <w:multiLevelType w:val="hybridMultilevel"/>
    <w:lvl w:ilvl="0">
      <w:lvlJc w:val="left"/>
      <w:lvlText w:val="•"/>
      <w:numFmt w:val="bullet"/>
      <w:start w:val="1"/>
    </w:lvl>
  </w:abstractNum>
  <w:abstractNum w:abstractNumId="129">
    <w:nsid w:val="335A1DF1"/>
    <w:multiLevelType w:val="hybridMultilevel"/>
    <w:lvl w:ilvl="0">
      <w:lvlJc w:val="left"/>
      <w:lvlText w:val="•"/>
      <w:numFmt w:val="bullet"/>
      <w:start w:val="1"/>
    </w:lvl>
  </w:abstractNum>
  <w:abstractNum w:abstractNumId="130">
    <w:nsid w:val="28677B7C"/>
    <w:multiLevelType w:val="hybridMultilevel"/>
    <w:lvl w:ilvl="0">
      <w:lvlJc w:val="left"/>
      <w:lvlText w:val="%1."/>
      <w:numFmt w:val="decimal"/>
      <w:start w:val="1"/>
    </w:lvl>
    <w:lvl w:ilvl="1">
      <w:lvlJc w:val="left"/>
      <w:lvlText w:val="(%2)"/>
      <w:numFmt w:val="lowerLetter"/>
      <w:start w:val="1"/>
    </w:lvl>
  </w:abstractNum>
  <w:abstractNum w:abstractNumId="131">
    <w:nsid w:val="378D97C0"/>
    <w:multiLevelType w:val="hybridMultilevel"/>
    <w:lvl w:ilvl="0">
      <w:lvlJc w:val="left"/>
      <w:lvlText w:val="%1."/>
      <w:numFmt w:val="decimal"/>
      <w:start w:val="2"/>
    </w:lvl>
  </w:abstractNum>
  <w:abstractNum w:abstractNumId="132">
    <w:nsid w:val="1D91467C"/>
    <w:multiLevelType w:val="hybridMultilevel"/>
    <w:lvl w:ilvl="0">
      <w:lvlJc w:val="left"/>
      <w:lvlText w:val="(%1)"/>
      <w:numFmt w:val="lowerLetter"/>
      <w:start w:val="1"/>
    </w:lvl>
    <w:lvl w:ilvl="1">
      <w:lvlJc w:val="left"/>
      <w:lvlText w:val="(%2)"/>
      <w:numFmt w:val="lowerRoman"/>
      <w:start w:val="1"/>
    </w:lvl>
  </w:abstractNum>
  <w:abstractNum w:abstractNumId="133">
    <w:nsid w:val="316032BB"/>
    <w:multiLevelType w:val="hybridMultilevel"/>
    <w:lvl w:ilvl="0">
      <w:lvlJc w:val="left"/>
      <w:lvlText w:val="%1."/>
      <w:numFmt w:val="decimal"/>
      <w:start w:val="3"/>
    </w:lvl>
    <w:lvl w:ilvl="1">
      <w:lvlJc w:val="left"/>
      <w:lvlText w:val="(%2)"/>
      <w:numFmt w:val="lowerLetter"/>
      <w:start w:val="1"/>
    </w:lvl>
  </w:abstractNum>
  <w:abstractNum w:abstractNumId="134">
    <w:nsid w:val="44344C22"/>
    <w:multiLevelType w:val="hybridMultilevel"/>
    <w:lvl w:ilvl="0">
      <w:lvlJc w:val="left"/>
      <w:lvlText w:val="%1."/>
      <w:numFmt w:val="decimal"/>
      <w:start w:val="4"/>
    </w:lvl>
  </w:abstractNum>
  <w:abstractNum w:abstractNumId="135">
    <w:nsid w:val="13CDFCFC"/>
    <w:multiLevelType w:val="hybridMultilevel"/>
    <w:lvl w:ilvl="0">
      <w:lvlJc w:val="left"/>
      <w:lvlText w:val="%1"/>
      <w:numFmt w:val="decimal"/>
      <w:start w:val="1"/>
    </w:lvl>
    <w:lvl w:ilvl="1">
      <w:lvlJc w:val="left"/>
      <w:lvlText w:val="%2."/>
      <w:numFmt w:val="decimal"/>
      <w:start w:val="6"/>
    </w:lvl>
    <w:lvl w:ilvl="2">
      <w:lvlJc w:val="left"/>
      <w:lvlText w:val="*"/>
      <w:numFmt w:val="bullet"/>
      <w:start w:val="1"/>
    </w:lvl>
  </w:abstractNum>
  <w:abstractNum w:abstractNumId="136">
    <w:nsid w:val="471745E4"/>
    <w:multiLevelType w:val="hybridMultilevel"/>
    <w:lvl w:ilvl="0">
      <w:lvlJc w:val="left"/>
      <w:lvlText w:val="(%1)"/>
      <w:numFmt w:val="decimal"/>
      <w:start w:val="1"/>
    </w:lvl>
    <w:lvl w:ilvl="1">
      <w:lvlJc w:val="left"/>
      <w:lvlText w:val="%2."/>
      <w:numFmt w:val="decimal"/>
      <w:start w:val="11"/>
    </w:lvl>
    <w:lvl w:ilvl="2">
      <w:lvlJc w:val="left"/>
      <w:lvlText w:val="*"/>
      <w:numFmt w:val="bullet"/>
      <w:start w:val="1"/>
    </w:lvl>
  </w:abstractNum>
  <w:abstractNum w:abstractNumId="137">
    <w:nsid w:val="1DDBC66"/>
    <w:multiLevelType w:val="hybridMultilevel"/>
    <w:lvl w:ilvl="0">
      <w:lvlJc w:val="left"/>
      <w:lvlText w:val="•"/>
      <w:numFmt w:val="bullet"/>
      <w:start w:val="1"/>
    </w:lvl>
  </w:abstractNum>
  <w:abstractNum w:abstractNumId="138">
    <w:nsid w:val="30AADFDA"/>
    <w:multiLevelType w:val="hybridMultilevel"/>
    <w:lvl w:ilvl="0">
      <w:lvlJc w:val="left"/>
      <w:lvlText w:val="•"/>
      <w:numFmt w:val="bullet"/>
      <w:start w:val="1"/>
    </w:lvl>
  </w:abstractNum>
  <w:abstractNum w:abstractNumId="139">
    <w:nsid w:val="30EADA61"/>
    <w:multiLevelType w:val="hybridMultilevel"/>
    <w:lvl w:ilvl="0">
      <w:lvlJc w:val="left"/>
      <w:lvlText w:val="%1."/>
      <w:numFmt w:val="decimal"/>
      <w:start w:val="1"/>
    </w:lvl>
    <w:lvl w:ilvl="1">
      <w:lvlJc w:val="left"/>
      <w:lvlText w:val="(%2)"/>
      <w:numFmt w:val="lowerLetter"/>
      <w:start w:val="1"/>
    </w:lvl>
  </w:abstractNum>
  <w:abstractNum w:abstractNumId="140">
    <w:nsid w:val="27179C0B"/>
    <w:multiLevelType w:val="hybridMultilevel"/>
    <w:lvl w:ilvl="0">
      <w:lvlJc w:val="left"/>
      <w:lvlText w:val="%1."/>
      <w:numFmt w:val="decimal"/>
      <w:start w:val="2"/>
    </w:lvl>
    <w:lvl w:ilvl="1">
      <w:lvlJc w:val="left"/>
      <w:lvlText w:val="(%2)"/>
      <w:numFmt w:val="lowerLetter"/>
      <w:start w:val="1"/>
    </w:lvl>
  </w:abstractNum>
  <w:abstractNum w:abstractNumId="141">
    <w:nsid w:val="5E636063"/>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42">
    <w:nsid w:val="215641AF"/>
    <w:multiLevelType w:val="hybridMultilevel"/>
    <w:lvl w:ilvl="0">
      <w:lvlJc w:val="left"/>
      <w:lvlText w:val="(%1)"/>
      <w:numFmt w:val="lowerLetter"/>
      <w:start w:val="1"/>
    </w:lvl>
  </w:abstractNum>
  <w:abstractNum w:abstractNumId="143">
    <w:nsid w:val="53280662"/>
    <w:multiLevelType w:val="hybridMultilevel"/>
    <w:lvl w:ilvl="0">
      <w:lvlJc w:val="left"/>
      <w:lvlText w:val="(%1)"/>
      <w:numFmt w:val="lowerLetter"/>
      <w:start w:val="4"/>
    </w:lvl>
  </w:abstractNum>
  <w:abstractNum w:abstractNumId="144">
    <w:nsid w:val="46B24DBC"/>
    <w:multiLevelType w:val="hybridMultilevel"/>
    <w:lvl w:ilvl="0">
      <w:lvlJc w:val="left"/>
      <w:lvlText w:val="%1"/>
      <w:numFmt w:val="decimal"/>
      <w:start w:val="1"/>
    </w:lvl>
    <w:lvl w:ilvl="1">
      <w:lvlJc w:val="left"/>
      <w:lvlText w:val="%2."/>
      <w:numFmt w:val="decimal"/>
      <w:start w:val="5"/>
    </w:lvl>
    <w:lvl w:ilvl="2">
      <w:lvlJc w:val="left"/>
      <w:lvlText w:val="*"/>
      <w:numFmt w:val="bullet"/>
      <w:start w:val="1"/>
    </w:lvl>
  </w:abstractNum>
  <w:abstractNum w:abstractNumId="145">
    <w:nsid w:val="75B52783"/>
    <w:multiLevelType w:val="hybridMultilevel"/>
    <w:lvl w:ilvl="0">
      <w:lvlJc w:val="left"/>
      <w:lvlText w:val="(%1)"/>
      <w:numFmt w:val="decimal"/>
      <w:start w:val="1"/>
    </w:lvl>
    <w:lvl w:ilvl="1">
      <w:lvlJc w:val="left"/>
      <w:lvlText w:val="%2."/>
      <w:numFmt w:val="decimal"/>
      <w:start w:val="11"/>
    </w:lvl>
    <w:lvl w:ilvl="2">
      <w:lvlJc w:val="left"/>
      <w:lvlText w:val="*"/>
      <w:numFmt w:val="bullet"/>
      <w:start w:val="1"/>
    </w:lvl>
  </w:abstractNum>
  <w:abstractNum w:abstractNumId="146">
    <w:nsid w:val="57CE66B4"/>
    <w:multiLevelType w:val="hybridMultilevel"/>
    <w:lvl w:ilvl="0">
      <w:lvlJc w:val="left"/>
      <w:lvlText w:val="•"/>
      <w:numFmt w:val="bullet"/>
      <w:start w:val="1"/>
    </w:lvl>
  </w:abstractNum>
  <w:abstractNum w:abstractNumId="147">
    <w:nsid w:val="67A70B69"/>
    <w:multiLevelType w:val="hybridMultilevel"/>
    <w:lvl w:ilvl="0">
      <w:lvlJc w:val="left"/>
      <w:lvlText w:val="%1."/>
      <w:numFmt w:val="decimal"/>
      <w:start w:val="1"/>
    </w:lvl>
    <w:lvl w:ilvl="1">
      <w:lvlJc w:val="left"/>
      <w:lvlText w:val="(%2)"/>
      <w:numFmt w:val="lowerLetter"/>
      <w:start w:val="1"/>
    </w:lvl>
  </w:abstractNum>
  <w:abstractNum w:abstractNumId="148">
    <w:nsid w:val="5953172F"/>
    <w:multiLevelType w:val="hybridMultilevel"/>
    <w:lvl w:ilvl="0">
      <w:lvlJc w:val="left"/>
      <w:lvlText w:val="%1."/>
      <w:numFmt w:val="decimal"/>
      <w:start w:val="2"/>
    </w:lvl>
    <w:lvl w:ilvl="1">
      <w:lvlJc w:val="left"/>
      <w:lvlText w:val="(%2)"/>
      <w:numFmt w:val="lowerLetter"/>
      <w:start w:val="1"/>
    </w:lvl>
  </w:abstractNum>
  <w:abstractNum w:abstractNumId="149">
    <w:nsid w:val="27EDFE3A"/>
    <w:multiLevelType w:val="hybridMultilevel"/>
    <w:lvl w:ilvl="0">
      <w:lvlJc w:val="left"/>
      <w:lvlText w:val="(%1)"/>
      <w:numFmt w:val="lowerLetter"/>
      <w:start w:val="2"/>
    </w:lvl>
  </w:abstractNum>
  <w:abstractNum w:abstractNumId="150">
    <w:nsid w:val="52AC7DFF"/>
    <w:multiLevelType w:val="hybridMultilevel"/>
    <w:lvl w:ilvl="0">
      <w:lvlJc w:val="left"/>
      <w:lvlText w:val="(%1)"/>
      <w:numFmt w:val="lowerRoman"/>
      <w:start w:val="1"/>
    </w:lvl>
  </w:abstractNum>
  <w:abstractNum w:abstractNumId="151">
    <w:nsid w:val="C4C3AF"/>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152">
    <w:nsid w:val="44380727"/>
    <w:multiLevelType w:val="hybridMultilevel"/>
    <w:lvl w:ilvl="0">
      <w:lvlJc w:val="left"/>
      <w:lvlText w:val="%1"/>
      <w:numFmt w:val="decimal"/>
      <w:start w:val="1"/>
    </w:lvl>
    <w:lvl w:ilvl="1">
      <w:lvlJc w:val="left"/>
      <w:lvlText w:val="%2."/>
      <w:numFmt w:val="decimal"/>
      <w:start w:val="6"/>
    </w:lvl>
    <w:lvl w:ilvl="2">
      <w:lvlJc w:val="left"/>
      <w:lvlText w:val="%3"/>
      <w:numFmt w:val="lowerLetter"/>
      <w:start w:val="1"/>
    </w:lvl>
  </w:abstractNum>
  <w:abstractNum w:abstractNumId="153">
    <w:nsid w:val="6C053B16"/>
    <w:multiLevelType w:val="hybridMultilevel"/>
    <w:lvl w:ilvl="0">
      <w:lvlJc w:val="left"/>
      <w:lvlText w:val="(%1)"/>
      <w:numFmt w:val="decimal"/>
      <w:start w:val="1"/>
    </w:lvl>
    <w:lvl w:ilvl="1">
      <w:lvlJc w:val="left"/>
      <w:lvlText w:val="%2."/>
      <w:numFmt w:val="decimal"/>
      <w:start w:val="11"/>
    </w:lvl>
    <w:lvl w:ilvl="2">
      <w:lvlJc w:val="left"/>
      <w:lvlText w:val="%3"/>
      <w:numFmt w:val="lowerLetter"/>
      <w:start w:val="1"/>
    </w:lvl>
  </w:abstractNum>
  <w:abstractNum w:abstractNumId="154">
    <w:nsid w:val="4F29439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55">
    <w:nsid w:val="5243BFAC"/>
    <w:multiLevelType w:val="hybridMultilevel"/>
    <w:lvl w:ilvl="0">
      <w:lvlJc w:val="left"/>
      <w:lvlText w:val="(%1)"/>
      <w:numFmt w:val="lowerRoman"/>
      <w:start w:val="4"/>
    </w:lvl>
  </w:abstractNum>
  <w:abstractNum w:abstractNumId="156">
    <w:nsid w:val="425EB207"/>
    <w:multiLevelType w:val="hybridMultilevel"/>
    <w:lvl w:ilvl="0">
      <w:lvlJc w:val="left"/>
      <w:lvlText w:val="%1"/>
      <w:numFmt w:val="lowerLetter"/>
      <w:start w:val="1"/>
    </w:lvl>
    <w:lvl w:ilvl="1">
      <w:lvlJc w:val="left"/>
      <w:lvlText w:val="(%2)"/>
      <w:numFmt w:val="decimal"/>
      <w:start w:val="1"/>
    </w:lvl>
  </w:abstractNum>
  <w:abstractNum w:abstractNumId="157">
    <w:nsid w:val="334A6F1F"/>
    <w:multiLevelType w:val="hybridMultilevel"/>
    <w:lvl w:ilvl="0">
      <w:lvlJc w:val="left"/>
      <w:lvlText w:val="(%1)"/>
      <w:numFmt w:val="lowerLetter"/>
      <w:start w:val="2"/>
    </w:lvl>
    <w:lvl w:ilvl="1">
      <w:lvlJc w:val="left"/>
      <w:lvlText w:val="%2"/>
      <w:numFmt w:val="decimal"/>
      <w:start w:val="1"/>
    </w:lvl>
  </w:abstractNum>
  <w:abstractNum w:abstractNumId="158">
    <w:nsid w:val="2E5B12B8"/>
    <w:multiLevelType w:val="hybridMultilevel"/>
    <w:lvl w:ilvl="0">
      <w:lvlJc w:val="left"/>
      <w:lvlText w:val="%1"/>
      <w:numFmt w:val="decimal"/>
      <w:start w:val="1"/>
    </w:lvl>
    <w:lvl w:ilvl="1">
      <w:lvlJc w:val="left"/>
      <w:lvlText w:val="(%2)"/>
      <w:numFmt w:val="lowerLetter"/>
      <w:start w:val="7"/>
    </w:lvl>
  </w:abstractNum>
  <w:abstractNum w:abstractNumId="159">
    <w:nsid w:val="5C03D76D"/>
    <w:multiLevelType w:val="hybridMultilevel"/>
    <w:lvl w:ilvl="0">
      <w:lvlJc w:val="left"/>
      <w:lvlText w:val="%1."/>
      <w:numFmt w:val="decimal"/>
      <w:start w:val="2"/>
    </w:lvl>
    <w:lvl w:ilvl="1">
      <w:lvlJc w:val="left"/>
      <w:lvlText w:val="%2"/>
      <w:numFmt w:val="lowerLetter"/>
      <w:start w:val="1"/>
    </w:lvl>
  </w:abstractNum>
  <w:abstractNum w:abstractNumId="160">
    <w:nsid w:val="66A48D11"/>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61">
    <w:nsid w:val="56C28E34"/>
    <w:multiLevelType w:val="hybridMultilevel"/>
    <w:lvl w:ilvl="0">
      <w:lvlJc w:val="left"/>
      <w:lvlText w:val="%1"/>
      <w:numFmt w:val="decimal"/>
      <w:start w:val="1"/>
    </w:lvl>
    <w:lvl w:ilvl="1">
      <w:lvlJc w:val="left"/>
      <w:lvlText w:val="(%2)"/>
      <w:numFmt w:val="lowerLetter"/>
      <w:start w:val="1"/>
    </w:lvl>
  </w:abstractNum>
  <w:abstractNum w:abstractNumId="162">
    <w:nsid w:val="13916F2D"/>
    <w:multiLevelType w:val="hybridMultilevel"/>
    <w:lvl w:ilvl="0">
      <w:lvlJc w:val="left"/>
      <w:lvlText w:val="%1."/>
      <w:numFmt w:val="decimal"/>
      <w:start w:val="8"/>
    </w:lvl>
    <w:lvl w:ilvl="1">
      <w:lvlJc w:val="left"/>
      <w:lvlText w:val="(%2)"/>
      <w:numFmt w:val="lowerLetter"/>
      <w:start w:val="1"/>
    </w:lvl>
  </w:abstractNum>
  <w:abstractNum w:abstractNumId="163">
    <w:nsid w:val="435D38D"/>
    <w:multiLevelType w:val="hybridMultilevel"/>
    <w:lvl w:ilvl="0">
      <w:lvlJc w:val="left"/>
      <w:lvlText w:val="%1"/>
      <w:numFmt w:val="decimal"/>
      <w:start w:val="1"/>
    </w:lvl>
    <w:lvl w:ilvl="1">
      <w:lvlJc w:val="left"/>
      <w:lvlText w:val="(%2)"/>
      <w:numFmt w:val="lowerLetter"/>
      <w:start w:val="2"/>
    </w:lvl>
  </w:abstractNum>
  <w:abstractNum w:abstractNumId="164">
    <w:nsid w:val="822C0EF"/>
    <w:multiLevelType w:val="hybridMultilevel"/>
    <w:lvl w:ilvl="0">
      <w:lvlJc w:val="left"/>
      <w:lvlText w:val="%1."/>
      <w:numFmt w:val="decimal"/>
      <w:start w:val="10"/>
    </w:lvl>
    <w:lvl w:ilvl="1">
      <w:lvlJc w:val="left"/>
      <w:lvlText w:val="(%2)"/>
      <w:numFmt w:val="lowerLetter"/>
      <w:start w:val="1"/>
    </w:lvl>
  </w:abstractNum>
  <w:abstractNum w:abstractNumId="165">
    <w:nsid w:val="57C5BB4F"/>
    <w:multiLevelType w:val="hybridMultilevel"/>
    <w:lvl w:ilvl="0">
      <w:lvlJc w:val="left"/>
      <w:lvlText w:val="%1"/>
      <w:numFmt w:val="decimal"/>
      <w:start w:val="1"/>
    </w:lvl>
    <w:lvl w:ilvl="1">
      <w:lvlJc w:val="left"/>
      <w:lvlText w:val="(%2)"/>
      <w:numFmt w:val="lowerLetter"/>
      <w:start w:val="3"/>
    </w:lvl>
  </w:abstractNum>
  <w:abstractNum w:abstractNumId="166">
    <w:nsid w:val="1803D089"/>
    <w:multiLevelType w:val="hybridMultilevel"/>
    <w:lvl w:ilvl="0">
      <w:lvlJc w:val="left"/>
      <w:lvlText w:val="%1."/>
      <w:numFmt w:val="decimal"/>
      <w:start w:val="11"/>
    </w:lvl>
    <w:lvl w:ilvl="1">
      <w:lvlJc w:val="left"/>
      <w:lvlText w:val="(%2)"/>
      <w:numFmt w:val="lowerLetter"/>
      <w:start w:val="1"/>
    </w:lvl>
  </w:abstractNum>
  <w:abstractNum w:abstractNumId="167">
    <w:nsid w:val="4F3A06D4"/>
    <w:multiLevelType w:val="hybridMultilevel"/>
    <w:lvl w:ilvl="0">
      <w:lvlJc w:val="left"/>
      <w:lvlText w:val="%1"/>
      <w:numFmt w:val="decimal"/>
      <w:start w:val="1"/>
    </w:lvl>
    <w:lvl w:ilvl="1">
      <w:lvlJc w:val="left"/>
      <w:lvlText w:val="(%2)"/>
      <w:numFmt w:val="lowerLetter"/>
      <w:start w:val="2"/>
    </w:lvl>
  </w:abstractNum>
  <w:abstractNum w:abstractNumId="168">
    <w:nsid w:val="59A377B6"/>
    <w:multiLevelType w:val="hybridMultilevel"/>
    <w:lvl w:ilvl="0">
      <w:lvlJc w:val="left"/>
      <w:lvlText w:val="%1."/>
      <w:numFmt w:val="decimal"/>
      <w:start w:val="12"/>
    </w:lvl>
    <w:lvl w:ilvl="1">
      <w:lvlJc w:val="left"/>
      <w:lvlText w:val="(%2)"/>
      <w:numFmt w:val="lowerLetter"/>
      <w:start w:val="1"/>
    </w:lvl>
  </w:abstractNum>
  <w:abstractNum w:abstractNumId="169">
    <w:nsid w:val="48AEB06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170">
    <w:nsid w:val="24E135"/>
    <w:multiLevelType w:val="hybridMultilevel"/>
    <w:lvl w:ilvl="0">
      <w:lvlJc w:val="left"/>
      <w:lvlText w:val="(%1)"/>
      <w:numFmt w:val="lowerLetter"/>
      <w:start w:val="35"/>
    </w:lvl>
    <w:lvl w:ilvl="1">
      <w:lvlJc w:val="left"/>
      <w:lvlText w:val="%2."/>
      <w:numFmt w:val="decimal"/>
      <w:start w:val="12"/>
    </w:lvl>
    <w:lvl w:ilvl="2">
      <w:lvlJc w:val="left"/>
      <w:lvlText w:val="(%3)"/>
      <w:numFmt w:val="lowerLetter"/>
      <w:start w:val="4"/>
    </w:lvl>
  </w:abstractNum>
  <w:abstractNum w:abstractNumId="171">
    <w:nsid w:val="BB13C1"/>
    <w:multiLevelType w:val="hybridMultilevel"/>
    <w:lvl w:ilvl="0">
      <w:lvlJc w:val="left"/>
      <w:lvlText w:val="%1."/>
      <w:numFmt w:val="decimal"/>
      <w:start w:val="15"/>
    </w:lvl>
  </w:abstractNum>
  <w:abstractNum w:abstractNumId="172">
    <w:nsid w:val="271210C7"/>
    <w:multiLevelType w:val="hybridMultilevel"/>
    <w:lvl w:ilvl="0">
      <w:lvlJc w:val="left"/>
      <w:lvlText w:val="%1."/>
      <w:numFmt w:val="decimal"/>
      <w:start w:val="20"/>
    </w:lvl>
  </w:abstractNum>
  <w:abstractNum w:abstractNumId="173">
    <w:nsid w:val="217B22E4"/>
    <w:multiLevelType w:val="hybridMultilevel"/>
    <w:lvl w:ilvl="0">
      <w:lvlJc w:val="left"/>
      <w:lvlText w:val="%1."/>
      <w:numFmt w:val="decimal"/>
      <w:start w:val="26"/>
    </w:lvl>
    <w:lvl w:ilvl="1">
      <w:lvlJc w:val="left"/>
      <w:lvlText w:val="(%2)"/>
      <w:numFmt w:val="lowerLetter"/>
      <w:start w:val="1"/>
    </w:lvl>
  </w:abstractNum>
  <w:abstractNum w:abstractNumId="174">
    <w:nsid w:val="53E31A24"/>
    <w:multiLevelType w:val="hybridMultilevel"/>
    <w:lvl w:ilvl="0">
      <w:lvlJc w:val="left"/>
      <w:lvlText w:val="%1."/>
      <w:numFmt w:val="decimal"/>
      <w:start w:val="27"/>
    </w:lvl>
  </w:abstractNum>
  <w:abstractNum w:abstractNumId="175">
    <w:nsid w:val="6DC45E83"/>
    <w:multiLevelType w:val="hybridMultilevel"/>
    <w:lvl w:ilvl="0">
      <w:lvlJc w:val="left"/>
      <w:lvlText w:val="%1."/>
      <w:numFmt w:val="decimal"/>
      <w:start w:val="1"/>
    </w:lvl>
    <w:lvl w:ilvl="1">
      <w:lvlJc w:val="left"/>
      <w:lvlText w:val="(%2)"/>
      <w:numFmt w:val="lowerLetter"/>
      <w:start w:val="1"/>
    </w:lvl>
  </w:abstractNum>
  <w:abstractNum w:abstractNumId="176">
    <w:nsid w:val="17304A67"/>
    <w:multiLevelType w:val="hybridMultilevel"/>
    <w:lvl w:ilvl="0">
      <w:lvlJc w:val="left"/>
      <w:lvlText w:val="%1"/>
      <w:numFmt w:val="decimal"/>
      <w:start w:val="1"/>
    </w:lvl>
    <w:lvl w:ilvl="1">
      <w:lvlJc w:val="left"/>
      <w:lvlText w:val="(%2)"/>
      <w:numFmt w:val="lowerLetter"/>
      <w:start w:val="2"/>
    </w:lvl>
  </w:abstractNum>
  <w:abstractNum w:abstractNumId="177">
    <w:nsid w:val="2BB180D8"/>
    <w:multiLevelType w:val="hybridMultilevel"/>
    <w:lvl w:ilvl="0">
      <w:lvlJc w:val="left"/>
      <w:lvlText w:val="%1."/>
      <w:numFmt w:val="decimal"/>
      <w:start w:val="3"/>
    </w:lvl>
    <w:lvl w:ilvl="1">
      <w:lvlJc w:val="left"/>
      <w:lvlText w:val="(%2)"/>
      <w:numFmt w:val="lowerLetter"/>
      <w:start w:val="1"/>
    </w:lvl>
  </w:abstractNum>
  <w:abstractNum w:abstractNumId="178">
    <w:nsid w:val="556B69ED"/>
    <w:multiLevelType w:val="hybridMultilevel"/>
    <w:lvl w:ilvl="0">
      <w:lvlJc w:val="left"/>
      <w:lvlText w:val="(%1)"/>
      <w:numFmt w:val="lowerLetter"/>
      <w:start w:val="3"/>
    </w:lvl>
    <w:lvl w:ilvl="1">
      <w:lvlJc w:val="left"/>
      <w:lvlText w:val="(%2)"/>
      <w:numFmt w:val="lowerRoman"/>
      <w:start w:val="1"/>
    </w:lvl>
  </w:abstractNum>
  <w:abstractNum w:abstractNumId="179">
    <w:nsid w:val="70836196"/>
    <w:multiLevelType w:val="hybridMultilevel"/>
    <w:lvl w:ilvl="0">
      <w:lvlJc w:val="left"/>
      <w:lvlText w:val="(%1)"/>
      <w:numFmt w:val="lowerRoman"/>
      <w:start w:val="6"/>
    </w:lvl>
  </w:abstractNum>
  <w:abstractNum w:abstractNumId="180">
    <w:nsid w:val="539F7F12"/>
    <w:multiLevelType w:val="hybridMultilevel"/>
    <w:lvl w:ilvl="0">
      <w:lvlJc w:val="left"/>
      <w:lvlText w:val="(%1)"/>
      <w:numFmt w:val="lowerLetter"/>
      <w:start w:val="4"/>
    </w:lvl>
  </w:abstractNum>
  <w:abstractNum w:abstractNumId="181">
    <w:nsid w:val="2817E7EC"/>
    <w:multiLevelType w:val="hybridMultilevel"/>
    <w:lvl w:ilvl="0">
      <w:lvlJc w:val="left"/>
      <w:lvlText w:val="(%1)"/>
      <w:numFmt w:val="lowerRoman"/>
      <w:start w:val="1"/>
    </w:lvl>
  </w:abstractNum>
  <w:abstractNum w:abstractNumId="182">
    <w:nsid w:val="71482545"/>
    <w:multiLevelType w:val="hybridMultilevel"/>
    <w:lvl w:ilvl="0">
      <w:lvlJc w:val="left"/>
      <w:lvlText w:val="(%1)"/>
      <w:numFmt w:val="lowerRoman"/>
      <w:start w:val="1"/>
    </w:lvl>
  </w:abstractNum>
  <w:abstractNum w:abstractNumId="183">
    <w:nsid w:val="17D78639"/>
    <w:multiLevelType w:val="hybridMultilevel"/>
    <w:lvl w:ilvl="0">
      <w:lvlJc w:val="left"/>
      <w:lvlText w:val="%1."/>
      <w:numFmt w:val="decimal"/>
      <w:start w:val="4"/>
    </w:lvl>
    <w:lvl w:ilvl="1">
      <w:lvlJc w:val="left"/>
      <w:lvlText w:val="(%2)"/>
      <w:numFmt w:val="lowerLetter"/>
      <w:start w:val="1"/>
    </w:lvl>
  </w:abstractNum>
  <w:abstractNum w:abstractNumId="184">
    <w:nsid w:val="141D2302"/>
    <w:multiLevelType w:val="hybridMultilevel"/>
    <w:lvl w:ilvl="0">
      <w:lvlJc w:val="left"/>
      <w:lvlText w:val="(%1)"/>
      <w:numFmt w:val="lowerLetter"/>
      <w:start w:val="9"/>
    </w:lvl>
    <w:lvl w:ilvl="1">
      <w:lvlJc w:val="left"/>
      <w:lvlText w:val="(%2)"/>
      <w:numFmt w:val="lowerLetter"/>
      <w:start w:val="1"/>
    </w:lvl>
  </w:abstractNum>
  <w:abstractNum w:abstractNumId="185">
    <w:nsid w:val="407168D8"/>
    <w:multiLevelType w:val="hybridMultilevel"/>
    <w:lvl w:ilvl="0">
      <w:lvlJc w:val="left"/>
      <w:lvlText w:val="(%1)"/>
      <w:numFmt w:val="lowerLetter"/>
      <w:start w:val="1"/>
    </w:lvl>
    <w:lvl w:ilvl="1">
      <w:lvlJc w:val="left"/>
      <w:lvlText w:val="(%2)"/>
      <w:numFmt w:val="lowerLetter"/>
      <w:start w:val="9"/>
    </w:lvl>
  </w:abstractNum>
  <w:abstractNum w:abstractNumId="186">
    <w:nsid w:val="6A1B45E5"/>
    <w:multiLevelType w:val="hybridMultilevel"/>
    <w:lvl w:ilvl="0">
      <w:lvlJc w:val="left"/>
      <w:lvlText w:val="%1"/>
      <w:numFmt w:val="upperLetter"/>
      <w:start w:val="1"/>
    </w:lvl>
    <w:lvl w:ilvl="1">
      <w:lvlJc w:val="left"/>
      <w:lvlText w:val="(%2)"/>
      <w:numFmt w:val="lowerRoman"/>
      <w:start w:val="2"/>
    </w:lvl>
  </w:abstractNum>
  <w:abstractNum w:abstractNumId="187">
    <w:nsid w:val="567BD50A"/>
    <w:multiLevelType w:val="hybridMultilevel"/>
    <w:lvl w:ilvl="0">
      <w:lvlJc w:val="left"/>
      <w:lvlText w:val="(%1)"/>
      <w:numFmt w:val="upperLetter"/>
      <w:start w:val="2"/>
    </w:lvl>
    <w:lvl w:ilvl="1">
      <w:lvlJc w:val="left"/>
      <w:lvlText w:val="%2"/>
      <w:numFmt w:val="lowerRoman"/>
      <w:start w:val="1"/>
    </w:lvl>
  </w:abstractNum>
  <w:abstractNum w:abstractNumId="188">
    <w:nsid w:val="73BBD7F8"/>
    <w:multiLevelType w:val="hybridMultilevel"/>
    <w:lvl w:ilvl="0">
      <w:lvlJc w:val="left"/>
      <w:lvlText w:val="(%1)"/>
      <w:numFmt w:val="lowerLetter"/>
      <w:start w:val="2"/>
    </w:lvl>
  </w:abstractNum>
  <w:abstractNum w:abstractNumId="189">
    <w:nsid w:val="1876589D"/>
    <w:multiLevelType w:val="hybridMultilevel"/>
    <w:lvl w:ilvl="0">
      <w:lvlJc w:val="left"/>
      <w:lvlText w:val="(%1)"/>
      <w:numFmt w:val="lowerRoman"/>
      <w:start w:val="1"/>
    </w:lvl>
  </w:abstractNum>
  <w:abstractNum w:abstractNumId="190">
    <w:nsid w:val="327FAC77"/>
    <w:multiLevelType w:val="hybridMultilevel"/>
    <w:lvl w:ilvl="0">
      <w:lvlJc w:val="left"/>
      <w:lvlText w:val="%1"/>
      <w:numFmt w:val="decimal"/>
      <w:start w:val="1"/>
    </w:lvl>
    <w:lvl w:ilvl="1">
      <w:lvlJc w:val="left"/>
      <w:lvlText w:val="(%2)"/>
      <w:numFmt w:val="lowerLetter"/>
      <w:start w:val="3"/>
    </w:lvl>
  </w:abstractNum>
  <w:abstractNum w:abstractNumId="191">
    <w:nsid w:val="5A606509"/>
    <w:multiLevelType w:val="hybridMultilevel"/>
    <w:lvl w:ilvl="0">
      <w:lvlJc w:val="left"/>
      <w:lvlText w:val="%1."/>
      <w:numFmt w:val="decimal"/>
      <w:start w:val="7"/>
    </w:lvl>
    <w:lvl w:ilvl="1">
      <w:lvlJc w:val="left"/>
      <w:lvlText w:val="(%2)"/>
      <w:numFmt w:val="lowerLetter"/>
      <w:start w:val="1"/>
    </w:lvl>
  </w:abstractNum>
  <w:abstractNum w:abstractNumId="192">
    <w:nsid w:val="6F38E6D1"/>
    <w:multiLevelType w:val="hybridMultilevel"/>
    <w:lvl w:ilvl="0">
      <w:lvlJc w:val="left"/>
      <w:lvlText w:val="%1"/>
      <w:numFmt w:val="decimal"/>
      <w:start w:val="1"/>
    </w:lvl>
    <w:lvl w:ilvl="1">
      <w:lvlJc w:val="left"/>
      <w:lvlText w:val="(%2)"/>
      <w:numFmt w:val="lowerLetter"/>
      <w:start w:val="4"/>
    </w:lvl>
  </w:abstractNum>
  <w:abstractNum w:abstractNumId="193">
    <w:nsid w:val="46111BA5"/>
    <w:multiLevelType w:val="hybridMultilevel"/>
    <w:lvl w:ilvl="0">
      <w:lvlJc w:val="left"/>
      <w:lvlText w:val="%1."/>
      <w:numFmt w:val="decimal"/>
      <w:start w:val="8"/>
    </w:lvl>
    <w:lvl w:ilvl="1">
      <w:lvlJc w:val="left"/>
      <w:lvlText w:val="(%2)"/>
      <w:numFmt w:val="lowerLetter"/>
      <w:start w:val="1"/>
    </w:lvl>
  </w:abstractNum>
  <w:abstractNum w:abstractNumId="194">
    <w:nsid w:val="5E963896"/>
    <w:multiLevelType w:val="hybridMultilevel"/>
    <w:lvl w:ilvl="0">
      <w:lvlJc w:val="left"/>
      <w:lvlText w:val="(%1)"/>
      <w:numFmt w:val="lowerLetter"/>
      <w:start w:val="2"/>
    </w:lvl>
  </w:abstractNum>
  <w:abstractNum w:abstractNumId="195">
    <w:nsid w:val="775BA7C1"/>
    <w:multiLevelType w:val="hybridMultilevel"/>
    <w:lvl w:ilvl="0">
      <w:lvlJc w:val="left"/>
      <w:lvlText w:val="(%1)"/>
      <w:numFmt w:val="lowerLetter"/>
      <w:start w:val="4"/>
    </w:lvl>
  </w:abstractNum>
  <w:abstractNum w:abstractNumId="196">
    <w:nsid w:val="1DD6D6F4"/>
    <w:multiLevelType w:val="hybridMultilevel"/>
    <w:lvl w:ilvl="0">
      <w:lvlJc w:val="left"/>
      <w:lvlText w:val="%1."/>
      <w:numFmt w:val="decimal"/>
      <w:start w:val="1"/>
    </w:lvl>
  </w:abstractNum>
  <w:abstractNum w:abstractNumId="197">
    <w:nsid w:val="769A091F"/>
    <w:multiLevelType w:val="hybridMultilevel"/>
    <w:lvl w:ilvl="0">
      <w:lvlJc w:val="left"/>
      <w:lvlText w:val="%1."/>
      <w:numFmt w:val="decimal"/>
      <w:start w:val="2"/>
    </w:lvl>
    <w:lvl w:ilvl="1">
      <w:lvlJc w:val="left"/>
      <w:lvlText w:val="%2"/>
      <w:numFmt w:val="lowerLetter"/>
      <w:start w:val="1"/>
    </w:lvl>
  </w:abstractNum>
  <w:abstractNum w:abstractNumId="198">
    <w:nsid w:val="4695AE95"/>
    <w:multiLevelType w:val="hybridMultilevel"/>
    <w:lvl w:ilvl="0">
      <w:lvlJc w:val="left"/>
      <w:lvlText w:val="%1."/>
      <w:numFmt w:val="lowerLetter"/>
      <w:start w:val="2"/>
    </w:lvl>
  </w:abstractNum>
  <w:abstractNum w:abstractNumId="199">
    <w:nsid w:val="777A4EAA"/>
    <w:multiLevelType w:val="hybridMultilevel"/>
    <w:lvl w:ilvl="0">
      <w:lvlJc w:val="left"/>
      <w:lvlText w:val="%1."/>
      <w:numFmt w:val="lowerLetter"/>
      <w:start w:val="3"/>
    </w:lvl>
  </w:abstractNum>
  <w:abstractNum w:abstractNumId="200">
    <w:nsid w:val="3F48B982"/>
    <w:multiLevelType w:val="hybridMultilevel"/>
    <w:lvl w:ilvl="0">
      <w:lvlJc w:val="left"/>
      <w:lvlText w:val="%1."/>
      <w:numFmt w:val="decimal"/>
      <w:start w:val="3"/>
    </w:lvl>
  </w:abstractNum>
  <w:abstractNum w:abstractNumId="201">
    <w:nsid w:val="46BA8FCA"/>
    <w:multiLevelType w:val="hybridMultilevel"/>
    <w:lvl w:ilvl="0">
      <w:lvlJc w:val="left"/>
      <w:lvlText w:val="%1."/>
      <w:numFmt w:val="decimal"/>
      <w:start w:val="4"/>
    </w:lvl>
  </w:abstractNum>
  <w:abstractNum w:abstractNumId="202">
    <w:nsid w:val="7835626C"/>
    <w:multiLevelType w:val="hybridMultilevel"/>
    <w:lvl w:ilvl="0">
      <w:lvlJc w:val="left"/>
      <w:lvlText w:val="%1."/>
      <w:numFmt w:val="decimal"/>
      <w:start w:val="5"/>
    </w:lvl>
  </w:abstractNum>
  <w:abstractNum w:abstractNumId="203">
    <w:nsid w:val="665ACA49"/>
    <w:multiLevelType w:val="hybridMultilevel"/>
    <w:lvl w:ilvl="0">
      <w:lvlJc w:val="left"/>
      <w:lvlText w:val="%1."/>
      <w:numFmt w:val="decimal"/>
      <w:start w:val="1"/>
    </w:lvl>
    <w:lvl w:ilvl="1">
      <w:lvlJc w:val="left"/>
      <w:lvlText w:val="(%2)"/>
      <w:numFmt w:val="lowerLetter"/>
      <w:start w:val="1"/>
    </w:lvl>
  </w:abstractNum>
  <w:abstractNum w:abstractNumId="204">
    <w:nsid w:val="6835B2AE"/>
    <w:multiLevelType w:val="hybridMultilevel"/>
    <w:lvl w:ilvl="0">
      <w:lvlJc w:val="left"/>
      <w:lvlText w:val="%1."/>
      <w:numFmt w:val="decimal"/>
      <w:start w:val="2"/>
    </w:lvl>
    <w:lvl w:ilvl="1">
      <w:lvlJc w:val="left"/>
      <w:lvlText w:val="(%2)"/>
      <w:numFmt w:val="lowerLetter"/>
      <w:start w:val="1"/>
    </w:lvl>
  </w:abstractNum>
  <w:abstractNum w:abstractNumId="205">
    <w:nsid w:val="4C187C90"/>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06">
    <w:nsid w:val="541F28CD"/>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07">
    <w:nsid w:val="7F65FD16"/>
    <w:multiLevelType w:val="hybridMultilevel"/>
    <w:lvl w:ilvl="0">
      <w:lvlJc w:val="left"/>
      <w:lvlText w:val="(%1)"/>
      <w:numFmt w:val="lowerLetter"/>
      <w:start w:val="1"/>
    </w:lvl>
    <w:lvl w:ilvl="1">
      <w:lvlJc w:val="left"/>
      <w:lvlText w:val="(%2)"/>
      <w:numFmt w:val="lowerRoman"/>
      <w:start w:val="1"/>
    </w:lvl>
  </w:abstractNum>
  <w:abstractNum w:abstractNumId="208">
    <w:nsid w:val="77C9FD68"/>
    <w:multiLevelType w:val="hybridMultilevel"/>
    <w:lvl w:ilvl="0">
      <w:lvlJc w:val="left"/>
      <w:lvlText w:val="(%1)"/>
      <w:numFmt w:val="lowerRoman"/>
      <w:start w:val="5"/>
    </w:lvl>
  </w:abstractNum>
  <w:abstractNum w:abstractNumId="209">
    <w:nsid w:val="298A92BA"/>
    <w:multiLevelType w:val="hybridMultilevel"/>
    <w:lvl w:ilvl="0">
      <w:lvlJc w:val="left"/>
      <w:lvlText w:val="(%1)"/>
      <w:numFmt w:val="lowerLetter"/>
      <w:start w:val="4"/>
    </w:lvl>
    <w:lvl w:ilvl="1">
      <w:lvlJc w:val="left"/>
      <w:lvlText w:val="(%2)"/>
      <w:numFmt w:val="lowerRoman"/>
      <w:start w:val="1"/>
    </w:lvl>
  </w:abstractNum>
  <w:abstractNum w:abstractNumId="210">
    <w:nsid w:val="6FE95EAC"/>
    <w:multiLevelType w:val="hybridMultilevel"/>
    <w:lvl w:ilvl="0">
      <w:lvlJc w:val="left"/>
      <w:lvlText w:val="%1"/>
      <w:numFmt w:val="lowerLetter"/>
      <w:start w:val="1"/>
    </w:lvl>
    <w:lvl w:ilvl="1">
      <w:lvlJc w:val="left"/>
      <w:lvlText w:val="(%2)"/>
      <w:numFmt w:val="lowerLetter"/>
      <w:start w:val="61"/>
    </w:lvl>
  </w:abstractNum>
  <w:abstractNum w:abstractNumId="211">
    <w:nsid w:val="4B697C7A"/>
    <w:multiLevelType w:val="hybridMultilevel"/>
    <w:lvl w:ilvl="0">
      <w:lvlJc w:val="left"/>
      <w:lvlText w:val="(%1)"/>
      <w:numFmt w:val="lowerLetter"/>
      <w:start w:val="6"/>
    </w:lvl>
    <w:lvl w:ilvl="1">
      <w:lvlJc w:val="left"/>
      <w:lvlText w:val="(%2)"/>
      <w:numFmt w:val="lowerLetter"/>
      <w:start w:val="9"/>
    </w:lvl>
  </w:abstractNum>
  <w:abstractNum w:abstractNumId="212">
    <w:nsid w:val="51A27AA6"/>
    <w:multiLevelType w:val="hybridMultilevel"/>
    <w:lvl w:ilvl="0">
      <w:lvlJc w:val="left"/>
      <w:lvlText w:val="(%1)"/>
      <w:numFmt w:val="lowerRoman"/>
      <w:start w:val="2"/>
    </w:lvl>
  </w:abstractNum>
  <w:abstractNum w:abstractNumId="213">
    <w:nsid w:val="613183F2"/>
    <w:multiLevelType w:val="hybridMultilevel"/>
    <w:lvl w:ilvl="0">
      <w:lvlJc w:val="left"/>
      <w:lvlText w:val="(%1)"/>
      <w:numFmt w:val="decimal"/>
      <w:start w:val="30"/>
    </w:lvl>
  </w:abstractNum>
  <w:abstractNum w:abstractNumId="214">
    <w:nsid w:val="634102B4"/>
    <w:multiLevelType w:val="hybridMultilevel"/>
    <w:lvl w:ilvl="0">
      <w:lvlJc w:val="left"/>
      <w:lvlText w:val="%1."/>
      <w:numFmt w:val="decimal"/>
      <w:start w:val="4"/>
    </w:lvl>
    <w:lvl w:ilvl="1">
      <w:lvlJc w:val="left"/>
      <w:lvlText w:val="(%2)"/>
      <w:numFmt w:val="lowerLetter"/>
      <w:start w:val="1"/>
    </w:lvl>
  </w:abstractNum>
  <w:abstractNum w:abstractNumId="215">
    <w:nsid w:val="65BF9DA8"/>
    <w:multiLevelType w:val="hybridMultilevel"/>
    <w:lvl w:ilvl="0">
      <w:lvlJc w:val="left"/>
      <w:lvlText w:val="%1"/>
      <w:numFmt w:val="decimal"/>
      <w:start w:val="1"/>
    </w:lvl>
    <w:lvl w:ilvl="1">
      <w:lvlJc w:val="left"/>
      <w:lvlText w:val="(%2)"/>
      <w:numFmt w:val="lowerLetter"/>
      <w:start w:val="3"/>
    </w:lvl>
  </w:abstractNum>
  <w:abstractNum w:abstractNumId="216">
    <w:nsid w:val="21A2ECCA"/>
    <w:multiLevelType w:val="hybridMultilevel"/>
    <w:lvl w:ilvl="0">
      <w:lvlJc w:val="left"/>
      <w:lvlText w:val="%1."/>
      <w:numFmt w:val="decimal"/>
      <w:start w:val="5"/>
    </w:lvl>
    <w:lvl w:ilvl="1">
      <w:lvlJc w:val="left"/>
      <w:lvlText w:val="(%2)"/>
      <w:numFmt w:val="lowerLetter"/>
      <w:start w:val="1"/>
    </w:lvl>
  </w:abstractNum>
  <w:abstractNum w:abstractNumId="217">
    <w:nsid w:val="4D5C4899"/>
    <w:multiLevelType w:val="hybridMultilevel"/>
    <w:lvl w:ilvl="0">
      <w:lvlJc w:val="left"/>
      <w:lvlText w:val="(%1)"/>
      <w:numFmt w:val="lowerLetter"/>
      <w:start w:val="2"/>
    </w:lvl>
  </w:abstractNum>
  <w:abstractNum w:abstractNumId="218">
    <w:nsid w:val="3C3B72B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219">
    <w:nsid w:val="155EC4C2"/>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220">
    <w:nsid w:val="65D2A137"/>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221">
    <w:nsid w:val="6EBB1F2A"/>
    <w:multiLevelType w:val="hybridMultilevel"/>
    <w:lvl w:ilvl="0">
      <w:lvlJc w:val="left"/>
      <w:lvlText w:val="%1"/>
      <w:numFmt w:val="upperLetter"/>
      <w:start w:val="1"/>
    </w:lvl>
    <w:lvl w:ilvl="1">
      <w:lvlJc w:val="left"/>
      <w:lvlText w:val="(%2)"/>
      <w:numFmt w:val="lowerLetter"/>
      <w:start w:val="1"/>
    </w:lvl>
  </w:abstractNum>
  <w:abstractNum w:abstractNumId="222">
    <w:nsid w:val="6FBF29CB"/>
    <w:multiLevelType w:val="hybridMultilevel"/>
    <w:lvl w:ilvl="0">
      <w:lvlJc w:val="left"/>
      <w:lvlText w:val="(%1)"/>
      <w:numFmt w:val="upperLetter"/>
      <w:start w:val="1"/>
    </w:lvl>
    <w:lvl w:ilvl="1">
      <w:lvlJc w:val="left"/>
      <w:lvlText w:val="(%2)"/>
      <w:numFmt w:val="lowerLetter"/>
      <w:start w:val="2"/>
    </w:lvl>
  </w:abstractNum>
  <w:abstractNum w:abstractNumId="223">
    <w:nsid w:val="550B8808"/>
    <w:multiLevelType w:val="hybridMultilevel"/>
    <w:lvl w:ilvl="0">
      <w:lvlJc w:val="left"/>
      <w:lvlText w:val="%1"/>
      <w:numFmt w:val="decimal"/>
      <w:start w:val="1"/>
    </w:lvl>
    <w:lvl w:ilvl="1">
      <w:lvlJc w:val="left"/>
      <w:lvlText w:val="(%2)"/>
      <w:numFmt w:val="lowerLetter"/>
      <w:start w:val="3"/>
    </w:lvl>
  </w:abstractNum>
  <w:abstractNum w:abstractNumId="224">
    <w:nsid w:val="34CC3ACF"/>
    <w:multiLevelType w:val="hybridMultilevel"/>
    <w:lvl w:ilvl="0">
      <w:lvlJc w:val="left"/>
      <w:lvlText w:val="%1."/>
      <w:numFmt w:val="decimal"/>
      <w:start w:val="7"/>
    </w:lvl>
    <w:lvl w:ilvl="1">
      <w:lvlJc w:val="left"/>
      <w:lvlText w:val="(%2)"/>
      <w:numFmt w:val="lowerLetter"/>
      <w:start w:val="1"/>
    </w:lvl>
  </w:abstractNum>
  <w:abstractNum w:abstractNumId="225">
    <w:nsid w:val="4E556261"/>
    <w:multiLevelType w:val="hybridMultilevel"/>
    <w:lvl w:ilvl="0">
      <w:lvlJc w:val="left"/>
      <w:lvlText w:val="%1"/>
      <w:numFmt w:val="decimal"/>
      <w:start w:val="1"/>
    </w:lvl>
    <w:lvl w:ilvl="1">
      <w:lvlJc w:val="left"/>
      <w:lvlText w:val="(%2)"/>
      <w:numFmt w:val="lowerLetter"/>
      <w:start w:val="2"/>
    </w:lvl>
  </w:abstractNum>
  <w:abstractNum w:abstractNumId="226">
    <w:nsid w:val="4C672FC9"/>
    <w:multiLevelType w:val="hybridMultilevel"/>
    <w:lvl w:ilvl="0">
      <w:lvlJc w:val="left"/>
      <w:lvlText w:val="%1."/>
      <w:numFmt w:val="decimal"/>
      <w:start w:val="8"/>
    </w:lvl>
    <w:lvl w:ilvl="1">
      <w:lvlJc w:val="left"/>
      <w:lvlText w:val="(%2)"/>
      <w:numFmt w:val="lowerLetter"/>
      <w:start w:val="1"/>
    </w:lvl>
  </w:abstractNum>
  <w:abstractNum w:abstractNumId="227">
    <w:nsid w:val="52A311C3"/>
    <w:multiLevelType w:val="hybridMultilevel"/>
    <w:lvl w:ilvl="0">
      <w:lvlJc w:val="left"/>
      <w:lvlText w:val="(%1)"/>
      <w:numFmt w:val="lowerLetter"/>
      <w:start w:val="2"/>
    </w:lvl>
  </w:abstractNum>
  <w:abstractNum w:abstractNumId="228">
    <w:nsid w:val="44EF6B80"/>
    <w:multiLevelType w:val="hybridMultilevel"/>
    <w:lvl w:ilvl="0">
      <w:lvlJc w:val="left"/>
      <w:lvlText w:val="%1."/>
      <w:numFmt w:val="decimal"/>
      <w:start w:val="9"/>
    </w:lvl>
    <w:lvl w:ilvl="1">
      <w:lvlJc w:val="left"/>
      <w:lvlText w:val="(%2)"/>
      <w:numFmt w:val="lowerLetter"/>
      <w:start w:val="1"/>
    </w:lvl>
  </w:abstractNum>
  <w:abstractNum w:abstractNumId="229">
    <w:nsid w:val="12FCDE5E"/>
    <w:multiLevelType w:val="hybridMultilevel"/>
    <w:lvl w:ilvl="0">
      <w:lvlJc w:val="left"/>
      <w:lvlText w:val="(%1)"/>
      <w:numFmt w:val="lowerLetter"/>
      <w:start w:val="5"/>
    </w:lvl>
  </w:abstractNum>
  <w:abstractNum w:abstractNumId="230">
    <w:nsid w:val="4A1D606E"/>
    <w:multiLevelType w:val="hybridMultilevel"/>
    <w:lvl w:ilvl="0">
      <w:lvlJc w:val="left"/>
      <w:lvlText w:val="(%1)"/>
      <w:numFmt w:val="lowerLetter"/>
      <w:start w:val="1"/>
    </w:lvl>
  </w:abstractNum>
  <w:abstractNum w:abstractNumId="231">
    <w:nsid w:val="4382503"/>
    <w:multiLevelType w:val="hybridMultilevel"/>
    <w:lvl w:ilvl="0">
      <w:lvlJc w:val="left"/>
      <w:lvlText w:val="(%1)"/>
      <w:numFmt w:val="lowerLetter"/>
      <w:start w:val="3"/>
    </w:lvl>
  </w:abstractNum>
  <w:abstractNum w:abstractNumId="232">
    <w:nsid w:val="59B76E28"/>
    <w:multiLevelType w:val="hybridMultilevel"/>
    <w:lvl w:ilvl="0">
      <w:lvlJc w:val="left"/>
      <w:lvlText w:val="%1."/>
      <w:numFmt w:val="decimal"/>
      <w:start w:val="1"/>
    </w:lvl>
  </w:abstractNum>
  <w:abstractNum w:abstractNumId="233">
    <w:nsid w:val="4252C2DA"/>
    <w:multiLevelType w:val="hybridMultilevel"/>
    <w:lvl w:ilvl="0">
      <w:lvlJc w:val="left"/>
      <w:lvlText w:val="%1."/>
      <w:numFmt w:val="decimal"/>
      <w:start w:val="4"/>
    </w:lvl>
  </w:abstractNum>
  <w:abstractNum w:abstractNumId="234">
    <w:nsid w:val="6A92EF4C"/>
    <w:multiLevelType w:val="hybridMultilevel"/>
    <w:lvl w:ilvl="0">
      <w:lvlJc w:val="left"/>
      <w:lvlText w:val="%1."/>
      <w:numFmt w:val="decimal"/>
      <w:start w:val="5"/>
    </w:lvl>
  </w:abstractNum>
  <w:abstractNum w:abstractNumId="235">
    <w:nsid w:val="41ED20D7"/>
    <w:multiLevelType w:val="hybridMultilevel"/>
    <w:lvl w:ilvl="0">
      <w:lvlJc w:val="left"/>
      <w:lvlText w:val="%1."/>
      <w:numFmt w:val="decimal"/>
      <w:start w:val="10"/>
    </w:lvl>
    <w:lvl w:ilvl="1">
      <w:lvlJc w:val="left"/>
      <w:lvlText w:val="%2)"/>
      <w:numFmt w:val="lowerLetter"/>
      <w:start w:val="1"/>
    </w:lvl>
  </w:abstractNum>
  <w:abstractNum w:abstractNumId="236">
    <w:nsid w:val="E6B3F6A"/>
    <w:multiLevelType w:val="hybridMultilevel"/>
    <w:lvl w:ilvl="0">
      <w:lvlJc w:val="left"/>
      <w:lvlText w:val="%1."/>
      <w:numFmt w:val="decimal"/>
      <w:start w:val="13"/>
    </w:lvl>
    <w:lvl w:ilvl="1">
      <w:lvlJc w:val="left"/>
      <w:lvlText w:val="•"/>
      <w:numFmt w:val="bullet"/>
      <w:start w:val="1"/>
    </w:lvl>
  </w:abstractNum>
  <w:abstractNum w:abstractNumId="237">
    <w:nsid w:val="3EB21819"/>
    <w:multiLevelType w:val="hybridMultilevel"/>
    <w:lvl w:ilvl="0">
      <w:lvlJc w:val="left"/>
      <w:lvlText w:val="•"/>
      <w:numFmt w:val="bullet"/>
      <w:start w:val="1"/>
    </w:lvl>
  </w:abstractNum>
  <w:abstractNum w:abstractNumId="238">
    <w:nsid w:val="41531DED"/>
    <w:multiLevelType w:val="hybridMultilevel"/>
    <w:lvl w:ilvl="0">
      <w:lvlJc w:val="left"/>
      <w:lvlText w:val="%1."/>
      <w:numFmt w:val="decimal"/>
      <w:start w:val="15"/>
    </w:lvl>
  </w:abstractNum>
  <w:abstractNum w:abstractNumId="239">
    <w:nsid w:val="6353CD2"/>
    <w:multiLevelType w:val="hybridMultilevel"/>
    <w:lvl w:ilvl="0">
      <w:lvlJc w:val="left"/>
      <w:lvlText w:val="%1."/>
      <w:numFmt w:val="decimal"/>
      <w:start w:val="16"/>
    </w:lvl>
  </w:abstractNum>
  <w:abstractNum w:abstractNumId="240">
    <w:nsid w:val="683CAAD3"/>
    <w:multiLevelType w:val="hybridMultilevel"/>
    <w:lvl w:ilvl="0">
      <w:lvlJc w:val="left"/>
      <w:lvlText w:val="%1."/>
      <w:numFmt w:val="decimal"/>
      <w:start w:val="1"/>
    </w:lvl>
    <w:lvl w:ilvl="1">
      <w:lvlJc w:val="left"/>
      <w:lvlText w:val="(%2)"/>
      <w:numFmt w:val="lowerLetter"/>
      <w:start w:val="1"/>
    </w:lvl>
  </w:abstractNum>
  <w:abstractNum w:abstractNumId="241">
    <w:nsid w:val="313C7C99"/>
    <w:multiLevelType w:val="hybridMultilevel"/>
    <w:lvl w:ilvl="0">
      <w:lvlJc w:val="left"/>
      <w:lvlText w:val="%1."/>
      <w:numFmt w:val="decimal"/>
      <w:start w:val="2"/>
    </w:lvl>
    <w:lvl w:ilvl="1">
      <w:lvlJc w:val="left"/>
      <w:lvlText w:val="(%2)"/>
      <w:numFmt w:val="lowerLetter"/>
      <w:start w:val="1"/>
    </w:lvl>
  </w:abstractNum>
  <w:abstractNum w:abstractNumId="242">
    <w:nsid w:val="519EB94C"/>
    <w:multiLevelType w:val="hybridMultilevel"/>
    <w:lvl w:ilvl="0">
      <w:lvlJc w:val="left"/>
      <w:lvlText w:val="(%1)"/>
      <w:numFmt w:val="lowerLetter"/>
      <w:start w:val="4"/>
    </w:lvl>
  </w:abstractNum>
  <w:abstractNum w:abstractNumId="243">
    <w:nsid w:val="39DF257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44">
    <w:nsid w:val="126E008B"/>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45">
    <w:nsid w:val="34DFBC00"/>
    <w:multiLevelType w:val="hybridMultilevel"/>
    <w:lvl w:ilvl="0">
      <w:lvlJc w:val="left"/>
      <w:lvlText w:val="(%1)"/>
      <w:numFmt w:val="lowerRoman"/>
      <w:start w:val="5"/>
    </w:lvl>
  </w:abstractNum>
  <w:abstractNum w:abstractNumId="246">
    <w:nsid w:val="1F9EC322"/>
    <w:multiLevelType w:val="hybridMultilevel"/>
    <w:lvl w:ilvl="0">
      <w:lvlJc w:val="left"/>
      <w:lvlText w:val="(%1)"/>
      <w:numFmt w:val="lowerLetter"/>
      <w:start w:val="4"/>
    </w:lvl>
    <w:lvl w:ilvl="1">
      <w:lvlJc w:val="left"/>
      <w:lvlText w:val="(%2)"/>
      <w:numFmt w:val="lowerRoman"/>
      <w:start w:val="1"/>
    </w:lvl>
  </w:abstractNum>
  <w:abstractNum w:abstractNumId="247">
    <w:nsid w:val="3410ED56"/>
    <w:multiLevelType w:val="hybridMultilevel"/>
    <w:lvl w:ilvl="0">
      <w:lvlJc w:val="left"/>
      <w:lvlText w:val="(%1)"/>
      <w:numFmt w:val="decimal"/>
      <w:start w:val="30"/>
    </w:lvl>
  </w:abstractNum>
  <w:abstractNum w:abstractNumId="248">
    <w:nsid w:val="23C049A"/>
    <w:multiLevelType w:val="hybridMultilevel"/>
    <w:lvl w:ilvl="0">
      <w:lvlJc w:val="left"/>
      <w:lvlText w:val="%1."/>
      <w:numFmt w:val="decimal"/>
      <w:start w:val="4"/>
    </w:lvl>
    <w:lvl w:ilvl="1">
      <w:lvlJc w:val="left"/>
      <w:lvlText w:val="(%2)"/>
      <w:numFmt w:val="lowerLetter"/>
      <w:start w:val="1"/>
    </w:lvl>
  </w:abstractNum>
  <w:abstractNum w:abstractNumId="249">
    <w:nsid w:val="5BDA35D4"/>
    <w:multiLevelType w:val="hybridMultilevel"/>
    <w:lvl w:ilvl="0">
      <w:lvlJc w:val="left"/>
      <w:lvlText w:val="%1"/>
      <w:numFmt w:val="decimal"/>
      <w:start w:val="1"/>
    </w:lvl>
    <w:lvl w:ilvl="1">
      <w:lvlJc w:val="left"/>
      <w:lvlText w:val="(%2)"/>
      <w:numFmt w:val="lowerLetter"/>
      <w:start w:val="4"/>
    </w:lvl>
  </w:abstractNum>
  <w:abstractNum w:abstractNumId="250">
    <w:nsid w:val="496FB218"/>
    <w:multiLevelType w:val="hybridMultilevel"/>
    <w:lvl w:ilvl="0">
      <w:lvlJc w:val="left"/>
      <w:lvlText w:val="%1."/>
      <w:numFmt w:val="decimal"/>
      <w:start w:val="5"/>
    </w:lvl>
    <w:lvl w:ilvl="1">
      <w:lvlJc w:val="left"/>
      <w:lvlText w:val="(%2)"/>
      <w:numFmt w:val="lowerLetter"/>
      <w:start w:val="1"/>
    </w:lvl>
  </w:abstractNum>
  <w:abstractNum w:abstractNumId="251">
    <w:nsid w:val="680EA5D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252">
    <w:nsid w:val="4A9554FE"/>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253">
    <w:nsid w:val="392EDBE4"/>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254">
    <w:nsid w:val="3D1A2DD9"/>
    <w:multiLevelType w:val="hybridMultilevel"/>
    <w:lvl w:ilvl="0">
      <w:lvlJc w:val="left"/>
      <w:lvlText w:val="%1"/>
      <w:numFmt w:val="upperLetter"/>
      <w:start w:val="1"/>
    </w:lvl>
    <w:lvl w:ilvl="1">
      <w:lvlJc w:val="left"/>
      <w:lvlText w:val="(%2)"/>
      <w:numFmt w:val="lowerLetter"/>
      <w:start w:val="1"/>
    </w:lvl>
  </w:abstractNum>
  <w:abstractNum w:abstractNumId="255">
    <w:nsid w:val="7F618FCD"/>
    <w:multiLevelType w:val="hybridMultilevel"/>
    <w:lvl w:ilvl="0">
      <w:lvlJc w:val="left"/>
      <w:lvlText w:val="(%1)"/>
      <w:numFmt w:val="upperLetter"/>
      <w:start w:val="1"/>
    </w:lvl>
    <w:lvl w:ilvl="1">
      <w:lvlJc w:val="left"/>
      <w:lvlText w:val="(%2)"/>
      <w:numFmt w:val="lowerLetter"/>
      <w:start w:val="2"/>
    </w:lvl>
  </w:abstractNum>
  <w:abstractNum w:abstractNumId="256">
    <w:nsid w:val="7843E45"/>
    <w:multiLevelType w:val="hybridMultilevel"/>
    <w:lvl w:ilvl="0">
      <w:lvlJc w:val="left"/>
      <w:lvlText w:val="%1."/>
      <w:numFmt w:val="decimal"/>
      <w:start w:val="7"/>
    </w:lvl>
    <w:lvl w:ilvl="1">
      <w:lvlJc w:val="left"/>
      <w:lvlText w:val="(%2)"/>
      <w:numFmt w:val="lowerLetter"/>
      <w:start w:val="1"/>
    </w:lvl>
  </w:abstractNum>
  <w:abstractNum w:abstractNumId="257">
    <w:nsid w:val="9815DA3"/>
    <w:multiLevelType w:val="hybridMultilevel"/>
    <w:lvl w:ilvl="0">
      <w:lvlJc w:val="left"/>
      <w:lvlText w:val="%1."/>
      <w:numFmt w:val="decimal"/>
      <w:start w:val="8"/>
    </w:lvl>
    <w:lvl w:ilvl="1">
      <w:lvlJc w:val="left"/>
      <w:lvlText w:val="(%2)"/>
      <w:numFmt w:val="lowerLetter"/>
      <w:start w:val="1"/>
    </w:lvl>
  </w:abstractNum>
  <w:abstractNum w:abstractNumId="258">
    <w:nsid w:val="5204A191"/>
    <w:multiLevelType w:val="hybridMultilevel"/>
    <w:lvl w:ilvl="0">
      <w:lvlJc w:val="left"/>
      <w:lvlText w:val="%1"/>
      <w:numFmt w:val="decimal"/>
      <w:start w:val="1"/>
    </w:lvl>
    <w:lvl w:ilvl="1">
      <w:lvlJc w:val="left"/>
      <w:lvlText w:val="(%2)"/>
      <w:numFmt w:val="lowerLetter"/>
      <w:start w:val="4"/>
    </w:lvl>
  </w:abstractNum>
  <w:abstractNum w:abstractNumId="259">
    <w:nsid w:val="4C73A9C6"/>
    <w:multiLevelType w:val="hybridMultilevel"/>
    <w:lvl w:ilvl="0">
      <w:lvlJc w:val="left"/>
      <w:lvlText w:val="%1."/>
      <w:numFmt w:val="decimal"/>
      <w:start w:val="9"/>
    </w:lvl>
    <w:lvl w:ilvl="1">
      <w:lvlJc w:val="left"/>
      <w:lvlText w:val="(%2)"/>
      <w:numFmt w:val="lowerLetter"/>
      <w:start w:val="1"/>
    </w:lvl>
  </w:abstractNum>
  <w:abstractNum w:abstractNumId="260">
    <w:nsid w:val="1C7E3C01"/>
    <w:multiLevelType w:val="hybridMultilevel"/>
    <w:lvl w:ilvl="0">
      <w:lvlJc w:val="left"/>
      <w:lvlText w:val="(%1)"/>
      <w:numFmt w:val="lowerLetter"/>
      <w:start w:val="4"/>
    </w:lvl>
  </w:abstractNum>
  <w:abstractNum w:abstractNumId="261">
    <w:nsid w:val="1C2201FF"/>
    <w:multiLevelType w:val="hybridMultilevel"/>
    <w:lvl w:ilvl="0">
      <w:lvlJc w:val="left"/>
      <w:lvlText w:val="(%1)"/>
      <w:numFmt w:val="lowerLetter"/>
      <w:start w:val="1"/>
    </w:lvl>
  </w:abstractNum>
  <w:abstractNum w:abstractNumId="262">
    <w:nsid w:val="50ABCEC9"/>
    <w:multiLevelType w:val="hybridMultilevel"/>
    <w:lvl w:ilvl="0">
      <w:lvlJc w:val="left"/>
      <w:lvlText w:val="%1."/>
      <w:numFmt w:val="decimal"/>
      <w:start w:val="1"/>
    </w:lvl>
  </w:abstractNum>
  <w:abstractNum w:abstractNumId="263">
    <w:nsid w:val="7635AA2A"/>
    <w:multiLevelType w:val="hybridMultilevel"/>
    <w:lvl w:ilvl="0">
      <w:lvlJc w:val="left"/>
      <w:lvlText w:val="%1."/>
      <w:numFmt w:val="decimal"/>
      <w:start w:val="4"/>
    </w:lvl>
  </w:abstractNum>
  <w:abstractNum w:abstractNumId="264">
    <w:nsid w:val="5E74C4D9"/>
    <w:multiLevelType w:val="hybridMultilevel"/>
    <w:lvl w:ilvl="0">
      <w:lvlJc w:val="left"/>
      <w:lvlText w:val="%1."/>
      <w:numFmt w:val="decimal"/>
      <w:start w:val="5"/>
    </w:lvl>
  </w:abstractNum>
  <w:abstractNum w:abstractNumId="265">
    <w:nsid w:val="3B3EBE15"/>
    <w:multiLevelType w:val="hybridMultilevel"/>
    <w:lvl w:ilvl="0">
      <w:lvlJc w:val="left"/>
      <w:lvlText w:val="%1."/>
      <w:numFmt w:val="decimal"/>
      <w:start w:val="10"/>
    </w:lvl>
    <w:lvl w:ilvl="1">
      <w:lvlJc w:val="left"/>
      <w:lvlText w:val="%2)"/>
      <w:numFmt w:val="lowerLetter"/>
      <w:start w:val="1"/>
    </w:lvl>
  </w:abstractNum>
  <w:abstractNum w:abstractNumId="266">
    <w:nsid w:val="3822CB01"/>
    <w:multiLevelType w:val="hybridMultilevel"/>
    <w:lvl w:ilvl="0">
      <w:lvlJc w:val="left"/>
      <w:lvlText w:val="%1."/>
      <w:numFmt w:val="decimal"/>
      <w:start w:val="13"/>
    </w:lvl>
    <w:lvl w:ilvl="1">
      <w:lvlJc w:val="left"/>
      <w:lvlText w:val="•"/>
      <w:numFmt w:val="bullet"/>
      <w:start w:val="1"/>
    </w:lvl>
  </w:abstractNum>
  <w:abstractNum w:abstractNumId="267">
    <w:nsid w:val="6CE00443"/>
    <w:multiLevelType w:val="hybridMultilevel"/>
    <w:lvl w:ilvl="0">
      <w:lvlJc w:val="left"/>
      <w:lvlText w:val="•"/>
      <w:numFmt w:val="bullet"/>
      <w:start w:val="1"/>
    </w:lvl>
  </w:abstractNum>
  <w:abstractNum w:abstractNumId="268">
    <w:nsid w:val="79F0D62F"/>
    <w:multiLevelType w:val="hybridMultilevel"/>
    <w:lvl w:ilvl="0">
      <w:lvlJc w:val="left"/>
      <w:lvlText w:val="%1."/>
      <w:numFmt w:val="decimal"/>
      <w:start w:val="15"/>
    </w:lvl>
  </w:abstractNum>
  <w:abstractNum w:abstractNumId="269">
    <w:nsid w:val="7975E8EE"/>
    <w:multiLevelType w:val="hybridMultilevel"/>
    <w:lvl w:ilvl="0">
      <w:lvlJc w:val="left"/>
      <w:lvlText w:val="%1."/>
      <w:numFmt w:val="decimal"/>
      <w:start w:val="16"/>
    </w:lvl>
  </w:abstractNum>
  <w:abstractNum w:abstractNumId="270">
    <w:nsid w:val="73154115"/>
    <w:multiLevelType w:val="hybridMultilevel"/>
    <w:lvl w:ilvl="0">
      <w:lvlJc w:val="left"/>
      <w:lvlText w:val="%1."/>
      <w:numFmt w:val="decimal"/>
      <w:start w:val="1"/>
    </w:lvl>
    <w:lvl w:ilvl="1">
      <w:lvlJc w:val="left"/>
      <w:lvlText w:val="(%2)"/>
      <w:numFmt w:val="lowerLetter"/>
      <w:start w:val="1"/>
    </w:lvl>
  </w:abstractNum>
  <w:abstractNum w:abstractNumId="271">
    <w:nsid w:val="622D8102"/>
    <w:multiLevelType w:val="hybridMultilevel"/>
    <w:lvl w:ilvl="0">
      <w:lvlJc w:val="left"/>
      <w:lvlText w:val="%1"/>
      <w:numFmt w:val="decimal"/>
      <w:start w:val="1"/>
    </w:lvl>
    <w:lvl w:ilvl="1">
      <w:lvlJc w:val="left"/>
      <w:lvlText w:val="(%2)"/>
      <w:numFmt w:val="lowerLetter"/>
      <w:start w:val="3"/>
    </w:lvl>
  </w:abstractNum>
  <w:abstractNum w:abstractNumId="272">
    <w:nsid w:val="2AB26587"/>
    <w:multiLevelType w:val="hybridMultilevel"/>
    <w:lvl w:ilvl="0">
      <w:lvlJc w:val="left"/>
      <w:lvlText w:val="%1."/>
      <w:numFmt w:val="decimal"/>
      <w:start w:val="2"/>
    </w:lvl>
    <w:lvl w:ilvl="1">
      <w:lvlJc w:val="left"/>
      <w:lvlText w:val="(%2)"/>
      <w:numFmt w:val="lowerLetter"/>
      <w:start w:val="1"/>
    </w:lvl>
  </w:abstractNum>
  <w:abstractNum w:abstractNumId="273">
    <w:nsid w:val="44B3FA61"/>
    <w:multiLevelType w:val="hybridMultilevel"/>
    <w:lvl w:ilvl="0">
      <w:lvlJc w:val="left"/>
      <w:lvlText w:val="(%1)"/>
      <w:numFmt w:val="lowerLetter"/>
      <w:start w:val="3"/>
    </w:lvl>
  </w:abstractNum>
  <w:abstractNum w:abstractNumId="274">
    <w:nsid w:val="1C0CA67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75">
    <w:nsid w:val="3D206613"/>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76">
    <w:nsid w:val="7993B662"/>
    <w:multiLevelType w:val="hybridMultilevel"/>
    <w:lvl w:ilvl="0">
      <w:lvlJc w:val="left"/>
      <w:lvlText w:val="(%1)"/>
      <w:numFmt w:val="lowerRoman"/>
      <w:start w:val="2"/>
    </w:lvl>
  </w:abstractNum>
  <w:abstractNum w:abstractNumId="277">
    <w:nsid w:val="3BAB699E"/>
    <w:multiLevelType w:val="hybridMultilevel"/>
    <w:lvl w:ilvl="0">
      <w:lvlJc w:val="left"/>
      <w:lvlText w:val="(%1)"/>
      <w:numFmt w:val="lowerRoman"/>
      <w:start w:val="5"/>
    </w:lvl>
  </w:abstractNum>
  <w:abstractNum w:abstractNumId="278">
    <w:nsid w:val="71315369"/>
    <w:multiLevelType w:val="hybridMultilevel"/>
    <w:lvl w:ilvl="0">
      <w:lvlJc w:val="left"/>
      <w:lvlText w:val="(%1)"/>
      <w:numFmt w:val="decimal"/>
      <w:start w:val="10"/>
    </w:lvl>
    <w:lvl w:ilvl="1">
      <w:lvlJc w:val="left"/>
      <w:lvlText w:val="(%2)"/>
      <w:numFmt w:val="lowerLetter"/>
      <w:start w:val="4"/>
    </w:lvl>
    <w:lvl w:ilvl="2">
      <w:lvlJc w:val="left"/>
      <w:lvlText w:val="(%3)"/>
      <w:numFmt w:val="lowerRoman"/>
      <w:start w:val="1"/>
    </w:lvl>
  </w:abstractNum>
  <w:abstractNum w:abstractNumId="279">
    <w:nsid w:val="7BCFBAFC"/>
    <w:multiLevelType w:val="hybridMultilevel"/>
    <w:lvl w:ilvl="0">
      <w:lvlJc w:val="left"/>
      <w:lvlText w:val="(%1)"/>
      <w:numFmt w:val="decimal"/>
      <w:start w:val="30"/>
    </w:lvl>
  </w:abstractNum>
  <w:abstractNum w:abstractNumId="280">
    <w:nsid w:val="17859F72"/>
    <w:multiLevelType w:val="hybridMultilevel"/>
    <w:lvl w:ilvl="0">
      <w:lvlJc w:val="left"/>
      <w:lvlText w:val="%1."/>
      <w:numFmt w:val="decimal"/>
      <w:start w:val="4"/>
    </w:lvl>
    <w:lvl w:ilvl="1">
      <w:lvlJc w:val="left"/>
      <w:lvlText w:val="(%2)"/>
      <w:numFmt w:val="lowerLetter"/>
      <w:start w:val="1"/>
    </w:lvl>
  </w:abstractNum>
  <w:abstractNum w:abstractNumId="281">
    <w:nsid w:val="3AA10581"/>
    <w:multiLevelType w:val="hybridMultilevel"/>
    <w:lvl w:ilvl="0">
      <w:lvlJc w:val="left"/>
      <w:lvlText w:val="%1"/>
      <w:numFmt w:val="decimal"/>
      <w:start w:val="1"/>
    </w:lvl>
    <w:lvl w:ilvl="1">
      <w:lvlJc w:val="left"/>
      <w:lvlText w:val="(%2)"/>
      <w:numFmt w:val="lowerLetter"/>
      <w:start w:val="4"/>
    </w:lvl>
  </w:abstractNum>
  <w:abstractNum w:abstractNumId="282">
    <w:nsid w:val="63DE60CD"/>
    <w:multiLevelType w:val="hybridMultilevel"/>
    <w:lvl w:ilvl="0">
      <w:lvlJc w:val="left"/>
      <w:lvlText w:val="%1."/>
      <w:numFmt w:val="decimal"/>
      <w:start w:val="5"/>
    </w:lvl>
    <w:lvl w:ilvl="1">
      <w:lvlJc w:val="left"/>
      <w:lvlText w:val="(%2)"/>
      <w:numFmt w:val="lowerLetter"/>
      <w:start w:val="1"/>
    </w:lvl>
  </w:abstractNum>
  <w:abstractNum w:abstractNumId="283">
    <w:nsid w:val="621AF471"/>
    <w:multiLevelType w:val="hybridMultilevel"/>
    <w:lvl w:ilvl="0">
      <w:lvlJc w:val="left"/>
      <w:lvlText w:val="%1"/>
      <w:numFmt w:val="decimal"/>
      <w:start w:val="1"/>
    </w:lvl>
    <w:lvl w:ilvl="1">
      <w:lvlJc w:val="left"/>
      <w:lvlText w:val="(%2)"/>
      <w:numFmt w:val="lowerLetter"/>
      <w:start w:val="3"/>
    </w:lvl>
  </w:abstractNum>
  <w:abstractNum w:abstractNumId="284">
    <w:nsid w:val="73CFE165"/>
    <w:multiLevelType w:val="hybridMultilevel"/>
    <w:lvl w:ilvl="0">
      <w:lvlJc w:val="left"/>
      <w:lvlText w:val="%1."/>
      <w:numFmt w:val="decimal"/>
      <w:start w:val="6"/>
    </w:lvl>
    <w:lvl w:ilvl="1">
      <w:lvlJc w:val="left"/>
      <w:lvlText w:val="%2"/>
      <w:numFmt w:val="lowerLetter"/>
      <w:start w:val="1"/>
    </w:lvl>
  </w:abstractNum>
  <w:abstractNum w:abstractNumId="285">
    <w:nsid w:val="20F88EA6"/>
    <w:multiLevelType w:val="hybridMultilevel"/>
    <w:lvl w:ilvl="0">
      <w:lvlJc w:val="left"/>
      <w:lvlText w:val="%1"/>
      <w:numFmt w:val="upperLetter"/>
      <w:start w:val="1"/>
    </w:lvl>
    <w:lvl w:ilvl="1">
      <w:lvlJc w:val="left"/>
      <w:lvlText w:val="(%2)"/>
      <w:numFmt w:val="lowerLetter"/>
      <w:start w:val="1"/>
    </w:lvl>
  </w:abstractNum>
  <w:abstractNum w:abstractNumId="286">
    <w:nsid w:val="617C843E"/>
    <w:multiLevelType w:val="hybridMultilevel"/>
    <w:lvl w:ilvl="0">
      <w:lvlJc w:val="left"/>
      <w:lvlText w:val="(%1)"/>
      <w:numFmt w:val="upperLetter"/>
      <w:start w:val="1"/>
    </w:lvl>
    <w:lvl w:ilvl="1">
      <w:lvlJc w:val="left"/>
      <w:lvlText w:val="(%2)"/>
      <w:numFmt w:val="lowerLetter"/>
      <w:start w:val="2"/>
    </w:lvl>
  </w:abstractNum>
  <w:abstractNum w:abstractNumId="287">
    <w:nsid w:val="7B541FAB"/>
    <w:multiLevelType w:val="hybridMultilevel"/>
    <w:lvl w:ilvl="0">
      <w:lvlJc w:val="left"/>
      <w:lvlText w:val="%1"/>
      <w:numFmt w:val="decimal"/>
      <w:start w:val="1"/>
    </w:lvl>
    <w:lvl w:ilvl="1">
      <w:lvlJc w:val="left"/>
      <w:lvlText w:val="(%2)"/>
      <w:numFmt w:val="lowerLetter"/>
      <w:start w:val="3"/>
    </w:lvl>
  </w:abstractNum>
  <w:abstractNum w:abstractNumId="288">
    <w:nsid w:val="2A79EC49"/>
    <w:multiLevelType w:val="hybridMultilevel"/>
    <w:lvl w:ilvl="0">
      <w:lvlJc w:val="left"/>
      <w:lvlText w:val="%1."/>
      <w:numFmt w:val="decimal"/>
      <w:start w:val="7"/>
    </w:lvl>
    <w:lvl w:ilvl="1">
      <w:lvlJc w:val="left"/>
      <w:lvlText w:val="(%2)"/>
      <w:numFmt w:val="lowerLetter"/>
      <w:start w:val="1"/>
    </w:lvl>
  </w:abstractNum>
  <w:abstractNum w:abstractNumId="289">
    <w:nsid w:val="338125CF"/>
    <w:multiLevelType w:val="hybridMultilevel"/>
    <w:lvl w:ilvl="0">
      <w:lvlJc w:val="left"/>
      <w:lvlText w:val="%1"/>
      <w:numFmt w:val="decimal"/>
      <w:start w:val="1"/>
    </w:lvl>
    <w:lvl w:ilvl="1">
      <w:lvlJc w:val="left"/>
      <w:lvlText w:val="(%2)"/>
      <w:numFmt w:val="lowerLetter"/>
      <w:start w:val="2"/>
    </w:lvl>
  </w:abstractNum>
  <w:abstractNum w:abstractNumId="290">
    <w:nsid w:val="47C7C971"/>
    <w:multiLevelType w:val="hybridMultilevel"/>
    <w:lvl w:ilvl="0">
      <w:lvlJc w:val="left"/>
      <w:lvlText w:val="%1."/>
      <w:numFmt w:val="decimal"/>
      <w:start w:val="8"/>
    </w:lvl>
    <w:lvl w:ilvl="1">
      <w:lvlJc w:val="left"/>
      <w:lvlText w:val="(%2)"/>
      <w:numFmt w:val="lowerLetter"/>
      <w:start w:val="1"/>
    </w:lvl>
  </w:abstractNum>
  <w:abstractNum w:abstractNumId="291">
    <w:nsid w:val="46F8284B"/>
    <w:multiLevelType w:val="hybridMultilevel"/>
    <w:lvl w:ilvl="0">
      <w:lvlJc w:val="left"/>
      <w:lvlText w:val="(%1)"/>
      <w:numFmt w:val="lowerLetter"/>
      <w:start w:val="2"/>
    </w:lvl>
  </w:abstractNum>
  <w:abstractNum w:abstractNumId="292">
    <w:nsid w:val="4FA327CE"/>
    <w:multiLevelType w:val="hybridMultilevel"/>
    <w:lvl w:ilvl="0">
      <w:lvlJc w:val="left"/>
      <w:lvlText w:val="%1."/>
      <w:numFmt w:val="decimal"/>
      <w:start w:val="9"/>
    </w:lvl>
    <w:lvl w:ilvl="1">
      <w:lvlJc w:val="left"/>
      <w:lvlText w:val="(%2)"/>
      <w:numFmt w:val="lowerLetter"/>
      <w:start w:val="1"/>
    </w:lvl>
  </w:abstractNum>
  <w:abstractNum w:abstractNumId="293">
    <w:nsid w:val="1873983A"/>
    <w:multiLevelType w:val="hybridMultilevel"/>
    <w:lvl w:ilvl="0">
      <w:lvlJc w:val="left"/>
      <w:lvlText w:val="(%1)"/>
      <w:numFmt w:val="lowerLetter"/>
      <w:start w:val="5"/>
    </w:lvl>
  </w:abstractNum>
  <w:abstractNum w:abstractNumId="294">
    <w:nsid w:val="3D2DD275"/>
    <w:multiLevelType w:val="hybridMultilevel"/>
    <w:lvl w:ilvl="0">
      <w:lvlJc w:val="left"/>
      <w:lvlText w:val="(%1)"/>
      <w:numFmt w:val="lowerLetter"/>
      <w:start w:val="1"/>
    </w:lvl>
  </w:abstractNum>
  <w:abstractNum w:abstractNumId="295">
    <w:nsid w:val="2E17ECA7"/>
    <w:multiLevelType w:val="hybridMultilevel"/>
    <w:lvl w:ilvl="0">
      <w:lvlJc w:val="left"/>
      <w:lvlText w:val="%1."/>
      <w:numFmt w:val="decimal"/>
      <w:start w:val="1"/>
    </w:lvl>
  </w:abstractNum>
  <w:abstractNum w:abstractNumId="296">
    <w:nsid w:val="53B2564F"/>
    <w:multiLevelType w:val="hybridMultilevel"/>
    <w:lvl w:ilvl="0">
      <w:lvlJc w:val="left"/>
      <w:lvlText w:val="%1."/>
      <w:numFmt w:val="decimal"/>
      <w:start w:val="4"/>
    </w:lvl>
  </w:abstractNum>
  <w:abstractNum w:abstractNumId="297">
    <w:nsid w:val="75509D76"/>
    <w:multiLevelType w:val="hybridMultilevel"/>
    <w:lvl w:ilvl="0">
      <w:lvlJc w:val="left"/>
      <w:lvlText w:val="%1."/>
      <w:numFmt w:val="decimal"/>
      <w:start w:val="5"/>
    </w:lvl>
  </w:abstractNum>
  <w:abstractNum w:abstractNumId="298">
    <w:nsid w:val="1AF7F0EA"/>
    <w:multiLevelType w:val="hybridMultilevel"/>
    <w:lvl w:ilvl="0">
      <w:lvlJc w:val="left"/>
      <w:lvlText w:val="%1."/>
      <w:numFmt w:val="decimal"/>
      <w:start w:val="10"/>
    </w:lvl>
    <w:lvl w:ilvl="1">
      <w:lvlJc w:val="left"/>
      <w:lvlText w:val="%2)"/>
      <w:numFmt w:val="lowerLetter"/>
      <w:start w:val="1"/>
    </w:lvl>
  </w:abstractNum>
  <w:abstractNum w:abstractNumId="299">
    <w:nsid w:val="4DA32C7E"/>
    <w:multiLevelType w:val="hybridMultilevel"/>
    <w:lvl w:ilvl="0">
      <w:lvlJc w:val="left"/>
      <w:lvlText w:val="%1."/>
      <w:numFmt w:val="decimal"/>
      <w:start w:val="12"/>
    </w:lvl>
  </w:abstractNum>
  <w:abstractNum w:abstractNumId="300">
    <w:nsid w:val="6EC68664"/>
    <w:multiLevelType w:val="hybridMultilevel"/>
    <w:lvl w:ilvl="0">
      <w:lvlJc w:val="left"/>
      <w:lvlText w:val="•"/>
      <w:numFmt w:val="bullet"/>
      <w:start w:val="1"/>
    </w:lvl>
  </w:abstractNum>
  <w:abstractNum w:abstractNumId="301">
    <w:nsid w:val="E0D31FF"/>
    <w:multiLevelType w:val="hybridMultilevel"/>
    <w:lvl w:ilvl="0">
      <w:lvlJc w:val="left"/>
      <w:lvlText w:val="•"/>
      <w:numFmt w:val="bullet"/>
      <w:start w:val="1"/>
    </w:lvl>
  </w:abstractNum>
  <w:abstractNum w:abstractNumId="302">
    <w:nsid w:val="2FD0AD81"/>
    <w:multiLevelType w:val="hybridMultilevel"/>
    <w:lvl w:ilvl="0">
      <w:lvlJc w:val="left"/>
      <w:lvlText w:val="%1."/>
      <w:numFmt w:val="decimal"/>
      <w:start w:val="15"/>
    </w:lvl>
  </w:abstractNum>
  <w:abstractNum w:abstractNumId="303">
    <w:nsid w:val="1978EBEB"/>
    <w:multiLevelType w:val="hybridMultilevel"/>
    <w:lvl w:ilvl="0">
      <w:lvlJc w:val="left"/>
      <w:lvlText w:val="%1."/>
      <w:numFmt w:val="decimal"/>
      <w:start w:val="16"/>
    </w:lvl>
  </w:abstractNum>
  <w:abstractNum w:abstractNumId="304">
    <w:nsid w:val="52C12C61"/>
    <w:multiLevelType w:val="hybridMultilevel"/>
    <w:lvl w:ilvl="0">
      <w:lvlJc w:val="left"/>
      <w:lvlText w:val="%1."/>
      <w:numFmt w:val="decimal"/>
      <w:start w:val="18"/>
    </w:lvl>
  </w:abstractNum>
  <w:abstractNum w:abstractNumId="305">
    <w:nsid w:val="4BDD53FD"/>
    <w:multiLevelType w:val="hybridMultilevel"/>
    <w:lvl w:ilvl="0">
      <w:lvlJc w:val="left"/>
      <w:lvlText w:val="%1."/>
      <w:numFmt w:val="decimal"/>
      <w:start w:val="1"/>
    </w:lvl>
  </w:abstractNum>
  <w:abstractNum w:abstractNumId="306">
    <w:nsid w:val="569951FE"/>
    <w:multiLevelType w:val="hybridMultilevel"/>
    <w:lvl w:ilvl="0">
      <w:lvlJc w:val="left"/>
      <w:lvlText w:val="%1."/>
      <w:numFmt w:val="decimal"/>
      <w:start w:val="4"/>
    </w:lvl>
  </w:abstractNum>
  <w:abstractNum w:abstractNumId="307">
    <w:nsid w:val="4C54E2C3"/>
    <w:multiLevelType w:val="hybridMultilevel"/>
    <w:lvl w:ilvl="0">
      <w:lvlJc w:val="left"/>
      <w:lvlText w:val="%1."/>
      <w:numFmt w:val="decimal"/>
      <w:start w:val="1"/>
    </w:lvl>
    <w:lvl w:ilvl="1">
      <w:lvlJc w:val="left"/>
      <w:lvlText w:val="(%2)"/>
      <w:numFmt w:val="lowerLetter"/>
      <w:start w:val="1"/>
    </w:lvl>
  </w:abstractNum>
  <w:abstractNum w:abstractNumId="308">
    <w:nsid w:val="788BD9B"/>
    <w:multiLevelType w:val="hybridMultilevel"/>
    <w:lvl w:ilvl="0">
      <w:lvlJc w:val="left"/>
      <w:lvlText w:val="%1."/>
      <w:numFmt w:val="decimal"/>
      <w:start w:val="1"/>
    </w:lvl>
    <w:lvl w:ilvl="1">
      <w:lvlJc w:val="left"/>
      <w:lvlText w:val="(%2)"/>
      <w:numFmt w:val="lowerLetter"/>
      <w:start w:val="1"/>
    </w:lvl>
  </w:abstractNum>
  <w:abstractNum w:abstractNumId="309">
    <w:nsid w:val="47CAA567"/>
    <w:multiLevelType w:val="hybridMultilevel"/>
    <w:lvl w:ilvl="0">
      <w:lvlJc w:val="left"/>
      <w:lvlText w:val="(%1)"/>
      <w:numFmt w:val="decimal"/>
      <w:start w:val="1"/>
    </w:lvl>
  </w:abstractNum>
  <w:abstractNum w:abstractNumId="310">
    <w:nsid w:val="48249DBF"/>
    <w:multiLevelType w:val="hybridMultilevel"/>
    <w:lvl w:ilvl="0">
      <w:lvlJc w:val="left"/>
      <w:lvlText w:val="(%1)"/>
      <w:numFmt w:val="decimal"/>
      <w:start w:val="1"/>
    </w:lvl>
  </w:abstractNum>
  <w:abstractNum w:abstractNumId="311">
    <w:nsid w:val="1F0E5D0D"/>
    <w:multiLevelType w:val="hybridMultilevel"/>
    <w:lvl w:ilvl="0">
      <w:lvlJc w:val="left"/>
      <w:lvlText w:val="(%1)"/>
      <w:numFmt w:val="lowerLetter"/>
      <w:start w:val="1"/>
    </w:lvl>
  </w:abstractNum>
  <w:abstractNum w:abstractNumId="312">
    <w:nsid w:val="26BAAE9"/>
    <w:multiLevelType w:val="hybridMultilevel"/>
    <w:lvl w:ilvl="0">
      <w:lvlJc w:val="left"/>
      <w:lvlText w:val="%1."/>
      <w:numFmt w:val="decimal"/>
      <w:start w:val="1"/>
    </w:lvl>
  </w:abstractNum>
  <w:abstractNum w:abstractNumId="313">
    <w:nsid w:val="2C02FE8C"/>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76" Type="http://schemas.openxmlformats.org/officeDocument/2006/relationships/image" Target="media/image156.png"/><Relationship Id="rId177" Type="http://schemas.openxmlformats.org/officeDocument/2006/relationships/image" Target="media/image157.png"/><Relationship Id="rId191" Type="http://schemas.openxmlformats.org/officeDocument/2006/relationships/image" Target="media/image158.png"/><Relationship Id="rId192" Type="http://schemas.openxmlformats.org/officeDocument/2006/relationships/image" Target="media/image159.png"/><Relationship Id="rId193" Type="http://schemas.openxmlformats.org/officeDocument/2006/relationships/image" Target="media/image160.png"/><Relationship Id="rId194" Type="http://schemas.openxmlformats.org/officeDocument/2006/relationships/image" Target="media/image161.png"/><Relationship Id="rId195" Type="http://schemas.openxmlformats.org/officeDocument/2006/relationships/image" Target="media/image162.png"/><Relationship Id="rId196" Type="http://schemas.openxmlformats.org/officeDocument/2006/relationships/image" Target="media/image163.png"/><Relationship Id="rId197" Type="http://schemas.openxmlformats.org/officeDocument/2006/relationships/image" Target="media/image164.png"/><Relationship Id="rId198" Type="http://schemas.openxmlformats.org/officeDocument/2006/relationships/image" Target="media/image165.png"/><Relationship Id="rId199" Type="http://schemas.openxmlformats.org/officeDocument/2006/relationships/image" Target="media/image166.png"/><Relationship Id="rId200" Type="http://schemas.openxmlformats.org/officeDocument/2006/relationships/image" Target="media/image167.png"/><Relationship Id="rId201" Type="http://schemas.openxmlformats.org/officeDocument/2006/relationships/image" Target="media/image168.png"/><Relationship Id="rId202" Type="http://schemas.openxmlformats.org/officeDocument/2006/relationships/image" Target="media/image169.png"/><Relationship Id="rId203" Type="http://schemas.openxmlformats.org/officeDocument/2006/relationships/image" Target="media/image170.png"/><Relationship Id="rId204" Type="http://schemas.openxmlformats.org/officeDocument/2006/relationships/image" Target="media/image171.png"/><Relationship Id="rId205" Type="http://schemas.openxmlformats.org/officeDocument/2006/relationships/image" Target="media/image172.png"/><Relationship Id="rId206" Type="http://schemas.openxmlformats.org/officeDocument/2006/relationships/image" Target="media/image173.png"/><Relationship Id="rId207" Type="http://schemas.openxmlformats.org/officeDocument/2006/relationships/image" Target="media/image174.png"/><Relationship Id="rId208" Type="http://schemas.openxmlformats.org/officeDocument/2006/relationships/image" Target="media/image175.png"/><Relationship Id="rId209" Type="http://schemas.openxmlformats.org/officeDocument/2006/relationships/image" Target="media/image176.png"/><Relationship Id="rId210" Type="http://schemas.openxmlformats.org/officeDocument/2006/relationships/image" Target="media/image177.png"/><Relationship Id="rId211" Type="http://schemas.openxmlformats.org/officeDocument/2006/relationships/image" Target="media/image178.png"/><Relationship Id="rId212" Type="http://schemas.openxmlformats.org/officeDocument/2006/relationships/image" Target="media/image179.png"/><Relationship Id="rId213" Type="http://schemas.openxmlformats.org/officeDocument/2006/relationships/image" Target="media/image180.png"/><Relationship Id="rId214" Type="http://schemas.openxmlformats.org/officeDocument/2006/relationships/image" Target="media/image181.png"/><Relationship Id="rId215" Type="http://schemas.openxmlformats.org/officeDocument/2006/relationships/image" Target="media/image182.png"/><Relationship Id="rId216" Type="http://schemas.openxmlformats.org/officeDocument/2006/relationships/image" Target="media/image183.png"/><Relationship Id="rId217" Type="http://schemas.openxmlformats.org/officeDocument/2006/relationships/image" Target="media/image184.png"/><Relationship Id="rId218" Type="http://schemas.openxmlformats.org/officeDocument/2006/relationships/image" Target="media/image185.png"/><Relationship Id="rId219" Type="http://schemas.openxmlformats.org/officeDocument/2006/relationships/image" Target="media/image186.png"/><Relationship Id="rId220" Type="http://schemas.openxmlformats.org/officeDocument/2006/relationships/image" Target="media/image187.png"/><Relationship Id="rId221" Type="http://schemas.openxmlformats.org/officeDocument/2006/relationships/image" Target="media/image188.png"/><Relationship Id="rId222" Type="http://schemas.openxmlformats.org/officeDocument/2006/relationships/image" Target="media/image189.png"/><Relationship Id="rId223" Type="http://schemas.openxmlformats.org/officeDocument/2006/relationships/image" Target="media/image190.png"/><Relationship Id="rId224" Type="http://schemas.openxmlformats.org/officeDocument/2006/relationships/image" Target="media/image191.png"/><Relationship Id="rId225" Type="http://schemas.openxmlformats.org/officeDocument/2006/relationships/image" Target="media/image192.png"/><Relationship Id="rId226" Type="http://schemas.openxmlformats.org/officeDocument/2006/relationships/image" Target="media/image193.png"/><Relationship Id="rId227" Type="http://schemas.openxmlformats.org/officeDocument/2006/relationships/image" Target="media/image194.png"/><Relationship Id="rId228" Type="http://schemas.openxmlformats.org/officeDocument/2006/relationships/image" Target="media/image195.png"/><Relationship Id="rId229" Type="http://schemas.openxmlformats.org/officeDocument/2006/relationships/image" Target="media/image196.png"/><Relationship Id="rId230" Type="http://schemas.openxmlformats.org/officeDocument/2006/relationships/image" Target="media/image197.png"/><Relationship Id="rId231" Type="http://schemas.openxmlformats.org/officeDocument/2006/relationships/image" Target="media/image198.png"/><Relationship Id="rId232" Type="http://schemas.openxmlformats.org/officeDocument/2006/relationships/image" Target="media/image199.png"/><Relationship Id="rId233" Type="http://schemas.openxmlformats.org/officeDocument/2006/relationships/image" Target="media/image200.png"/><Relationship Id="rId234" Type="http://schemas.openxmlformats.org/officeDocument/2006/relationships/image" Target="media/image201.png"/><Relationship Id="rId235" Type="http://schemas.openxmlformats.org/officeDocument/2006/relationships/image" Target="media/image202.png"/><Relationship Id="rId236" Type="http://schemas.openxmlformats.org/officeDocument/2006/relationships/image" Target="media/image203.png"/><Relationship Id="rId237" Type="http://schemas.openxmlformats.org/officeDocument/2006/relationships/image" Target="media/image204.png"/><Relationship Id="rId238" Type="http://schemas.openxmlformats.org/officeDocument/2006/relationships/image" Target="media/image205.png"/><Relationship Id="rId239" Type="http://schemas.openxmlformats.org/officeDocument/2006/relationships/image" Target="media/image206.png"/><Relationship Id="rId240" Type="http://schemas.openxmlformats.org/officeDocument/2006/relationships/image" Target="media/image207.png"/><Relationship Id="rId241" Type="http://schemas.openxmlformats.org/officeDocument/2006/relationships/image" Target="media/image208.png"/><Relationship Id="rId242" Type="http://schemas.openxmlformats.org/officeDocument/2006/relationships/image" Target="media/image209.png"/><Relationship Id="rId243" Type="http://schemas.openxmlformats.org/officeDocument/2006/relationships/image" Target="media/image210.png"/><Relationship Id="rId244" Type="http://schemas.openxmlformats.org/officeDocument/2006/relationships/image" Target="media/image211.png"/><Relationship Id="rId245" Type="http://schemas.openxmlformats.org/officeDocument/2006/relationships/image" Target="media/image212.png"/><Relationship Id="rId246" Type="http://schemas.openxmlformats.org/officeDocument/2006/relationships/image" Target="media/image213.png"/><Relationship Id="rId247" Type="http://schemas.openxmlformats.org/officeDocument/2006/relationships/image" Target="media/image214.png"/><Relationship Id="rId248" Type="http://schemas.openxmlformats.org/officeDocument/2006/relationships/image" Target="media/image215.png"/><Relationship Id="rId249" Type="http://schemas.openxmlformats.org/officeDocument/2006/relationships/image" Target="media/image216.png"/><Relationship Id="rId250" Type="http://schemas.openxmlformats.org/officeDocument/2006/relationships/image" Target="media/image217.png"/><Relationship Id="rId251" Type="http://schemas.openxmlformats.org/officeDocument/2006/relationships/image" Target="media/image218.png"/><Relationship Id="rId252" Type="http://schemas.openxmlformats.org/officeDocument/2006/relationships/image" Target="media/image219.png"/><Relationship Id="rId253" Type="http://schemas.openxmlformats.org/officeDocument/2006/relationships/image" Target="media/image220.png"/><Relationship Id="rId254" Type="http://schemas.openxmlformats.org/officeDocument/2006/relationships/image" Target="media/image221.png"/><Relationship Id="rId255" Type="http://schemas.openxmlformats.org/officeDocument/2006/relationships/image" Target="media/image222.png"/><Relationship Id="rId256" Type="http://schemas.openxmlformats.org/officeDocument/2006/relationships/image" Target="media/image223.png"/><Relationship Id="rId257" Type="http://schemas.openxmlformats.org/officeDocument/2006/relationships/image" Target="media/image224.png"/><Relationship Id="rId258" Type="http://schemas.openxmlformats.org/officeDocument/2006/relationships/image" Target="media/image225.png"/><Relationship Id="rId259" Type="http://schemas.openxmlformats.org/officeDocument/2006/relationships/image" Target="media/image226.png"/><Relationship Id="rId260" Type="http://schemas.openxmlformats.org/officeDocument/2006/relationships/image" Target="media/image227.png"/><Relationship Id="rId261" Type="http://schemas.openxmlformats.org/officeDocument/2006/relationships/image" Target="media/image228.png"/><Relationship Id="rId262" Type="http://schemas.openxmlformats.org/officeDocument/2006/relationships/image" Target="media/image229.png"/><Relationship Id="rId263" Type="http://schemas.openxmlformats.org/officeDocument/2006/relationships/image" Target="media/image230.png"/><Relationship Id="rId264" Type="http://schemas.openxmlformats.org/officeDocument/2006/relationships/image" Target="media/image231.png"/><Relationship Id="rId265" Type="http://schemas.openxmlformats.org/officeDocument/2006/relationships/image" Target="media/image232.png"/><Relationship Id="rId266" Type="http://schemas.openxmlformats.org/officeDocument/2006/relationships/image" Target="media/image233.png"/><Relationship Id="rId267" Type="http://schemas.openxmlformats.org/officeDocument/2006/relationships/image" Target="media/image234.png"/><Relationship Id="rId268" Type="http://schemas.openxmlformats.org/officeDocument/2006/relationships/image" Target="media/image235.png"/><Relationship Id="rId269" Type="http://schemas.openxmlformats.org/officeDocument/2006/relationships/image" Target="media/image236.png"/><Relationship Id="rId270" Type="http://schemas.openxmlformats.org/officeDocument/2006/relationships/image" Target="media/image237.png"/><Relationship Id="rId271" Type="http://schemas.openxmlformats.org/officeDocument/2006/relationships/image" Target="media/image238.png"/><Relationship Id="rId272" Type="http://schemas.openxmlformats.org/officeDocument/2006/relationships/image" Target="media/image239.png"/><Relationship Id="rId273" Type="http://schemas.openxmlformats.org/officeDocument/2006/relationships/image" Target="media/image240.png"/><Relationship Id="rId274" Type="http://schemas.openxmlformats.org/officeDocument/2006/relationships/image" Target="media/image241.png"/><Relationship Id="rId275" Type="http://schemas.openxmlformats.org/officeDocument/2006/relationships/image" Target="media/image242.png"/><Relationship Id="rId276" Type="http://schemas.openxmlformats.org/officeDocument/2006/relationships/image" Target="media/image243.png"/><Relationship Id="rId277" Type="http://schemas.openxmlformats.org/officeDocument/2006/relationships/image" Target="media/image244.png"/><Relationship Id="rId278" Type="http://schemas.openxmlformats.org/officeDocument/2006/relationships/image" Target="media/image245.png"/><Relationship Id="rId279" Type="http://schemas.openxmlformats.org/officeDocument/2006/relationships/image" Target="media/image246.png"/><Relationship Id="rId280" Type="http://schemas.openxmlformats.org/officeDocument/2006/relationships/image" Target="media/image247.png"/><Relationship Id="rId281" Type="http://schemas.openxmlformats.org/officeDocument/2006/relationships/image" Target="media/image248.png"/><Relationship Id="rId282" Type="http://schemas.openxmlformats.org/officeDocument/2006/relationships/image" Target="media/image249.png"/><Relationship Id="rId283" Type="http://schemas.openxmlformats.org/officeDocument/2006/relationships/image" Target="media/image250.png"/><Relationship Id="rId284" Type="http://schemas.openxmlformats.org/officeDocument/2006/relationships/image" Target="media/image251.png"/><Relationship Id="rId285" Type="http://schemas.openxmlformats.org/officeDocument/2006/relationships/image" Target="media/image252.png"/><Relationship Id="rId286" Type="http://schemas.openxmlformats.org/officeDocument/2006/relationships/image" Target="media/image253.png"/><Relationship Id="rId287" Type="http://schemas.openxmlformats.org/officeDocument/2006/relationships/image" Target="media/image254.png"/><Relationship Id="rId288" Type="http://schemas.openxmlformats.org/officeDocument/2006/relationships/image" Target="media/image255.png"/><Relationship Id="rId289" Type="http://schemas.openxmlformats.org/officeDocument/2006/relationships/image" Target="media/image256.png"/><Relationship Id="rId290" Type="http://schemas.openxmlformats.org/officeDocument/2006/relationships/image" Target="media/image257.png"/><Relationship Id="rId291" Type="http://schemas.openxmlformats.org/officeDocument/2006/relationships/image" Target="media/image258.png"/><Relationship Id="rId292" Type="http://schemas.openxmlformats.org/officeDocument/2006/relationships/image" Target="media/image259.png"/><Relationship Id="rId293" Type="http://schemas.openxmlformats.org/officeDocument/2006/relationships/image" Target="media/image260.png"/><Relationship Id="rId294" Type="http://schemas.openxmlformats.org/officeDocument/2006/relationships/image" Target="media/image261.png"/><Relationship Id="rId295" Type="http://schemas.openxmlformats.org/officeDocument/2006/relationships/image" Target="media/image262.png"/><Relationship Id="rId296" Type="http://schemas.openxmlformats.org/officeDocument/2006/relationships/image" Target="media/image263.png"/><Relationship Id="rId297" Type="http://schemas.openxmlformats.org/officeDocument/2006/relationships/image" Target="media/image264.png"/><Relationship Id="rId298" Type="http://schemas.openxmlformats.org/officeDocument/2006/relationships/image" Target="media/image265.png"/><Relationship Id="rId299" Type="http://schemas.openxmlformats.org/officeDocument/2006/relationships/image" Target="media/image266.png"/><Relationship Id="rId300" Type="http://schemas.openxmlformats.org/officeDocument/2006/relationships/image" Target="media/image267.png"/><Relationship Id="rId301" Type="http://schemas.openxmlformats.org/officeDocument/2006/relationships/image" Target="media/image268.png"/><Relationship Id="rId302" Type="http://schemas.openxmlformats.org/officeDocument/2006/relationships/image" Target="media/image269.png"/><Relationship Id="rId303" Type="http://schemas.openxmlformats.org/officeDocument/2006/relationships/image" Target="media/image270.png"/><Relationship Id="rId304" Type="http://schemas.openxmlformats.org/officeDocument/2006/relationships/image" Target="media/image271.png"/><Relationship Id="rId305" Type="http://schemas.openxmlformats.org/officeDocument/2006/relationships/image" Target="media/image272.png"/><Relationship Id="rId306" Type="http://schemas.openxmlformats.org/officeDocument/2006/relationships/image" Target="media/image273.png"/><Relationship Id="rId307" Type="http://schemas.openxmlformats.org/officeDocument/2006/relationships/image" Target="media/image274.png"/><Relationship Id="rId308" Type="http://schemas.openxmlformats.org/officeDocument/2006/relationships/image" Target="media/image275.png"/><Relationship Id="rId309" Type="http://schemas.openxmlformats.org/officeDocument/2006/relationships/image" Target="media/image276.png"/><Relationship Id="rId310" Type="http://schemas.openxmlformats.org/officeDocument/2006/relationships/image" Target="media/image277.png"/><Relationship Id="rId311" Type="http://schemas.openxmlformats.org/officeDocument/2006/relationships/image" Target="media/image278.png"/><Relationship Id="rId312" Type="http://schemas.openxmlformats.org/officeDocument/2006/relationships/image" Target="media/image279.png"/><Relationship Id="rId313" Type="http://schemas.openxmlformats.org/officeDocument/2006/relationships/image" Target="media/image280.png"/><Relationship Id="rId314" Type="http://schemas.openxmlformats.org/officeDocument/2006/relationships/image" Target="media/image281.png"/><Relationship Id="rId315" Type="http://schemas.openxmlformats.org/officeDocument/2006/relationships/image" Target="media/image282.png"/><Relationship Id="rId316" Type="http://schemas.openxmlformats.org/officeDocument/2006/relationships/image" Target="media/image283.png"/><Relationship Id="rId317" Type="http://schemas.openxmlformats.org/officeDocument/2006/relationships/image" Target="media/image284.png"/><Relationship Id="rId318" Type="http://schemas.openxmlformats.org/officeDocument/2006/relationships/image" Target="media/image285.png"/><Relationship Id="rId319" Type="http://schemas.openxmlformats.org/officeDocument/2006/relationships/image" Target="media/image286.png"/><Relationship Id="rId320" Type="http://schemas.openxmlformats.org/officeDocument/2006/relationships/image" Target="media/image287.png"/><Relationship Id="rId321" Type="http://schemas.openxmlformats.org/officeDocument/2006/relationships/image" Target="media/image288.png"/><Relationship Id="rId322" Type="http://schemas.openxmlformats.org/officeDocument/2006/relationships/image" Target="media/image289.png"/><Relationship Id="rId323" Type="http://schemas.openxmlformats.org/officeDocument/2006/relationships/image" Target="media/image290.png"/><Relationship Id="rId324" Type="http://schemas.openxmlformats.org/officeDocument/2006/relationships/image" Target="media/image291.png"/><Relationship Id="rId325" Type="http://schemas.openxmlformats.org/officeDocument/2006/relationships/image" Target="media/image292.png"/><Relationship Id="rId326" Type="http://schemas.openxmlformats.org/officeDocument/2006/relationships/image" Target="media/image293.png"/><Relationship Id="rId327" Type="http://schemas.openxmlformats.org/officeDocument/2006/relationships/image" Target="media/image294.png"/><Relationship Id="rId328" Type="http://schemas.openxmlformats.org/officeDocument/2006/relationships/image" Target="media/image295.png"/><Relationship Id="rId329" Type="http://schemas.openxmlformats.org/officeDocument/2006/relationships/image" Target="media/image296.png"/><Relationship Id="rId330" Type="http://schemas.openxmlformats.org/officeDocument/2006/relationships/image" Target="media/image297.png"/><Relationship Id="rId331" Type="http://schemas.openxmlformats.org/officeDocument/2006/relationships/image" Target="media/image298.png"/><Relationship Id="rId332" Type="http://schemas.openxmlformats.org/officeDocument/2006/relationships/image" Target="media/image299.png"/><Relationship Id="rId333" Type="http://schemas.openxmlformats.org/officeDocument/2006/relationships/image" Target="media/image300.png"/><Relationship Id="rId334" Type="http://schemas.openxmlformats.org/officeDocument/2006/relationships/image" Target="media/image301.png"/><Relationship Id="rId335" Type="http://schemas.openxmlformats.org/officeDocument/2006/relationships/image" Target="media/image302.png"/><Relationship Id="rId336" Type="http://schemas.openxmlformats.org/officeDocument/2006/relationships/image" Target="media/image303.png"/><Relationship Id="rId337" Type="http://schemas.openxmlformats.org/officeDocument/2006/relationships/image" Target="media/image304.png"/><Relationship Id="rId338" Type="http://schemas.openxmlformats.org/officeDocument/2006/relationships/image" Target="media/image305.png"/><Relationship Id="rId339" Type="http://schemas.openxmlformats.org/officeDocument/2006/relationships/image" Target="media/image306.png"/><Relationship Id="rId340" Type="http://schemas.openxmlformats.org/officeDocument/2006/relationships/image" Target="media/image307.png"/><Relationship Id="rId341" Type="http://schemas.openxmlformats.org/officeDocument/2006/relationships/image" Target="media/image308.png"/><Relationship Id="rId342" Type="http://schemas.openxmlformats.org/officeDocument/2006/relationships/image" Target="media/image309.png"/><Relationship Id="rId343" Type="http://schemas.openxmlformats.org/officeDocument/2006/relationships/image" Target="media/image310.png"/><Relationship Id="rId344" Type="http://schemas.openxmlformats.org/officeDocument/2006/relationships/image" Target="media/image311.png"/><Relationship Id="rId345" Type="http://schemas.openxmlformats.org/officeDocument/2006/relationships/image" Target="media/image312.png"/><Relationship Id="rId346" Type="http://schemas.openxmlformats.org/officeDocument/2006/relationships/image" Target="media/image313.png"/><Relationship Id="rId347" Type="http://schemas.openxmlformats.org/officeDocument/2006/relationships/image" Target="media/image314.png"/><Relationship Id="rId348" Type="http://schemas.openxmlformats.org/officeDocument/2006/relationships/image" Target="media/image315.png"/><Relationship Id="rId349" Type="http://schemas.openxmlformats.org/officeDocument/2006/relationships/image" Target="media/image316.png"/><Relationship Id="rId350" Type="http://schemas.openxmlformats.org/officeDocument/2006/relationships/image" Target="media/image317.png"/><Relationship Id="rId351" Type="http://schemas.openxmlformats.org/officeDocument/2006/relationships/image" Target="media/image318.png"/><Relationship Id="rId352" Type="http://schemas.openxmlformats.org/officeDocument/2006/relationships/image" Target="media/image319.png"/><Relationship Id="rId353" Type="http://schemas.openxmlformats.org/officeDocument/2006/relationships/image" Target="media/image320.png"/><Relationship Id="rId354" Type="http://schemas.openxmlformats.org/officeDocument/2006/relationships/image" Target="media/image321.png"/><Relationship Id="rId355" Type="http://schemas.openxmlformats.org/officeDocument/2006/relationships/image" Target="media/image322.png"/><Relationship Id="rId356" Type="http://schemas.openxmlformats.org/officeDocument/2006/relationships/image" Target="media/image323.png"/><Relationship Id="rId357" Type="http://schemas.openxmlformats.org/officeDocument/2006/relationships/image" Target="media/image324.png"/><Relationship Id="rId358" Type="http://schemas.openxmlformats.org/officeDocument/2006/relationships/image" Target="media/image325.png"/><Relationship Id="rId359" Type="http://schemas.openxmlformats.org/officeDocument/2006/relationships/image" Target="media/image326.png"/><Relationship Id="rId360" Type="http://schemas.openxmlformats.org/officeDocument/2006/relationships/image" Target="media/image327.png"/><Relationship Id="rId361" Type="http://schemas.openxmlformats.org/officeDocument/2006/relationships/image" Target="media/image328.png"/><Relationship Id="rId362" Type="http://schemas.openxmlformats.org/officeDocument/2006/relationships/image" Target="media/image329.png"/><Relationship Id="rId363" Type="http://schemas.openxmlformats.org/officeDocument/2006/relationships/image" Target="media/image330.png"/><Relationship Id="rId364" Type="http://schemas.openxmlformats.org/officeDocument/2006/relationships/image" Target="media/image331.png"/><Relationship Id="rId365" Type="http://schemas.openxmlformats.org/officeDocument/2006/relationships/image" Target="media/image332.png"/><Relationship Id="rId366" Type="http://schemas.openxmlformats.org/officeDocument/2006/relationships/image" Target="media/image333.png"/><Relationship Id="rId367" Type="http://schemas.openxmlformats.org/officeDocument/2006/relationships/image" Target="media/image334.png"/><Relationship Id="rId368" Type="http://schemas.openxmlformats.org/officeDocument/2006/relationships/image" Target="media/image335.png"/><Relationship Id="rId369" Type="http://schemas.openxmlformats.org/officeDocument/2006/relationships/image" Target="media/image336.png"/><Relationship Id="rId370" Type="http://schemas.openxmlformats.org/officeDocument/2006/relationships/image" Target="media/image337.png"/><Relationship Id="rId371" Type="http://schemas.openxmlformats.org/officeDocument/2006/relationships/image" Target="media/image338.png"/><Relationship Id="rId372" Type="http://schemas.openxmlformats.org/officeDocument/2006/relationships/image" Target="media/image339.png"/><Relationship Id="rId373" Type="http://schemas.openxmlformats.org/officeDocument/2006/relationships/image" Target="media/image340.png"/><Relationship Id="rId374" Type="http://schemas.openxmlformats.org/officeDocument/2006/relationships/image" Target="media/image341.png"/><Relationship Id="rId375" Type="http://schemas.openxmlformats.org/officeDocument/2006/relationships/image" Target="media/image342.png"/><Relationship Id="rId376" Type="http://schemas.openxmlformats.org/officeDocument/2006/relationships/image" Target="media/image343.png"/><Relationship Id="rId377" Type="http://schemas.openxmlformats.org/officeDocument/2006/relationships/image" Target="media/image344.png"/><Relationship Id="rId378" Type="http://schemas.openxmlformats.org/officeDocument/2006/relationships/image" Target="media/image345.png"/><Relationship Id="rId379" Type="http://schemas.openxmlformats.org/officeDocument/2006/relationships/image" Target="media/image346.png"/><Relationship Id="rId380" Type="http://schemas.openxmlformats.org/officeDocument/2006/relationships/image" Target="media/image347.png"/><Relationship Id="rId381" Type="http://schemas.openxmlformats.org/officeDocument/2006/relationships/image" Target="media/image348.png"/><Relationship Id="rId382" Type="http://schemas.openxmlformats.org/officeDocument/2006/relationships/image" Target="media/image349.png"/><Relationship Id="rId383" Type="http://schemas.openxmlformats.org/officeDocument/2006/relationships/image" Target="media/image350.png"/><Relationship Id="rId384" Type="http://schemas.openxmlformats.org/officeDocument/2006/relationships/image" Target="media/image351.png"/><Relationship Id="rId385" Type="http://schemas.openxmlformats.org/officeDocument/2006/relationships/image" Target="media/image352.png"/><Relationship Id="rId386" Type="http://schemas.openxmlformats.org/officeDocument/2006/relationships/image" Target="media/image353.png"/><Relationship Id="rId387" Type="http://schemas.openxmlformats.org/officeDocument/2006/relationships/image" Target="media/image354.png"/><Relationship Id="rId388" Type="http://schemas.openxmlformats.org/officeDocument/2006/relationships/image" Target="media/image355.png"/><Relationship Id="rId389" Type="http://schemas.openxmlformats.org/officeDocument/2006/relationships/image" Target="media/image356.png"/><Relationship Id="rId390" Type="http://schemas.openxmlformats.org/officeDocument/2006/relationships/image" Target="media/image357.png"/><Relationship Id="rId391" Type="http://schemas.openxmlformats.org/officeDocument/2006/relationships/image" Target="media/image358.png"/><Relationship Id="rId392" Type="http://schemas.openxmlformats.org/officeDocument/2006/relationships/image" Target="media/image359.png"/><Relationship Id="rId393" Type="http://schemas.openxmlformats.org/officeDocument/2006/relationships/image" Target="media/image360.png"/><Relationship Id="rId394" Type="http://schemas.openxmlformats.org/officeDocument/2006/relationships/image" Target="media/image361.png"/><Relationship Id="rId395" Type="http://schemas.openxmlformats.org/officeDocument/2006/relationships/image" Target="media/image362.png"/><Relationship Id="rId396" Type="http://schemas.openxmlformats.org/officeDocument/2006/relationships/image" Target="media/image363.png"/><Relationship Id="rId397" Type="http://schemas.openxmlformats.org/officeDocument/2006/relationships/image" Target="media/image364.png"/><Relationship Id="rId398" Type="http://schemas.openxmlformats.org/officeDocument/2006/relationships/image" Target="media/image365.png"/><Relationship Id="rId399" Type="http://schemas.openxmlformats.org/officeDocument/2006/relationships/image" Target="media/image366.png"/><Relationship Id="rId400" Type="http://schemas.openxmlformats.org/officeDocument/2006/relationships/image" Target="media/image367.png"/><Relationship Id="rId401" Type="http://schemas.openxmlformats.org/officeDocument/2006/relationships/image" Target="media/image368.png"/><Relationship Id="rId402" Type="http://schemas.openxmlformats.org/officeDocument/2006/relationships/image" Target="media/image369.png"/><Relationship Id="rId403" Type="http://schemas.openxmlformats.org/officeDocument/2006/relationships/image" Target="media/image370.png"/><Relationship Id="rId404" Type="http://schemas.openxmlformats.org/officeDocument/2006/relationships/image" Target="media/image371.png"/><Relationship Id="rId405" Type="http://schemas.openxmlformats.org/officeDocument/2006/relationships/image" Target="media/image372.png"/><Relationship Id="rId406" Type="http://schemas.openxmlformats.org/officeDocument/2006/relationships/image" Target="media/image373.png"/><Relationship Id="rId407" Type="http://schemas.openxmlformats.org/officeDocument/2006/relationships/image" Target="media/image374.png"/><Relationship Id="rId408" Type="http://schemas.openxmlformats.org/officeDocument/2006/relationships/image" Target="media/image375.png"/><Relationship Id="rId409" Type="http://schemas.openxmlformats.org/officeDocument/2006/relationships/image" Target="media/image376.png"/><Relationship Id="rId410" Type="http://schemas.openxmlformats.org/officeDocument/2006/relationships/image" Target="media/image377.png"/><Relationship Id="rId411" Type="http://schemas.openxmlformats.org/officeDocument/2006/relationships/image" Target="media/image378.png"/><Relationship Id="rId412" Type="http://schemas.openxmlformats.org/officeDocument/2006/relationships/image" Target="media/image379.png"/><Relationship Id="rId413" Type="http://schemas.openxmlformats.org/officeDocument/2006/relationships/image" Target="media/image380.png"/><Relationship Id="rId414" Type="http://schemas.openxmlformats.org/officeDocument/2006/relationships/image" Target="media/image381.png"/><Relationship Id="rId415" Type="http://schemas.openxmlformats.org/officeDocument/2006/relationships/image" Target="media/image382.png"/><Relationship Id="rId416" Type="http://schemas.openxmlformats.org/officeDocument/2006/relationships/image" Target="media/image383.png"/><Relationship Id="rId417" Type="http://schemas.openxmlformats.org/officeDocument/2006/relationships/image" Target="media/image384.png"/><Relationship Id="rId418" Type="http://schemas.openxmlformats.org/officeDocument/2006/relationships/image" Target="media/image385.png"/><Relationship Id="rId419" Type="http://schemas.openxmlformats.org/officeDocument/2006/relationships/image" Target="media/image386.png"/><Relationship Id="rId420" Type="http://schemas.openxmlformats.org/officeDocument/2006/relationships/image" Target="media/image387.png"/><Relationship Id="rId421" Type="http://schemas.openxmlformats.org/officeDocument/2006/relationships/image" Target="media/image388.png"/><Relationship Id="rId422" Type="http://schemas.openxmlformats.org/officeDocument/2006/relationships/image" Target="media/image389.png"/><Relationship Id="rId423" Type="http://schemas.openxmlformats.org/officeDocument/2006/relationships/image" Target="media/image390.png"/><Relationship Id="rId424" Type="http://schemas.openxmlformats.org/officeDocument/2006/relationships/image" Target="media/image391.png"/><Relationship Id="rId425" Type="http://schemas.openxmlformats.org/officeDocument/2006/relationships/image" Target="media/image392.png"/><Relationship Id="rId426" Type="http://schemas.openxmlformats.org/officeDocument/2006/relationships/image" Target="media/image393.png"/><Relationship Id="rId427" Type="http://schemas.openxmlformats.org/officeDocument/2006/relationships/image" Target="media/image394.png"/><Relationship Id="rId428" Type="http://schemas.openxmlformats.org/officeDocument/2006/relationships/image" Target="media/image395.png"/><Relationship Id="rId429" Type="http://schemas.openxmlformats.org/officeDocument/2006/relationships/image" Target="media/image396.png"/><Relationship Id="rId430" Type="http://schemas.openxmlformats.org/officeDocument/2006/relationships/image" Target="media/image397.png"/><Relationship Id="rId431" Type="http://schemas.openxmlformats.org/officeDocument/2006/relationships/image" Target="media/image398.png"/><Relationship Id="rId432" Type="http://schemas.openxmlformats.org/officeDocument/2006/relationships/image" Target="media/image399.png"/><Relationship Id="rId433" Type="http://schemas.openxmlformats.org/officeDocument/2006/relationships/image" Target="media/image400.png"/><Relationship Id="rId434" Type="http://schemas.openxmlformats.org/officeDocument/2006/relationships/image" Target="media/image401.png"/><Relationship Id="rId435" Type="http://schemas.openxmlformats.org/officeDocument/2006/relationships/image" Target="media/image402.png"/><Relationship Id="rId436" Type="http://schemas.openxmlformats.org/officeDocument/2006/relationships/image" Target="media/image403.png"/><Relationship Id="rId437" Type="http://schemas.openxmlformats.org/officeDocument/2006/relationships/image" Target="media/image404.png"/><Relationship Id="rId438" Type="http://schemas.openxmlformats.org/officeDocument/2006/relationships/image" Target="media/image405.png"/><Relationship Id="rId439" Type="http://schemas.openxmlformats.org/officeDocument/2006/relationships/image" Target="media/image406.png"/><Relationship Id="rId440" Type="http://schemas.openxmlformats.org/officeDocument/2006/relationships/image" Target="media/image407.png"/><Relationship Id="rId441" Type="http://schemas.openxmlformats.org/officeDocument/2006/relationships/image" Target="media/image408.png"/><Relationship Id="rId442" Type="http://schemas.openxmlformats.org/officeDocument/2006/relationships/image" Target="media/image409.png"/><Relationship Id="rId443" Type="http://schemas.openxmlformats.org/officeDocument/2006/relationships/image" Target="media/image410.png"/><Relationship Id="rId444" Type="http://schemas.openxmlformats.org/officeDocument/2006/relationships/image" Target="media/image411.png"/><Relationship Id="rId445" Type="http://schemas.openxmlformats.org/officeDocument/2006/relationships/image" Target="media/image412.png"/><Relationship Id="rId446" Type="http://schemas.openxmlformats.org/officeDocument/2006/relationships/image" Target="media/image413.png"/><Relationship Id="rId447" Type="http://schemas.openxmlformats.org/officeDocument/2006/relationships/image" Target="media/image414.png"/><Relationship Id="rId448" Type="http://schemas.openxmlformats.org/officeDocument/2006/relationships/image" Target="media/image415.png"/><Relationship Id="rId449" Type="http://schemas.openxmlformats.org/officeDocument/2006/relationships/image" Target="media/image416.png"/><Relationship Id="rId450" Type="http://schemas.openxmlformats.org/officeDocument/2006/relationships/image" Target="media/image417.png"/><Relationship Id="rId451" Type="http://schemas.openxmlformats.org/officeDocument/2006/relationships/image" Target="media/image418.png"/><Relationship Id="rId452" Type="http://schemas.openxmlformats.org/officeDocument/2006/relationships/image" Target="media/image419.png"/><Relationship Id="rId453" Type="http://schemas.openxmlformats.org/officeDocument/2006/relationships/image" Target="media/image420.png"/><Relationship Id="rId454" Type="http://schemas.openxmlformats.org/officeDocument/2006/relationships/image" Target="media/image421.png"/><Relationship Id="rId455" Type="http://schemas.openxmlformats.org/officeDocument/2006/relationships/image" Target="media/image422.png"/><Relationship Id="rId456" Type="http://schemas.openxmlformats.org/officeDocument/2006/relationships/image" Target="media/image423.png"/><Relationship Id="rId457" Type="http://schemas.openxmlformats.org/officeDocument/2006/relationships/image" Target="media/image424.png"/><Relationship Id="rId458" Type="http://schemas.openxmlformats.org/officeDocument/2006/relationships/image" Target="media/image425.png"/><Relationship Id="rId459" Type="http://schemas.openxmlformats.org/officeDocument/2006/relationships/image" Target="media/image426.png"/><Relationship Id="rId460" Type="http://schemas.openxmlformats.org/officeDocument/2006/relationships/image" Target="media/image427.png"/><Relationship Id="rId461" Type="http://schemas.openxmlformats.org/officeDocument/2006/relationships/image" Target="media/image428.png"/><Relationship Id="rId462" Type="http://schemas.openxmlformats.org/officeDocument/2006/relationships/image" Target="media/image429.png"/><Relationship Id="rId463" Type="http://schemas.openxmlformats.org/officeDocument/2006/relationships/image" Target="media/image430.png"/><Relationship Id="rId464" Type="http://schemas.openxmlformats.org/officeDocument/2006/relationships/image" Target="media/image431.png"/><Relationship Id="rId465" Type="http://schemas.openxmlformats.org/officeDocument/2006/relationships/image" Target="media/image432.png"/><Relationship Id="rId466" Type="http://schemas.openxmlformats.org/officeDocument/2006/relationships/image" Target="media/image433.png"/><Relationship Id="rId467" Type="http://schemas.openxmlformats.org/officeDocument/2006/relationships/image" Target="media/image434.png"/><Relationship Id="rId468" Type="http://schemas.openxmlformats.org/officeDocument/2006/relationships/image" Target="media/image435.png"/><Relationship Id="rId469" Type="http://schemas.openxmlformats.org/officeDocument/2006/relationships/image" Target="media/image436.png"/><Relationship Id="rId470" Type="http://schemas.openxmlformats.org/officeDocument/2006/relationships/image" Target="media/image437.png"/><Relationship Id="rId471" Type="http://schemas.openxmlformats.org/officeDocument/2006/relationships/image" Target="media/image438.png"/><Relationship Id="rId472" Type="http://schemas.openxmlformats.org/officeDocument/2006/relationships/image" Target="media/image439.png"/><Relationship Id="rId473" Type="http://schemas.openxmlformats.org/officeDocument/2006/relationships/image" Target="media/image440.png"/><Relationship Id="rId474" Type="http://schemas.openxmlformats.org/officeDocument/2006/relationships/image" Target="media/image441.png"/><Relationship Id="rId475" Type="http://schemas.openxmlformats.org/officeDocument/2006/relationships/image" Target="media/image442.png"/><Relationship Id="rId476" Type="http://schemas.openxmlformats.org/officeDocument/2006/relationships/image" Target="media/image443.png"/><Relationship Id="rId477" Type="http://schemas.openxmlformats.org/officeDocument/2006/relationships/image" Target="media/image444.png"/><Relationship Id="rId478" Type="http://schemas.openxmlformats.org/officeDocument/2006/relationships/image" Target="media/image445.png"/><Relationship Id="rId479" Type="http://schemas.openxmlformats.org/officeDocument/2006/relationships/image" Target="media/image446.png"/><Relationship Id="rId480" Type="http://schemas.openxmlformats.org/officeDocument/2006/relationships/image" Target="media/image447.png"/><Relationship Id="rId481" Type="http://schemas.openxmlformats.org/officeDocument/2006/relationships/image" Target="media/image448.png"/><Relationship Id="rId482" Type="http://schemas.openxmlformats.org/officeDocument/2006/relationships/image" Target="media/image449.png"/><Relationship Id="rId483" Type="http://schemas.openxmlformats.org/officeDocument/2006/relationships/image" Target="media/image450.png"/><Relationship Id="rId484" Type="http://schemas.openxmlformats.org/officeDocument/2006/relationships/image" Target="media/image451.png"/><Relationship Id="rId485" Type="http://schemas.openxmlformats.org/officeDocument/2006/relationships/image" Target="media/image452.png"/><Relationship Id="rId486" Type="http://schemas.openxmlformats.org/officeDocument/2006/relationships/image" Target="media/image453.png"/><Relationship Id="rId487" Type="http://schemas.openxmlformats.org/officeDocument/2006/relationships/image" Target="media/image454.png"/><Relationship Id="rId488" Type="http://schemas.openxmlformats.org/officeDocument/2006/relationships/image" Target="media/image455.png"/><Relationship Id="rId489" Type="http://schemas.openxmlformats.org/officeDocument/2006/relationships/image" Target="media/image456.png"/><Relationship Id="rId490" Type="http://schemas.openxmlformats.org/officeDocument/2006/relationships/image" Target="media/image457.png"/><Relationship Id="rId491" Type="http://schemas.openxmlformats.org/officeDocument/2006/relationships/image" Target="media/image458.png"/><Relationship Id="rId492" Type="http://schemas.openxmlformats.org/officeDocument/2006/relationships/image" Target="media/image459.png"/><Relationship Id="rId493" Type="http://schemas.openxmlformats.org/officeDocument/2006/relationships/image" Target="media/image460.png"/><Relationship Id="rId494" Type="http://schemas.openxmlformats.org/officeDocument/2006/relationships/image" Target="media/image461.png"/><Relationship Id="rId495" Type="http://schemas.openxmlformats.org/officeDocument/2006/relationships/image" Target="media/image462.png"/><Relationship Id="rId496" Type="http://schemas.openxmlformats.org/officeDocument/2006/relationships/image" Target="media/image463.png"/><Relationship Id="rId497" Type="http://schemas.openxmlformats.org/officeDocument/2006/relationships/image" Target="media/image464.png"/><Relationship Id="rId498" Type="http://schemas.openxmlformats.org/officeDocument/2006/relationships/image" Target="media/image465.png"/><Relationship Id="rId499" Type="http://schemas.openxmlformats.org/officeDocument/2006/relationships/image" Target="media/image466.png"/><Relationship Id="rId500" Type="http://schemas.openxmlformats.org/officeDocument/2006/relationships/image" Target="media/image467.png"/><Relationship Id="rId501" Type="http://schemas.openxmlformats.org/officeDocument/2006/relationships/image" Target="media/image468.png"/><Relationship Id="rId502" Type="http://schemas.openxmlformats.org/officeDocument/2006/relationships/image" Target="media/image469.png"/><Relationship Id="rId503" Type="http://schemas.openxmlformats.org/officeDocument/2006/relationships/image" Target="media/image470.png"/><Relationship Id="rId504" Type="http://schemas.openxmlformats.org/officeDocument/2006/relationships/image" Target="media/image471.png"/><Relationship Id="rId505" Type="http://schemas.openxmlformats.org/officeDocument/2006/relationships/image" Target="media/image472.png"/><Relationship Id="rId506" Type="http://schemas.openxmlformats.org/officeDocument/2006/relationships/image" Target="media/image473.png"/><Relationship Id="rId507" Type="http://schemas.openxmlformats.org/officeDocument/2006/relationships/image" Target="media/image474.png"/><Relationship Id="rId508" Type="http://schemas.openxmlformats.org/officeDocument/2006/relationships/image" Target="media/image475.png"/><Relationship Id="rId509" Type="http://schemas.openxmlformats.org/officeDocument/2006/relationships/image" Target="media/image476.png"/><Relationship Id="rId510" Type="http://schemas.openxmlformats.org/officeDocument/2006/relationships/image" Target="media/image477.png"/><Relationship Id="rId511" Type="http://schemas.openxmlformats.org/officeDocument/2006/relationships/image" Target="media/image478.png"/><Relationship Id="rId512" Type="http://schemas.openxmlformats.org/officeDocument/2006/relationships/image" Target="media/image479.png"/><Relationship Id="rId513" Type="http://schemas.openxmlformats.org/officeDocument/2006/relationships/image" Target="media/image480.png"/><Relationship Id="rId514" Type="http://schemas.openxmlformats.org/officeDocument/2006/relationships/image" Target="media/image481.png"/><Relationship Id="rId515" Type="http://schemas.openxmlformats.org/officeDocument/2006/relationships/image" Target="media/image482.png"/><Relationship Id="rId516" Type="http://schemas.openxmlformats.org/officeDocument/2006/relationships/image" Target="media/image483.png"/><Relationship Id="rId517" Type="http://schemas.openxmlformats.org/officeDocument/2006/relationships/image" Target="media/image484.png"/><Relationship Id="rId518" Type="http://schemas.openxmlformats.org/officeDocument/2006/relationships/image" Target="media/image485.png"/><Relationship Id="rId519" Type="http://schemas.openxmlformats.org/officeDocument/2006/relationships/image" Target="media/image486.png"/><Relationship Id="rId520" Type="http://schemas.openxmlformats.org/officeDocument/2006/relationships/image" Target="media/image487.png"/><Relationship Id="rId521" Type="http://schemas.openxmlformats.org/officeDocument/2006/relationships/image" Target="media/image488.png"/><Relationship Id="rId522" Type="http://schemas.openxmlformats.org/officeDocument/2006/relationships/image" Target="media/image489.png"/><Relationship Id="rId523" Type="http://schemas.openxmlformats.org/officeDocument/2006/relationships/image" Target="media/image490.png"/><Relationship Id="rId524" Type="http://schemas.openxmlformats.org/officeDocument/2006/relationships/image" Target="media/image491.png"/><Relationship Id="rId525" Type="http://schemas.openxmlformats.org/officeDocument/2006/relationships/image" Target="media/image492.png"/><Relationship Id="rId526" Type="http://schemas.openxmlformats.org/officeDocument/2006/relationships/image" Target="media/image493.png"/><Relationship Id="rId527" Type="http://schemas.openxmlformats.org/officeDocument/2006/relationships/image" Target="media/image494.png"/><Relationship Id="rId528" Type="http://schemas.openxmlformats.org/officeDocument/2006/relationships/image" Target="media/image495.png"/><Relationship Id="rId529" Type="http://schemas.openxmlformats.org/officeDocument/2006/relationships/image" Target="media/image496.png"/><Relationship Id="rId530" Type="http://schemas.openxmlformats.org/officeDocument/2006/relationships/image" Target="media/image497.png"/><Relationship Id="rId531" Type="http://schemas.openxmlformats.org/officeDocument/2006/relationships/image" Target="media/image498.png"/><Relationship Id="rId532" Type="http://schemas.openxmlformats.org/officeDocument/2006/relationships/image" Target="media/image499.png"/><Relationship Id="rId533" Type="http://schemas.openxmlformats.org/officeDocument/2006/relationships/image" Target="media/image500.png"/><Relationship Id="rId534" Type="http://schemas.openxmlformats.org/officeDocument/2006/relationships/image" Target="media/image501.png"/><Relationship Id="rId535" Type="http://schemas.openxmlformats.org/officeDocument/2006/relationships/image" Target="media/image502.png"/><Relationship Id="rId536" Type="http://schemas.openxmlformats.org/officeDocument/2006/relationships/image" Target="media/image503.png"/><Relationship Id="rId537" Type="http://schemas.openxmlformats.org/officeDocument/2006/relationships/image" Target="media/image504.png"/><Relationship Id="rId538" Type="http://schemas.openxmlformats.org/officeDocument/2006/relationships/image" Target="media/image505.png"/><Relationship Id="rId539" Type="http://schemas.openxmlformats.org/officeDocument/2006/relationships/image" Target="media/image506.png"/><Relationship Id="rId540" Type="http://schemas.openxmlformats.org/officeDocument/2006/relationships/image" Target="media/image507.png"/><Relationship Id="rId541" Type="http://schemas.openxmlformats.org/officeDocument/2006/relationships/image" Target="media/image508.png"/><Relationship Id="rId542" Type="http://schemas.openxmlformats.org/officeDocument/2006/relationships/image" Target="media/image509.png"/><Relationship Id="rId543" Type="http://schemas.openxmlformats.org/officeDocument/2006/relationships/image" Target="media/image510.png"/><Relationship Id="rId544" Type="http://schemas.openxmlformats.org/officeDocument/2006/relationships/image" Target="media/image511.png"/><Relationship Id="rId545" Type="http://schemas.openxmlformats.org/officeDocument/2006/relationships/image" Target="media/image512.png"/><Relationship Id="rId546" Type="http://schemas.openxmlformats.org/officeDocument/2006/relationships/image" Target="media/image513.png"/><Relationship Id="rId547" Type="http://schemas.openxmlformats.org/officeDocument/2006/relationships/image" Target="media/image514.png"/><Relationship Id="rId548" Type="http://schemas.openxmlformats.org/officeDocument/2006/relationships/image" Target="media/image515.png"/><Relationship Id="rId549" Type="http://schemas.openxmlformats.org/officeDocument/2006/relationships/image" Target="media/image516.png"/><Relationship Id="rId550" Type="http://schemas.openxmlformats.org/officeDocument/2006/relationships/image" Target="media/image517.png"/><Relationship Id="rId551" Type="http://schemas.openxmlformats.org/officeDocument/2006/relationships/image" Target="media/image518.png"/><Relationship Id="rId552" Type="http://schemas.openxmlformats.org/officeDocument/2006/relationships/image" Target="media/image519.png"/><Relationship Id="rId553" Type="http://schemas.openxmlformats.org/officeDocument/2006/relationships/image" Target="media/image520.png"/><Relationship Id="rId554" Type="http://schemas.openxmlformats.org/officeDocument/2006/relationships/image" Target="media/image521.png"/><Relationship Id="rId555" Type="http://schemas.openxmlformats.org/officeDocument/2006/relationships/image" Target="media/image522.png"/><Relationship Id="rId556" Type="http://schemas.openxmlformats.org/officeDocument/2006/relationships/image" Target="media/image523.png"/><Relationship Id="rId557" Type="http://schemas.openxmlformats.org/officeDocument/2006/relationships/image" Target="media/image524.png"/><Relationship Id="rId558" Type="http://schemas.openxmlformats.org/officeDocument/2006/relationships/image" Target="media/image525.png"/><Relationship Id="rId559" Type="http://schemas.openxmlformats.org/officeDocument/2006/relationships/image" Target="media/image526.png"/><Relationship Id="rId560" Type="http://schemas.openxmlformats.org/officeDocument/2006/relationships/image" Target="media/image527.png"/><Relationship Id="rId561" Type="http://schemas.openxmlformats.org/officeDocument/2006/relationships/image" Target="media/image528.png"/><Relationship Id="rId562" Type="http://schemas.openxmlformats.org/officeDocument/2006/relationships/image" Target="media/image529.png"/><Relationship Id="rId563" Type="http://schemas.openxmlformats.org/officeDocument/2006/relationships/image" Target="media/image530.png"/><Relationship Id="rId564" Type="http://schemas.openxmlformats.org/officeDocument/2006/relationships/image" Target="media/image531.png"/><Relationship Id="rId565" Type="http://schemas.openxmlformats.org/officeDocument/2006/relationships/image" Target="media/image532.png"/><Relationship Id="rId566" Type="http://schemas.openxmlformats.org/officeDocument/2006/relationships/image" Target="media/image533.png"/><Relationship Id="rId567" Type="http://schemas.openxmlformats.org/officeDocument/2006/relationships/image" Target="media/image534.png"/><Relationship Id="rId568" Type="http://schemas.openxmlformats.org/officeDocument/2006/relationships/image" Target="media/image535.png"/><Relationship Id="rId569" Type="http://schemas.openxmlformats.org/officeDocument/2006/relationships/image" Target="media/image536.png"/><Relationship Id="rId570" Type="http://schemas.openxmlformats.org/officeDocument/2006/relationships/image" Target="media/image537.png"/><Relationship Id="rId571" Type="http://schemas.openxmlformats.org/officeDocument/2006/relationships/image" Target="media/image538.png"/><Relationship Id="rId572" Type="http://schemas.openxmlformats.org/officeDocument/2006/relationships/image" Target="media/image539.png"/><Relationship Id="rId573" Type="http://schemas.openxmlformats.org/officeDocument/2006/relationships/image" Target="media/image540.png"/><Relationship Id="rId574" Type="http://schemas.openxmlformats.org/officeDocument/2006/relationships/image" Target="media/image541.png"/><Relationship Id="rId575" Type="http://schemas.openxmlformats.org/officeDocument/2006/relationships/image" Target="media/image542.png"/><Relationship Id="rId576" Type="http://schemas.openxmlformats.org/officeDocument/2006/relationships/image" Target="media/image543.png"/><Relationship Id="rId577" Type="http://schemas.openxmlformats.org/officeDocument/2006/relationships/image" Target="media/image544.png"/><Relationship Id="rId578" Type="http://schemas.openxmlformats.org/officeDocument/2006/relationships/image" Target="media/image545.png"/><Relationship Id="rId579" Type="http://schemas.openxmlformats.org/officeDocument/2006/relationships/image" Target="media/image546.png"/><Relationship Id="rId580" Type="http://schemas.openxmlformats.org/officeDocument/2006/relationships/image" Target="media/image547.png"/><Relationship Id="rId581" Type="http://schemas.openxmlformats.org/officeDocument/2006/relationships/image" Target="media/image548.png"/><Relationship Id="rId582" Type="http://schemas.openxmlformats.org/officeDocument/2006/relationships/image" Target="media/image549.png"/><Relationship Id="rId583" Type="http://schemas.openxmlformats.org/officeDocument/2006/relationships/image" Target="media/image550.png"/><Relationship Id="rId584" Type="http://schemas.openxmlformats.org/officeDocument/2006/relationships/image" Target="media/image551.png"/><Relationship Id="rId585" Type="http://schemas.openxmlformats.org/officeDocument/2006/relationships/image" Target="media/image552.png"/><Relationship Id="rId586" Type="http://schemas.openxmlformats.org/officeDocument/2006/relationships/image" Target="media/image553.png"/><Relationship Id="rId587" Type="http://schemas.openxmlformats.org/officeDocument/2006/relationships/image" Target="media/image554.png"/><Relationship Id="rId588" Type="http://schemas.openxmlformats.org/officeDocument/2006/relationships/image" Target="media/image555.png"/><Relationship Id="rId589" Type="http://schemas.openxmlformats.org/officeDocument/2006/relationships/image" Target="media/image556.png"/><Relationship Id="rId590" Type="http://schemas.openxmlformats.org/officeDocument/2006/relationships/image" Target="media/image557.png"/><Relationship Id="rId591" Type="http://schemas.openxmlformats.org/officeDocument/2006/relationships/image" Target="media/image558.png"/><Relationship Id="rId592" Type="http://schemas.openxmlformats.org/officeDocument/2006/relationships/image" Target="media/image559.png"/><Relationship Id="rId593" Type="http://schemas.openxmlformats.org/officeDocument/2006/relationships/image" Target="media/image560.png"/><Relationship Id="rId594" Type="http://schemas.openxmlformats.org/officeDocument/2006/relationships/image" Target="media/image561.png"/><Relationship Id="rId595" Type="http://schemas.openxmlformats.org/officeDocument/2006/relationships/image" Target="media/image562.png"/><Relationship Id="rId596" Type="http://schemas.openxmlformats.org/officeDocument/2006/relationships/image" Target="media/image563.png"/><Relationship Id="rId597" Type="http://schemas.openxmlformats.org/officeDocument/2006/relationships/image" Target="media/image564.png"/><Relationship Id="rId598" Type="http://schemas.openxmlformats.org/officeDocument/2006/relationships/image" Target="media/image565.jpeg"/><Relationship Id="rId599" Type="http://schemas.openxmlformats.org/officeDocument/2006/relationships/image" Target="media/image566.png"/><Relationship Id="rId600" Type="http://schemas.openxmlformats.org/officeDocument/2006/relationships/image" Target="media/image567.png"/><Relationship Id="rId601" Type="http://schemas.openxmlformats.org/officeDocument/2006/relationships/image" Target="media/image568.png"/><Relationship Id="rId602" Type="http://schemas.openxmlformats.org/officeDocument/2006/relationships/image" Target="media/image569.png"/><Relationship Id="rId603" Type="http://schemas.openxmlformats.org/officeDocument/2006/relationships/image" Target="media/image570.png"/><Relationship Id="rId604" Type="http://schemas.openxmlformats.org/officeDocument/2006/relationships/image" Target="media/image571.png"/><Relationship Id="rId605" Type="http://schemas.openxmlformats.org/officeDocument/2006/relationships/image" Target="media/image572.png"/><Relationship Id="rId163" Type="http://schemas.openxmlformats.org/officeDocument/2006/relationships/hyperlink" Target="https://www.sec.gov/Archives/edgar/data/0001832038/000119312521242044/d211424dex31.htm" TargetMode="External"/><Relationship Id="rId164" Type="http://schemas.openxmlformats.org/officeDocument/2006/relationships/hyperlink" Target="https://www.sec.gov/Archives/edgar/data/1832038/000119312522243285/d388436dex31.htm" TargetMode="External"/><Relationship Id="rId165" Type="http://schemas.openxmlformats.org/officeDocument/2006/relationships/hyperlink" Target="https://www.sec.gov/Archives/edgar/data/1832038/000119312523154233/d473409dex31.htm" TargetMode="External"/><Relationship Id="rId166" Type="http://schemas.openxmlformats.org/officeDocument/2006/relationships/hyperlink" Target="https://www.sec.gov/Archives/edgar/data/1832038/000119312522243285/d388436dex32.htm" TargetMode="External"/><Relationship Id="rId167" Type="http://schemas.openxmlformats.org/officeDocument/2006/relationships/hyperlink" Target="https://www.sec.gov/Archives/edgar/data/1832038/000119312523154233/d473409dex32.htm" TargetMode="External"/><Relationship Id="rId168" Type="http://schemas.openxmlformats.org/officeDocument/2006/relationships/hyperlink" Target="https://www.sec.gov/Archives/edgar/data/1832038/000119312522253372/d392092dex33.htm" TargetMode="External"/><Relationship Id="rId169" Type="http://schemas.openxmlformats.org/officeDocument/2006/relationships/hyperlink" Target="https://www.sec.gov/Archives/edgar/data/0001832038/000119312521217506/d549501dex41.htm" TargetMode="External"/><Relationship Id="rId170" Type="http://schemas.openxmlformats.org/officeDocument/2006/relationships/hyperlink" Target="https://www.sec.gov/Archives/edgar/data/1832038/000095017023009516/ivvd-ex4_3.htm" TargetMode="External"/><Relationship Id="rId171" Type="http://schemas.openxmlformats.org/officeDocument/2006/relationships/hyperlink" Target="https://www.sec.gov/Archives/edgar/data/1832038/000095017022024516/ivvd-ex10_4.htm" TargetMode="External"/><Relationship Id="rId172" Type="http://schemas.openxmlformats.org/officeDocument/2006/relationships/hyperlink" Target="https://www.sec.gov/Archives/edgar/data/1832038/000095017022024516/ivvd-ex10_6.htm" TargetMode="External"/><Relationship Id="rId173" Type="http://schemas.openxmlformats.org/officeDocument/2006/relationships/hyperlink" Target="https://www.sec.gov/Archives/edgar/data/1832038/000119312522187977/d304609dex101.htm" TargetMode="External"/><Relationship Id="rId174" Type="http://schemas.openxmlformats.org/officeDocument/2006/relationships/hyperlink" Target="https://www.sec.gov/Archives/edgar/data/1832038/000095017023041352/ivvd-ex10_1.htm" TargetMode="External"/><Relationship Id="rId175" Type="http://schemas.openxmlformats.org/officeDocument/2006/relationships/hyperlink" Target="https://www.sec.gov/Archives/edgar/data/1832038/000095017022005112/adgi-ex10_11.htm" TargetMode="External"/><Relationship Id="rId178" Type="http://schemas.openxmlformats.org/officeDocument/2006/relationships/hyperlink" Target="https://www.sec.gov/Archives/edgar/data/1832038/000119312522299428/d422123dex101.htm" TargetMode="External"/><Relationship Id="rId179" Type="http://schemas.openxmlformats.org/officeDocument/2006/relationships/hyperlink" Target="https://www.sec.gov/Archives/edgar/data/1832038/000119312523228074/d539466dex101.htm" TargetMode="External"/><Relationship Id="rId180" Type="http://schemas.openxmlformats.org/officeDocument/2006/relationships/hyperlink" Target="https://www.sec.gov/Archives/edgar/data/1832038/000095017023021235/ivvd-ex10_3.htm" TargetMode="External"/><Relationship Id="rId181" Type="http://schemas.openxmlformats.org/officeDocument/2006/relationships/hyperlink" Target="https://www.sec.gov/Archives/edgar/data/1832038/000119312521217506/d549501dex105.htm" TargetMode="External"/><Relationship Id="rId182" Type="http://schemas.openxmlformats.org/officeDocument/2006/relationships/hyperlink" Target="https://www.sec.gov/Archives/edgar/data/1832038/000119312521217506/d549501dex106.htm" TargetMode="External"/><Relationship Id="rId183" Type="http://schemas.openxmlformats.org/officeDocument/2006/relationships/hyperlink" Target="https://www.sec.gov/Archives/edgar/data/1832038/000095017023009516/ivvd-ex10_13.htm" TargetMode="External"/><Relationship Id="rId184" Type="http://schemas.openxmlformats.org/officeDocument/2006/relationships/hyperlink" Target="https://www.sec.gov/Archives/edgar/data/1832038/000095017023062043/ivvd-ex10_2.htm" TargetMode="External"/><Relationship Id="rId185" Type="http://schemas.openxmlformats.org/officeDocument/2006/relationships/hyperlink" Target="https://www.sec.gov/Archives/edgar/data/1832038/000095017023062043/ivvd-ex10_3.htm" TargetMode="External"/><Relationship Id="rId186" Type="http://schemas.openxmlformats.org/officeDocument/2006/relationships/hyperlink" Target="https://www.sec.gov/Archives/edgar/data/1832038/000119312521217506/d549501dex108.htm" TargetMode="External"/><Relationship Id="rId187" Type="http://schemas.openxmlformats.org/officeDocument/2006/relationships/hyperlink" Target="https://www.sec.gov/Archives/edgar/data/1832038/000095017023009516/ivvd-ex10_16.htm" TargetMode="External"/><Relationship Id="rId188" Type="http://schemas.openxmlformats.org/officeDocument/2006/relationships/hyperlink" Target="https://www.sec.gov/Archives/edgar/data/1832038/000095017023009516/ivvd-ex10_17.htm" TargetMode="External"/><Relationship Id="rId189" Type="http://schemas.openxmlformats.org/officeDocument/2006/relationships/hyperlink" Target="https://www.sec.gov/Archives/edgar/data/1832038/000119312523302195/d547148dex101.htm" TargetMode="External"/><Relationship Id="rId190" Type="http://schemas.openxmlformats.org/officeDocument/2006/relationships/hyperlink" Target="https://www.sec.gov/Archives/edgar/data/1832038/000095017023009516/ivvd-ex21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2024-03-28T06:36:04Z</dcterms:created>
  <dcterms:modified xsi:type="dcterms:W3CDTF">2024-03-28T06:36:04Z</dcterms:modified>
</cp:coreProperties>
</file>