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-223520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2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7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5207635</wp:posOffset>
            </wp:positionH>
            <wp:positionV relativeFrom="paragraph">
              <wp:posOffset>-603250</wp:posOffset>
            </wp:positionV>
            <wp:extent cx="57150" cy="6165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6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3923665</wp:posOffset>
            </wp:positionH>
            <wp:positionV relativeFrom="paragraph">
              <wp:posOffset>-603250</wp:posOffset>
            </wp:positionV>
            <wp:extent cx="57150" cy="616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6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-1701800</wp:posOffset>
            </wp:positionH>
            <wp:positionV relativeFrom="paragraph">
              <wp:posOffset>18415</wp:posOffset>
            </wp:positionV>
            <wp:extent cx="6998335" cy="4918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4918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80"/>
            <w:col w:w="842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Adimab, LLC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spacing w:after="0" w:line="100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Adagio Therapeutics,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ADGI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7 LUCENT DRIVE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08/10/2021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LEBANON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NH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03766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8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gridSpan w:val="9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8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08/10/2021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25,860,700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27,845,995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20" w:type="dxa"/>
            <w:vAlign w:val="bottom"/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7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Series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25,000,000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08/10/2021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43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5,000,000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Series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220,380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08/10/2021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14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44,076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Series C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640,320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08/10/2021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12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128,064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-2296795</wp:posOffset>
            </wp:positionV>
            <wp:extent cx="28575" cy="23025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30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 w:right="300" w:hanging="4"/>
        <w:spacing w:after="0" w:line="269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share of Series A Preferred Stock, Series B Preferred Stock, and Series C Preferred Stock automatically converted, without payment of additional consideration, into Common Stock on a 5:1 basis immediately prior to the closing of the Issuer's initial public offering of its Common Stock and had no expiration date.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Philip Chase, General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08/12/2021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Counsel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80" w:hanging="4"/>
        <w:spacing w:after="0" w:line="321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5672" TargetMode="External"/><Relationship Id="rId13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2021-08-12T20:25:03Z</dcterms:created>
  <dcterms:modified xsi:type="dcterms:W3CDTF">2021-08-12T20:25:03Z</dcterms:modified>
</cp:coreProperties>
</file>