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ivvd-20250407.htm"/>
        <w:bookmarkStart w:id="1" w:name="ksivvd20250407"/>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the Securities Exchange Act of 1934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26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20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200" w:after="283"/>
        <w:jc w:val="left"/>
        <w:rPr/>
      </w:pPr>
      <w:r>
        <w:rPr>
          <w:color w:val="000000"/>
        </w:rPr>
        <w:t xml:space="preserve">☒ </w:t>
      </w:r>
      <w:r>
        <w:rPr>
          <w:rFonts w:ascii="Times New Roman" w:hAnsi="Times New Roman"/>
          <w:color w:val="000000"/>
          <w:sz w:val="20"/>
        </w:rPr>
        <w:t>Definitive Proxy Statement</w:t>
      </w:r>
    </w:p>
    <w:p>
      <w:pPr>
        <w:pStyle w:val="TextBody"/>
        <w:bidi w:val="0"/>
        <w:spacing w:before="200" w:after="283"/>
        <w:jc w:val="left"/>
        <w:rPr/>
      </w:pPr>
      <w:r>
        <w:rPr>
          <w:color w:val="000000"/>
        </w:rPr>
        <w:t xml:space="preserve">☐ </w:t>
      </w:r>
      <w:r>
        <w:rPr>
          <w:rFonts w:ascii="Times New Roman" w:hAnsi="Times New Roman"/>
          <w:color w:val="000000"/>
          <w:sz w:val="20"/>
        </w:rPr>
        <w:t>Definitive Additional Materials</w:t>
      </w:r>
    </w:p>
    <w:p>
      <w:pPr>
        <w:pStyle w:val="TextBody"/>
        <w:bidi w:val="0"/>
        <w:spacing w:before="200" w:after="283"/>
        <w:jc w:val="left"/>
        <w:rPr/>
      </w:pPr>
      <w:r>
        <w:rPr>
          <w:color w:val="000000"/>
        </w:rPr>
        <w:t xml:space="preserve">☐ </w:t>
      </w:r>
      <w:r>
        <w:rPr>
          <w:rFonts w:ascii="Times New Roman" w:hAnsi="Times New Roman"/>
          <w:color w:val="000000"/>
          <w:sz w:val="20"/>
        </w:rPr>
        <w:t>Soliciting Material Pursuant to §240.14a-12</w:t>
      </w:r>
    </w:p>
    <w:p>
      <w:pPr>
        <w:pStyle w:val="TextBody"/>
        <w:pBdr>
          <w:bottom w:val="single" w:sz="4" w:space="1" w:color="000000"/>
        </w:pBdr>
        <w:bidi w:val="0"/>
        <w:spacing w:before="360" w:after="283"/>
        <w:jc w:val="center"/>
        <w:rPr>
          <w:rFonts w:ascii="Times New Roman" w:hAnsi="Times New Roman"/>
          <w:b/>
          <w:color w:val="000000"/>
          <w:sz w:val="40"/>
        </w:rPr>
      </w:pPr>
      <w:r>
        <w:rPr>
          <w:rFonts w:ascii="Times New Roman" w:hAnsi="Times New Roman"/>
          <w:b/>
          <w:color w:val="000000"/>
          <w:sz w:val="40"/>
        </w:rPr>
        <w:t>Invivyd,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20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200" w:after="283"/>
        <w:jc w:val="left"/>
        <w:rPr/>
      </w:pPr>
      <w:r>
        <w:rPr>
          <w:color w:val="000000"/>
        </w:rPr>
        <w:t xml:space="preserve">☒ </w:t>
      </w:r>
      <w:r>
        <w:rPr>
          <w:rFonts w:ascii="Times New Roman" w:hAnsi="Times New Roman"/>
          <w:color w:val="000000"/>
          <w:sz w:val="20"/>
        </w:rPr>
        <w:t>No fee required</w:t>
      </w:r>
    </w:p>
    <w:p>
      <w:pPr>
        <w:pStyle w:val="TextBody"/>
        <w:bidi w:val="0"/>
        <w:spacing w:before="200" w:after="283"/>
        <w:jc w:val="left"/>
        <w:rPr/>
      </w:pPr>
      <w:r>
        <w:rPr>
          <w:color w:val="000000"/>
        </w:rPr>
        <w:t xml:space="preserve">☐ </w:t>
      </w:r>
      <w:r>
        <w:rPr>
          <w:rFonts w:ascii="Times New Roman" w:hAnsi="Times New Roman"/>
          <w:color w:val="000000"/>
          <w:sz w:val="20"/>
        </w:rPr>
        <w:t>Fee paid previously with preliminary materials</w:t>
      </w:r>
    </w:p>
    <w:p>
      <w:pPr>
        <w:pStyle w:val="TextBody"/>
        <w:bidi w:val="0"/>
        <w:spacing w:before="200" w:after="283"/>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2286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342900"/>
                    </a:xfrm>
                    <a:prstGeom prst="rect">
                      <a:avLst/>
                    </a:prstGeom>
                  </pic:spPr>
                </pic:pic>
              </a:graphicData>
            </a:graphic>
          </wp:inline>
        </w:drawing>
      </w:r>
    </w:p>
    <w:p>
      <w:pPr>
        <w:pStyle w:val="TextBody"/>
        <w:bidi w:val="0"/>
        <w:spacing w:before="240" w:after="283"/>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1601 Trapelo Road, Suite 178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Waltham, Massachusetts 02451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To Be Held On Tuesday, May 20, 2025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our Stockholders: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are cordially invited to attend the 2025 Annual Meeting of Stockholders and any adjournments or postponements thereof (the “2025 Annual Meeting” or the “Annual Meeting”) of </w:t>
      </w:r>
      <w:r>
        <w:rPr>
          <w:rFonts w:ascii="Times New Roman" w:hAnsi="Times New Roman"/>
          <w:b/>
          <w:color w:val="000000"/>
          <w:sz w:val="20"/>
        </w:rPr>
        <w:t>INVIVYD, INC.</w:t>
      </w:r>
      <w:r>
        <w:rPr>
          <w:rFonts w:ascii="Times New Roman" w:hAnsi="Times New Roman"/>
          <w:color w:val="000000"/>
          <w:sz w:val="20"/>
        </w:rPr>
        <w:t xml:space="preserve">, a Delaware corporation (the “Company”). The Annual Meeting will be held virtually on Tuesday, May 20, 2025 at 8:30 a.m. Eastern Time at </w:t>
      </w:r>
      <w:r>
        <w:rPr>
          <w:rFonts w:ascii="Times New Roman" w:hAnsi="Times New Roman"/>
          <w:i/>
          <w:color w:val="000000"/>
          <w:sz w:val="20"/>
        </w:rPr>
        <w:t>www.virtualshareholdermeeting.com/IVVD2025</w:t>
      </w:r>
      <w:r>
        <w:rPr>
          <w:rFonts w:ascii="Times New Roman" w:hAnsi="Times New Roman"/>
          <w:color w:val="000000"/>
          <w:sz w:val="20"/>
        </w:rPr>
        <w:t xml:space="preserve">. You will not be able to attend the Annual Meeting in person. The Annual Meeting will be held for the following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To elect the six nominees for director named in the proxy statement accompanying this Notice of Annual Meeting of Stockholders (the “Proxy Statement”) for a one-year term expiring at the 2026 Annual Meeting of Stockholders (the “2026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To ratify the appointment of PricewaterhouseCoopers LLP as the Company’s independent registered public accounting firm for the fiscal year ending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To transact such other business as may properly be brought before the Annual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Board recommends that stockholders vote </w:t>
      </w:r>
      <w:r>
        <w:rPr>
          <w:rFonts w:ascii="Times New Roman" w:hAnsi="Times New Roman"/>
          <w:b/>
          <w:color w:val="000000"/>
          <w:sz w:val="20"/>
          <w:u w:val="single"/>
        </w:rPr>
        <w:t>FOR ALL</w:t>
      </w:r>
      <w:r>
        <w:rPr>
          <w:rFonts w:ascii="Times New Roman" w:hAnsi="Times New Roman"/>
          <w:color w:val="000000"/>
          <w:sz w:val="20"/>
        </w:rPr>
        <w:t xml:space="preserve"> for Proposal No. 1 and </w:t>
      </w:r>
      <w:r>
        <w:rPr>
          <w:rFonts w:ascii="Times New Roman" w:hAnsi="Times New Roman"/>
          <w:b/>
          <w:color w:val="000000"/>
          <w:sz w:val="20"/>
          <w:u w:val="single"/>
        </w:rPr>
        <w:t>FOR</w:t>
      </w:r>
      <w:r>
        <w:rPr>
          <w:rFonts w:ascii="Times New Roman" w:hAnsi="Times New Roman"/>
          <w:color w:val="000000"/>
          <w:sz w:val="20"/>
        </w:rPr>
        <w:t xml:space="preserve"> Proposal No. 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items of business are more fully described in the Proxy Statement, which is incorporated by reference hereto.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This year’s Annual Meeting will be held virtually through a live webcast. You will be able to attend the Annual Meeting, submit questions and vote during the live webcast by visiting </w:t>
      </w:r>
      <w:r>
        <w:rPr>
          <w:rFonts w:ascii="Times New Roman" w:hAnsi="Times New Roman"/>
          <w:i/>
          <w:color w:val="000000"/>
          <w:sz w:val="20"/>
        </w:rPr>
        <w:t>www.virtualshareholdermeeting.com/IVVD2025</w:t>
      </w:r>
      <w:r>
        <w:rPr>
          <w:rFonts w:ascii="Times New Roman" w:hAnsi="Times New Roman"/>
          <w:color w:val="000000"/>
          <w:sz w:val="20"/>
        </w:rPr>
        <w:t xml:space="preserve"> and entering the 16-digit Control Number included in (i) your Notice of Internet Availability of Proxy Materials (the “Notice”), (ii) your proxy card in the enclosed proxy materials or (iii) the instructions that you received via email. Please refer to the additional logistical details and recommendations in the accompanying Proxy Statement. You may log-in to the Annual Meeting beginning at 8:15 a.m. Eastern Time on May 20,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record date for the Annual Meeting is March 21, 2025 (the “Record Date”). Only stockholders of record at the close of business on the Record Date may vote at the Annual Meeting. We will commence mailing the Notice to our stockholders on or about April 7, 2025, which will contain instructions on how to vote at the Annual Meeting as well as how to access the Proxy Statement and our 2024 Annual Report on Form 10-K.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important that your shares be represented at the Annual Meeting regardless of the size of your holdings. Whether or not you plan to attend the Annual Meeting, please provide your proxy by following the instructions described in the Proxy Statement. </w:t>
      </w:r>
    </w:p>
    <w:p>
      <w:pPr>
        <w:pStyle w:val="TextBody"/>
        <w:bidi w:val="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drawing>
                <wp:inline distT="0" distB="0" distL="0" distR="0">
                  <wp:extent cx="16859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428625"/>
                          </a:xfrm>
                          <a:prstGeom prst="rect">
                            <a:avLst/>
                          </a:prstGeom>
                        </pic:spPr>
                      </pic:pic>
                    </a:graphicData>
                  </a:graphic>
                </wp:inline>
              </w:drawing>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Legal Officer and Corporate Secretary</w:t>
            </w:r>
          </w:p>
        </w:tc>
      </w:tr>
      <w:tr>
        <w:trPr/>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Waltham, Massachusetts</w:t>
            </w:r>
          </w:p>
        </w:tc>
      </w:tr>
      <w:tr>
        <w:trPr/>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7, 2025</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of Stockholders to Be Held on Tuesday, May 20, 2025 at 8:30 a.m. Eastern Time online at </w:t>
            </w:r>
            <w:r>
              <w:rPr>
                <w:rFonts w:ascii="Times New Roman" w:hAnsi="Times New Roman"/>
                <w:b/>
                <w:i/>
                <w:color w:val="000000"/>
                <w:sz w:val="20"/>
              </w:rPr>
              <w:t>www.virtualshareholdermeeting.com/IVVD2025</w:t>
            </w:r>
          </w:p>
          <w:p>
            <w:pPr>
              <w:pStyle w:val="TableContents"/>
              <w:bidi w:val="0"/>
              <w:spacing w:before="240" w:after="40"/>
              <w:jc w:val="center"/>
              <w:rPr>
                <w:rFonts w:ascii="Times New Roman" w:hAnsi="Times New Roman"/>
                <w:sz w:val="20"/>
              </w:rPr>
            </w:pPr>
            <w:r>
              <w:rPr>
                <w:rFonts w:ascii="Times New Roman" w:hAnsi="Times New Roman"/>
                <w:b/>
                <w:color w:val="000000"/>
                <w:sz w:val="20"/>
              </w:rPr>
              <w:t xml:space="preserve">Copies of our Proxy Materials, consisting of the Notice of Annual Meeting of Stockholders, the Proxy Statement and Accompanying Form of Proxy Card, and our 2024 Annual Report on Form 10-K, are available free of charge at </w:t>
            </w:r>
            <w:r>
              <w:rPr>
                <w:rFonts w:ascii="Times New Roman" w:hAnsi="Times New Roman"/>
                <w:b/>
                <w:i/>
                <w:color w:val="000000"/>
                <w:sz w:val="20"/>
              </w:rPr>
              <w:t>www.proxyvote.com</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your shares are held in a brokerage account or by another nominee record holder, please be sure to mark your voting choices on the voting instruction form provided to you by your broker, bank or other agent. If you fail to specify your voting instructions, your shares will not be voted on certain proposals due to rules applicable to broker voting, and we may incur additional costs to solicit votes.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1601 Trapelo Road, Suite 178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Waltham, Massachusetts 02451</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FOR THE 2025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AT 8:30 A.M., EASTERN TIME, ON MAY 20, 2025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 THE ANNUAL MEETING TO BE HELD ON MAY 20,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are making this Proxy Statement and the accompanying form of proxy card, and our 2024 Annual Report on Form 10-K (the “Annual Report”), available electronically via the internet at </w:t>
      </w:r>
      <w:r>
        <w:rPr>
          <w:rFonts w:ascii="Times New Roman" w:hAnsi="Times New Roman"/>
          <w:i/>
          <w:color w:val="000000"/>
          <w:sz w:val="20"/>
        </w:rPr>
        <w:t xml:space="preserve">www.proxyvote.com </w:t>
      </w:r>
      <w:r>
        <w:rPr>
          <w:rFonts w:ascii="Times New Roman" w:hAnsi="Times New Roman"/>
          <w:color w:val="000000"/>
          <w:sz w:val="20"/>
        </w:rPr>
        <w:t xml:space="preserve">and our website, </w:t>
      </w:r>
      <w:r>
        <w:rPr>
          <w:rFonts w:ascii="Times New Roman" w:hAnsi="Times New Roman"/>
          <w:i/>
          <w:color w:val="000000"/>
          <w:sz w:val="20"/>
        </w:rPr>
        <w:t>www.invivyd.com</w:t>
      </w:r>
      <w:r>
        <w:rPr>
          <w:rFonts w:ascii="Times New Roman" w:hAnsi="Times New Roman"/>
          <w:color w:val="000000"/>
          <w:sz w:val="20"/>
        </w:rPr>
        <w:t xml:space="preserve">. If you wish to receive a paper or email copy of these documents, please request one by following the instructions contained in the Notice. There is no charge for requesting a copy.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Notice will be mailed to our stockholders on or about April 7, 2025, in connection with the solicitation of proxies on behalf of our Board of Directors (our “Board”) for use at our 2025 Annual Meeting of Stockholders, to be held on Tuesday, May 20, 2025 at 8:30 a.m., Eastern Time, virtually at </w:t>
      </w:r>
      <w:r>
        <w:rPr>
          <w:rFonts w:ascii="Times New Roman" w:hAnsi="Times New Roman"/>
          <w:i/>
          <w:color w:val="000000"/>
          <w:sz w:val="20"/>
        </w:rPr>
        <w:t>www.virtualshareholdermeeting.com/IVVD2025</w:t>
      </w:r>
      <w:r>
        <w:rPr>
          <w:rFonts w:ascii="Times New Roman" w:hAnsi="Times New Roman"/>
          <w:color w:val="000000"/>
          <w:sz w:val="20"/>
        </w:rPr>
        <w:t xml:space="preserve">, and at any adjournment or postponement thereof (the “2025 Annual Meeting” or the “Annual Meeting”). Whether or not you plan to attend the Annual Meeting, please follow the instructions on the Notice so that your shares may be voted at the Annual Meeting. You may submit your proxy by mail, by telephone, or through the internet by following the instructions set forth on the Notice. If you attend the Annual Meeting, you may revoke your previously submitted proxy and vote virtually during the Annual Meeting.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MEETING AGENDA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1"/>
        <w:gridCol w:w="146"/>
        <w:gridCol w:w="466"/>
        <w:gridCol w:w="146"/>
        <w:gridCol w:w="2905"/>
        <w:gridCol w:w="146"/>
        <w:gridCol w:w="2645"/>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Proposals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05"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Voting Standard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45"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Board Recommendation</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Proposal No. 1</w:t>
            </w:r>
            <w:r>
              <w:rPr>
                <w:rFonts w:ascii="Times New Roman" w:hAnsi="Times New Roman"/>
                <w:color w:val="000000"/>
                <w:sz w:val="20"/>
              </w:rPr>
              <w:t>: To elect the six nominees for director named in this Proxy Statement for a one-year term expiring at the 2026 Annual Meeting of Stockholders (the “2026 Annual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six nominees for director receiving the highest number of votes “FOR” election will be elected as directors for a one-year term expiring at the 2026 Annual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FOR ALL” the election of the named director nominees</w:t>
            </w:r>
          </w:p>
        </w:tc>
      </w:tr>
      <w:tr>
        <w:trPr/>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5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Proposal No. 2</w:t>
            </w:r>
            <w:r>
              <w:rPr>
                <w:rFonts w:ascii="Times New Roman" w:hAnsi="Times New Roman"/>
                <w:color w:val="000000"/>
                <w:sz w:val="20"/>
              </w:rPr>
              <w:t>: To ratify the appointment of PricewaterhouseCoopers LLP as the Company’s independent registered public accounting firm for the fiscal year ending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Affirmative vote of the holders of a majority of the shares present by remote communication or represented by proxy and entitled to vote generally on the subject matter.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FOR” the ratification of the appointment of PricewaterhouseCoopers LLP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8"/>
        <w:gridCol w:w="146"/>
        <w:gridCol w:w="1561"/>
      </w:tblGrid>
      <w:tr>
        <w:trPr/>
        <w:tc>
          <w:tcPr>
            <w:tcW w:w="8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questions_and_answers">
              <w:r>
                <w:rPr>
                  <w:rStyle w:val="InternetLink"/>
                  <w:rFonts w:ascii="Times New Roman" w:hAnsi="Times New Roman"/>
                  <w:color w:val="0000FF"/>
                  <w:sz w:val="20"/>
                  <w:u w:val="single"/>
                </w:rPr>
                <w:t>QUESTIONS AND ANSWERS ABOUT THESE PROXY MATERIALS AND VOTING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roposal_no_2">
              <w:r>
                <w:rPr>
                  <w:rStyle w:val="InternetLink"/>
                  <w:rFonts w:ascii="Times New Roman" w:hAnsi="Times New Roman"/>
                  <w:color w:val="0000FF"/>
                  <w:sz w:val="20"/>
                  <w:u w:val="single"/>
                </w:rPr>
                <w:t>PROPOSAL NO. 1 ELECTION OF SIX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roposal_no_3">
              <w:r>
                <w:rPr>
                  <w:rStyle w:val="InternetLink"/>
                  <w:rFonts w:ascii="Times New Roman" w:hAnsi="Times New Roman"/>
                  <w:color w:val="0000FF"/>
                  <w:sz w:val="20"/>
                  <w:u w:val="single"/>
                </w:rPr>
                <w:t>PROPOSAL NO. 2 RATIFICATION OF APPOINTMENT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nformation_regarding">
              <w:r>
                <w:rPr>
                  <w:rStyle w:val="InternetLink"/>
                  <w:rFonts w:ascii="Times New Roman" w:hAnsi="Times New Roman"/>
                  <w:color w:val="0000FF"/>
                  <w:sz w:val="20"/>
                  <w:u w:val="single"/>
                </w:rPr>
                <w:t>INFORMATION REGARDING THE BOARD OF DIRECTORS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10</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the_board_of_director">
              <w:r>
                <w:rPr>
                  <w:rStyle w:val="InternetLink"/>
                  <w:rFonts w:ascii="Times New Roman" w:hAnsi="Times New Roman"/>
                  <w:color w:val="0000FF"/>
                  <w:sz w:val="20"/>
                  <w:u w:val="single"/>
                </w:rPr>
                <w:t>Director Nominees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10</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independence_of_the_board">
              <w:r>
                <w:rPr>
                  <w:rStyle w:val="InternetLink"/>
                  <w:rFonts w:ascii="Times New Roman" w:hAnsi="Times New Roman"/>
                  <w:color w:val="0000FF"/>
                  <w:sz w:val="20"/>
                  <w:u w:val="single"/>
                </w:rPr>
                <w:t>Independence of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no_family_relationships">
              <w:r>
                <w:rPr>
                  <w:rStyle w:val="InternetLink"/>
                  <w:rFonts w:ascii="Times New Roman" w:hAnsi="Times New Roman"/>
                  <w:color w:val="0000FF"/>
                  <w:sz w:val="20"/>
                  <w:u w:val="single"/>
                </w:rPr>
                <w:t>No Family Relationships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board_leadership_structure">
              <w:r>
                <w:rPr>
                  <w:rStyle w:val="InternetLink"/>
                  <w:rFonts w:ascii="Times New Roman" w:hAnsi="Times New Roman"/>
                  <w:color w:val="0000FF"/>
                  <w:sz w:val="20"/>
                  <w:u w:val="single"/>
                </w:rPr>
                <w:t>Board Leadership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role_of_the_board_in_risk_oversight">
              <w:r>
                <w:rPr>
                  <w:rStyle w:val="InternetLink"/>
                  <w:rFonts w:ascii="Times New Roman" w:hAnsi="Times New Roman"/>
                  <w:color w:val="0000FF"/>
                  <w:sz w:val="20"/>
                  <w:u w:val="single"/>
                </w:rPr>
                <w:t>Role of the Board in Risk Oversight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meetings_of_the_board_and_annual_meeting">
              <w:r>
                <w:rPr>
                  <w:rStyle w:val="InternetLink"/>
                  <w:rFonts w:ascii="Times New Roman" w:hAnsi="Times New Roman"/>
                  <w:color w:val="0000FF"/>
                  <w:sz w:val="20"/>
                  <w:u w:val="single"/>
                </w:rPr>
                <w:t>Meetings of the Board and Annual Meeting Attendance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information_regarding_committees_ofboard">
              <w:r>
                <w:rPr>
                  <w:rStyle w:val="InternetLink"/>
                  <w:rFonts w:ascii="Times New Roman" w:hAnsi="Times New Roman"/>
                  <w:color w:val="0000FF"/>
                  <w:sz w:val="20"/>
                  <w:u w:val="single"/>
                </w:rPr>
                <w:t>Information Regarding Committees of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12</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audit_committee">
              <w:r>
                <w:rPr>
                  <w:rStyle w:val="InternetLink"/>
                  <w:rFonts w:ascii="Times New Roman" w:hAnsi="Times New Roman"/>
                  <w:color w:val="0000FF"/>
                  <w:sz w:val="20"/>
                  <w:u w:val="single"/>
                </w:rPr>
                <w:t>Audit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14</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report_of_the_audit_committee">
              <w:r>
                <w:rPr>
                  <w:rStyle w:val="InternetLink"/>
                  <w:rFonts w:ascii="Times New Roman" w:hAnsi="Times New Roman"/>
                  <w:color w:val="0000FF"/>
                  <w:sz w:val="20"/>
                  <w:u w:val="single"/>
                </w:rPr>
                <w:t>Report of the Audit Committee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15</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compensation_committee">
              <w:r>
                <w:rPr>
                  <w:rStyle w:val="InternetLink"/>
                  <w:rFonts w:ascii="Times New Roman" w:hAnsi="Times New Roman"/>
                  <w:color w:val="0000FF"/>
                  <w:sz w:val="20"/>
                  <w:u w:val="single"/>
                </w:rPr>
                <w:t>Compensation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15</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nominating_and_corporate_governance">
              <w:r>
                <w:rPr>
                  <w:rStyle w:val="InternetLink"/>
                  <w:rFonts w:ascii="Times New Roman" w:hAnsi="Times New Roman"/>
                  <w:color w:val="0000FF"/>
                  <w:sz w:val="20"/>
                  <w:u w:val="single"/>
                </w:rPr>
                <w:t>Nominating and Corporate Governance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stockholder_communications_with_board">
              <w:r>
                <w:rPr>
                  <w:rStyle w:val="InternetLink"/>
                  <w:rFonts w:ascii="Times New Roman" w:hAnsi="Times New Roman"/>
                  <w:color w:val="0000FF"/>
                  <w:sz w:val="20"/>
                  <w:u w:val="single"/>
                </w:rPr>
                <w:t>Stockholder Communications with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insider_trading_prevention_policy">
              <w:r>
                <w:rPr>
                  <w:rStyle w:val="InternetLink"/>
                  <w:rFonts w:ascii="Times New Roman" w:hAnsi="Times New Roman"/>
                  <w:color w:val="0000FF"/>
                  <w:sz w:val="20"/>
                  <w:u w:val="single"/>
                </w:rPr>
                <w:t>Insider Trading Prevention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hedging_policy">
              <w:r>
                <w:rPr>
                  <w:rStyle w:val="InternetLink"/>
                  <w:rFonts w:ascii="Times New Roman" w:hAnsi="Times New Roman"/>
                  <w:color w:val="0000FF"/>
                  <w:sz w:val="20"/>
                  <w:u w:val="single"/>
                </w:rPr>
                <w:t>Hedging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clawback_policy">
              <w:r>
                <w:rPr>
                  <w:rStyle w:val="InternetLink"/>
                  <w:rFonts w:ascii="Times New Roman" w:hAnsi="Times New Roman"/>
                  <w:color w:val="0000FF"/>
                  <w:sz w:val="20"/>
                  <w:u w:val="single"/>
                </w:rPr>
                <w:t>Clawback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executive_of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19</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21</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24</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summary_compensation_table">
              <w:r>
                <w:rPr>
                  <w:rStyle w:val="InternetLink"/>
                  <w:rFonts w:ascii="Times New Roman" w:hAnsi="Times New Roman"/>
                  <w:color w:val="0000FF"/>
                  <w:sz w:val="20"/>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24</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narrative_to_summary_compensation_table">
              <w:r>
                <w:rPr>
                  <w:rStyle w:val="InternetLink"/>
                  <w:rFonts w:ascii="Times New Roman" w:hAnsi="Times New Roman"/>
                  <w:color w:val="0000FF"/>
                  <w:sz w:val="20"/>
                  <w:u w:val="single"/>
                </w:rPr>
                <w:t>Narrative To 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25</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annual_base_salary">
              <w:r>
                <w:rPr>
                  <w:rStyle w:val="InternetLink"/>
                  <w:rFonts w:ascii="Times New Roman" w:hAnsi="Times New Roman"/>
                  <w:color w:val="0000FF"/>
                  <w:sz w:val="20"/>
                  <w:u w:val="single"/>
                </w:rPr>
                <w:t>Annual Base Salary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25</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bonus_compensation">
              <w:r>
                <w:rPr>
                  <w:rStyle w:val="InternetLink"/>
                  <w:rFonts w:ascii="Times New Roman" w:hAnsi="Times New Roman"/>
                  <w:color w:val="0000FF"/>
                  <w:sz w:val="20"/>
                  <w:u w:val="single"/>
                </w:rPr>
                <w:t>Bonus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26</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non_equity_incentive_plan_compensation">
              <w:r>
                <w:rPr>
                  <w:rStyle w:val="InternetLink"/>
                  <w:rFonts w:ascii="Times New Roman" w:hAnsi="Times New Roman"/>
                  <w:color w:val="0000FF"/>
                  <w:sz w:val="20"/>
                  <w:u w:val="single"/>
                </w:rPr>
                <w:t>Non-Equity Incentive Plan Compensation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26</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equity_based_awards">
              <w:r>
                <w:rPr>
                  <w:rStyle w:val="InternetLink"/>
                  <w:rFonts w:ascii="Times New Roman" w:hAnsi="Times New Roman"/>
                  <w:color w:val="0000FF"/>
                  <w:sz w:val="20"/>
                  <w:u w:val="single"/>
                </w:rPr>
                <w:t>Equity-Based Awards and Policies and Practices Related to the Grant of Certain Equity Awards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27</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outstanding_equity_awards">
              <w:r>
                <w:rPr>
                  <w:rStyle w:val="InternetLink"/>
                  <w:rFonts w:ascii="Times New Roman" w:hAnsi="Times New Roman"/>
                  <w:color w:val="0000FF"/>
                  <w:sz w:val="20"/>
                  <w:u w:val="single"/>
                </w:rPr>
                <w:t>Outstanding Equity Awards as of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28</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retirement_benefits_and_other">
              <w:r>
                <w:rPr>
                  <w:rStyle w:val="InternetLink"/>
                  <w:rFonts w:ascii="Times New Roman" w:hAnsi="Times New Roman"/>
                  <w:color w:val="0000FF"/>
                  <w:sz w:val="20"/>
                  <w:u w:val="single"/>
                </w:rPr>
                <w:t>Retirement Benefits and Other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28</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current_employment_agreements_with_david">
              <w:r>
                <w:rPr>
                  <w:rStyle w:val="InternetLink"/>
                  <w:rFonts w:ascii="Times New Roman" w:hAnsi="Times New Roman"/>
                  <w:color w:val="0000FF"/>
                  <w:sz w:val="20"/>
                  <w:u w:val="single"/>
                </w:rPr>
                <w:t>Current Employment Agreements with William Duke, Jr., M.B.A., Julie Green, M.B.A. and Timothy Lee</w:t>
              </w:r>
            </w:hyperlink>
            <w:hyperlink w:anchor="current_employment_agreements_with_david">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28</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prior_employment_agreements">
              <w:r>
                <w:rPr>
                  <w:rStyle w:val="InternetLink"/>
                  <w:rFonts w:ascii="Times New Roman" w:hAnsi="Times New Roman"/>
                  <w:color w:val="0000FF"/>
                  <w:sz w:val="20"/>
                  <w:u w:val="single"/>
                </w:rPr>
                <w:t>Prior Employment Agreements with David Hering, M.B.A. and Jeremy Gowler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29</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potential_payments_upon_termination">
              <w:r>
                <w:rPr>
                  <w:rStyle w:val="InternetLink"/>
                  <w:rFonts w:ascii="Times New Roman" w:hAnsi="Times New Roman"/>
                  <w:color w:val="0000FF"/>
                  <w:sz w:val="20"/>
                  <w:u w:val="single"/>
                </w:rPr>
                <w:t>Potential Payments Upon Termination or Change in Control</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29</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irector_compensation">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31</w:t>
            </w:r>
          </w:p>
        </w:tc>
      </w:tr>
      <w:tr>
        <w:trPr/>
        <w:tc>
          <w:tcPr>
            <w:tcW w:w="8498" w:type="dxa"/>
            <w:tcBorders/>
            <w:tcMar>
              <w:top w:w="0" w:type="dxa"/>
              <w:left w:w="0" w:type="dxa"/>
              <w:bottom w:w="0" w:type="dxa"/>
              <w:right w:w="0" w:type="dxa"/>
            </w:tcMar>
            <w:vAlign w:val="center"/>
          </w:tcPr>
          <w:p>
            <w:pPr>
              <w:pStyle w:val="TableContents"/>
              <w:pBdr/>
              <w:bidi w:val="0"/>
              <w:spacing w:before="0" w:after="283"/>
              <w:ind w:left="960" w:right="0" w:hanging="240"/>
              <w:jc w:val="left"/>
              <w:rPr/>
            </w:pPr>
            <w:hyperlink w:anchor="narrative_to_director_compensation_table">
              <w:r>
                <w:rPr>
                  <w:rStyle w:val="InternetLink"/>
                  <w:rFonts w:ascii="Times New Roman" w:hAnsi="Times New Roman"/>
                  <w:color w:val="0000FF"/>
                  <w:sz w:val="20"/>
                  <w:u w:val="single"/>
                </w:rPr>
                <w:t>Narrative to Director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securities_authorized_for_issuance">
              <w:r>
                <w:rPr>
                  <w:rStyle w:val="InternetLink"/>
                  <w:rFonts w:ascii="Times New Roman" w:hAnsi="Times New Roman"/>
                  <w:color w:val="0000FF"/>
                  <w:sz w:val="20"/>
                  <w:u w:val="single"/>
                </w:rPr>
                <w:t>SECURITIES AUTHORIZED FOR ISSUANCE UNDER EQUITY COMPENSATION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transactions_with_related_persons">
              <w:r>
                <w:rPr>
                  <w:rStyle w:val="InternetLink"/>
                  <w:rFonts w:ascii="Times New Roman" w:hAnsi="Times New Roman"/>
                  <w:color w:val="0000FF"/>
                  <w:sz w:val="20"/>
                  <w:u w:val="single"/>
                </w:rPr>
                <w:t>TRANSACTIONS WITH RELATED PERSONS AND INDEMNIFICATION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34</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related_person_transactions_policy">
              <w:r>
                <w:rPr>
                  <w:rStyle w:val="InternetLink"/>
                  <w:rFonts w:ascii="Times New Roman" w:hAnsi="Times New Roman"/>
                  <w:color w:val="0000FF"/>
                  <w:sz w:val="20"/>
                  <w:u w:val="single"/>
                </w:rPr>
                <w:t>Related Person Transactions Policy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34</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certain_related_person_transactions">
              <w:r>
                <w:rPr>
                  <w:rStyle w:val="InternetLink"/>
                  <w:rFonts w:ascii="Times New Roman" w:hAnsi="Times New Roman"/>
                  <w:color w:val="0000FF"/>
                  <w:sz w:val="20"/>
                  <w:u w:val="single"/>
                </w:rPr>
                <w:t>Certain 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34</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agreements_with_php">
              <w:r>
                <w:rPr>
                  <w:rStyle w:val="InternetLink"/>
                  <w:rFonts w:ascii="Times New Roman" w:hAnsi="Times New Roman"/>
                  <w:color w:val="0000FF"/>
                  <w:sz w:val="20"/>
                  <w:u w:val="single"/>
                </w:rPr>
                <w:t>Agreements with PHP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34</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agreements_with_adimab">
              <w:r>
                <w:rPr>
                  <w:rStyle w:val="InternetLink"/>
                  <w:rFonts w:ascii="Times New Roman" w:hAnsi="Times New Roman"/>
                  <w:color w:val="0000FF"/>
                  <w:sz w:val="20"/>
                  <w:u w:val="single"/>
                </w:rPr>
                <w:t>Agreements with Adimab</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35</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investors_rights_voting_and_right">
              <w:r>
                <w:rPr>
                  <w:rStyle w:val="InternetLink"/>
                  <w:rFonts w:ascii="Times New Roman" w:hAnsi="Times New Roman"/>
                  <w:color w:val="0000FF"/>
                  <w:sz w:val="20"/>
                  <w:u w:val="single"/>
                </w:rPr>
                <w:t>Investors’ Rights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38</w:t>
            </w:r>
          </w:p>
        </w:tc>
      </w:tr>
      <w:tr>
        <w:trPr/>
        <w:tc>
          <w:tcPr>
            <w:tcW w:w="8498" w:type="dxa"/>
            <w:tcBorders/>
            <w:tcMar>
              <w:top w:w="0" w:type="dxa"/>
              <w:left w:w="0" w:type="dxa"/>
              <w:bottom w:w="0" w:type="dxa"/>
              <w:right w:w="0" w:type="dxa"/>
            </w:tcMar>
            <w:vAlign w:val="center"/>
          </w:tcPr>
          <w:p>
            <w:pPr>
              <w:pStyle w:val="TableContents"/>
              <w:pBdr/>
              <w:bidi w:val="0"/>
              <w:spacing w:before="0" w:after="283"/>
              <w:ind w:left="480" w:right="0" w:hanging="240"/>
              <w:jc w:val="left"/>
              <w:rPr/>
            </w:pPr>
            <w:hyperlink w:anchor="indemnification">
              <w:r>
                <w:rPr>
                  <w:rStyle w:val="InternetLink"/>
                  <w:rFonts w:ascii="Times New Roman" w:hAnsi="Times New Roman"/>
                  <w:color w:val="0000FF"/>
                  <w:sz w:val="20"/>
                  <w:u w:val="single"/>
                </w:rPr>
                <w:t>Indemnification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eadline_for_submission_of_stockholder">
              <w:r>
                <w:rPr>
                  <w:rStyle w:val="InternetLink"/>
                  <w:rFonts w:ascii="Times New Roman" w:hAnsi="Times New Roman"/>
                  <w:color w:val="0000FF"/>
                  <w:sz w:val="20"/>
                  <w:u w:val="single"/>
                </w:rPr>
                <w:t>DEADLINE FOR SUBMISSION OF STOCKHOLDER PROPOSALS FOR 2026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8498"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delivery_of_documents_to_stockholders">
              <w:r>
                <w:rPr>
                  <w:rStyle w:val="InternetLink"/>
                  <w:rFonts w:ascii="Times New Roman" w:hAnsi="Times New Roman"/>
                  <w:color w:val="0000FF"/>
                  <w:sz w:val="20"/>
                  <w:u w:val="single"/>
                </w:rPr>
                <w:t>DELIVERY OF DOCUMENTS TO STOCKHOLDERS SHARING AN ADDRESS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questions_and_answers"/>
      <w:bookmarkEnd w:id="3"/>
      <w:r>
        <w:rPr>
          <w:rFonts w:ascii="Times New Roman" w:hAnsi="Times New Roman"/>
          <w:b/>
          <w:color w:val="000000"/>
          <w:sz w:val="20"/>
        </w:rPr>
        <w:t>QUESTIONS AND ANSWERS ABOUT THESE PROXY MATERIALS AND VOTING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360" w:after="283"/>
        <w:jc w:val="left"/>
        <w:rPr>
          <w:rFonts w:ascii="Times New Roman" w:hAnsi="Times New Roman"/>
          <w:sz w:val="20"/>
        </w:rPr>
      </w:pPr>
      <w:r>
        <w:rPr>
          <w:rFonts w:ascii="Times New Roman" w:hAnsi="Times New Roman"/>
          <w:b/>
          <w:color w:val="000000"/>
          <w:sz w:val="20"/>
        </w:rPr>
        <w:t>Q: What am I being asked to vote 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There are two matters scheduled for a vote at the Annual Meeting, which are described in more detail below in this Proxy Statement: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Proposal No. 1</w:t>
      </w:r>
      <w:r>
        <w:rPr>
          <w:rFonts w:ascii="Times New Roman" w:hAnsi="Times New Roman"/>
          <w:color w:val="000000"/>
          <w:sz w:val="20"/>
        </w:rPr>
        <w:t xml:space="preserve">: Election of the six nominees for director named in this Proxy Statement for a one-year term expiring at the 2026 Annual Meeting (“Proposal No. 1”);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Proposal No. 2</w:t>
      </w:r>
      <w:r>
        <w:rPr>
          <w:rFonts w:ascii="Times New Roman" w:hAnsi="Times New Roman"/>
          <w:color w:val="000000"/>
          <w:sz w:val="20"/>
        </w:rPr>
        <w:t xml:space="preserve">: Ratification of the appointment of PricewaterhouseCoopers LLP as the Company’s independent registered public accounting firm for the fiscal year ending December 31, 2025 (“Proposal No. 2”). </w:t>
      </w:r>
    </w:p>
    <w:p>
      <w:pPr>
        <w:pStyle w:val="TextBody"/>
        <w:bidi w:val="0"/>
        <w:spacing w:before="360" w:after="283"/>
        <w:jc w:val="left"/>
        <w:rPr>
          <w:rFonts w:ascii="Times New Roman" w:hAnsi="Times New Roman"/>
          <w:sz w:val="20"/>
        </w:rPr>
      </w:pPr>
      <w:r>
        <w:rPr>
          <w:rFonts w:ascii="Times New Roman" w:hAnsi="Times New Roman"/>
          <w:b/>
          <w:color w:val="000000"/>
          <w:sz w:val="20"/>
        </w:rPr>
        <w:t>Q: How many votes are needed to approve each proposal?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For Proposal No. 1, the six nominees receiving the highest number of “FOR” votes from the holders of shares present or represented by proxy and entitled to vote on the election of directors will be elected for a one-year term expiring at the 2026 Annual Meeting. You may choose to vote or withhold your vote for one or more of such nominees. Withholding a vote from a director nominee will not be voted with respect to the director nominee indicated and will have no impact on the election of directors, although it will be counted for purposes of establishing a quorum. Broker non-votes will have no effect on the outcome of Proposal No. 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Proposal No. 2, ratification of the appointment of PricewaterhouseCoopers LLP as the Company’s independent registered public accounting firm for the fiscal year ending December 31, 2025, the affirmative vote of the holders of a majority of the shares present by remote communication or represented by proxy and entitled to vote generally on the subject matter is required for approval. Abstentions will have the same effect as votes “Against” Proposal No. 2. There will be no broker non-votes with respect to Proposal No. 2. </w:t>
      </w:r>
    </w:p>
    <w:p>
      <w:pPr>
        <w:pStyle w:val="TextBody"/>
        <w:bidi w:val="0"/>
        <w:spacing w:before="360" w:after="283"/>
        <w:jc w:val="left"/>
        <w:rPr>
          <w:rFonts w:ascii="Times New Roman" w:hAnsi="Times New Roman"/>
          <w:sz w:val="20"/>
        </w:rPr>
      </w:pPr>
      <w:r>
        <w:rPr>
          <w:rFonts w:ascii="Times New Roman" w:hAnsi="Times New Roman"/>
          <w:b/>
          <w:color w:val="000000"/>
          <w:sz w:val="20"/>
        </w:rPr>
        <w:t>Q: What are the recommendations of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Our Board unanimously recommends that you vote your shares as follows: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FOR ALL” the election of the six director nominees to our Board for a one-year term expiring at the 2026 Annual Meeting;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FOR” the ratification of the appointment of PricewaterhouseCoopers LLP as our independent registered public accounting firm for the fiscal year ending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Q: Who can attend the Annual Meeting, and how do I attend?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All stockholders are invited to attend the Annual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Annual Meeting is a virtual only meeting held through a live webcast at </w:t>
      </w:r>
      <w:r>
        <w:rPr>
          <w:rFonts w:ascii="Times New Roman" w:hAnsi="Times New Roman"/>
          <w:i/>
          <w:color w:val="000000"/>
          <w:sz w:val="20"/>
        </w:rPr>
        <w:t>www.virtualshareholdermeeting.com/IVVD2025</w:t>
      </w:r>
      <w:r>
        <w:rPr>
          <w:rFonts w:ascii="Times New Roman" w:hAnsi="Times New Roman"/>
          <w:color w:val="000000"/>
          <w:sz w:val="20"/>
        </w:rPr>
        <w:t xml:space="preserve">. You will not be able to attend the Annual Meeting in person.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are entitled to attend and ask questions at the Annual Meeting if you were a stockholder as of the close of business on the Record Date (i.e., March 21, 2025). To be admitted to the Annual Meeting, you will need to visit </w:t>
      </w:r>
      <w:r>
        <w:rPr>
          <w:rFonts w:ascii="Times New Roman" w:hAnsi="Times New Roman"/>
          <w:i/>
          <w:color w:val="000000"/>
          <w:sz w:val="20"/>
        </w:rPr>
        <w:t>www.virtualshareholdermeeting.com/IVVD2025</w:t>
      </w:r>
      <w:r>
        <w:rPr>
          <w:rFonts w:ascii="Times New Roman" w:hAnsi="Times New Roman"/>
          <w:color w:val="000000"/>
          <w:sz w:val="20"/>
        </w:rPr>
        <w:t xml:space="preserve"> and enter the 16-digit Control Number found next to the label “Control Number” on your Notice, your proxy card, or in the email in which this Proxy Statement was sent to you. If you are a beneficial stockholder, you should contact the bank, broker or other institution where you hold your account well in advance of the Annual Meeting if you have questions about obtaining your Control Number or voting instruction form to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or not you attend the Annual Meeting, it is important that you submit your proxy so that your shares are voted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encourage you to access the Annual Meeting before it begins. Online check-in will begin at 8:15 a.m. Eastern Time on May 20,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you were not a stockholder as of the Record Date, or you do not log-in using your Control Number, you will be able to log-in as a guest by visiting </w:t>
      </w:r>
      <w:r>
        <w:rPr>
          <w:rFonts w:ascii="Times New Roman" w:hAnsi="Times New Roman"/>
          <w:i/>
          <w:color w:val="000000"/>
          <w:sz w:val="20"/>
        </w:rPr>
        <w:t>www.virtualshareholdermeeting.com/IVVD2025</w:t>
      </w:r>
      <w:r>
        <w:rPr>
          <w:rFonts w:ascii="Times New Roman" w:hAnsi="Times New Roman"/>
          <w:color w:val="000000"/>
          <w:sz w:val="20"/>
        </w:rPr>
        <w:t xml:space="preserve"> and registering as a guest. Please note that if you log-in as a guest, you will not be able to vote your shares or ask questions during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Q: Who can vote at the Annual Meeting, and how many shares can they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Only stockholders of record at the close of business on the Record Date will be entitled to vote at the Annual Meeting. At the close of business on the Record Date, there were 119,961,445 shares of common stock outstanding and entitled to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stockholder entitled to vote at the Annual Meeting may cast one vote for each share of common stock owned by him, her or it that has voting power upon each matter considered at the Annual Meeting. Our stockholders do not have the right to cumulate their votes in the election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Q: How can I see who is entitled to vote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For a period of ten days ending on the day before the date of the Annual Meeting, a list of our record stockholders as of the close of business on the Record Date will be available for examination by any stockholder of record for any purpose germane to the Annual Meeting at our corporate headquarters during regular business hours. Please contact our Corporate Secretary at Invivyd, Inc., 1601 Trapelo Road, Suite 178, Waltham, Massachusetts 02451, Attn: Corporate Secretary, (781) 819-0080 to make arrangements to inspect the list. </w:t>
      </w:r>
    </w:p>
    <w:p>
      <w:pPr>
        <w:pStyle w:val="TextBody"/>
        <w:bidi w:val="0"/>
        <w:spacing w:before="360" w:after="283"/>
        <w:jc w:val="left"/>
        <w:rPr>
          <w:rFonts w:ascii="Times New Roman" w:hAnsi="Times New Roman"/>
          <w:sz w:val="20"/>
        </w:rPr>
      </w:pPr>
      <w:r>
        <w:rPr>
          <w:rFonts w:ascii="Times New Roman" w:hAnsi="Times New Roman"/>
          <w:b/>
          <w:color w:val="000000"/>
          <w:sz w:val="20"/>
        </w:rPr>
        <w:t>Q: Where can I get technical assistance during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Annual Meeting platform is fully supported across browsers and devices running the most updated version of applicable software and plugins. Attendees should ensure they have a strong internet connection, allow plenty of time to log in, and can hear streaming audio prior to the start of the Annual Meeting. </w:t>
      </w:r>
    </w:p>
    <w:p>
      <w:pPr>
        <w:pStyle w:val="TextBody"/>
        <w:bidi w:val="0"/>
        <w:spacing w:before="240" w:after="283"/>
        <w:jc w:val="left"/>
        <w:rPr>
          <w:rFonts w:ascii="Times New Roman" w:hAnsi="Times New Roman"/>
          <w:sz w:val="20"/>
        </w:rPr>
      </w:pPr>
      <w:r>
        <w:rPr>
          <w:rFonts w:ascii="Times New Roman" w:hAnsi="Times New Roman"/>
          <w:color w:val="000000"/>
          <w:sz w:val="20"/>
        </w:rPr>
        <w:t>If you have difficulty accessing the Annual Meeting or experience technical difficulties during the Annual Meeting, please call the toll-free number that will be available on our virtual stockholder login site (</w:t>
      </w:r>
      <w:r>
        <w:rPr>
          <w:rFonts w:ascii="Times New Roman" w:hAnsi="Times New Roman"/>
          <w:i/>
          <w:color w:val="000000"/>
          <w:sz w:val="20"/>
        </w:rPr>
        <w:t>www.virtualshareholdermeeting.com/IVVD2025</w:t>
      </w:r>
      <w:r>
        <w:rPr>
          <w:rFonts w:ascii="Times New Roman" w:hAnsi="Times New Roman"/>
          <w:color w:val="000000"/>
          <w:sz w:val="20"/>
        </w:rPr>
        <w:t xml:space="preserve">) for assistance. Technicians will be available to help you with any technical difficulties you may have beginning 15 minutes prior to the start of the Annual Meeting, and technicians will be available through the conclusion of the Annual Meeting. Additional information regarding matters addressing technical and logistical issues, including technical support during the Annual Meeting, will be available on the Annual Meeting website. </w:t>
      </w:r>
    </w:p>
    <w:p>
      <w:pPr>
        <w:pStyle w:val="TextBody"/>
        <w:bidi w:val="0"/>
        <w:spacing w:before="360" w:after="283"/>
        <w:jc w:val="left"/>
        <w:rPr>
          <w:rFonts w:ascii="Times New Roman" w:hAnsi="Times New Roman"/>
          <w:sz w:val="20"/>
        </w:rPr>
      </w:pPr>
      <w:r>
        <w:rPr>
          <w:rFonts w:ascii="Times New Roman" w:hAnsi="Times New Roman"/>
          <w:b/>
          <w:color w:val="000000"/>
          <w:sz w:val="20"/>
        </w:rPr>
        <w:t>Q: Why is the Annual Meeting online, and will I still have the same participation rights as I would have at an in-person stockholder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By hosting the Annual Meeting online, we are able to communicate more effectively with our stockholders, enable increased attendance and participation from locations around the world, reduce costs and increase overall efficiency and safety for us and our stockholders. The virtual Annual Meeting has been designed to provide the same rights to participate as you would have at an in-person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voting online during the Annual Meeting or changing a vote you may have submitted previously by following the methods described in this Proxy Statement, stockholders who attend the Annual Meeting and log in using their Control Number will have an opportunity to submit questions online during a portion of the Annual Meeting. Instructions for submitting a question during the Annual Meeting will be provided on the Annual Meeting website. We will endeavor to answer as many submitted questions as time permits; however, we reserve the right to exclude questions regarding topics that are not pertinent to meeting matters or company business or are inappropriate. If we receive substantially similar questions, we will group such questions together and provide a single response to avoid repetition. </w:t>
      </w:r>
    </w:p>
    <w:p>
      <w:pPr>
        <w:pStyle w:val="TextBody"/>
        <w:bidi w:val="0"/>
        <w:spacing w:before="360" w:after="283"/>
        <w:jc w:val="left"/>
        <w:rPr>
          <w:rFonts w:ascii="Times New Roman" w:hAnsi="Times New Roman"/>
          <w:sz w:val="20"/>
        </w:rPr>
      </w:pPr>
      <w:r>
        <w:rPr>
          <w:rFonts w:ascii="Times New Roman" w:hAnsi="Times New Roman"/>
          <w:b/>
          <w:color w:val="000000"/>
          <w:sz w:val="20"/>
        </w:rPr>
        <w:t>Q: What if another matter is properly brought before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Our Board knows of no other matters that will be presented for consideration at the Annual Meeting. If any other matters are properly brought before the Annual Meeting and at any adjournment or postponement thereof, it is the intention of the persons named in the accompanying proxy to vote on those matters in accordance with their best judgment to the extent authorized under Rule 14a-4 under the Securities Exchange Act of 1934, as amended (the “Exchange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Q: How do I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procedures for voting are fairly simple: </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on the Record Date your shares were registered directly in your name with our transfer agent, then you are a stockholder of record.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your proxy is being solicited directly by us, and you may vote online at the Annual Meeting or vote by proxy. Whether or not you plan to attend the Annual Meeting, we urge you to vote by proxy through the internet, vote by proxy over the telephone, or vote by proxy using a proxy card that you may request or that we may elect to deliver at a later time to ensure your vote is counted. You may still attend the Annual Meeting and vote at the meeting even if you have already submitted your proxy.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vote </w:t>
      </w:r>
      <w:r>
        <w:rPr>
          <w:rFonts w:ascii="Times New Roman" w:hAnsi="Times New Roman"/>
          <w:b/>
          <w:i/>
          <w:color w:val="000000"/>
          <w:sz w:val="20"/>
        </w:rPr>
        <w:t>during</w:t>
      </w:r>
      <w:r>
        <w:rPr>
          <w:color w:val="000000"/>
        </w:rPr>
        <w:t xml:space="preserve"> </w:t>
      </w:r>
      <w:r>
        <w:rPr>
          <w:rFonts w:ascii="Times New Roman" w:hAnsi="Times New Roman"/>
          <w:color w:val="000000"/>
          <w:sz w:val="20"/>
        </w:rPr>
        <w:t xml:space="preserve">the Annual Meeting, if you are a stockholder of record as of the Record Date, follow the instructions at </w:t>
      </w:r>
      <w:r>
        <w:rPr>
          <w:rFonts w:ascii="Times New Roman" w:hAnsi="Times New Roman"/>
          <w:i/>
          <w:color w:val="000000"/>
          <w:sz w:val="20"/>
        </w:rPr>
        <w:t>www.virtualshareholdermeeting.com/IVVD2025</w:t>
      </w:r>
      <w:r>
        <w:rPr>
          <w:rFonts w:ascii="Times New Roman" w:hAnsi="Times New Roman"/>
          <w:color w:val="000000"/>
          <w:sz w:val="20"/>
        </w:rPr>
        <w:t xml:space="preserve">. You will need to enter the Control Number found on your Notice, your proxy card, or in the email sending you the Proxy Statement.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submit your proxy </w:t>
      </w:r>
      <w:r>
        <w:rPr>
          <w:rFonts w:ascii="Times New Roman" w:hAnsi="Times New Roman"/>
          <w:b/>
          <w:i/>
          <w:color w:val="000000"/>
          <w:sz w:val="20"/>
        </w:rPr>
        <w:t>prior</w:t>
      </w:r>
      <w:r>
        <w:rPr>
          <w:color w:val="000000"/>
        </w:rPr>
        <w:t xml:space="preserve"> </w:t>
      </w:r>
      <w:r>
        <w:rPr>
          <w:rFonts w:ascii="Times New Roman" w:hAnsi="Times New Roman"/>
          <w:color w:val="000000"/>
          <w:sz w:val="20"/>
        </w:rPr>
        <w:t xml:space="preserve">to the Annual Meeting (until 11:59 p.m. Eastern Time on May 19, 2025), you may vote via the internet at </w:t>
      </w:r>
      <w:r>
        <w:rPr>
          <w:rFonts w:ascii="Times New Roman" w:hAnsi="Times New Roman"/>
          <w:i/>
          <w:color w:val="000000"/>
          <w:sz w:val="20"/>
        </w:rPr>
        <w:t>www.proxyvote.com</w:t>
      </w:r>
      <w:r>
        <w:rPr>
          <w:rFonts w:ascii="Times New Roman" w:hAnsi="Times New Roman"/>
          <w:color w:val="000000"/>
          <w:sz w:val="20"/>
        </w:rPr>
        <w:t xml:space="preserve">, by telephone, or by completing and returning the proxy card, as described below.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submit your proxy by mail, please request a paper copy of the materials, which will include a proxy card. Please promptly complete, sign and date the proxy card and return it promptly to ensure that it is received prior to the closing of the polls at the Annual Meeting. </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sign your proxy card but do not indicate how you wish to vote, the proxies will vote your shares “FOR ALL” for the election of the six named director nominees and “FOR” the ratification of PricewaterhouseCoopers LLP as our independent registered public accounting firm for the fiscal year ending December 31, 2025 and, if any other matter is properly presented at the Annual Meeting, your proxy (one of the individuals named on your proxy card) will vote your shares using his or her discretion. </w:t>
      </w:r>
    </w:p>
    <w:p>
      <w:pPr>
        <w:pStyle w:val="TextBody"/>
        <w:bidi w:val="0"/>
        <w:spacing w:before="120" w:after="283"/>
        <w:ind w:left="1468"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Unsigned proxy cards will not be counted.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submit your proxy over the telephone, dial toll-free 1-800-690-6903 using a touch-tone phone and follow the recorded instructions. You will be asked to provide the Control Number found on your Notice, your proxy card, or in the email sending you the Proxy Statement. Your telephone proxy must be received by 11:59 p.m., Eastern Time on May 19, 2025 to be counted.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submit your proxy through the internet prior to the meeting, go to </w:t>
      </w:r>
      <w:r>
        <w:rPr>
          <w:rFonts w:ascii="Times New Roman" w:hAnsi="Times New Roman"/>
          <w:i/>
          <w:color w:val="000000"/>
          <w:sz w:val="20"/>
        </w:rPr>
        <w:t>www.proxyvote.com</w:t>
      </w:r>
      <w:r>
        <w:rPr>
          <w:color w:val="000000"/>
        </w:rPr>
        <w:t xml:space="preserve"> </w:t>
      </w:r>
      <w:r>
        <w:rPr>
          <w:rFonts w:ascii="Times New Roman" w:hAnsi="Times New Roman"/>
          <w:color w:val="000000"/>
          <w:sz w:val="20"/>
        </w:rPr>
        <w:t xml:space="preserve">and follow the instructions to submit your vote on an electronic proxy card. You will be asked to provide the Control Number found on your Notice, your proxy card, or in the email sending you the Proxy Statement. You may submit your proxy through the internet 24 hours a day. Your internet proxy must be received by 11:59 p.m. Eastern Time on May 19, 2025 to be counted. </w:t>
      </w:r>
    </w:p>
    <w:p>
      <w:pPr>
        <w:pStyle w:val="TextBody"/>
        <w:bidi w:val="0"/>
        <w:spacing w:before="240" w:after="283"/>
        <w:jc w:val="left"/>
        <w:rPr>
          <w:rFonts w:ascii="Times New Roman" w:hAnsi="Times New Roman"/>
          <w:sz w:val="20"/>
        </w:rPr>
      </w:pPr>
      <w:r>
        <w:rPr>
          <w:rFonts w:ascii="Times New Roman" w:hAnsi="Times New Roman"/>
          <w:i/>
          <w:color w:val="000000"/>
          <w:sz w:val="20"/>
        </w:rPr>
        <w:t>Beneficial Owner: Shares Registered in the Name of Broker or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on the Record Date your shares were held indirectly (that is, you held your shares in “street name” in a brokerage account or by another nominee holder), then you are a beneficial owner.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beneficial owner, a Notice or voting instruction form has been provided to you by your broker, bank or other agent describing how to submit voting instructions for your shares.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If you receive a voting instruction form, you can submit your voting instructions by completing and returning such voting instruction form. Please be sure to mark your voting choices on your voting instruction form before you return it. You may also be able to submit your voting instructions by telephone or through the internet or at the Annual Meeting, depending on your voting instructions (with a legal proxy from your broker, bank or other agent). Please refer to the instructions provided with your voting instruction form for information about submitting your voting instructions in these ways. See also “</w:t>
      </w:r>
      <w:r>
        <w:rPr>
          <w:rFonts w:ascii="Times New Roman" w:hAnsi="Times New Roman"/>
          <w:i/>
          <w:color w:val="000000"/>
          <w:sz w:val="20"/>
        </w:rPr>
        <w:t>If I am a beneficial owner of shares held in street name and I do not provide my broker or bank with voting instructions, what happens?</w:t>
      </w:r>
      <w:r>
        <w:rPr>
          <w:color w:val="000000"/>
        </w:rPr>
        <w:t xml:space="preserve">” </w:t>
      </w:r>
      <w:r>
        <w:rPr>
          <w:rFonts w:ascii="Times New Roman" w:hAnsi="Times New Roman"/>
          <w:color w:val="000000"/>
          <w:sz w:val="20"/>
        </w:rPr>
        <w:t>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40"/>
              <w:ind w:left="122" w:right="122" w:firstLine="122"/>
              <w:jc w:val="left"/>
              <w:rPr>
                <w:rFonts w:ascii="Times New Roman" w:hAnsi="Times New Roman"/>
                <w:sz w:val="20"/>
              </w:rPr>
            </w:pPr>
            <w:r>
              <w:rPr>
                <w:rFonts w:ascii="Times New Roman" w:hAnsi="Times New Roman"/>
                <w:b/>
                <w:color w:val="000000"/>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r>
              <w:rPr>
                <w:rFonts w:ascii="Times New Roman" w:hAnsi="Times New Roman"/>
                <w:color w:val="000000"/>
                <w:sz w:val="20"/>
              </w:rPr>
              <w:t xml:space="preserve">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Q: What does it mean to vote by proxy?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 proxy is a person you appoint to vote on your behalf. Unless you vote live during the Annual Meeting, by voting using any of the other methods described in this Proxy Statement, you will be appointing as your proxies William Duke, Jr., our Chief Financial Officer, and Jill Andersen, our Chief Legal Officer and Corporate Secretary. They may act together or individually on your behalf, and will have the authority to appoint a substitute to act as proxy. Whether or not you expect to attend the Annual Meeting, we request that you please use the means available to you to vote by proxy so as to ensure that your shares of common stock may be voted. </w:t>
      </w:r>
    </w:p>
    <w:p>
      <w:pPr>
        <w:pStyle w:val="TextBody"/>
        <w:bidi w:val="0"/>
        <w:spacing w:before="360" w:after="283"/>
        <w:jc w:val="left"/>
        <w:rPr>
          <w:rFonts w:ascii="Times New Roman" w:hAnsi="Times New Roman"/>
          <w:sz w:val="20"/>
        </w:rPr>
      </w:pPr>
      <w:r>
        <w:rPr>
          <w:rFonts w:ascii="Times New Roman" w:hAnsi="Times New Roman"/>
          <w:b/>
          <w:color w:val="000000"/>
          <w:sz w:val="20"/>
        </w:rPr>
        <w:t>Q: If I am a beneficial owner of shares held in street name and I do not provide my broker or bank with voting instructions, what happens?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If you are a beneficial owner of shares held in street name and your voting instruction form or Notice does not indicate that you may vote your shares directly (or you have not obtained a legal proxy from your broker, bank or other agent), you must provide your broker, bank or other agent with instructions on how to vote your shares for “non-routine” matters. Your brokerage firm is entitled to vote shares held for a beneficial holder on discretionary, or “routine,” matters, such as the ratification of the appointment of PricewaterhouseCoopers LLP as our independent registered public accounting firm, without instructions from the beneficial holder of those shares. On the other hand, a brokerage firm is not entitled to vote shares held for a beneficial holder on certain non-discretionary items, or “non-routine” matters, such as the election of directors. Consequently, if you do not submit any voting instructions to your brokerage firm, your brokerage firm may exercise its discretion to vote your shares only on the proposal to ratify the appointment of PricewaterhouseCoopers LLP. For non-discretionary matters, if you do not submit any voting instructions, your shares will (i) constitute “broker non-votes,” (ii) count for establishing the presence of a quorum, and (iii) have no effect on the election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Q: Can I change my vote or revoke my proxy?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Yes. You can revoke your proxy at any time before the final vote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you may revoke your proxy by: (1) submitting a new proxy on the internet or by telephone or submitting another properly completed proxy card with a later date than your original card, but no later than (x) 11:59 p.m. on May 18, 2025 if you are submitting by mail and (y) 11:59 p.m. on May 19, 2025 if you are submitting by telephone or internet; or (2) attending and voting at the Annual Meeting (note that simply attending the Annual Meeting will not, by itself, revoke your proxy). We will count your vote in accordance with the last instructions we receive from you prior to the closing of the polls.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beneficial owner, you should follow the instructions provided by your broker, bank or other agent. </w:t>
      </w:r>
    </w:p>
    <w:p>
      <w:pPr>
        <w:pStyle w:val="TextBody"/>
        <w:bidi w:val="0"/>
        <w:spacing w:before="360" w:after="283"/>
        <w:jc w:val="left"/>
        <w:rPr>
          <w:rFonts w:ascii="Times New Roman" w:hAnsi="Times New Roman"/>
          <w:sz w:val="20"/>
        </w:rPr>
      </w:pPr>
      <w:r>
        <w:rPr>
          <w:rFonts w:ascii="Times New Roman" w:hAnsi="Times New Roman"/>
          <w:b/>
          <w:color w:val="000000"/>
          <w:sz w:val="20"/>
        </w:rPr>
        <w:t>Q: How are votes counted?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Votes will be counted by the inspector of election appointed for the Annual Meeting, who will separately count, for Proposal No. 1, “For” and “Withhold” votes and broker non-votes for each nominee; and, for Proposal No. 2, “For” and “Against” votes and abstentions. Your vote will not be disclosed either within our Company or to third parties, except as necessary to meet applicable legal requirements, to allow for the tabulation of votes and certificate of the vote, and to facilitate a successful proxy solicitation. </w:t>
      </w:r>
    </w:p>
    <w:p>
      <w:pPr>
        <w:pStyle w:val="TextBody"/>
        <w:bidi w:val="0"/>
        <w:spacing w:before="360" w:after="283"/>
        <w:jc w:val="left"/>
        <w:rPr>
          <w:rFonts w:ascii="Times New Roman" w:hAnsi="Times New Roman"/>
          <w:sz w:val="20"/>
        </w:rPr>
      </w:pPr>
      <w:r>
        <w:rPr>
          <w:rFonts w:ascii="Times New Roman" w:hAnsi="Times New Roman"/>
          <w:b/>
          <w:color w:val="000000"/>
          <w:sz w:val="20"/>
        </w:rPr>
        <w:t>Q: What is the quorum requirement, and what happens if a quorum is not present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 quorum of stockholders is necessary to hold a valid meeting. A quorum will be present if stockholders holding at least a majority of the outstanding shares entitled to vote are present at the meeting or represented by proxy. On the Record Date, there were 119,961,445 shares of common stock outstanding and entitled to vote. Thus, the holders of 59,980,723 shares must be present or represented by proxy at the Annual Meeting to have a quorum. </w:t>
      </w:r>
    </w:p>
    <w:p>
      <w:pPr>
        <w:pStyle w:val="TextBody"/>
        <w:bidi w:val="0"/>
        <w:spacing w:before="240" w:after="283"/>
        <w:jc w:val="left"/>
        <w:rPr>
          <w:rFonts w:ascii="Times New Roman" w:hAnsi="Times New Roman"/>
          <w:sz w:val="20"/>
        </w:rPr>
      </w:pPr>
      <w:r>
        <w:rPr>
          <w:rFonts w:ascii="Times New Roman" w:hAnsi="Times New Roman"/>
          <w:color w:val="000000"/>
          <w:sz w:val="20"/>
        </w:rPr>
        <w:t>Your shares will be counted towards the quorum only if you submit a valid proxy (or one is submitted on your behalf by your broker, bank or other nominee) or if you attend the meeting (see “</w:t>
      </w:r>
      <w:r>
        <w:rPr>
          <w:rFonts w:ascii="Times New Roman" w:hAnsi="Times New Roman"/>
          <w:i/>
          <w:color w:val="000000"/>
          <w:sz w:val="20"/>
        </w:rPr>
        <w:t>Who can attend the Annual Meeting, and how do I attend?</w:t>
      </w:r>
      <w:r>
        <w:rPr>
          <w:rFonts w:ascii="Times New Roman" w:hAnsi="Times New Roman"/>
          <w:color w:val="000000"/>
          <w:sz w:val="20"/>
        </w:rPr>
        <w:t xml:space="preserve">” above for details). Abstentions and broker non-votes, if any, will be counted towards the quorum requirement. If there is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quorum, the Annual Meeting will be adjourned by either the chairperson of the meeting or by the vote of a majority of the shares present by remote communication or represented by proxy, until a quorum is obtained. If an adjournment is for more than 30 days or a new record date is fixed for the adjourned meeting, we will provide notice of the adjourned meeting to each stockholder of record entitled to vote at the meeting. </w:t>
      </w:r>
    </w:p>
    <w:p>
      <w:pPr>
        <w:pStyle w:val="TextBody"/>
        <w:bidi w:val="0"/>
        <w:spacing w:before="360" w:after="283"/>
        <w:jc w:val="left"/>
        <w:rPr>
          <w:rFonts w:ascii="Times New Roman" w:hAnsi="Times New Roman"/>
          <w:sz w:val="20"/>
        </w:rPr>
      </w:pPr>
      <w:r>
        <w:rPr>
          <w:rFonts w:ascii="Times New Roman" w:hAnsi="Times New Roman"/>
          <w:b/>
          <w:color w:val="000000"/>
          <w:sz w:val="20"/>
        </w:rPr>
        <w:t>Q: Where can I access the Annual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 copy of our 2024 Annual Report, which consists of our Annual Report on Form 10-K for the year ended December 31, 2024, has been made available or mailed concurrently with this Proxy Statement, without charge, to our stockholders entitled to notice of and to vote at the Annual Meeting, provided that we have not included the exhibits to the Annual Report on Form 10-K. We will provide copies of the exhibits to the Form 10-K upon request by eligible stockholders, provided that we may impose a reasonable fee for providing such exhibits, which is limited to our reasonable expenses. Requests for copies of such exhibits should be mailed to our Corporate Secretary at Invivyd, Inc., 1601 Trapelo Road, Suite 178, Waltham, Massachusetts 02451, Attn: Corporate Secretary.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Q: Why did I receive a notice in the mail regarding the internet availability of proxy materials instead of a full set of proxy materials?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We have elected to provide access to our proxy materials on the internet. Accordingly, we are sending the Notice to our stockholders. All stockholders will have the ability to access the proxy materials on the website referred to in the Notice or request to receive a printed set of the proxy materials. Instructions on how to access the proxy materials on the internet or to request a printed copy may be found in the Notice. In addition, stockholders may request to receive proxy materials in printed form by mail or electronically by email on an ongoing basis. We encourage stockholders to take advantage of the availability of proxy materials on the internet to help us reduce the environmental impact of the Annual Meeting.</w:t>
      </w:r>
    </w:p>
    <w:p>
      <w:pPr>
        <w:pStyle w:val="TextBody"/>
        <w:bidi w:val="0"/>
        <w:spacing w:before="360" w:after="283"/>
        <w:jc w:val="left"/>
        <w:rPr>
          <w:rFonts w:ascii="Times New Roman" w:hAnsi="Times New Roman"/>
          <w:sz w:val="20"/>
        </w:rPr>
      </w:pPr>
      <w:r>
        <w:rPr>
          <w:rFonts w:ascii="Times New Roman" w:hAnsi="Times New Roman"/>
          <w:b/>
          <w:color w:val="000000"/>
          <w:sz w:val="20"/>
        </w:rPr>
        <w:t>Q: What does it mean if I receive more than one Notice or set of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If you receive more than one Notice or set of proxy materials, your shares may be registered in more than one name or in different accounts. To ensure that all of your shares are voted, please submit each proxy card or voting instruction form you receive or, if you submit a proxy over the internet or by telephone, you will need to enter each of your Control Numbers. </w:t>
      </w:r>
    </w:p>
    <w:p>
      <w:pPr>
        <w:pStyle w:val="TextBody"/>
        <w:bidi w:val="0"/>
        <w:spacing w:before="360" w:after="283"/>
        <w:jc w:val="left"/>
        <w:rPr>
          <w:rFonts w:ascii="Times New Roman" w:hAnsi="Times New Roman"/>
          <w:sz w:val="20"/>
        </w:rPr>
      </w:pPr>
      <w:r>
        <w:rPr>
          <w:rFonts w:ascii="Times New Roman" w:hAnsi="Times New Roman"/>
          <w:b/>
          <w:color w:val="000000"/>
          <w:sz w:val="20"/>
        </w:rPr>
        <w:t>Q: How will proxies be solicited and who is paying for the cost of the proxy solicitation?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We will pay for the entire cost of soliciting proxies, including the printing, handling and mailing of the Annual Meeting materials. In addition to these proxy materials, our directors and certain executive officers may, without additional remuneration, solicit proxies in person, by telephone, or by other means of communication. We may also reimburse brokerage firms, banks and other agents for their reasonable out-of-pocket expenses for forwarding proxy materials to our stockholders, if any. </w:t>
      </w:r>
    </w:p>
    <w:p>
      <w:pPr>
        <w:pStyle w:val="TextBody"/>
        <w:bidi w:val="0"/>
        <w:spacing w:before="360" w:after="283"/>
        <w:jc w:val="left"/>
        <w:rPr>
          <w:rFonts w:ascii="Times New Roman" w:hAnsi="Times New Roman"/>
          <w:sz w:val="20"/>
        </w:rPr>
      </w:pPr>
      <w:r>
        <w:rPr>
          <w:rFonts w:ascii="Times New Roman" w:hAnsi="Times New Roman"/>
          <w:b/>
          <w:color w:val="000000"/>
          <w:sz w:val="20"/>
        </w:rPr>
        <w:t>Q: Who is the independent registered public accounting firm, and will it be represented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PricewaterhouseCoopers LLP served as our independent registered public accounting firm for the fiscal year ended December 31, 2024 and audited our financial statements for such fiscal year. We expect that one or more representatives of PricewaterhouseCoopers LLP will be present at the Annual Meeting. They will have an opportunity to make a statement, if they desire, and will be available to answer appropriate questions during a portion of the Annual Meeting. PricewaterhouseCoopers LLP has been appointed by the Audit Committee of our Board (the “Audit Committee”) to serve as our independent registered public accounting firm for the fiscal year ending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Q: Why are we being asked to ratify the appointment of PricewaterhouseCoopers LLP?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Although stockholder approval of the Audit Committee’s appointment of PricewaterhouseCoopers LLP as our independent registered public accounting firm is not required, we believe that it is advisable to give stockholders an opportunity to ratify this appointment. If this proposal is not approved at the Annual Meeting, the Audit Committee may reconsider its appointment of PricewaterhouseCoopers LLP, but will not be required to take any 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Q: How can I find out the results of the voting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Preliminary voting results will be announced at the Annual Meeting. In addition, final voting results will be reported in a Current Report on Form 8-K, which we will file with the Securities and Exchange Commission (the “SEC”) on EDGAR at www.sec.gov within four business days of the Annual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roposal_no_2"/>
      <w:bookmarkEnd w:id="4"/>
      <w:r>
        <w:rPr>
          <w:rFonts w:ascii="Times New Roman" w:hAnsi="Times New Roman"/>
          <w:b/>
          <w:color w:val="000000"/>
          <w:sz w:val="20"/>
        </w:rPr>
        <w:t>PROPOSAL NO. 1</w:t>
      </w:r>
    </w:p>
    <w:p>
      <w:pPr>
        <w:pStyle w:val="TextBody"/>
        <w:bidi w:val="0"/>
        <w:spacing w:before="240" w:after="283"/>
        <w:jc w:val="center"/>
        <w:rPr>
          <w:rFonts w:ascii="Times New Roman" w:hAnsi="Times New Roman"/>
          <w:sz w:val="20"/>
        </w:rPr>
      </w:pPr>
      <w:r>
        <w:rPr>
          <w:rFonts w:ascii="Times New Roman" w:hAnsi="Times New Roman"/>
          <w:b/>
          <w:color w:val="000000"/>
          <w:sz w:val="20"/>
        </w:rPr>
        <w:t>ELECTION OF SIX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Size of the Board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currently consists of seven directors, </w:t>
      </w:r>
      <w:r>
        <w:rPr>
          <w:rFonts w:ascii="Times New Roman" w:hAnsi="Times New Roman"/>
          <w:color w:val="231F20"/>
          <w:sz w:val="20"/>
        </w:rPr>
        <w:t xml:space="preserve">each serving a term that will expire at the 2025 Annual Meeting. Pursuant to our Amended and Restated Certificate of Incorporation, a majority vote of our Board can increase or decrease the number of directors constituting the entire Board. Effective as of the 2025 Annual Meeting, the size of our Board will be decreased from seven to six directors, pursuant to a resolution adopted by our Board, upon the recommendation of the Nominating and Corporate Governance Committee of the Board (the </w:t>
      </w:r>
      <w:r>
        <w:rPr>
          <w:rFonts w:ascii="Times New Roman" w:hAnsi="Times New Roman"/>
          <w:color w:val="000000"/>
          <w:sz w:val="20"/>
        </w:rPr>
        <w:t>“</w:t>
      </w:r>
      <w:r>
        <w:rPr>
          <w:rFonts w:ascii="Times New Roman" w:hAnsi="Times New Roman"/>
          <w:color w:val="231F20"/>
          <w:sz w:val="20"/>
        </w:rPr>
        <w:t>Nominating and Corporate Governance Committee</w:t>
      </w:r>
      <w:r>
        <w:rPr>
          <w:rFonts w:ascii="Times New Roman" w:hAnsi="Times New Roman"/>
          <w:color w:val="000000"/>
          <w:sz w:val="20"/>
        </w:rPr>
        <w:t>”)</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Director Nominees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upon the recommendation of the </w:t>
      </w:r>
      <w:r>
        <w:rPr>
          <w:rFonts w:ascii="Times New Roman" w:hAnsi="Times New Roman"/>
          <w:color w:val="231F20"/>
          <w:sz w:val="20"/>
        </w:rPr>
        <w:t>Nominating and Corporate Governance Committee,</w:t>
      </w:r>
      <w:r>
        <w:rPr>
          <w:rFonts w:ascii="Times New Roman" w:hAnsi="Times New Roman"/>
          <w:color w:val="000000"/>
          <w:sz w:val="20"/>
        </w:rPr>
        <w:t xml:space="preserve"> has nominated current directors Tamsin </w:t>
      </w:r>
      <w:r>
        <w:rPr>
          <w:rFonts w:ascii="Times New Roman" w:hAnsi="Times New Roman"/>
          <w:color w:val="231F20"/>
          <w:sz w:val="20"/>
        </w:rPr>
        <w:t>Berry, Marc Elia, Christine Lindenboom, Terrance McGuire, Kevin F. McLaughlin and Ajay Royan for re-election to our Board</w:t>
      </w:r>
      <w:r>
        <w:rPr>
          <w:rFonts w:ascii="Times New Roman" w:hAnsi="Times New Roman"/>
          <w:color w:val="000000"/>
          <w:sz w:val="20"/>
        </w:rPr>
        <w:t xml:space="preserve"> as directors, each to serve until the 2026 Annual Meeting and until such director’s successor is elected and qualified or until a director’s earlier death, resignation or removal.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Current director Srishti Gupta, M.D. </w:t>
      </w:r>
      <w:r>
        <w:rPr>
          <w:rFonts w:ascii="Times New Roman" w:hAnsi="Times New Roman"/>
          <w:color w:val="000000"/>
          <w:sz w:val="20"/>
        </w:rPr>
        <w:t>is</w:t>
      </w:r>
      <w:r>
        <w:rPr>
          <w:rFonts w:ascii="Times New Roman" w:hAnsi="Times New Roman"/>
          <w:color w:val="231F20"/>
          <w:sz w:val="20"/>
        </w:rPr>
        <w:t xml:space="preserve"> not standing for re-election at the 2025 Annual Meeting, but will continue to serve as a director until the expiration of her term at the 2025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Detailed biographical information regarding each of the nominees is provided in this Proxy Statement below under the heading “Director Nominees.” Each of the nominees has been determined by our Board to be independent. </w:t>
      </w:r>
    </w:p>
    <w:p>
      <w:pPr>
        <w:pStyle w:val="TextBody"/>
        <w:bidi w:val="0"/>
        <w:spacing w:before="240" w:after="283"/>
        <w:jc w:val="left"/>
        <w:rPr>
          <w:rFonts w:ascii="Times New Roman" w:hAnsi="Times New Roman"/>
          <w:sz w:val="20"/>
        </w:rPr>
      </w:pPr>
      <w:r>
        <w:rPr>
          <w:rFonts w:ascii="Times New Roman" w:hAnsi="Times New Roman"/>
          <w:color w:val="000000"/>
          <w:sz w:val="20"/>
        </w:rPr>
        <w:t>If a nominee is unable or unwilling to serve, the shares to be voted for such nominee that are represented by proxies will be voted for any substitute nominee designated by our Board. The Company did not receive any stockholder nominations for director. If a quorum is present at the Annual Meeting, the six nominees for director receiving the highest number of votes cast, by remote communication or by proxy, will be elected to serve as directors. Withheld votes and broker non-votes will have no effect on the election of directors. If not otherwise specified, proxies will be voted “</w:t>
      </w:r>
      <w:r>
        <w:rPr>
          <w:rFonts w:ascii="Times New Roman" w:hAnsi="Times New Roman"/>
          <w:b/>
          <w:color w:val="000000"/>
          <w:sz w:val="20"/>
        </w:rPr>
        <w:t>FOR ALL”</w:t>
      </w:r>
      <w:r>
        <w:rPr>
          <w:rFonts w:ascii="Times New Roman" w:hAnsi="Times New Roman"/>
          <w:color w:val="000000"/>
          <w:sz w:val="20"/>
        </w:rPr>
        <w:t xml:space="preserve"> of the nominees for director named above. </w:t>
      </w:r>
    </w:p>
    <w:p>
      <w:pPr>
        <w:pStyle w:val="TextBody"/>
        <w:bidi w:val="0"/>
        <w:spacing w:before="480" w:after="283"/>
        <w:jc w:val="center"/>
        <w:rPr>
          <w:rFonts w:ascii="Times New Roman" w:hAnsi="Times New Roman"/>
          <w:sz w:val="20"/>
        </w:rPr>
      </w:pPr>
      <w:r>
        <w:rPr>
          <w:rFonts w:ascii="Times New Roman" w:hAnsi="Times New Roman"/>
          <w:b/>
          <w:color w:val="000000"/>
          <w:sz w:val="20"/>
        </w:rPr>
        <w:t>THE BOARD RECOMMENDS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 VOTE “</w:t>
      </w:r>
      <w:r>
        <w:rPr>
          <w:rFonts w:ascii="Times New Roman" w:hAnsi="Times New Roman"/>
          <w:b/>
          <w:color w:val="000000"/>
          <w:sz w:val="20"/>
          <w:u w:val="single"/>
        </w:rPr>
        <w:t>FOR ALL</w:t>
      </w:r>
      <w:r>
        <w:rPr>
          <w:rFonts w:ascii="Times New Roman" w:hAnsi="Times New Roman"/>
          <w:color w:val="000000"/>
          <w:sz w:val="20"/>
        </w:rPr>
        <w:t xml:space="preserve">” </w:t>
      </w:r>
      <w:r>
        <w:rPr>
          <w:rFonts w:ascii="Times New Roman" w:hAnsi="Times New Roman"/>
          <w:b/>
          <w:color w:val="000000"/>
          <w:sz w:val="20"/>
        </w:rPr>
        <w:t>THE ELECTION OF THE DIRECTOR NOMINEES NAMED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 w:name="proposal_no_3"/>
      <w:bookmarkEnd w:id="5"/>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RATIFICATION OF APPOINTMENT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appointed PricewaterhouseCoopers LLP as the Company’s independent registered public accounting firm for the fiscal year ending December 31, 2025 and has further directed that management submit the appointment of the independent registered public accounting firm for ratification by the stockholders at the Annual Meeting. PricewaterhouseCoopers LLP has audited the Company’s financial statements since its inception in 2020. Representatives of PricewaterhouseCoopers LLP are expected to be present at the Annual Meeting. They will have an opportunity to make a statement if they so desire and will be available to respond to appropriate questions.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Neither the Company’s Amended and Restated Bylaws </w:t>
      </w:r>
      <w:r>
        <w:rPr>
          <w:rFonts w:ascii="Times New Roman" w:hAnsi="Times New Roman"/>
          <w:color w:val="231F20"/>
          <w:sz w:val="20"/>
        </w:rPr>
        <w:t xml:space="preserve">(the </w:t>
      </w:r>
      <w:r>
        <w:rPr>
          <w:rFonts w:ascii="Times New Roman" w:hAnsi="Times New Roman"/>
          <w:color w:val="000000"/>
          <w:sz w:val="20"/>
        </w:rPr>
        <w:t xml:space="preserve">“Bylaws”) nor other governing documents or law require stockholder ratification of the appointment of PricewaterhouseCoopers LLP as the Company’s independent registered public accounting firm. However, the Audit Committee is submitting the appointment of PricewaterhouseCoopers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different independent auditors at any time during the year if the Audit Committee determines that such a change would be in the best interests of the Company and its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affirmative vote of the holders of a majority of the shares present or represented by proxy and entitled to vote on the matter at the Annual Meeting will be required to ratify the appointment of PricewaterhouseCoopers LLP. </w:t>
      </w:r>
    </w:p>
    <w:p>
      <w:pPr>
        <w:pStyle w:val="TextBody"/>
        <w:bidi w:val="0"/>
        <w:spacing w:before="360" w:after="283"/>
        <w:jc w:val="left"/>
        <w:rPr>
          <w:rFonts w:ascii="Times New Roman" w:hAnsi="Times New Roman"/>
          <w:sz w:val="20"/>
        </w:rPr>
      </w:pPr>
      <w:r>
        <w:rPr>
          <w:rFonts w:ascii="Times New Roman" w:hAnsi="Times New Roman"/>
          <w:b/>
          <w:color w:val="000000"/>
          <w:sz w:val="20"/>
        </w:rPr>
        <w:t>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represents aggregate fees billed to the Company for the fiscal years ended December 31, 2024 and December 31, 2023 by PricewaterhouseCoopers LLP, the Company’s independent registered public accounting firm. </w:t>
      </w:r>
    </w:p>
    <w:p>
      <w:pPr>
        <w:pStyle w:val="TextBody"/>
        <w:bidi w:val="0"/>
        <w:spacing w:before="120" w:after="283"/>
        <w:jc w:val="left"/>
        <w:rPr/>
      </w:pPr>
      <w:r>
        <w:rPr/>
        <w:t> </w:t>
      </w:r>
    </w:p>
    <w:tbl>
      <w:tblPr>
        <w:tblW w:w="4547" w:type="dxa"/>
        <w:jc w:val="left"/>
        <w:tblInd w:w="0" w:type="dxa"/>
        <w:tblLayout w:type="fixed"/>
        <w:tblCellMar>
          <w:top w:w="28" w:type="dxa"/>
          <w:left w:w="28" w:type="dxa"/>
          <w:bottom w:w="28" w:type="dxa"/>
          <w:right w:w="28" w:type="dxa"/>
        </w:tblCellMar>
      </w:tblPr>
      <w:tblGrid>
        <w:gridCol w:w="1681"/>
        <w:gridCol w:w="146"/>
        <w:gridCol w:w="211"/>
        <w:gridCol w:w="931"/>
        <w:gridCol w:w="146"/>
        <w:gridCol w:w="146"/>
        <w:gridCol w:w="233"/>
        <w:gridCol w:w="862"/>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Fiscal Year </w:t>
              <w:br/>
              <w:t xml:space="preserve">Ended </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Fiscal Year </w:t>
              <w:br/>
              <w:t xml:space="preserve">Ended </w:t>
              <w:b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Audit Fees consist of professional services rendered for the audits and reviews of the Company’s consolidated financial statements, statutory audits, issuance of consents, comfort letter procedures, assistance with review of documents filed with the SEC and out-of-pocket expenses incurred.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All Other Fees consist of an annual license fee for the use of accounting disclosure checklists.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fees described above were pre-approved or ratified by the Audit Committee. </w:t>
      </w:r>
    </w:p>
    <w:p>
      <w:pPr>
        <w:pStyle w:val="TextBody"/>
        <w:bidi w:val="0"/>
        <w:spacing w:before="360" w:after="283"/>
        <w:jc w:val="left"/>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permissible non-audit services up to specified amounts. Any pre-approval decisions made pursuant to delegated authority must be reported to the full Audit Committee at its next scheduled meeting. </w:t>
      </w:r>
    </w:p>
    <w:p>
      <w:pPr>
        <w:pStyle w:val="TextBody"/>
        <w:bidi w:val="0"/>
        <w:spacing w:before="480" w:after="283"/>
        <w:jc w:val="center"/>
        <w:rPr>
          <w:rFonts w:ascii="Times New Roman" w:hAnsi="Times New Roman"/>
          <w:sz w:val="20"/>
        </w:rPr>
      </w:pPr>
      <w:r>
        <w:rPr>
          <w:rFonts w:ascii="Times New Roman" w:hAnsi="Times New Roman"/>
          <w:b/>
          <w:color w:val="000000"/>
          <w:sz w:val="20"/>
        </w:rPr>
        <w:t>THE BOARD RECOMMENDS A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RATIFICATION OF THE APPOINTMENT OF PRICEWATERHOUSECOOPERS LLP AS THE COMPANY’S 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 FOR THE FISCAL YEAR ENDING DECEMBER 31, 2025.</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information_regarding"/>
      <w:bookmarkEnd w:id="6"/>
      <w:r>
        <w:rPr>
          <w:rFonts w:ascii="Times New Roman" w:hAnsi="Times New Roman"/>
          <w:b/>
          <w:color w:val="000000"/>
          <w:sz w:val="20"/>
        </w:rPr>
        <w:t>INFORMATION REGARDING THE BOARD OF</w:t>
      </w:r>
      <w:r>
        <w:rPr>
          <w:rFonts w:ascii="Times New Roman" w:hAnsi="Times New Roman"/>
          <w:color w:val="000000"/>
          <w:sz w:val="20"/>
        </w:rPr>
        <w:t xml:space="preserve"> </w:t>
      </w:r>
      <w:r>
        <w:rPr>
          <w:rFonts w:ascii="Times New Roman" w:hAnsi="Times New Roman"/>
          <w:b/>
          <w:color w:val="000000"/>
          <w:sz w:val="20"/>
        </w:rPr>
        <w:t>DIRECTORS AND 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7" w:name="the_board_of_director"/>
      <w:bookmarkEnd w:id="7"/>
      <w:r>
        <w:rPr>
          <w:rFonts w:ascii="Times New Roman" w:hAnsi="Times New Roman"/>
          <w:b/>
          <w:color w:val="000000"/>
          <w:sz w:val="20"/>
        </w:rPr>
        <w:t>Director Nominees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brief biography of each of our nominees for director.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Tamsin Berry</w:t>
      </w:r>
      <w:r>
        <w:rPr>
          <w:rFonts w:ascii="Times New Roman" w:hAnsi="Times New Roman"/>
          <w:i/>
          <w:color w:val="231F20"/>
          <w:sz w:val="20"/>
        </w:rPr>
        <w:t>, age 44</w:t>
      </w:r>
    </w:p>
    <w:p>
      <w:pPr>
        <w:pStyle w:val="TextBody"/>
        <w:bidi w:val="0"/>
        <w:jc w:val="left"/>
        <w:rPr>
          <w:rFonts w:ascii="Times New Roman" w:hAnsi="Times New Roman"/>
          <w:color w:val="231F20"/>
          <w:sz w:val="20"/>
        </w:rPr>
      </w:pPr>
      <w:r>
        <w:rPr>
          <w:rFonts w:ascii="Times New Roman" w:hAnsi="Times New Roman"/>
          <w:color w:val="231F20"/>
          <w:sz w:val="20"/>
        </w:rPr>
        <w:t>Tamsin Berry has served as a member of our Board since June 2022. Ms. Berry has served as a partner at Population Health Partners, a global investment firm, since June 2020. Since March 2024, she has been employed by The Ellison Institute of Technology Oxford as the Chief of Staff (part-time). From November 2021 through February 2024, she served as non-executive director, and also as a board member, of the Global Pathogen Analysis Service, a not-for-profit pathogen surveillance bioinformatics company. From March 2021 to March 2023, she served as an advisor to EQRx, Inc., a biotechnology firm. From December 2020 to February 2024, she served as advisor to University of Oxford for the Global Health Security Consortium, which includes the Tony Blair Institute. From February 2019 to March 2020, she served as the director of the U.K. Office for Life Sciences, where she worked with Sir John Bell to write the U.K.’s Life Sciences Industrial Strategy. She previously served as Deputy Director of the U.K. Office for Life Sciences, from November 2015 to February 2019. Ms. Berry has held a number of leadership positions in government, spanning policy, corporate, and communications roles at the Cabinet Office, Department of Health, and Public Health England. From March 2020 to June 2020, her final role was in the COVID Taskforce, where Ms. Berry was the senior responsible officer for serology and seroprevalence at the start of the pandemic and was awarded an OBE for her work. Ms. Berry received a bachelor of laws degree from the University of Nottingham and a master’s degree from the University of Leeds in Philosophy. We believe Ms. Berry is qualified to serve as a member of our Board because of her extensive experience in government and expertise in health policy.</w:t>
      </w:r>
    </w:p>
    <w:p>
      <w:pPr>
        <w:pStyle w:val="TextBody"/>
        <w:bidi w:val="0"/>
        <w:jc w:val="left"/>
        <w:rPr>
          <w:rFonts w:ascii="Times New Roman" w:hAnsi="Times New Roman"/>
          <w:sz w:val="20"/>
        </w:rPr>
      </w:pPr>
      <w:r>
        <w:rPr>
          <w:rFonts w:ascii="Times New Roman" w:hAnsi="Times New Roman"/>
          <w:b/>
          <w:i/>
          <w:color w:val="231F20"/>
          <w:sz w:val="20"/>
        </w:rPr>
        <w:t>Marc Elia</w:t>
      </w:r>
      <w:r>
        <w:rPr>
          <w:rFonts w:ascii="Times New Roman" w:hAnsi="Times New Roman"/>
          <w:i/>
          <w:color w:val="231F20"/>
          <w:sz w:val="20"/>
        </w:rPr>
        <w:t>, age 49</w:t>
      </w:r>
    </w:p>
    <w:p>
      <w:pPr>
        <w:pStyle w:val="TextBody"/>
        <w:bidi w:val="0"/>
        <w:jc w:val="left"/>
        <w:rPr>
          <w:rFonts w:ascii="Times New Roman" w:hAnsi="Times New Roman"/>
          <w:color w:val="231F20"/>
          <w:sz w:val="20"/>
        </w:rPr>
      </w:pPr>
      <w:r>
        <w:rPr>
          <w:rFonts w:ascii="Times New Roman" w:hAnsi="Times New Roman"/>
          <w:color w:val="231F20"/>
          <w:sz w:val="20"/>
        </w:rPr>
        <w:t>Marc Elia has served as a member of our Board since June 2022 and as Chairperson of our Board since July 2022. Mr. Elia is the founder and chief investment officer of M28 Capital Management L.P., a healthcare sector investment fund, positions he has held since September 2019. Prior to that, from January 2012 to September 2019, Mr. Elia served as a partner at Bridger Capital, an investment fund. Mr. Elia currently serves on the board of directors of Fractyl Health, Inc., a metabolic therapeutics company. He previously served on the board of directors of SQZ Biotechnologies Company. Prior to his career in investing, Mr. Elia held various roles across the biotechnology industry at N30 Pharmaceuticals, Chiron Corporation, and L.E.K. Consulting. Mr. Elia previously served as a director of the Company from July 2020 to April 2021. Mr. Elia holds a B.A. in Economics from Carleton College. We believe Mr. Elia is qualified to serve as a member of our Board because of his broad operational and transactional experience, particularly in the pharmaceutical and biotech industries.</w:t>
      </w:r>
    </w:p>
    <w:p>
      <w:pPr>
        <w:pStyle w:val="TextBody"/>
        <w:bidi w:val="0"/>
        <w:jc w:val="left"/>
        <w:rPr>
          <w:rFonts w:ascii="Times New Roman" w:hAnsi="Times New Roman"/>
          <w:sz w:val="20"/>
        </w:rPr>
      </w:pPr>
      <w:r>
        <w:rPr>
          <w:rFonts w:ascii="Times New Roman" w:hAnsi="Times New Roman"/>
          <w:b/>
          <w:i/>
          <w:color w:val="231F20"/>
          <w:sz w:val="20"/>
        </w:rPr>
        <w:t>Christine Lindenboom</w:t>
      </w:r>
      <w:r>
        <w:rPr>
          <w:rFonts w:ascii="Times New Roman" w:hAnsi="Times New Roman"/>
          <w:i/>
          <w:color w:val="231F20"/>
          <w:sz w:val="20"/>
        </w:rPr>
        <w:t>, age 44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Christine Lindenboom has served as a member of our Board since October 2022. Ms. Lindenboom currently serves as the Chief Corporate Communications Officer of Alnylam Pharmaceuticals, Inc., a biopharmaceutical company, where she has been employed since September 2015. Prior to Alnylam, Ms. Lindenboom served as Senior Director, Corporate Affairs for Pfizer, Inc. from December 2013 to September 2015. Earlier in her career, Ms. Lindenboom served in various positions at Amgen, Inc., a multinational biopharmaceutical company, from April 2006 to November 2013, most recently serving as Director, Media Relations, Global Communications and Philanthropy at the time of her departure. Ms. Lindenboom currently serves on the board of directors of Kendall Square Association, an internationally recognized innovation district located in Cambridge, MA. Ms. Lindenboom received a B.A. from Northeastern University. We believe Ms. Lindenboom is qualified to serve as a member of our Board because of her business acumen and deep knowledge of the biopharmaceutical industry.</w:t>
      </w:r>
    </w:p>
    <w:p>
      <w:pPr>
        <w:pStyle w:val="TextBody"/>
        <w:bidi w:val="0"/>
        <w:jc w:val="left"/>
        <w:rPr>
          <w:rFonts w:ascii="Times New Roman" w:hAnsi="Times New Roman"/>
          <w:sz w:val="20"/>
        </w:rPr>
      </w:pPr>
      <w:r>
        <w:rPr>
          <w:rFonts w:ascii="Times New Roman" w:hAnsi="Times New Roman"/>
          <w:b/>
          <w:i/>
          <w:color w:val="231F20"/>
          <w:sz w:val="20"/>
        </w:rPr>
        <w:t>Terrance McGuire</w:t>
      </w:r>
      <w:r>
        <w:rPr>
          <w:rFonts w:ascii="Times New Roman" w:hAnsi="Times New Roman"/>
          <w:i/>
          <w:color w:val="231F20"/>
          <w:sz w:val="20"/>
        </w:rPr>
        <w:t>, age 69</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Terrance McGuire has served as a member of our Board since October 2020. Mr. McGuire was a co-founder and is currently a general partner of Polaris Partners. He currently serves on the boards of directors of Seer, Inc. and Tectonic Therapeutic, Inc., as well as several private companies, including Adimab, LLC. Mr. McGuire previously served on the boards of directors of Alector, Inc., Acceleron Pharma, Inc., Akamai Technologies, Inc., Cubist, Inc., Cyclerion Therapeutics, Inc., Ironwood Pharmaceuticals, Inc. and Pulmatrix, Inc. Mr. McGuire is the former chairman of the National Venture Capital Association and a current member of the board of advisors of the Thayer School of Engineering at Dartmouth College. He is a member of the boards of the Whitehead Institute for Biomedical Research at the Massachusetts Institute of Technology and the Arthur Rock Center for Entrepreneurship at Harvard Business School. Mr. McGuire is also on the Scientific Advisory Board of the Brigham and Women's Hospital. Mr. McGuire holds a B.S. in physics and economics from Hobart College, an M.S. in engineering from the Thayer School at Dartmouth College, and an M.B.A. from Harvard Business School. We believe Mr. McGuire is qualified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pStyle w:val="TextBody"/>
        <w:bidi w:val="0"/>
        <w:jc w:val="left"/>
        <w:rPr>
          <w:rFonts w:ascii="Times New Roman" w:hAnsi="Times New Roman"/>
          <w:sz w:val="20"/>
        </w:rPr>
      </w:pPr>
      <w:r>
        <w:rPr>
          <w:rFonts w:ascii="Times New Roman" w:hAnsi="Times New Roman"/>
          <w:b/>
          <w:i/>
          <w:color w:val="231F20"/>
          <w:sz w:val="20"/>
        </w:rPr>
        <w:t>Kevin F. McLaughlin</w:t>
      </w:r>
      <w:r>
        <w:rPr>
          <w:rFonts w:ascii="Times New Roman" w:hAnsi="Times New Roman"/>
          <w:i/>
          <w:color w:val="231F20"/>
          <w:sz w:val="20"/>
        </w:rPr>
        <w:t>, age 68</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Kevin F. McLaughlin has served as a member of our Board since May 2024. Mr. McLaughlin has more than 40 years of financial and operating management experience spanning the biotech, high-tech and education industries. From 2010 to 2021, he served as Senior Vice President, Chief Financial Officer and Treasurer of Acceleron Pharma Inc. (“Acceleron”) until its acquisition by Merck &amp; Co., Inc. in November 2021. Prior to Acceleron, he was Senior Vice President and Chief Financial Officer of Qteros, Inc., a cellulosic biofuels company, from 2009 through 2010, and from 2007 through 2009 was Co-Founder, Chief Operating Officer and a Director of Aptius Education, Inc. a publishing company. From 1996 through 2007, Mr. McLaughlin held several executive positions with PRAECIS Pharmaceuticals Incorporated. He joined PRAECIS as its first Chief Financial Officer, later becoming Chief Operating Officer, and then President and Chief Executive Officer and a member of the Board of Directors. He remained in this role until the sale of the company to GSK plc (formerly GlaxoSmithKline). Mr. McLaughlin currently serves on the board of directors of Vericel Corporation and a recently formed private biotech company. He previously served on the board of directors of Decibel Therapeutics, until its sale to Regeneron Pharmaceuticals, and the Board of Directors of Stealth Biotherapeutics, until it was brought private by a venture firm. Mr. McLaughlin began his career in senior financial roles at Prime Computer, Inc. and Computervision Corporation. Mr. McLaughlin received a B.S. from Northeastern University and an M.B.A. from the F.W. Olin Graduate School of Business at Babson College. We believe that Mr. McLaughlin is qualified to serve as a member of our Board because of his extensive executive, financial and operating management experience, particularly in the biotech and pharmaceutical industries.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Ajay Royan</w:t>
      </w:r>
      <w:r>
        <w:rPr>
          <w:rFonts w:ascii="Times New Roman" w:hAnsi="Times New Roman"/>
          <w:i/>
          <w:color w:val="231F20"/>
          <w:sz w:val="20"/>
        </w:rPr>
        <w:t>, age 45</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Ajay Royan has served as a member of our Board since March 2025, and he previously served as a member of our Board from October 2020 until June 2022. Mr. Royan is the founder and has served as Managing General Partner of Mithril Capital Management LLC, a venture capital firm investing in technology companies, since June 2012. Mr. Royan currently serves on the board of directors of Fractyl Health, Inc., a metabolic therapeutics company, as well as on the board of directors of several private companies in which Mithril Capital Management LLC or its affiliates have invested, including Adimab, LLC. Mr. Royan serves on the board of directors of Fulbright Canada. Mr. Royan received a B.A. from Yale University. We believe Mr. Royan is qualified to serve as a member of our Board because of his expertise in the technology industry through his career in venture capital and his experience as a director of health and technology companies.</w:t>
      </w:r>
    </w:p>
    <w:p>
      <w:pPr>
        <w:pStyle w:val="TextBody"/>
        <w:bidi w:val="0"/>
        <w:jc w:val="left"/>
        <w:rPr/>
      </w:pPr>
      <w:r>
        <w:rPr/>
        <w:t> </w:t>
      </w:r>
    </w:p>
    <w:p>
      <w:pPr>
        <w:pStyle w:val="TextBody"/>
        <w:bidi w:val="0"/>
        <w:spacing w:before="120" w:after="283"/>
        <w:jc w:val="left"/>
        <w:rPr>
          <w:rFonts w:ascii="Times New Roman" w:hAnsi="Times New Roman"/>
          <w:sz w:val="20"/>
        </w:rPr>
      </w:pPr>
      <w:bookmarkStart w:id="8" w:name="independence_of_the_board"/>
      <w:bookmarkEnd w:id="8"/>
      <w:r>
        <w:rPr>
          <w:rFonts w:ascii="Times New Roman" w:hAnsi="Times New Roman"/>
          <w:b/>
          <w:color w:val="000000"/>
          <w:sz w:val="20"/>
        </w:rPr>
        <w:t>Independence of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under The Nasdaq Stock Market LLC (“Nasdaq”) listing standards, a majority of the members of a listed company’s board must qualify as “independent,” as affirmatively determined by the board. Our Board consults with the Company’s legal counsel to ensure that our Board’s determinations are consistent with relevant securities and other laws and regulations regarding the definition of “independent,” including those set forth in pertinent Nasdaq listing standards, as in effect from time to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Consistent with these considerations, after review of all relevant identified transactions and relationships between each director and nominee for director, or any of his or her family members, and the Company, its senior management and its registered independent public accounting firm, our Board has affirmatively determined that: (i) all of our current directors and nominees for director are independent within the meaning of Nasdaq Rule 5605(a)(2); (ii) current Audit Committee members, Tamsin Berry, Marc Elia and Kevin F. McLaughlin, meet the additional test for independence for audit committee members imposed by Rule 10A-3 under the Exchange Act and Nasdaq Rule 5605(c)(2)(A); and (iii) current Compensation Committee members, Srishti Gupta, M.D. and Christine Lindenboom, as well as anticipated Compensation Committee member following the 2025 Annual Meeting, Kevin F. McLaughlin, meet the additional test for independence for compensation committee members imposed by Nasdaq Rule 5605(d)(2). In making this determination, our Board considered the relationships that each director and nominee for director has with us and all other facts and circumstances that our Board deemed relevant in determining their independence, including the beneficial ownership of our common stock by each person and such person’s affiliated entities, and any agreements or arrangements between us and any of our directors and director nominees or their affiliated entities. </w:t>
      </w:r>
    </w:p>
    <w:p>
      <w:pPr>
        <w:pStyle w:val="TextBody"/>
        <w:bidi w:val="0"/>
        <w:spacing w:before="360" w:after="283"/>
        <w:jc w:val="left"/>
        <w:rPr>
          <w:rFonts w:ascii="Times New Roman" w:hAnsi="Times New Roman"/>
          <w:sz w:val="20"/>
        </w:rPr>
      </w:pPr>
      <w:bookmarkStart w:id="9" w:name="no_family_relationships"/>
      <w:bookmarkEnd w:id="9"/>
      <w:r>
        <w:rPr>
          <w:rFonts w:ascii="Times New Roman" w:hAnsi="Times New Roman"/>
          <w:b/>
          <w:color w:val="000000"/>
          <w:sz w:val="20"/>
        </w:rPr>
        <w:t>No Family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family relationships between any of our executive officers, directors or director nominees.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0" w:name="board_leadership_structure"/>
      <w:bookmarkEnd w:id="10"/>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roles of our Board Chairperson and our principal executive officer are held by two different individuals, as we seek to maintain an appropriate balance between management and our Board. In accordance with our Corporate Governance Guidelines, our Board may select a chairperson of the Board in the manner and on the criteria that the Board deems appropriate. Our Board currently has an independent Board Chairperson, Marc Elia, who has the authority, among other things, to preside over meetings of the Board and meetings of the stockholders, to develop and approve an appropriate Board meeting schedule and meeting agendas, and to convene, moderate and develop the agendas for meetings of the independent members of our Board. Accordingly, our Board Chairperson has substantial ability to shape the work of our Board. The Company believes that separation of the positions of Board Chairperson and principal executive officer reinforces the independence of our Board in its oversight of the business and affairs of the Company. In addition, the Company believes that having an independent Board Chairperson creates an environment that is conducive to objective evaluation and oversight of management’s performance, increasing management accountability and improving the ability of our Board to monitor whether management’s actions are in the best interests of the Company and its stockholders. As a result, the Company believes that having an independent Board Chairperson can enhance the effectiveness of our Board as a whole. </w:t>
      </w:r>
    </w:p>
    <w:p>
      <w:pPr>
        <w:pStyle w:val="TextBody"/>
        <w:bidi w:val="0"/>
        <w:spacing w:before="360" w:after="283"/>
        <w:jc w:val="left"/>
        <w:rPr>
          <w:rFonts w:ascii="Times New Roman" w:hAnsi="Times New Roman"/>
          <w:sz w:val="20"/>
        </w:rPr>
      </w:pPr>
      <w:bookmarkStart w:id="11" w:name="role_of_the_board_in_risk_oversight"/>
      <w:bookmarkEnd w:id="11"/>
      <w:r>
        <w:rPr>
          <w:rFonts w:ascii="Times New Roman" w:hAnsi="Times New Roman"/>
          <w:b/>
          <w:color w:val="000000"/>
          <w:sz w:val="20"/>
        </w:rPr>
        <w:t>Role of the Board in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our Board’s key functions is informed oversight of the Company’s risk management process. Our Board does not have a standing risk management committee, but rather administers this oversight function directly through our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Furthermore, the Audit Committee also is responsible for overseeing and reviewing with management the Company’s major legal compliance risk exposures and the steps management has taken to monitor or mitigate such exposures, including the Company’s procedures and any related policies with respect to risk assessment and risk management. Our Nominating and Corporate Governance Committee reviews and assesses our corporate governance guidelines and Code of Business Ethics and Conduct. Our Compensation Committee of our Board (the “Compensation Committee”) assesses and monitors whether any of our compensation policies and programs has the potential to encourage excessive risk-taking. Both our Board as a whole and the various standing committees receive periodic reports from management regarding material enterprise risks, as well as incidental reports as matters may arise. </w:t>
      </w:r>
    </w:p>
    <w:p>
      <w:pPr>
        <w:pStyle w:val="TextBody"/>
        <w:bidi w:val="0"/>
        <w:spacing w:before="360" w:after="283"/>
        <w:jc w:val="left"/>
        <w:rPr>
          <w:rFonts w:ascii="Times New Roman" w:hAnsi="Times New Roman"/>
          <w:sz w:val="20"/>
        </w:rPr>
      </w:pPr>
      <w:bookmarkStart w:id="12" w:name="meetings_of_the_board_and_annual_meeting"/>
      <w:bookmarkEnd w:id="12"/>
      <w:r>
        <w:rPr>
          <w:rFonts w:ascii="Times New Roman" w:hAnsi="Times New Roman"/>
          <w:b/>
          <w:color w:val="000000"/>
          <w:sz w:val="20"/>
        </w:rPr>
        <w:t>Meetings of the Board and Annual Meeting Attendance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held nine meetings during 2024, and each director attended at least 75% of (i) the number of Board meetings held during the period for which he or she was a director and (ii) the total number of committee meetings held during the period for which he or she served on each such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Five of the Company’s then-serving directors attended the 2024 Annual Meeting of Stockholders (the “2024 Annual Meeting”). It is our policy to invite directors to attend the annual general meetings of stockholders. </w:t>
      </w:r>
    </w:p>
    <w:p>
      <w:pPr>
        <w:pStyle w:val="TextBody"/>
        <w:bidi w:val="0"/>
        <w:spacing w:before="360" w:after="283"/>
        <w:jc w:val="left"/>
        <w:rPr>
          <w:rFonts w:ascii="Times New Roman" w:hAnsi="Times New Roman"/>
          <w:sz w:val="20"/>
        </w:rPr>
      </w:pPr>
      <w:bookmarkStart w:id="13" w:name="information_regarding_committees_ofboard"/>
      <w:bookmarkEnd w:id="13"/>
      <w:r>
        <w:rPr>
          <w:rFonts w:ascii="Times New Roman" w:hAnsi="Times New Roman"/>
          <w:b/>
          <w:color w:val="000000"/>
          <w:sz w:val="20"/>
        </w:rPr>
        <w:t>Information Regarding Committees of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has three standing committees: an Audit Committee, a Compensation Committee, and a Nominating and Corporate Governance Committee. Each committee has adopted a written committee charter, which are available on the Company’s website at </w:t>
      </w:r>
      <w:r>
        <w:rPr>
          <w:rFonts w:ascii="Times New Roman" w:hAnsi="Times New Roman"/>
          <w:i/>
          <w:color w:val="000000"/>
          <w:sz w:val="20"/>
        </w:rPr>
        <w:t>https://investors.invivyd.com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composition of each of our Board’s committees and the number of meetings held during the last fiscal year for each committee is set forth in the following table: </w:t>
      </w:r>
    </w:p>
    <w:tbl>
      <w:tblPr>
        <w:tblW w:w="6787" w:type="dxa"/>
        <w:jc w:val="left"/>
        <w:tblInd w:w="0" w:type="dxa"/>
        <w:tblLayout w:type="fixed"/>
        <w:tblCellMar>
          <w:top w:w="28" w:type="dxa"/>
          <w:left w:w="28" w:type="dxa"/>
          <w:bottom w:w="28" w:type="dxa"/>
          <w:right w:w="28" w:type="dxa"/>
        </w:tblCellMar>
      </w:tblPr>
      <w:tblGrid>
        <w:gridCol w:w="2986"/>
        <w:gridCol w:w="146"/>
        <w:gridCol w:w="901"/>
        <w:gridCol w:w="146"/>
        <w:gridCol w:w="1141"/>
        <w:gridCol w:w="146"/>
        <w:gridCol w:w="132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Audit</w:t>
            </w:r>
            <w:r>
              <w:rPr>
                <w:rFonts w:ascii="Times New Roman" w:hAnsi="Times New Roman"/>
                <w:color w:val="000000"/>
                <w:sz w:val="16"/>
              </w:rPr>
              <w:br/>
            </w:r>
            <w:r>
              <w:rPr>
                <w:rFonts w:ascii="Times New Roman" w:hAnsi="Times New Roman"/>
                <w:b/>
                <w:color w:val="000000"/>
                <w:sz w:val="16"/>
              </w:rP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w:t>
              <w:br/>
              <w:t>Corporate</w:t>
              <w:br/>
              <w:t>Governance</w:t>
              <w:br/>
              <w:t>Committee</w:t>
            </w:r>
          </w:p>
        </w:tc>
      </w:tr>
      <w:tr>
        <w:trPr/>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5720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57200" cy="304800"/>
                          </a:xfrm>
                          <a:prstGeom prst="rect">
                            <a:avLst/>
                          </a:prstGeom>
                        </pic:spPr>
                      </pic:pic>
                    </a:graphicData>
                  </a:graphic>
                </wp:inline>
              </w:drawing>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86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5275" cy="295275"/>
                          </a:xfrm>
                          <a:prstGeom prst="rect">
                            <a:avLst/>
                          </a:prstGeom>
                        </pic:spPr>
                      </pic:pic>
                    </a:graphicData>
                  </a:graphic>
                </wp:inline>
              </w:drawing>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Srishti Gupta, M.D.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47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47650"/>
                          </a:xfrm>
                          <a:prstGeom prst="rect">
                            <a:avLst/>
                          </a:prstGeom>
                        </pic:spPr>
                      </pic:pic>
                    </a:graphicData>
                  </a:graphic>
                </wp:inline>
              </w:drawing>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Lindenboom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86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drawing>
                <wp:inline distT="0" distB="0" distL="0" distR="0">
                  <wp:extent cx="428625" cy="23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8625" cy="238125"/>
                          </a:xfrm>
                          <a:prstGeom prst="rect">
                            <a:avLst/>
                          </a:prstGeom>
                        </pic:spPr>
                      </pic:pic>
                    </a:graphicData>
                  </a:graphic>
                </wp:inline>
              </w:drawing>
            </w:r>
          </w:p>
        </w:tc>
      </w:tr>
      <w:tr>
        <w:trPr/>
        <w:tc>
          <w:tcPr>
            <w:tcW w:w="2986" w:type="dxa"/>
            <w:tcBorders/>
            <w:shd w:fill="CCEEFF"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Terrance McGuire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pPr>
            <w:r>
              <w:rPr/>
              <w:drawing>
                <wp:inline distT="0" distB="0" distL="0" distR="0">
                  <wp:extent cx="457200" cy="304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57200" cy="304800"/>
                          </a:xfrm>
                          <a:prstGeom prst="rect">
                            <a:avLst/>
                          </a:prstGeom>
                        </pic:spPr>
                      </pic:pic>
                    </a:graphicData>
                  </a:graphic>
                </wp:inline>
              </w:drawing>
            </w:r>
          </w:p>
        </w:tc>
      </w:tr>
      <w:tr>
        <w:trPr/>
        <w:tc>
          <w:tcPr>
            <w:tcW w:w="298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Kevin F. McLaughlin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95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5275" cy="2952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2986" w:type="dxa"/>
            <w:tcBorders/>
            <w:shd w:fill="CCEEFF"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Ajay Royan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298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Total meetings in fiscal year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w:t>
            </w:r>
          </w:p>
        </w:tc>
      </w:tr>
    </w:tbl>
    <w:p>
      <w:pPr>
        <w:pStyle w:val="TextBody"/>
        <w:pBdr>
          <w:bottom w:val="single" w:sz="6" w:space="1" w:color="000000"/>
        </w:pBdr>
        <w:bidi w:val="0"/>
        <w:jc w:val="left"/>
        <w:rPr/>
      </w:pPr>
      <w:r>
        <w:rPr/>
        <w:t> </w:t>
      </w:r>
    </w:p>
    <w:p>
      <w:pPr>
        <w:pStyle w:val="TextBody"/>
        <w:bidi w:val="0"/>
        <w:spacing w:before="160" w:after="283"/>
        <w:jc w:val="left"/>
        <w:rPr/>
      </w:pPr>
      <w:r>
        <w:rPr/>
        <w:drawing>
          <wp:inline distT="0" distB="0" distL="0" distR="0">
            <wp:extent cx="4286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28625" cy="238125"/>
                    </a:xfrm>
                    <a:prstGeom prst="rect">
                      <a:avLst/>
                    </a:prstGeom>
                  </pic:spPr>
                </pic:pic>
              </a:graphicData>
            </a:graphic>
          </wp:inline>
        </w:drawing>
      </w:r>
      <w:r>
        <w:rPr>
          <w:color w:val="000000"/>
        </w:rPr>
        <w:t xml:space="preserve"> </w:t>
      </w:r>
      <w:r>
        <w:rPr>
          <w:rFonts w:ascii="Times New Roman" w:hAnsi="Times New Roman"/>
          <w:color w:val="000000"/>
          <w:sz w:val="20"/>
        </w:rPr>
        <w:t>= Member</w:t>
      </w:r>
    </w:p>
    <w:p>
      <w:pPr>
        <w:pStyle w:val="TextBody"/>
        <w:bidi w:val="0"/>
        <w:jc w:val="left"/>
        <w:rPr/>
      </w:pPr>
      <w:r>
        <w:rPr/>
        <w:drawing>
          <wp:inline distT="0" distB="0" distL="0" distR="0">
            <wp:extent cx="295275" cy="295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5275" cy="295275"/>
                    </a:xfrm>
                    <a:prstGeom prst="rect">
                      <a:avLst/>
                    </a:prstGeom>
                  </pic:spPr>
                </pic:pic>
              </a:graphicData>
            </a:graphic>
          </wp:inline>
        </w:drawing>
      </w:r>
      <w:r>
        <w:rPr>
          <w:color w:val="000000"/>
        </w:rPr>
        <w:t xml:space="preserve"> </w:t>
      </w:r>
      <w:r>
        <w:rPr>
          <w:rFonts w:ascii="Times New Roman" w:hAnsi="Times New Roman"/>
          <w:color w:val="000000"/>
          <w:sz w:val="20"/>
        </w:rPr>
        <w:t>= Committee Chairperson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the re-election of our director nominees at the 2025 Annual Meeting, the composition of each of our Board’s committees immediately following the 2025 Annual Meeting is expected to be as set forth in the following table:</w:t>
      </w:r>
    </w:p>
    <w:tbl>
      <w:tblPr>
        <w:tblW w:w="5767" w:type="dxa"/>
        <w:jc w:val="left"/>
        <w:tblInd w:w="0" w:type="dxa"/>
        <w:tblLayout w:type="fixed"/>
        <w:tblCellMar>
          <w:top w:w="28" w:type="dxa"/>
          <w:left w:w="28" w:type="dxa"/>
          <w:bottom w:w="28" w:type="dxa"/>
          <w:right w:w="28" w:type="dxa"/>
        </w:tblCellMar>
      </w:tblPr>
      <w:tblGrid>
        <w:gridCol w:w="1966"/>
        <w:gridCol w:w="146"/>
        <w:gridCol w:w="901"/>
        <w:gridCol w:w="146"/>
        <w:gridCol w:w="1141"/>
        <w:gridCol w:w="146"/>
        <w:gridCol w:w="132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Audit</w:t>
            </w:r>
            <w:r>
              <w:rPr>
                <w:rFonts w:ascii="Times New Roman" w:hAnsi="Times New Roman"/>
                <w:color w:val="000000"/>
                <w:sz w:val="16"/>
              </w:rPr>
              <w:br/>
            </w:r>
            <w:r>
              <w:rPr>
                <w:rFonts w:ascii="Times New Roman" w:hAnsi="Times New Roman"/>
                <w:b/>
                <w:color w:val="000000"/>
                <w:sz w:val="16"/>
              </w:rP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w:t>
              <w:br/>
              <w:t>Corporate</w:t>
              <w:br/>
              <w:t>Governance</w:t>
              <w:br/>
              <w:t>Committee</w:t>
            </w:r>
          </w:p>
        </w:tc>
      </w:tr>
      <w:tr>
        <w:trPr/>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57200" cy="304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57200" cy="304800"/>
                          </a:xfrm>
                          <a:prstGeom prst="rect">
                            <a:avLst/>
                          </a:prstGeom>
                        </pic:spPr>
                      </pic:pic>
                    </a:graphicData>
                  </a:graphic>
                </wp:inline>
              </w:drawing>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28625" cy="238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95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5275" cy="295275"/>
                          </a:xfrm>
                          <a:prstGeom prst="rect">
                            <a:avLst/>
                          </a:prstGeom>
                        </pic:spPr>
                      </pic:pic>
                    </a:graphicData>
                  </a:graphic>
                </wp:inline>
              </w:drawing>
            </w:r>
          </w:p>
        </w:tc>
      </w:tr>
      <w:tr>
        <w:trPr/>
        <w:tc>
          <w:tcPr>
            <w:tcW w:w="1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Lindenboom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57200" cy="304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57200" cy="304800"/>
                          </a:xfrm>
                          <a:prstGeom prst="rect">
                            <a:avLst/>
                          </a:prstGeom>
                        </pic:spPr>
                      </pic:pic>
                    </a:graphicData>
                  </a:graphic>
                </wp:inline>
              </w:drawing>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pPr>
            <w:r>
              <w:rPr/>
              <w:drawing>
                <wp:inline distT="0" distB="0" distL="0" distR="0">
                  <wp:extent cx="457200" cy="304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57200" cy="304800"/>
                          </a:xfrm>
                          <a:prstGeom prst="rect">
                            <a:avLst/>
                          </a:prstGeom>
                        </pic:spPr>
                      </pic:pic>
                    </a:graphicData>
                  </a:graphic>
                </wp:inline>
              </w:drawing>
            </w:r>
          </w:p>
        </w:tc>
      </w:tr>
      <w:tr>
        <w:trPr/>
        <w:tc>
          <w:tcPr>
            <w:tcW w:w="196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Terrance McGuire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drawing>
                <wp:inline distT="0" distB="0" distL="0" distR="0">
                  <wp:extent cx="428625" cy="23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28625" cy="238125"/>
                          </a:xfrm>
                          <a:prstGeom prst="rect">
                            <a:avLst/>
                          </a:prstGeom>
                        </pic:spPr>
                      </pic:pic>
                    </a:graphicData>
                  </a:graphic>
                </wp:inline>
              </w:drawing>
            </w:r>
          </w:p>
        </w:tc>
      </w:tr>
      <w:tr>
        <w:trPr/>
        <w:tc>
          <w:tcPr>
            <w:tcW w:w="1966" w:type="dxa"/>
            <w:tcBorders/>
            <w:shd w:fill="CCEEFF"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Kevin F. McLaughlin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47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8125" cy="247650"/>
                          </a:xfrm>
                          <a:prstGeom prst="rect">
                            <a:avLst/>
                          </a:prstGeom>
                        </pic:spPr>
                      </pic:pic>
                    </a:graphicData>
                  </a:graphic>
                </wp:inline>
              </w:drawing>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47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8125" cy="247650"/>
                          </a:xfrm>
                          <a:prstGeom prst="rect">
                            <a:avLst/>
                          </a:prstGeom>
                        </pic:spPr>
                      </pic:pic>
                    </a:graphicData>
                  </a:graphic>
                </wp:inline>
              </w:drawing>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196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Ajay Royan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spacing w:before="160" w:after="283"/>
        <w:jc w:val="left"/>
        <w:rPr/>
      </w:pPr>
      <w:r>
        <w:rPr/>
        <w:drawing>
          <wp:inline distT="0" distB="0" distL="0" distR="0">
            <wp:extent cx="428625" cy="23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28625" cy="238125"/>
                    </a:xfrm>
                    <a:prstGeom prst="rect">
                      <a:avLst/>
                    </a:prstGeom>
                  </pic:spPr>
                </pic:pic>
              </a:graphicData>
            </a:graphic>
          </wp:inline>
        </w:drawing>
      </w:r>
      <w:r>
        <w:rPr>
          <w:color w:val="000000"/>
        </w:rPr>
        <w:t xml:space="preserve"> </w:t>
      </w:r>
      <w:r>
        <w:rPr>
          <w:rFonts w:ascii="Times New Roman" w:hAnsi="Times New Roman"/>
          <w:color w:val="000000"/>
          <w:sz w:val="20"/>
        </w:rPr>
        <w:t>= Member</w:t>
      </w:r>
    </w:p>
    <w:p>
      <w:pPr>
        <w:pStyle w:val="TextBody"/>
        <w:bidi w:val="0"/>
        <w:jc w:val="left"/>
        <w:rPr/>
      </w:pPr>
      <w:r>
        <w:rPr/>
        <w:drawing>
          <wp:inline distT="0" distB="0" distL="0" distR="0">
            <wp:extent cx="295275" cy="295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5275" cy="295275"/>
                    </a:xfrm>
                    <a:prstGeom prst="rect">
                      <a:avLst/>
                    </a:prstGeom>
                  </pic:spPr>
                </pic:pic>
              </a:graphicData>
            </a:graphic>
          </wp:inline>
        </w:drawing>
      </w:r>
      <w:r>
        <w:rPr>
          <w:color w:val="000000"/>
        </w:rPr>
        <w:t xml:space="preserve"> </w:t>
      </w:r>
      <w:r>
        <w:rPr>
          <w:rFonts w:ascii="Times New Roman" w:hAnsi="Times New Roman"/>
          <w:color w:val="000000"/>
          <w:sz w:val="20"/>
        </w:rPr>
        <w:t>= Committee Chairperson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the committees has authority to engage legal counsel or other experts or consultants, at the expense of the Company, as it deems necessary or appropriate to carry out its responsibilities. Our Board has determined that each existing member of each committee, as well as each member of each committee anticipated to serve following the 2025 Annual Meeting, meets the applicable Nasdaq rules and regulations regarding “independence” and each member is free of any relationship that would impair his or her individual exercise of independent judgment with regard to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4" w:name="audit_committee"/>
      <w:bookmarkEnd w:id="14"/>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purpose of our Audit Committee is to oversee the Company’s corporate accounting and financial reporting processes and the annual audit of its financial statements. For this purpose, the Audit Committee performs several functions. The principal duties and responsibilities of our Audit Committee include, among other things: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 the performance and assesses the independence and qualifications of the independent auditors;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and approve the engagement of the independent auditors;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whether to retain or terminate the existing independent auditors or to appoint and engage new independent auditors;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approve the retention of the independent auditors to perform any proposed permissible non-audit services;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monitor the rotation of partners of the independent auditors on the Company’s audit engagement team as required by law;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confer with management and the independent auditors regarding the effectiveness of internal control over financial reporting;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the Company’s annual audited financial statements and quarterly financial statements with management and the independent auditors, including a review of the Company’s disclosures under “Management’s Discussion and Analysis of Financial Condition and Results of Operations,” and to recommend whether such financial statements should be included in our Annual Report on Form 10-K and our Quarterly Reports on 10-Q, as applicable;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and discuss with management and the independent auditors the Company’s guidelines and policies with respect to financial risk management and financial risk assessment and the Company’s risks relating to data privacy, technology and information security, including cyber security and back-up of information systems, and the steps the Company has taken to monitor and control such exposures;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approve or disapprove all related persons transactions on an ongoing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has determined that Mr. McLaughlin qualifies as an “audit committee financial expert,” as defined in applicable SEC rules. Our Board made a qualitative assessment of the level of knowledge and experience of Mr. McLaughlin based on a number of factors. In its assessment of Mr. McLaughlin, the Board considered his formal education and his experience as chief financial officer and member of the audit committee of the boards of directors of other public companies.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5" w:name="report_of_the_audit_committee"/>
      <w:bookmarkEnd w:id="15"/>
      <w:r>
        <w:rPr>
          <w:rFonts w:ascii="Times New Roman" w:hAnsi="Times New Roman"/>
          <w:b/>
          <w:color w:val="000000"/>
          <w:sz w:val="20"/>
        </w:rPr>
        <w:t>Report of the Audit</w:t>
      </w:r>
      <w:r>
        <w:rPr>
          <w:rFonts w:ascii="Times New Roman" w:hAnsi="Times New Roman"/>
          <w:color w:val="000000"/>
          <w:sz w:val="20"/>
        </w:rPr>
        <w:t xml:space="preserve"> </w:t>
      </w:r>
      <w:r>
        <w:rPr>
          <w:rFonts w:ascii="Times New Roman" w:hAnsi="Times New Roman"/>
          <w:b/>
          <w:color w:val="000000"/>
          <w:sz w:val="20"/>
        </w:rPr>
        <w:t>Committee of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reviewed and discussed the audited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Company’s audited financial statements be included in the Company’s Annual Report on Form 10-K for the fiscal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Kevin F. McLaughlin, Chairperson </w:t>
      </w:r>
    </w:p>
    <w:p>
      <w:pPr>
        <w:pStyle w:val="TextBody"/>
        <w:bidi w:val="0"/>
        <w:jc w:val="left"/>
        <w:rPr>
          <w:rFonts w:ascii="Times New Roman" w:hAnsi="Times New Roman"/>
          <w:color w:val="000000"/>
          <w:sz w:val="20"/>
        </w:rPr>
      </w:pPr>
      <w:r>
        <w:rPr>
          <w:rFonts w:ascii="Times New Roman" w:hAnsi="Times New Roman"/>
          <w:color w:val="000000"/>
          <w:sz w:val="20"/>
        </w:rPr>
        <w:t>Tamsin Berry</w:t>
      </w:r>
    </w:p>
    <w:p>
      <w:pPr>
        <w:pStyle w:val="TextBody"/>
        <w:bidi w:val="0"/>
        <w:jc w:val="left"/>
        <w:rPr>
          <w:rFonts w:ascii="Times New Roman" w:hAnsi="Times New Roman"/>
          <w:color w:val="000000"/>
          <w:sz w:val="20"/>
        </w:rPr>
      </w:pPr>
      <w:r>
        <w:rPr>
          <w:rFonts w:ascii="Times New Roman" w:hAnsi="Times New Roman"/>
          <w:color w:val="000000"/>
          <w:sz w:val="20"/>
        </w:rPr>
        <w:t xml:space="preserve">Marc Elia </w:t>
      </w:r>
    </w:p>
    <w:p>
      <w:pPr>
        <w:pStyle w:val="TextBody"/>
        <w:bidi w:val="0"/>
        <w:spacing w:before="240" w:after="283"/>
        <w:jc w:val="left"/>
        <w:rPr>
          <w:rFonts w:ascii="Times New Roman" w:hAnsi="Times New Roman"/>
          <w:sz w:val="20"/>
        </w:rPr>
      </w:pPr>
      <w:r>
        <w:rPr>
          <w:rFonts w:ascii="Times New Roman" w:hAnsi="Times New Roman"/>
          <w:i/>
          <w:color w:val="000000"/>
          <w:sz w:val="20"/>
        </w:rPr>
        <w:t>* 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 except to the extent we specifically incorporate such report by reference therein.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6" w:name="compensation_committee"/>
      <w:bookmarkEnd w:id="16"/>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purpose of our Compensation Committee is to act on behalf of our Board to oversee the Company’s compensation policies, plans and programs, to review and determine (or recommend to our Board for approval) the compensation to be paid to the Company’s executive officers and directors, and to assist our Board in its oversight of the Company’s strategies relating to culture and human capital leadership,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review and approval (or review and recommendation to our Board for approval)</w:t>
      </w:r>
      <w:r>
        <w:rPr>
          <w:color w:val="000000"/>
        </w:rPr>
        <w:t xml:space="preserve"> </w:t>
      </w:r>
      <w:r>
        <w:rPr>
          <w:rFonts w:ascii="Times New Roman" w:hAnsi="Times New Roman"/>
          <w:color w:val="000000"/>
          <w:sz w:val="20"/>
        </w:rPr>
        <w:t xml:space="preserve">of performance objectives relevant to the compensation of the Company’s executive officers and evaluation of performance in light of these stated objectives;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review and approval (or review and recommendation to our Board for approval)</w:t>
      </w:r>
      <w:r>
        <w:rPr>
          <w:color w:val="000000"/>
        </w:rPr>
        <w:t xml:space="preserve"> </w:t>
      </w:r>
      <w:r>
        <w:rPr>
          <w:rFonts w:ascii="Times New Roman" w:hAnsi="Times New Roman"/>
          <w:color w:val="000000"/>
          <w:sz w:val="20"/>
        </w:rPr>
        <w:t xml:space="preserve">of the compensation and other terms of employment or service, including severance and change-in-control arrangements, of the Company’s executive officers;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of the Company’s equity compensation plans and any other similar plans and programs that the Compensation Committee may evaluate and approve from time to time;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recommendation to our Board of the type and amount of compensation to be paid or awarded to non-employee directors. </w:t>
      </w:r>
    </w:p>
    <w:p>
      <w:pPr>
        <w:pStyle w:val="TextBody"/>
        <w:bidi w:val="0"/>
        <w:spacing w:before="360" w:after="283"/>
        <w:jc w:val="left"/>
        <w:rPr>
          <w:rFonts w:ascii="Times New Roman" w:hAnsi="Times New Roman"/>
          <w:sz w:val="20"/>
        </w:rPr>
      </w:pPr>
      <w:r>
        <w:rPr>
          <w:rFonts w:ascii="Times New Roman" w:hAnsi="Times New Roman"/>
          <w:i/>
          <w:color w:val="000000"/>
          <w:sz w:val="20"/>
        </w:rPr>
        <w:t>Compensation Committee Processes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Typically, the Compensation Committee meets quarterly and with greater frequency if necessary. The agenda for each meeting is developed through collaboration of the Chairperson of the Compensation Committee, the Chief Executive Officer (if appointed), the Chief Human Resources Officer, and the compensation consultant engaged by the Compensation Committee, if any.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(if appointed) does not participate in, and may not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as deemed necessary or appropriate by any member of the Compensation Committee to discharge his or her responsibilities as a member of the Compensation Committee.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the six factors prescribed by the SEC and Nasdaq that bear upon the adviser’s independence; however, there is no requirement that any adviser be independent.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has engaged Alpine Rewards, LLC (“Alpine Rewards”) as its independent compensation consultant since October 2022. Most recently, in June 2024, after taking into consideration the six factors prescribed by the SEC and Nasdaq referenced above, as well as the proposed scope, terms and fees of Alpine Rewards, the Compensation Committee determined that it was advisable and in the best interests of the Compensation Committee to continue to engage Alpine Rewards as a compensation consultant to the Compensation Committee given its focus in the life sciences sector and its comprehensive expertise in executive compensation and employee rewards. In its role as independent compensation consultant, Alpine Rewards has been engaged to evaluate the efficacy of the Company’s existing compensation strategy and practices in supporting and reinforcing the Company’s near-term and long-term strategic goals, and to assist in refining the Company’s compensation strategy and philosophy to enable an executive compensation program that directly supports that strategy. As part of the engagement, the Compensation Committee requested that Alpine Rewards meet with select members of management to learn more about the Company’s business strategy and the role of compensation in achieving those objectives; evaluate the Company’s executive compensation peer group and perform analyses of competitive performance and compensation levels for that group; evaluate the Company’s existing executive compensation program and its competitiveness based on the Compensation Committee approved peer group; review the Company’s overall equity policies and practices and make recommendations based on market practices data and the Company’s compensation strategy and philosophy; and review and make recommendations regarding Board compensation practices. Alpine Rewards ultimately developed recommendations that were presented to the Compensation Committee for its consideration. Compensation decisions or recommendations to the Board, as appropriate, were made by the Compensation Committee following an active dialogue with Alpine Rewards, taking into consideration Alpine Rewards’ recommendations.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recommendation of the Compensation Committee, our Board has delegated authority under the Company’s 2021 Equity Incentive Plan to our principal executive officer to grant options to employees who are not executive officers, subject to limitations approved by the Board.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our Board. In particular, the principal executive officer may not grant options to acquire more than an aggregate fixed number of shares per year, and individually in accordance with minimum and maximum limits for each employee’s classification set forth in the Company’s non-executive employee equity grant guidelines, which were recommended by the Compensation Committee and approved by our Board. During fiscal year 2024, options to purchase an aggregate of 5,216,000 shares were granted to non-executive officer employees pursuant to the delegation of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the Compensation Committee makes most of the significant adjustments to annual compensation, determines bonus and equity awards and establishes new performance objectives at one or more meetings held during the first quarter of the new year or the last quarter of the preceding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 determines, or recommends to the Board, compensation levels and establishes, or recommends that the Board establish, performance objectives for the current year. For executives other than the Chief Executive Officer (if appointed), the Compensation Committee solicits and considers evaluations and recommendations submitted to the Compensation Committee by the Chief Executive Officer (if appointed) and then the Compensation Committee determines, or recommends to our Board, any adjustments to compensation as well as equity awards to be granted. In the case of the Chief Executive Officer (if appointed), the evaluation of performance is conducted by the Compensation Committee, which determines, or recommends to our Board, any adjustments to compensation as well as equity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7" w:name="nominating_and_corporate_governance"/>
      <w:bookmarkEnd w:id="17"/>
      <w:r>
        <w:rPr>
          <w:rFonts w:ascii="Times New Roman" w:hAnsi="Times New Roman"/>
          <w:b/>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purpose of our Nominating and Corporate Governance Committee is to oversee aspects of the Company’s corporate governance functions on behalf of our Board, identify, review and evaluate candidates to serve as directors of the Company (consistent with criteria approved by our Board), review and evaluate incumbent directors, recommend to our Board for selection candidates for election to our Board, make recommendations to our Board regarding the membership of the committees of our Board, assess the performance of our Board and consider our Board’s leadership structure, facilitate communication among director candidates, Company management, and our Board, develop a set of corporate governance guidelines and principles for the Company, and oversee the Company’s environmental, social and governance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Consistent with the criteria for director qualifications set by our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our Board, the operating requirements of the Company and the long-term interests of stockholders. The Nominating and Corporate Governance Committee considers diversity of perspectives, backgrounds, experiences and other factors as it deems appropriate, given the current needs of our Board and the Company, to maintain a balance of knowledge, experience and capability on the Board. As presently constituted, our Board represents a deliberate mix of members who have a deep understanding of the Company’s business, as well as members who have different skill sets and points of view on substantive matters pertaining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appreciates the value of thoughtful Board refreshment, and regularly identifies and considers qualities, skills and other director attributes that would enhance the composition of our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our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our Board. The Nominating and Corporate Governance Committee meets to discuss and consider the candidates’ qualifications and then selects any nominees for recommendation to our Board by majority vote. One of our non-management directors initially recommended Ajay Royan as a potential candidate to serve on our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our Board may do so by delivering a written recommendation to the Nominating and Corporate Governance Committee at the following address: Invivyd, Inc., 1601 Trapelo Road, Suite 178, Waltham, Massachusetts 02451, Attn: Corporate Secretary, at least 90 days, but not less than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our Bylaws. Any such submission must be accompanied by the written consent of the proposed nominee to be named as a nominee and to serve as a director if elected. </w:t>
      </w:r>
    </w:p>
    <w:p>
      <w:pPr>
        <w:pStyle w:val="TextBody"/>
        <w:bidi w:val="0"/>
        <w:spacing w:before="360" w:after="283"/>
        <w:jc w:val="left"/>
        <w:rPr>
          <w:rFonts w:ascii="Times New Roman" w:hAnsi="Times New Roman"/>
          <w:sz w:val="20"/>
        </w:rPr>
      </w:pPr>
      <w:bookmarkStart w:id="18" w:name="stockholder_communications_with_board"/>
      <w:bookmarkEnd w:id="18"/>
      <w:r>
        <w:rPr>
          <w:rFonts w:ascii="Times New Roman" w:hAnsi="Times New Roman"/>
          <w:b/>
          <w:color w:val="000000"/>
          <w:sz w:val="20"/>
        </w:rPr>
        <w:t>Stockholder Communications with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adopted a formal process by which stockholders may communicate with our Board or any of its directors. Stockholders who wish to communicate with our Board may do so by sending written communications addressed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Corporate Secretary at the following address: Invivyd, Inc., 1601 Trapelo Road, Suite 178, Waltham, Massachusetts 02451. Each communication must set forth the name and address of the stockholder on whose behalf the communication is sent, and the number and class of shares of the Company that are owned beneficially by such stockholder as of the date of the communication. The Corporate Secretary will review each communication and will forward such communication to our Board or to any individual director to whom the communication is addressed unless the communication contains advertisements or solicitations or is unduly hostile, threatening or similarly inappropriate. </w:t>
      </w:r>
    </w:p>
    <w:p>
      <w:pPr>
        <w:pStyle w:val="TextBody"/>
        <w:bidi w:val="0"/>
        <w:spacing w:before="360" w:after="283"/>
        <w:jc w:val="left"/>
        <w:rPr>
          <w:rFonts w:ascii="Times New Roman" w:hAnsi="Times New Roman"/>
          <w:b/>
          <w:color w:val="000000"/>
          <w:sz w:val="20"/>
        </w:rPr>
      </w:pPr>
      <w:bookmarkStart w:id="19" w:name="insider_trading_prevention_policy"/>
      <w:bookmarkEnd w:id="19"/>
      <w:r>
        <w:rPr>
          <w:rFonts w:ascii="Times New Roman" w:hAnsi="Times New Roman"/>
          <w:b/>
          <w:color w:val="000000"/>
          <w:sz w:val="20"/>
        </w:rPr>
        <w:t>Insider Trading Prevention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Insider Trading Prevention Policy and related procedures govern the purchase, sale and other dispositions of our securities by our employees, officers and directors, as well as our contractors and consultants who are advised that they are subject to such policy. We believe our Insider Trading Prevention Policy and related procedures are reasonably designed to promote compliance with insider trading laws, rules and regulations, and the listing standards applicable to us. Our Insider Trading Prevention Policy is filed as an exhibit to our Annual Report on Form 10-K for the year ended December 31, 2024.</w:t>
      </w:r>
    </w:p>
    <w:p>
      <w:pPr>
        <w:pStyle w:val="TextBody"/>
        <w:bidi w:val="0"/>
        <w:spacing w:before="360" w:after="283"/>
        <w:jc w:val="left"/>
        <w:rPr>
          <w:rFonts w:ascii="Times New Roman" w:hAnsi="Times New Roman"/>
          <w:sz w:val="20"/>
        </w:rPr>
      </w:pPr>
      <w:bookmarkStart w:id="20" w:name="hedging_policy"/>
      <w:bookmarkEnd w:id="20"/>
      <w:r>
        <w:rPr>
          <w:rFonts w:ascii="Times New Roman" w:hAnsi="Times New Roman"/>
          <w:b/>
          <w:color w:val="000000"/>
          <w:sz w:val="20"/>
        </w:rPr>
        <w:t>Hedging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Insider Trading Prevention Policy prohibits our directors and employees, including our executive officers, from engaging in any hedging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 </w:t>
      </w:r>
    </w:p>
    <w:p>
      <w:pPr>
        <w:pStyle w:val="TextBody"/>
        <w:bidi w:val="0"/>
        <w:jc w:val="left"/>
        <w:rPr/>
      </w:pPr>
      <w:r>
        <w:rPr/>
        <w:t> </w:t>
      </w:r>
    </w:p>
    <w:p>
      <w:pPr>
        <w:pStyle w:val="TextBody"/>
        <w:bidi w:val="0"/>
        <w:jc w:val="left"/>
        <w:rPr>
          <w:rFonts w:ascii="Times New Roman" w:hAnsi="Times New Roman"/>
          <w:sz w:val="20"/>
        </w:rPr>
      </w:pPr>
      <w:bookmarkStart w:id="21" w:name="clawback_policy"/>
      <w:bookmarkEnd w:id="21"/>
      <w:r>
        <w:rPr>
          <w:rFonts w:ascii="Times New Roman" w:hAnsi="Times New Roman"/>
          <w:b/>
          <w:color w:val="000000"/>
          <w:sz w:val="20"/>
        </w:rPr>
        <w:t>Clawback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our Board adopted an incentive compensation recovery policy as required by Rule 10D-1 under the Exchange Act and the corresponding Nasdaq listing standards. Under the policy, in the event of certain accounting restatements, we will be required to recover erroneously received incentive-based compensation from our current and former executive officers. In the event of such an accounting restatement, we will be required to recover the amount of incentive compensation received by a covered executive that exceeds the amount that otherwise would have been received if that incentive compensation had been determined based on the restated amounts, without regard to any taxes paid. A copy of this policy is filed as an exhibit to our Annual Report on Form 10-K for the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2" w:name="executive_officers"/>
      <w:bookmarkEnd w:id="22"/>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executive officers, and their respective ages as of March 22, 2025, are as follows: </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2206"/>
        <w:gridCol w:w="146"/>
        <w:gridCol w:w="436"/>
        <w:gridCol w:w="386"/>
        <w:gridCol w:w="394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3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20"/>
              </w:rPr>
            </w:pPr>
            <w:r>
              <w:rPr>
                <w:rFonts w:ascii="Times New Roman" w:hAnsi="Times New Roman"/>
                <w:b/>
                <w:color w:val="000000"/>
                <w:sz w:val="20"/>
              </w:rPr>
              <w:t>Position(s)</w:t>
            </w:r>
          </w:p>
        </w:tc>
      </w:tr>
      <w:tr>
        <w:trPr/>
        <w:tc>
          <w:tcPr>
            <w:tcW w:w="220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Robert Allen, Ph.D.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46" w:type="dxa"/>
            <w:tcBorders/>
            <w:tcMar>
              <w:top w:w="0" w:type="dxa"/>
              <w:left w:w="0" w:type="dxa"/>
              <w:bottom w:w="0" w:type="dxa"/>
              <w:right w:w="0" w:type="dxa"/>
            </w:tcMar>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Scientific Officer</w:t>
            </w:r>
          </w:p>
        </w:tc>
      </w:tr>
      <w:tr>
        <w:trPr/>
        <w:tc>
          <w:tcPr>
            <w:tcW w:w="220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Jill Andersen, J.D.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46" w:type="dxa"/>
            <w:tcBorders/>
            <w:tcMar>
              <w:top w:w="0" w:type="dxa"/>
              <w:left w:w="0" w:type="dxa"/>
              <w:bottom w:w="0" w:type="dxa"/>
              <w:right w:w="0" w:type="dxa"/>
            </w:tcMar>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Legal Officer and Corporate Secretary</w:t>
            </w:r>
          </w:p>
        </w:tc>
      </w:tr>
      <w:tr>
        <w:trPr/>
        <w:tc>
          <w:tcPr>
            <w:tcW w:w="220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William Duke, Jr., M.B.A.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46" w:type="dxa"/>
            <w:tcBorders/>
            <w:tcMar>
              <w:top w:w="0" w:type="dxa"/>
              <w:left w:w="0" w:type="dxa"/>
              <w:bottom w:w="0" w:type="dxa"/>
              <w:right w:w="0" w:type="dxa"/>
            </w:tcMar>
            <w:vAlign w:val="center"/>
          </w:tcPr>
          <w:p>
            <w:pPr>
              <w:pStyle w:val="TableContents"/>
              <w:pBdr/>
              <w:bidi w:val="0"/>
              <w:spacing w:before="0" w:after="283"/>
              <w:ind w:left="0" w:right="0" w:firstLine="240"/>
              <w:jc w:val="left"/>
              <w:rPr>
                <w:rFonts w:ascii="Times New Roman" w:hAnsi="Times New Roman"/>
                <w:sz w:val="20"/>
              </w:rPr>
            </w:pPr>
            <w:r>
              <w:rPr>
                <w:rFonts w:ascii="Times New Roman" w:hAnsi="Times New Roman"/>
                <w:color w:val="000000"/>
                <w:sz w:val="20"/>
              </w:rPr>
              <w:t>Chief Financial Officer</w:t>
            </w:r>
            <w:r>
              <w:rPr>
                <w:rFonts w:ascii="Times New Roman" w:hAnsi="Times New Roman"/>
                <w:color w:val="000000"/>
                <w:sz w:val="13"/>
              </w:rPr>
              <w:t>(1)</w:t>
            </w:r>
          </w:p>
        </w:tc>
      </w:tr>
      <w:tr>
        <w:trPr/>
        <w:tc>
          <w:tcPr>
            <w:tcW w:w="220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Julie Green, M.B.A.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46" w:type="dxa"/>
            <w:tcBorders/>
            <w:tcMar>
              <w:top w:w="0" w:type="dxa"/>
              <w:left w:w="0" w:type="dxa"/>
              <w:bottom w:w="0" w:type="dxa"/>
              <w:right w:w="0" w:type="dxa"/>
            </w:tcMar>
            <w:vAlign w:val="center"/>
          </w:tcPr>
          <w:p>
            <w:pPr>
              <w:pStyle w:val="TableContents"/>
              <w:pBdr/>
              <w:bidi w:val="0"/>
              <w:spacing w:before="0" w:after="283"/>
              <w:ind w:left="0" w:right="0" w:firstLine="240"/>
              <w:jc w:val="left"/>
              <w:rPr>
                <w:rFonts w:ascii="Times New Roman" w:hAnsi="Times New Roman"/>
                <w:sz w:val="20"/>
              </w:rPr>
            </w:pPr>
            <w:r>
              <w:rPr>
                <w:rFonts w:ascii="Times New Roman" w:hAnsi="Times New Roman"/>
                <w:color w:val="000000"/>
                <w:sz w:val="20"/>
              </w:rPr>
              <w:t>Chief Human Resources Officer</w:t>
            </w:r>
            <w:r>
              <w:rPr>
                <w:rFonts w:ascii="Times New Roman" w:hAnsi="Times New Roman"/>
                <w:color w:val="000000"/>
                <w:sz w:val="13"/>
              </w:rPr>
              <w:t>(2)</w:t>
            </w:r>
            <w:r>
              <w:rPr>
                <w:rFonts w:ascii="Times New Roman" w:hAnsi="Times New Roman"/>
                <w:color w:val="000000"/>
                <w:sz w:val="20"/>
              </w:rPr>
              <w:t xml:space="preserve"> </w:t>
            </w:r>
          </w:p>
        </w:tc>
      </w:tr>
      <w:tr>
        <w:trPr/>
        <w:tc>
          <w:tcPr>
            <w:tcW w:w="220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Timothy Lee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4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Chief Commercial Officer</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Duke, our principal financial officer and principal accounting officer, was appointed as our principal executive officer effective as of May 30, 2024.</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Green has also served as the Head of Communications since October 23,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Robert Allen, Ph.D. </w:t>
      </w:r>
      <w:r>
        <w:rPr>
          <w:rFonts w:ascii="Times New Roman" w:hAnsi="Times New Roman"/>
          <w:color w:val="000000"/>
          <w:sz w:val="20"/>
        </w:rPr>
        <w:t>has served as our Chief Scientific Officer since April 2023. He brings over 30 years of experience across the infectious disease space, most recently as the Chief Scientific Officer of SmartPharm Therapeutics, a subsidiary of Sorrento Therapeutics, from 2020 to 2023. During that time, he led efforts to develop gene-encoded monoclonal antibodies for COVID-19 that could be quickly adapted to respond to emerging variants of concern. He also served concurrently as Senior Vice President, Antiviral and Oncolytic Immunotherapy Development, at Sorrento Therapeutics. Prior to this, Dr. Allen served as Head of Oncolytic Immunotherapy at Sorrento Therapeutics from 2018 to 2020, and he previously held multiple senior scientific roles across the pharmaceutical and biotechnology industries including at SIGA Technologies and the Oregon Translational Research and Development Institute. Dr. Allen holds a Ph.D. in Microbiology from Columbia University, an M.S. in Applied Biology from Georgia Institute of Technology, and a B.S. in Biology from Rhodes College. He has published extensively in the field of virology and completed his postdoctoral training in virology at Washington University in St. Louis and Emory University.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Jill Andersen, J.D.</w:t>
      </w:r>
      <w:r>
        <w:rPr>
          <w:rFonts w:ascii="Times New Roman" w:hAnsi="Times New Roman"/>
          <w:color w:val="000000"/>
          <w:sz w:val="20"/>
        </w:rPr>
        <w:t xml:space="preserve"> has served as our Chief Legal Officer and Corporate Secretary since November 2021. Prior to joining Invivyd, Ms. Andersen served as General Counsel, Corporate Secretary and Chief Compliance Officer of Oyster Point Pharma, Inc. from June 2020 to October 2021. Before joining Oyster Point, Ms. Andersen served as Vice President and Head of Legal, Inflammation &amp; Immunology Franchise, U.S. Market Access and Contracts at Celgene Corporation from September 2016 to November 2019 until the acquisition by Bristol-Myers Squibb Company where she served as Vice President, Legal from November 2019 to May 2020. Prior to Celgene, Ms. Andersen held senior legal leadership roles within the Novartis companies, including Vice President and General Counsel, Legal &amp; Intellectual Property Global Assets at Novartis Services, Inc. from March 2015 to September 2016, U.S. General Counsel and Compliance Officer at Novartis Consumer Health from February 2014 to March 2015, and roles of increasing responsibility at Novartis Pharmaceuticals Corporation from 2007 to March 2015. Before joining the pharmaceuticals industry, Ms. Andersen served as an Assistant United States Attorney for the District of New Jersey from 2003 to 2007. Ms. Andersen received a B.S. in Finance from Boston College and a J.D. from Wake Forest University School of Law.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William Duke, Jr., M.B.A. </w:t>
      </w:r>
      <w:r>
        <w:rPr>
          <w:rFonts w:ascii="Times New Roman" w:hAnsi="Times New Roman"/>
          <w:color w:val="231F20"/>
          <w:sz w:val="20"/>
        </w:rPr>
        <w:t>has served as our Chief Financial Officer (including as our principal financial officer and principal accounting officer) since September 2023, and as our principal executive officer since May 2024. He brings more than 25 years of finance, accounting, and operations experience, including over a decade of senior leadership experience in the biotechnology industry. Prior to joining Invivyd, Mr. Duke served as the Chief Financial Officer of Apexigen, Inc. from June 2022 to August 2023 where he was responsible for all areas of finance and accounting and helped guide the company through its sale to Pyxis Oncology, Inc. Before Apexigen, he was Chief Financial Officer of Kaleido Biosciences, Inc. from November 2019 to April 2022, where he led the successful completion of multiple financings. Prior to Kaleido Biosciences, he was Chief Financial Officer of Pulmatrix, Inc. from June 2015 to November 2019, where he helped negotiate the company’s first product partnership and led the successful completion of several public offerings. Prior to that, he held senior financial leadership roles at Valeritas, Inc. and Genzyme Corporation, where he helped in the sale of the company to Sanofi. Mr. Duke is a certified public accountant and holds a B.S. in Business Administration from Stonehill College and an M.B.A. from Bentley College.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Julie Green, M.B.A. </w:t>
      </w:r>
      <w:r>
        <w:rPr>
          <w:rFonts w:ascii="Times New Roman" w:hAnsi="Times New Roman"/>
          <w:color w:val="231F20"/>
          <w:sz w:val="20"/>
        </w:rPr>
        <w:t xml:space="preserve">has served as our Chief Human Resources Officer since January 2024, and as our Head of Communications since October 2024. She joined Invivyd in January 2022 and served as our Senior Vice President of Human Resources prior to her promotion to Chief Human Resources Officer. Ms. Green brings more than 25 years of experience in human resources matters. Prior to joining Invivyd, Ms. Green was Vice President of Human Resources at Flexion Therapeutics from 2018 to 2022. From 2012 to 2018, she started and led her own human resources consulting firm offering strategic advice and human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solutions to a variety of organizations, specializing in the life science space. Ms. Green holds an M.B.A. from Babson College and a B.S. in Psychology from Union College.</w:t>
      </w:r>
    </w:p>
    <w:p>
      <w:pPr>
        <w:pStyle w:val="TextBody"/>
        <w:bidi w:val="0"/>
        <w:spacing w:before="240" w:after="283"/>
        <w:jc w:val="left"/>
        <w:rPr>
          <w:rFonts w:ascii="Times New Roman" w:hAnsi="Times New Roman"/>
          <w:sz w:val="20"/>
        </w:rPr>
      </w:pPr>
      <w:r>
        <w:rPr>
          <w:rFonts w:ascii="Times New Roman" w:hAnsi="Times New Roman"/>
          <w:b/>
          <w:color w:val="231F20"/>
          <w:sz w:val="20"/>
        </w:rPr>
        <w:t xml:space="preserve">Timothy Lee </w:t>
      </w:r>
      <w:r>
        <w:rPr>
          <w:rFonts w:ascii="Times New Roman" w:hAnsi="Times New Roman"/>
          <w:color w:val="231F20"/>
          <w:sz w:val="20"/>
        </w:rPr>
        <w:t>has served as our Chief Commercial Officer since June 2024. He brings more than 20 years of progressive experience in the biotechnology and pharmaceutical industries. Prior to joining Invivyd, Mr. Lee was Head, Vice President Sales, Commercial Development and Global Commercial Training at Amylyx Pharmaceuticals, Inc. from February 2020 to June 2024. During that time, he built launch capabilities and commercial structure that led to the successful commercial launch of Relyvrio for People Living with ALS. From October 2017 to February 2020, Mr. Lee focused on the rare disease portfolio and overall commercialization strategy at Biohaven Pharmaceuticals. Earlier in his career, Mr. Lee held roles of increasing responsibility in marketing and sales at Alexion Pharmaceuticals, Novartis Pharmaceuticals, and Pfizer. Mr. Lee holds a B.S. in Marketing from Saint Joseph’s University.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3" w:name="security_ownership_of_certain_beneficial"/>
      <w:bookmarkEnd w:id="23"/>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the ownership of the Company’s common stock as of March 22, 2025 by: (i) each current director and director nominee; (ii) each of the executive officers named in the “Summary Compensation Table”; (iii) all current executive officers and directors of the Company as a group; and (iv) all those known by the Company to be beneficial owners of more than five percent of its common stock. Applicable percentages are based on 119,961,445 shares of common stock outstanding on March 22,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22, 2025.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 subject to stock options currently exercisable or exercisable within 60 days of March 22, 2025 are deemed to be outstanding for computing the percentage ownership of the person holding these options and the percentage ownership of any group of which the holder is a member but are not deemed outstanding for computing the percentage of any other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noted otherwise, the address of all listed directors and executive officers is c/o Invivyd, Inc., 1601 Trapelo Road, Suite 178, Waltham, Massachusetts 02451. </w:t>
      </w:r>
    </w:p>
    <w:p>
      <w:pPr>
        <w:pStyle w:val="TextBody"/>
        <w:bidi w:val="0"/>
        <w:jc w:val="left"/>
        <w:rPr/>
      </w:pPr>
      <w:r>
        <w:rPr/>
        <w:t> </w:t>
      </w:r>
    </w:p>
    <w:tbl>
      <w:tblPr>
        <w:tblW w:w="9370" w:type="dxa"/>
        <w:jc w:val="left"/>
        <w:tblInd w:w="0" w:type="dxa"/>
        <w:tblLayout w:type="fixed"/>
        <w:tblCellMar>
          <w:top w:w="28" w:type="dxa"/>
          <w:left w:w="28" w:type="dxa"/>
          <w:bottom w:w="28" w:type="dxa"/>
          <w:right w:w="28" w:type="dxa"/>
        </w:tblCellMar>
      </w:tblPr>
      <w:tblGrid>
        <w:gridCol w:w="5716"/>
        <w:gridCol w:w="146"/>
        <w:gridCol w:w="174"/>
        <w:gridCol w:w="1236"/>
        <w:gridCol w:w="146"/>
        <w:gridCol w:w="146"/>
        <w:gridCol w:w="306"/>
        <w:gridCol w:w="984"/>
        <w:gridCol w:w="5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Beneficial Ownership </w:t>
            </w:r>
            <w:r>
              <w:rPr>
                <w:rFonts w:ascii="Times New Roman" w:hAnsi="Times New Roman"/>
                <w:b/>
                <w:color w:val="000000"/>
                <w:sz w:val="11"/>
              </w:rPr>
              <w:t>(1)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w:t>
              <w:b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Adimab, LLC</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21,687,906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Entities affiliated with Maverick Capital, Ltd.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11,765,787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Mithril II LP</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Entities affiliated with Deep Track Capital, LP</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M28 Capital Management LP</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Entities affiliated with Polaris Venture Partners V, L.P.</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Director Nominees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Tamsin Berry</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Marc Elia</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Srishti Gupta, M.D.</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Christine Lindenboom</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Terrance McGuire</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Kevin F. McLaughlin</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Ajay Royan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David Hering, M.B.A.</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Jeremy Gowler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William Duke, Jr., M.B.A.</w:t>
            </w:r>
            <w:r>
              <w:rPr>
                <w:rFonts w:ascii="Times New Roman" w:hAnsi="Times New Roman"/>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Julie Green, M.B.A.</w:t>
            </w:r>
            <w:r>
              <w:rPr>
                <w:rFonts w:ascii="Times New Roman" w:hAnsi="Times New Roman"/>
                <w:color w:val="000000"/>
                <w:sz w:val="13"/>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Timothy Lee</w:t>
            </w:r>
            <w:r>
              <w:rPr>
                <w:rFonts w:ascii="Times New Roman" w:hAnsi="Times New Roman"/>
                <w:color w:val="000000"/>
                <w:sz w:val="13"/>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directors and current executive officers as a group (12 persons)</w:t>
            </w:r>
            <w:r>
              <w:rPr>
                <w:rFonts w:ascii="Times New Roman" w:hAnsi="Times New Roman"/>
                <w:color w:val="000000"/>
                <w:sz w:val="13"/>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31,473,091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Less than one percent.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This table is based upon information supplied by the named executive officers, other officers, directors and principal stockholders,</w:t>
      </w:r>
      <w:r>
        <w:rPr>
          <w:color w:val="000000"/>
        </w:rPr>
        <w:t xml:space="preserve"> </w:t>
      </w:r>
      <w:r>
        <w:rPr>
          <w:rFonts w:ascii="Times New Roman" w:hAnsi="Times New Roman"/>
          <w:color w:val="000000"/>
          <w:sz w:val="20"/>
        </w:rPr>
        <w:t>Schedules 13D and 13G filed with the SEC, Forms 4 filed with the SEC, and the Company’s records.</w:t>
      </w:r>
      <w:r>
        <w:rPr>
          <w:color w:val="000000"/>
        </w:rPr>
        <w:t xml:space="preserve"> </w:t>
      </w:r>
      <w:r>
        <w:rPr>
          <w:rFonts w:ascii="Times New Roman" w:hAnsi="Times New Roman"/>
          <w:color w:val="000000"/>
          <w:sz w:val="20"/>
        </w:rPr>
        <w:t>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This information has been obtained from a Schedule 13D/A filed on January 22, 2024 by Adimab, LLC (“Adimab”). (i) Terrance McGuire, a current member of our Board, is a member of the Board of Directors of Adimab (the “Adimab Board”); and (ii) Ajay Royan, a current member of our Board, is a member of the Adimab Board. Accordingly,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pPr>
      <w:r>
        <w:rPr>
          <w:rFonts w:ascii="Times New Roman" w:hAnsi="Times New Roman"/>
          <w:color w:val="000000"/>
          <w:sz w:val="20"/>
        </w:rPr>
        <w:t>individuals disclaim beneficial ownership with respect to the shares held by Adimab except to the extent of any pecuniary interest therein. The principal business address of Adimab is c/o Philip Chase, 7 Lucent Drive, Lebanon, NH 03766.</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from a Schedule 13G/A filed on November 14, 2024 by entities and persons affiliated with Maverick Capital, Ltd. (“Maverick Capital”). Maverick Capital is an investment adviser registered under Section 203 of the Investment Advisers Act of 1940 and, as such, may be deemed to have beneficial ownership of the shares through the investment discretion it exercises over its clients’ accounts. Maverick Capital Management, LLC (“Maverick Capital Management”) is the general partner of Maverick Capital. Lee S. Ainslie III is the manager of Maverick Capital Management. Maverick Capital, Maverick Capital Management, and Mr. Ainslie each reported shared voting and dispositive power of the 11,765,787 shares. The principal business address of (i) Maverick Capital and Maverick Capital Management is 1900 N. Pearl Street, 20th Floor, Dallas, Texas 75201, and (ii) Mr. Ainslie is 360 South Rosemary Ave., Suite 1440, West Palm Beach, Florida 33401.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from a Schedule 13D/A filed on July 5,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member of our Board, is the sole managing member of Mithril II UGP. Ajay Royan and Peter Thiel are the members of the investment committee established by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111 Congress Avenue, Suite 500, Austin, TX 78701.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from a Schedule 13G/A filed on November 14, 2024 by entities and persons affiliated with Deep Track Capital, LP (“Deep Track Capital”). Deep Track Capital, Deep Track Biotechnology Master Fund, Ltd. (“Deep Track Biotechnology”), and David Kroin each reported shared voting and dispositive power of the 10,953,937 shares. Mr. Kroin may be considered a control person for Deep Track Capital. The address of the principal business office of (i) Deep Track Capital and David Kroin is 200 Greenwich Ave, 3rd Floor, Greenwich, CT 06830 and (ii) Deep Track Biotechnology is c/o Walkers Corporate Limited, 190 Elgin Ave, George Town, KY1-9001, Cayman Islands.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pPr>
      <w:r>
        <w:rPr>
          <w:rFonts w:ascii="Times New Roman" w:hAnsi="Times New Roman"/>
          <w:color w:val="000000"/>
          <w:sz w:val="20"/>
        </w:rPr>
        <w:t>This information has been obtained from a Schedule 13D/A filed on August 19, 2022 by M28 Capital Management LP (“M28 Capital”). Consists of 9,248,250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the Chairperson of our Board, is the Chief Investment Officer of M28 Capital and Managing Member of M28 Capital Management GP LLC, the general partner of M28 Capital, and exercises investment discretion with respect to these securities. For Mr. Elia’s reported holdings, the total amount also includes options to purchase 241,666 shares of common stock currently exercisable or exercisable within 60 days of March 22, 2025. The principal business address of M28 Capital and Mr. Elia is 700 Canal Street, 2</w:t>
      </w:r>
      <w:r>
        <w:rPr>
          <w:rFonts w:ascii="Times New Roman" w:hAnsi="Times New Roman"/>
          <w:color w:val="000000"/>
          <w:sz w:val="13"/>
        </w:rPr>
        <w:t>nd</w:t>
      </w:r>
      <w:r>
        <w:rPr>
          <w:color w:val="000000"/>
        </w:rPr>
        <w:t xml:space="preserve"> </w:t>
      </w:r>
      <w:r>
        <w:rPr>
          <w:rFonts w:ascii="Times New Roman" w:hAnsi="Times New Roman"/>
          <w:color w:val="000000"/>
          <w:sz w:val="20"/>
        </w:rPr>
        <w:t xml:space="preserve">Floor, Stamford, CT 06902.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 xml:space="preserve">This information has been obtained from a Schedule 13D/A filed on December 12, 2024 by entities and persons affiliated with Polaris Venture Partners V, L.P. (“Polaris V”), as subsequently updated by a Form 4 filed by Terrance McGuire on December 31, 2024.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3,066,757 shares of our common stock held of record by Polaris Partners IX, L.P. (“Polaris IX”) and (vi) 497,660 shares of our common stock held of record by Polaris Healthcare Technology Opportunities Fund, L.P. (“Polaris HCT”). Polaris Venture Management Co. V, L.L.C. (“PVMC V”) is the general partner of each of Polaris V, Polaris EF V, Polaris FF V and Polaris SFF V and may be deemed to have shared voting, investment and dispositive power with respect to the securities held by each of Polaris V, Polaris EF V, Polaris FF V and Polaris SFF V. Terrance McGuire, a member of our Board, and Jonathan Flint are the managing members of PVMC V and may be deemed to have shared voting, investment and dispositive power with respect to the securities held by each of Polaris V, Polaris EF V, Polaris FF V and Polaris SFF V. Polaris Partners GP IX, L.L.C. (“PPGP IX”) is the general partner of Polaris IX and may be deemed to have shared voting, investment and dispositive power with respect to the securities held by Polaris IX. Terrance McGuire, an interest holder in PPGP IX and a member of our Board, and David Barrett, Brian Chee, Amir Nashat and Amy Schulman, the managing members of PPGP IX,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and David Barrett, Brian Chee, Amir Nashat and Amy Schulman, the managing members of PHCT GP, may be deemed to have shared voting, investment and dispositive power with respect to the securities held by Polaris HCT. For Mr. McGuire’s reported holdings, the total amount also includes options to purchase 210,593 shares of common stock currently exercisable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pPr>
      <w:r>
        <w:rPr>
          <w:rFonts w:ascii="Times New Roman" w:hAnsi="Times New Roman"/>
          <w:color w:val="000000"/>
          <w:sz w:val="20"/>
        </w:rPr>
        <w:t>or exercisable within 60 days of March 22, 2025. The principal business address of each of the entities and persons referenced in this footnote is c/o Polaris Partners, One Marina Park Drive, 8</w:t>
      </w:r>
      <w:r>
        <w:rPr>
          <w:rFonts w:ascii="Times New Roman" w:hAnsi="Times New Roman"/>
          <w:color w:val="000000"/>
          <w:sz w:val="13"/>
        </w:rPr>
        <w:t>th</w:t>
      </w:r>
      <w:r>
        <w:rPr>
          <w:color w:val="000000"/>
        </w:rPr>
        <w:t xml:space="preserve"> </w:t>
      </w:r>
      <w:r>
        <w:rPr>
          <w:rFonts w:ascii="Times New Roman" w:hAnsi="Times New Roman"/>
          <w:color w:val="000000"/>
          <w:sz w:val="20"/>
        </w:rPr>
        <w:t>Floor, Boston, MA 02210.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241,666 shares of common stock currently exercisable or exercisable within 60 days of March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33,330 shares of common stock currently exercisable or exercisable within 60 days of March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208,754 shares of common stock currently exercisable or exercisable within 60 days of March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33,330 shares of common stock currently exercisable or exercisable within 60 days of March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8,000 shares of common stock.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options to purchase 486,110 shares of common stock currently exercisable or exercisable within 60 days of March 22,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408,733 shares of common stock currently exercisable or exercisable within 60 days of March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79,166 shares of common stock currently exercisable or exercisable within 60 days of March 22,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jc w:val="left"/>
        <w:rPr>
          <w:rFonts w:ascii="Times New Roman" w:hAnsi="Times New Roman"/>
          <w:color w:val="000000"/>
          <w:sz w:val="20"/>
        </w:rPr>
      </w:pPr>
      <w:r>
        <w:rPr>
          <w:rFonts w:ascii="Times New Roman" w:hAnsi="Times New Roman"/>
          <w:color w:val="000000"/>
          <w:sz w:val="20"/>
        </w:rPr>
        <w:t xml:space="preserve">Consists of (i) 27,290,527 shares of common stock and (ii) options to purchase 4,182,564 shares of common stock currently exercisable or exercisable within 60 days of March 22,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4" w:name="executive_compensation"/>
      <w:bookmarkEnd w:id="24"/>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named executive officers for the fiscal year ended December 31, 2024 consist of: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David Hering, M.B.A., our former Chief Executive Officer;</w:t>
      </w:r>
      <w:r>
        <w:rPr>
          <w:rFonts w:ascii="Times New Roman" w:hAnsi="Times New Roman"/>
          <w:color w:val="000000"/>
          <w:sz w:val="13"/>
        </w:rPr>
        <w:t>(1)</w:t>
      </w:r>
      <w:r>
        <w:rPr>
          <w:color w:val="00000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Jeremy Gowler, our former Chief Operating Officer, Chief Commercial Officer and Interim Chief Executive Officer;</w:t>
      </w:r>
      <w:r>
        <w:rPr>
          <w:rFonts w:ascii="Times New Roman" w:hAnsi="Times New Roman"/>
          <w:color w:val="000000"/>
          <w:sz w:val="13"/>
        </w:rPr>
        <w:t>(2)</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William Duke, Jr., M.B.A., our Chief Financial Officer;</w:t>
      </w:r>
      <w:r>
        <w:rPr>
          <w:rFonts w:ascii="Times New Roman" w:hAnsi="Times New Roman"/>
          <w:color w:val="000000"/>
          <w:sz w:val="13"/>
        </w:rPr>
        <w:t>(3)</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Julie Green, M.B.A, our Chief Human Resources Officer;</w:t>
      </w:r>
      <w:r>
        <w:rPr>
          <w:rFonts w:ascii="Times New Roman" w:hAnsi="Times New Roman"/>
          <w:color w:val="000000"/>
          <w:sz w:val="13"/>
        </w:rPr>
        <w:t>(4)</w:t>
      </w:r>
      <w:r>
        <w:rPr>
          <w:color w:val="000000"/>
        </w:rPr>
        <w:t xml:space="preserve"> </w:t>
      </w:r>
      <w:r>
        <w:rPr>
          <w:rFonts w:ascii="Times New Roman" w:hAnsi="Times New Roman"/>
          <w:color w:val="000000"/>
          <w:sz w:val="20"/>
        </w:rPr>
        <w:t>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Timothy Lee, our Chief Commercial Officer.</w:t>
      </w:r>
      <w:r>
        <w:rPr>
          <w:rFonts w:ascii="Times New Roman" w:hAnsi="Times New Roman"/>
          <w:color w:val="000000"/>
          <w:sz w:val="13"/>
        </w:rPr>
        <w:t>(5)</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Hering ceased serving as an executive officer, as well as our principal executive officer, effective as of April 11, 2024, with his employment terminating on May 11, 2024.</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Gowler was appointed as our Interim Chief Executive Officer and designated as our principal executive officer as of April 11, 2024. Mr. Gowler ceased serving as an executive officer, as well as our principal executive officer, effective as of May 30, 2024, with his employment terminating on June 29, 2024.</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Duke, our Chief Financial Officer, as well as our principal financial officer and principal accounting officer, was appointed as our principal executive officer effective as of May 30, 2024.</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Green was appointed as our Chief Human Resources Officer effective as of January 24, 2024 and has also served as our Head of Communications effective as of October 23, 2024.</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Lee was appointed as our Chief Commercial Officer effective as of June 5,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an “emerging growth company” under the Jumpstart Our Business Startups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 </w:t>
      </w:r>
    </w:p>
    <w:p>
      <w:pPr>
        <w:pStyle w:val="TextBody"/>
        <w:bidi w:val="0"/>
        <w:spacing w:before="360" w:after="283"/>
        <w:jc w:val="left"/>
        <w:rPr>
          <w:rFonts w:ascii="Times New Roman" w:hAnsi="Times New Roman"/>
          <w:sz w:val="20"/>
        </w:rPr>
      </w:pPr>
      <w:bookmarkStart w:id="25" w:name="summary_compensation_table"/>
      <w:bookmarkEnd w:id="25"/>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regarding compensation awarded or paid to, or earned by, our named executive officers with respect to the years ended December 31, 2024 and December 31, 2023. Mr. Gowler, Mr. Duke, Ms. Green and Mr. Lee were not named executive officers for the year ended December 31, 2023; accordingly, compensation for such year is not included in the following table for such individuals.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5"/>
        <w:gridCol w:w="146"/>
        <w:gridCol w:w="466"/>
        <w:gridCol w:w="146"/>
        <w:gridCol w:w="146"/>
        <w:gridCol w:w="691"/>
        <w:gridCol w:w="146"/>
        <w:gridCol w:w="146"/>
        <w:gridCol w:w="691"/>
        <w:gridCol w:w="146"/>
        <w:gridCol w:w="146"/>
        <w:gridCol w:w="826"/>
        <w:gridCol w:w="146"/>
        <w:gridCol w:w="167"/>
        <w:gridCol w:w="794"/>
        <w:gridCol w:w="146"/>
        <w:gridCol w:w="146"/>
        <w:gridCol w:w="826"/>
        <w:gridCol w:w="146"/>
        <w:gridCol w:w="146"/>
        <w:gridCol w:w="826"/>
        <w:gridCol w:w="191"/>
      </w:tblGrid>
      <w:tr>
        <w:trPr/>
        <w:tc>
          <w:tcPr>
            <w:tcW w:w="2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Bonus</w:t>
              <w:br/>
              <w:t>($)</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w:t>
              <w:br/>
              <w:t>Awards</w:t>
              <w:br/>
              <w:t>($)</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Non-Equity</w:t>
              <w:br/>
              <w:t>Incentive Plan</w:t>
              <w:br/>
              <w:t>Compensation</w:t>
              <w:br/>
              <w:t>($)</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w:t>
              <w:br/>
              <w:t>Compensation</w:t>
              <w:br/>
              <w:t>($)</w:t>
            </w:r>
            <w:r>
              <w:rPr>
                <w:rFonts w:ascii="Times New Roman" w:hAnsi="Times New Roman"/>
                <w:b/>
                <w:color w:val="000000"/>
                <w:sz w:val="9"/>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Hering,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Former Chief Executive Officer</w:t>
            </w: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3,667,262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Gowler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605,382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Former Interim Chief Executive Officer and former Chief Operating and Commercial Officer</w:t>
            </w: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William Duke, Jr.,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Julie Green,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Human Resources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Timothy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Commercial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See “—Narrative to Summary Compensation Table—Bonus Compensation” below for a description of the material terms of the program pursuant to which this compensation was awarded.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11 to our financial statements included in our Annual Report on Form 10-K for the year ended December 31, 2024. These amounts do not reflect the actual economic value that will be realized by the named executive officer upon vesting of the stock options, the exercise of the stock options, or the sale of the common stock underlying such stock options.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See “—Narrative to Summary Compensation Table—Non-Equity Incentive Plan Compensation” below for a description of the material terms of the programs pursuant to which this compensation was awarded.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(i) employer contributions to 401(k) plan accounts, (ii) life insurance premiums, (iii) for 2024, severance of $998,400 for Mr. Hering, in addition to earnings of $7,039 on non-qualified stock option awards, (iv) for 2024, severance of $348,750 for Mr. Gowler, and (v) for 2023, relocation expenses for Mr. Hering of $75,000, in addition to a tax gross-up of $33,617.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Hering was also a member of our Board but did not receive any additional compensation in his capacity as a director. Mr. Hering ceased serving as an executive officer, as well as our principal executive officer, effective as of April 11, 2024, with his employment terminating on May 11,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Mr. Gowler was appointed as our Interim Chief Executive Officer and designated as our principal executive officer, as of April 11, 2024. Mr. Gowler ceased serving as an executive officer, as well as our principal executive officer, effective as of May 30, 2024, with his employment terminating on June 29, 2024. While serving as Interim Chief Executive Officer and principal executive officer, Mr. Gowler received an additional $5,000 in monthly compensation.</w:t>
      </w:r>
    </w:p>
    <w:p>
      <w:pPr>
        <w:pStyle w:val="TextBody"/>
        <w:bidi w:val="0"/>
        <w:spacing w:before="360" w:after="283"/>
        <w:jc w:val="left"/>
        <w:rPr>
          <w:rFonts w:ascii="Times New Roman" w:hAnsi="Times New Roman"/>
          <w:sz w:val="20"/>
        </w:rPr>
      </w:pPr>
      <w:bookmarkStart w:id="26" w:name="narrative_to_summary_compensation_table"/>
      <w:bookmarkEnd w:id="26"/>
      <w:r>
        <w:rPr>
          <w:rFonts w:ascii="Times New Roman" w:hAnsi="Times New Roman"/>
          <w:b/>
          <w:color w:val="000000"/>
          <w:sz w:val="20"/>
        </w:rPr>
        <w:t>Narrative To 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of our Board has historically determined, or made recommendations to our Board to determine, our executives’ compensation, including the compensation of our named executive officers. Our Compensation Committee typically reviews and discusses management’s proposed compensation with the Chief Executive Officer (if appointed) for all executives other than the Chief Executive Officer (if appointed).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our Board for approval, the compensation of each executive officer. </w:t>
      </w:r>
    </w:p>
    <w:p>
      <w:pPr>
        <w:pStyle w:val="TextBody"/>
        <w:bidi w:val="0"/>
        <w:spacing w:before="360" w:after="283"/>
        <w:jc w:val="left"/>
        <w:rPr>
          <w:rFonts w:ascii="Times New Roman" w:hAnsi="Times New Roman"/>
          <w:sz w:val="20"/>
        </w:rPr>
      </w:pPr>
      <w:bookmarkStart w:id="27" w:name="annual_base_salary"/>
      <w:bookmarkEnd w:id="27"/>
      <w:r>
        <w:rPr>
          <w:rFonts w:ascii="Times New Roman" w:hAnsi="Times New Roman"/>
          <w:b/>
          <w:color w:val="000000"/>
          <w:sz w:val="20"/>
        </w:rPr>
        <w:t>Annual 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of our Board reviews and approves, or recommends to our Board for approval, the annual base salaries of our named executive officers.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annual base salaries for each of our named executive officers for 2024: </w:t>
      </w:r>
    </w:p>
    <w:p>
      <w:pPr>
        <w:pStyle w:val="TextBody"/>
        <w:bidi w:val="0"/>
        <w:jc w:val="left"/>
        <w:rPr/>
      </w:pPr>
      <w:r>
        <w:rPr/>
        <w:t> </w:t>
      </w:r>
    </w:p>
    <w:tbl>
      <w:tblPr>
        <w:tblW w:w="3700" w:type="dxa"/>
        <w:jc w:val="left"/>
        <w:tblInd w:w="0" w:type="dxa"/>
        <w:tblLayout w:type="fixed"/>
        <w:tblCellMar>
          <w:top w:w="28" w:type="dxa"/>
          <w:left w:w="28" w:type="dxa"/>
          <w:bottom w:w="28" w:type="dxa"/>
          <w:right w:w="28" w:type="dxa"/>
        </w:tblCellMar>
      </w:tblPr>
      <w:tblGrid>
        <w:gridCol w:w="2371"/>
        <w:gridCol w:w="146"/>
        <w:gridCol w:w="211"/>
        <w:gridCol w:w="78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w:t>
              <w:br/>
              <w:t>Salary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Hering, M.B.A.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Jeremy Gowler</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Duke, Jr., M.B.A.</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Julie Green, M.B.A.</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Timothy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Hering ceased serving as an executive officer, as well as our principal executive officer, effective as of April 11, 2024, with his employment terminating on May 11, 2024.</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Gowler was appointed as our Interim Chief Executive Officer and designated as our principal executive officer, as of April 11, 2024. Mr. Gowler ceased serving as an executive officer, as well as our principal executive officer, effective as of May 30, 2024, with his employment terminating on June 29, 2024.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Duke, our Chief Financial Officer, as well as our principal financial officer and principal accounting officer, was appointed as our principal executive officer effective as of May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as of September 1, 2024 in recognition of Ms. Green’s expanded leadership role within the Company, including corporate communications functional oversight. Prior to such date, Ms. Green’s base salary was $380,000.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the Compensation Committee recommended to our Board the following annual base salaries for each of our named executive officers for 2025, which the Board approved in January 2025:</w:t>
        <w:br/>
        <w:t> </w:t>
      </w:r>
    </w:p>
    <w:tbl>
      <w:tblPr>
        <w:tblW w:w="3535" w:type="dxa"/>
        <w:jc w:val="left"/>
        <w:tblInd w:w="0" w:type="dxa"/>
        <w:tblLayout w:type="fixed"/>
        <w:tblCellMar>
          <w:top w:w="28" w:type="dxa"/>
          <w:left w:w="28" w:type="dxa"/>
          <w:bottom w:w="28" w:type="dxa"/>
          <w:right w:w="28" w:type="dxa"/>
        </w:tblCellMar>
      </w:tblPr>
      <w:tblGrid>
        <w:gridCol w:w="220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Base</w:t>
              <w:br/>
              <w:t>Salary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Hering,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Gowler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Duke, Jr.,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Julie Green,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Timothy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bookmarkStart w:id="28" w:name="bonus_compensation"/>
      <w:bookmarkEnd w:id="28"/>
      <w:r>
        <w:rPr>
          <w:rFonts w:ascii="Times New Roman" w:hAnsi="Times New Roman"/>
          <w:b/>
          <w:color w:val="000000"/>
          <w:sz w:val="20"/>
        </w:rPr>
        <w:t>Bonus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2024 Annual Performance Bonus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develops a performance-based bonus program annually. For 2024, the Compensation Committee determined that each named executive officer’s performance bonus should be based principally on contribution towards the achievement of corporate goals. Under the 2024 annual performance bonus program, each named executive officer was eligible to be considered for an annual performance bonus based on the percentage attainment of the 2024 corporate goals that were approved by the Board. The 2024 corporate goals were not weighted; accordingly, there was a degree of holistic and qualitative judgment in the Board’s final determination of the Company’s achievement against corporate goals in order to provide the Board with the flexibility to determine the importance of such goals based on a variety of factors, such as actual results, changing business conditions throughout the year and operating opportunities and challenges that were not reasonably foreseeable at the time the goals were established.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named executive officer had a target bonus opportunity calculated as a percentage of his or her annual base salary. For 2024, each named executive officer’s target bonus percentage was as follows: 60% for Mr. Hering, and 40% for Mr. Gowler, Mr. Duke, Ms. Green and Mr. Lee.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2025, the Board, after receiving input from the Compensation Committee, determined that the percentage attainment of the 2024 corporate goals was 75%, and approved individual 2024 performance bonus payouts for each of Mr. Duke, Ms. Green and Mr. Lee in the amounts of $144,000, $132,000 and $126,000, respectively, which amounts are included in the column of the “Summary Compensation Table” above entitled “Bonus.” Mr. Hering and Mr. Gowler did not earn an annual performance bonus for 2024 given their departures in May 2024 and June 2024, respectively. </w:t>
      </w:r>
    </w:p>
    <w:p>
      <w:pPr>
        <w:pStyle w:val="TextBody"/>
        <w:bidi w:val="0"/>
        <w:spacing w:before="360" w:after="283"/>
        <w:jc w:val="left"/>
        <w:rPr>
          <w:rFonts w:ascii="Times New Roman" w:hAnsi="Times New Roman"/>
          <w:sz w:val="20"/>
        </w:rPr>
      </w:pPr>
      <w:bookmarkStart w:id="29" w:name="non_equity_incentive_plan_compensation"/>
      <w:bookmarkEnd w:id="29"/>
      <w:r>
        <w:rPr>
          <w:rFonts w:ascii="Times New Roman" w:hAnsi="Times New Roman"/>
          <w:b/>
          <w:color w:val="000000"/>
          <w:sz w:val="20"/>
        </w:rPr>
        <w:t>Non-Equity Incentive Plan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2023 Annual Performance Bonus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the Board, upon recommendation by the Compensation Committee, pre-determined that the percentage attainment of the 2023 corporate goals would be 200% in the event that the Company achieved a specific 2023 corporate goal approved the by Board (designated as the “Specified Milestone”); in the event that the Company did not achieve the Specified Milestone, the Board retained the authority to determine the percentage attainment of the 2023 corporate goals based on its assessment of overall performance against all of the 2023 corporate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the Board, upon recommendation by the Compensation Committee, determined that the Company achieved the Specified Milestone and, therefore, the percentage attainment of the 2023 corporate goals was 200%. Accordingly, the Board, upon recommendation by the Compensation Committee, approved an individual 2023 performance bonus payout for Mr. Hering in the amount of $720,000, which amount is included in the column of the “Summary Compensation Table” above entitled “Non-Equity Incentive Plan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2023 Cash-Based Incentive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Board, upon recommendation by the Compensation Committee, approved a cash-based incentive program designed to incentivize and retain employees of the Company, pursuant to which substantially all of the Company’s executive and non-executive employees would be awarded a cash payment equal to a percentage of each employee’s respective annual bonus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target in the event that the Company dosed the first participant in a pivotal clinical trial of VYD222 by September 30, 2023. In September 2023, following dosing of the first participant in the Company’s CANOPY Phase 3 pivotal clinical trial of VYD222, Mr. Hering received $180,000 under the cash-based incentive program, which amount is included in the column of the “Summary Compensation Table” above entitled “Non-Equity Incentive Plan Compensation.” </w:t>
      </w:r>
    </w:p>
    <w:p>
      <w:pPr>
        <w:pStyle w:val="TextBody"/>
        <w:bidi w:val="0"/>
        <w:spacing w:before="360" w:after="283"/>
        <w:jc w:val="left"/>
        <w:rPr>
          <w:rFonts w:ascii="Times New Roman" w:hAnsi="Times New Roman"/>
          <w:b/>
          <w:color w:val="000000"/>
          <w:sz w:val="20"/>
        </w:rPr>
      </w:pPr>
      <w:bookmarkStart w:id="30" w:name="equity_based_awards"/>
      <w:bookmarkEnd w:id="30"/>
      <w:r>
        <w:rPr>
          <w:rFonts w:ascii="Times New Roman" w:hAnsi="Times New Roman"/>
          <w:b/>
          <w:color w:val="000000"/>
          <w:sz w:val="20"/>
        </w:rPr>
        <w:t>Equity-Based Awards and Policies and Practices Related to the Grant of Certain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equity-based incentive awards granted to our named executive officers are designed to align the interests of our named executive officers with those of our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maintain any formal written policies on the timing of awards of stock options, stock appreciation rights, or similar instruments with option-like features in relation to the disclosure of material nonpublic information. Our employees, including our executive officers, are generally awarded an initial new hire stock option grant in connection with commencement of employment, and we have historically made annual equity grants to our employees, including our executive officers, during either the last month of the prior year or the first quarter of the new year, with grant dates for executive officers generally tied to the date of Board or Compensation Committee approval and grant dates for non-officer employees determined in accordance with the delegation of authority described above under “Compensation Committee Processes and Procedures.” Additional equity grants may occur periodically to executive officers or other employees as incentive with respect to achieving certain corporate goals, reward for exceptional performance or compensation for additional job responsibilities. We do not have a practice to grant options in anticipation of the release of material non-public information, and we have not timed the disclosure of material non-public information for the purpose of affecting the value of executive compensation. During fiscal 2024, no named executive officer was granted any options during the period beginning four business days before, and ending one business day after, the filing of a periodic report on Form 10-Q or an annual report on Form 10-K, or the filing or furnishing of a current report on Form 8-K that disclosed material nonpublic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Vesting of equity awards is generally tied to each executive officer’s continuous service with us and serves as an additional retention measure. Initial new hire stock option grants typically vest with respect to one fourth (1/4) of the shares subject to the option award on the first anniversary of the grant date, with the remainder vesting in equal monthly installments over thirty-six months, subject to continuous service through each vesting date. Annual stock option grants typically vest in equal monthly installments over a three-year period measured one month following the grant date, subject to continuous service through each vesting date. From time to time, the Board or the Compensation Committee may construct alternate vesting schedules as it determines are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granted all equity awards pursuant to our 2021 Equity Incentive Plan since its adoption; equity awards granted prior to the adoption of the 2021 Equity Incentive Plan were made pursuant to our 2020 Equity Incentive Plan. The 2021 Equity Incentive Plan provides for the grant of incentive stock options, non-statutory stock options, stock appreciation rights, restricted stock awards, restricted stock units and other stock-based awards. The 2021 Equity Incentive Plan is administered by the Board or, at the discretion of the Board, by a committee of the Board. The Board may also delegate to one or more officers of the Company the power to grant awards to employees and certain officers of the Company. The exercise prices, vesting and other restrictions are determined at the discretion of the Board, its committee or any such officer if so delegated.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31" w:name="outstanding_equity_awards"/>
      <w:bookmarkEnd w:id="31"/>
      <w:r>
        <w:rPr>
          <w:rFonts w:ascii="Times New Roman" w:hAnsi="Times New Roman"/>
          <w:b/>
          <w:color w:val="000000"/>
          <w:sz w:val="20"/>
        </w:rPr>
        <w:t>Outstanding Equity Awards as of December 31,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about outstanding equity awards granted to our named executive officers that were outstanding as of December 31, 2024. </w:t>
      </w:r>
    </w:p>
    <w:p>
      <w:pPr>
        <w:pStyle w:val="TextBody"/>
        <w:bidi w:val="0"/>
        <w:jc w:val="left"/>
        <w:rPr/>
      </w:pPr>
      <w:r>
        <w:rPr/>
        <w:t> </w:t>
      </w:r>
    </w:p>
    <w:tbl>
      <w:tblPr>
        <w:tblW w:w="9039" w:type="dxa"/>
        <w:jc w:val="left"/>
        <w:tblInd w:w="0" w:type="dxa"/>
        <w:tblLayout w:type="fixed"/>
        <w:tblCellMar>
          <w:top w:w="28" w:type="dxa"/>
          <w:left w:w="28" w:type="dxa"/>
          <w:bottom w:w="28" w:type="dxa"/>
          <w:right w:w="28" w:type="dxa"/>
        </w:tblCellMar>
      </w:tblPr>
      <w:tblGrid>
        <w:gridCol w:w="2206"/>
        <w:gridCol w:w="146"/>
        <w:gridCol w:w="254"/>
        <w:gridCol w:w="1366"/>
        <w:gridCol w:w="146"/>
        <w:gridCol w:w="271"/>
        <w:gridCol w:w="255"/>
        <w:gridCol w:w="1365"/>
        <w:gridCol w:w="146"/>
        <w:gridCol w:w="146"/>
        <w:gridCol w:w="267"/>
        <w:gridCol w:w="858"/>
        <w:gridCol w:w="146"/>
        <w:gridCol w:w="146"/>
        <w:gridCol w:w="132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Underlying</w:t>
              <w:br/>
              <w:t>Unexercised Options</w:t>
              <w:br/>
              <w:t>(#)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Underlying</w:t>
              <w:br/>
              <w:t>Unexercised Options</w:t>
              <w:br/>
              <w:t>(#)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Exercise Price</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 Date</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Duke, Jr.,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8/31/2033</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12/17/2033</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Julie Green,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4/14/2032</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1/31/2033</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1/11/2034</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1/23/2034</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Timothy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6/4/2034</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of the awards listed in this table were granted under our 2021 Equity Incentive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All of the option awards listed in the table were granted with a per share exercise price equal to or above the fair market value of our common stock on the date of grant.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option award vests in equal monthly installments over a three-year period measured one month following the date of grant subject to the named executive officer’s continued service.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One fourth (1/4) of the shares subject to this option award vest on the first anniversary of the date of grant, with the remainder vesting in equal monthly installments over thirty-six months subject to the named executive officer’s continued service. </w:t>
      </w:r>
    </w:p>
    <w:p>
      <w:pPr>
        <w:pStyle w:val="TextBody"/>
        <w:bidi w:val="0"/>
        <w:spacing w:before="360" w:after="283"/>
        <w:jc w:val="left"/>
        <w:rPr>
          <w:rFonts w:ascii="Times New Roman" w:hAnsi="Times New Roman"/>
          <w:sz w:val="20"/>
        </w:rPr>
      </w:pPr>
      <w:bookmarkStart w:id="32" w:name="retirement_benefits_and_other"/>
      <w:bookmarkEnd w:id="32"/>
      <w:r>
        <w:rPr>
          <w:rFonts w:ascii="Times New Roman" w:hAnsi="Times New Roman"/>
          <w:b/>
          <w:color w:val="000000"/>
          <w:sz w:val="20"/>
        </w:rPr>
        <w:t>Retirement Benefits and Other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named executive officers did not participate in, or otherwise receive any benefits under, any pension, retirement or deferred compensation plan sponsored by us during 2024 other than our 401(k) plan described below. During 2024,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Internal Revenue Code of 1986, as amended,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2024.</w:t>
      </w:r>
    </w:p>
    <w:p>
      <w:pPr>
        <w:pStyle w:val="TextBody"/>
        <w:bidi w:val="0"/>
        <w:spacing w:before="360" w:after="283"/>
        <w:jc w:val="left"/>
        <w:rPr>
          <w:rFonts w:ascii="Times New Roman" w:hAnsi="Times New Roman"/>
          <w:b/>
          <w:color w:val="000000"/>
          <w:sz w:val="20"/>
        </w:rPr>
      </w:pPr>
      <w:bookmarkStart w:id="33" w:name="current_employment_agreements_with_david"/>
      <w:bookmarkEnd w:id="33"/>
      <w:r>
        <w:rPr>
          <w:rFonts w:ascii="Times New Roman" w:hAnsi="Times New Roman"/>
          <w:b/>
          <w:color w:val="000000"/>
          <w:sz w:val="20"/>
        </w:rPr>
        <w:t>Current Employment Agreements with William Duke, Jr., M.B.A., Julie Green, M.B.A. and Timothy Lee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an employment agreement with Mr. Duke in connection with the commencement of his employment with us as Chief Financial Officer, which was effective September 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initially entered into an offer letter with Ms. Green in April 2022, pursuant to which she provided services to us as Senior Vice President of Human Resources. In connection with Ms. Green’s appointment as our Chief Human Resources Officer, we entered into an employment agreement with her, effective January 24, 2024, which superseded the previous offer letter. We subsequently entered into an amendment to Ms. Green’s employment agreement, effective October 23, 2024, in connection with Ms. Green’s expanded leadership role within the Company, including service as our Head of Communications in addition to her role as Chief Human Resources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entered into an employment agreement with Mr. Lee in connection with the commencement of his employment with us as Chief Commercial Officer, which was effective June 5,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employment agreement includes an initial annual base salary and annual target bonus. The employment agreements do not provide for an automatic increase in annual base salary; rather, the Board or the Compensation Committee reviews each executive’s base salary on an annual basis and may adjust such base salary from time to time. The annual bonus is determined by the Compensation Committee (or by the Board upon recommendation of the Compensation Committee) based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Substantive differences are limited to (i) the definition of Good Reason, which, for Mr. Duke, is further triggered by (A) a material reduction in the authority, duties or responsibilities of the Chief Executive Officer to whom he is required to report, and (B) a Change of Control following which there is a material reduction in the budget over which Mr. Duke retains authority, (ii) the treatment of equity awards upon each executive’s termination, and (iii) a one-time sign on bonus for Mr. Duke. Severance terms are detailed further below under “Potential Payments Upon Termination or Change in Control.” We do not maintain any other offer letters or employment agreements with Mr. Duke, Ms. Green or Mr. Lee. </w:t>
      </w:r>
    </w:p>
    <w:p>
      <w:pPr>
        <w:pStyle w:val="TextBody"/>
        <w:bidi w:val="0"/>
        <w:spacing w:before="360" w:after="283"/>
        <w:jc w:val="left"/>
        <w:rPr>
          <w:rFonts w:ascii="Times New Roman" w:hAnsi="Times New Roman"/>
          <w:sz w:val="20"/>
        </w:rPr>
      </w:pPr>
      <w:bookmarkStart w:id="34" w:name="prior_employment_agreements"/>
      <w:bookmarkEnd w:id="34"/>
      <w:r>
        <w:rPr>
          <w:rFonts w:ascii="Times New Roman" w:hAnsi="Times New Roman"/>
          <w:b/>
          <w:color w:val="000000"/>
          <w:sz w:val="20"/>
        </w:rPr>
        <w:t>Prior Employment Agreements with David Hering, M.B.A. and Jeremy Gowler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Mr. Hering’s appointment as our Chief Executive Officer in July 2022, we entered into a new employment agreement with him, which was subsequently amended in June 2023. Mr. Hering served as our Chief Executive Officer until April 11,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commencement of Mr. Gowler’s employment with us as Chief Operating Officer and Chief Commercial Officer, we entered into an employment agreement with him in September 2022, which was subsequently amended in April 2024. Mr. Gowler served as our Interim Chief Executive Officer until May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 employment agreements included an initial base salary and annual target bonus.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separation agreements with each of Mr. Hering and Mr. Gowler upon their respective departures. See “Potential Payments Upon Termination or Change in Control” below for the actual amounts paid to Mr. Hering and Mr. Gowler in connection with their departures from the Company. </w:t>
      </w:r>
    </w:p>
    <w:p>
      <w:pPr>
        <w:pStyle w:val="TextBody"/>
        <w:bidi w:val="0"/>
        <w:spacing w:before="360" w:after="283"/>
        <w:jc w:val="left"/>
        <w:rPr>
          <w:rFonts w:ascii="Times New Roman" w:hAnsi="Times New Roman"/>
          <w:sz w:val="20"/>
        </w:rPr>
      </w:pPr>
      <w:bookmarkStart w:id="35" w:name="potential_payments_upon_termination"/>
      <w:bookmarkEnd w:id="35"/>
      <w:r>
        <w:rPr>
          <w:rFonts w:ascii="Times New Roman" w:hAnsi="Times New Roman"/>
          <w:b/>
          <w:color w:val="000000"/>
          <w:sz w:val="20"/>
        </w:rPr>
        <w:t>Potential Payments Upon Termination or Change in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Duke, Ms. Green and Mr. Lee are, and Mr. Hering and Mr. Gowler were, entitled to certain severance and change in control benefits pursuant to the employment agreements described above and certain agreements governing their equity awards. In the event that an executive’s employment ends upon death or a disability, they are (or were) entitled to accrued obligations and payment of their target bonus so long as their employment terminates after the completion of the calendar year but prior to the date of payment of the bonus (the “Earned Bonus”). </w:t>
      </w:r>
    </w:p>
    <w:p>
      <w:pPr>
        <w:pStyle w:val="TextBody"/>
        <w:bidi w:val="0"/>
        <w:spacing w:before="240" w:after="283"/>
        <w:jc w:val="left"/>
        <w:rPr>
          <w:rFonts w:ascii="Times New Roman" w:hAnsi="Times New Roman"/>
          <w:sz w:val="20"/>
        </w:rPr>
      </w:pPr>
      <w:r>
        <w:rPr>
          <w:rFonts w:ascii="Times New Roman" w:hAnsi="Times New Roman"/>
          <w:i/>
          <w:color w:val="000000"/>
          <w:sz w:val="20"/>
        </w:rPr>
        <w:t>Mr. Duke, Ms. Green and Mr. Lee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employment terminates, other than during the period commencing three months prior to or ending 12 months following a “change in control” (the “Change in Control Period”) by us without “cause” or by Mr. Duke, Ms. Green or Mr. Lee for “good reason” (as defined in our equity plan and the respective employment agreement), and subject to the delivery to us of a separation agreement that includes a general release of claims, Mr. Duke, Ms. Green or Mr. Lee, as the case may be, is entitled to (i) cash severance equal to 9 months of his or her then-current base salary, as well as the Earned Bonus, if applicable, his or her target bonus for the year of termination, and 9 months continuation of benefits and (ii) delayed forfeiture of unvested time-based equity awards until three months after the date of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Mr. Duke’s, Ms. Green’s or Mr. Lee’s employment is terminated by us without “cause” or by Mr. Duke, Ms. Green or Mr. Lee for “good reason,” in either case, during the Change in Control Period, and subject to the delivery to us of a separation agreement that includes a general release of claims, Mr. Duke, Ms. Green and Mr. Lee will each (i) receive cash severance equal to 12 months of their base salary, as well as the Earned Bonus, if any, their respective target bonus for the year of termination, and 12 months continuation of benefits and (ii) be entitled to immediate acceleration and full vesting of any time-based equity awards, exercisable or nonforfeitable as if employment continued until the later of the date of termination or the effective date of the separation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event that Mr. Duke, Ms. Green or Mr. Lee is terminated for any reason other than “cause,” disability or death, the post-termination exercise period of any vested options held by them as of the date of their respective termination will be 12 months after termination.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Mr. Hering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11, 2024, Mr. Hering ceased serving as an executive officer and as the Company’s principal executive officer, effective immediately, with his employment terminating on May 11, 2024 (the “Hering Termination Date”). We entered into a separation agreement (as modified, the “Hering Separation Agreement”) with Mr. Hering in connection with his departure and, upon Mr. Hering’s agreement to a release of claims and compliance with certain other continuing obligations contained in the Hering Separation Agreement, we paid Mr. Hering (i) the amounts owed to him pursuant to his employment agreement, as amended, which included (A) cash severance equal to 12 months of his base salary and (B) 12 months continuation of benefits, plus (ii) a lump sum cash payment equal to $374,400, representing Mr. Hering’s annual target bonus for 2024 at 100% of target. In addition, Mr. Hering was entitled to a delayed forfeiture of unvested time-based equity awards until 180 days after the Hering Termination Date, or November 7, 2024. Further, the portion of Mr. Hering’s outstanding equity awards that were outstanding as of the Hering Termination Date, as well as the portion of such equity awards that would have become vested during the 12-month period following the Hering Termination Date had Mr. Hering remained employed with the Company during such period, became vested as of the Hering Termination Date and remained exercisable until November 7, 2024. </w:t>
      </w:r>
    </w:p>
    <w:p>
      <w:pPr>
        <w:pStyle w:val="TextBody"/>
        <w:bidi w:val="0"/>
        <w:spacing w:before="240" w:after="283"/>
        <w:jc w:val="left"/>
        <w:rPr>
          <w:rFonts w:ascii="Times New Roman" w:hAnsi="Times New Roman"/>
          <w:sz w:val="20"/>
        </w:rPr>
      </w:pPr>
      <w:r>
        <w:rPr>
          <w:rFonts w:ascii="Times New Roman" w:hAnsi="Times New Roman"/>
          <w:i/>
          <w:color w:val="000000"/>
          <w:sz w:val="20"/>
        </w:rPr>
        <w:t>Mr. Gowler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30, 2024, Mr. Gowler ceased serving as an executive officer and as the Company’s principal executive officer, effective immediately, with his employment terminating on June 29, 2024 (the “Gowler Separation Date”). We entered into a separation agreement (the “Gowler Separation Agreement”) with Mr. Gowler in connection with his departure and, upon Mr. Gowler’s agreement to a release of claims and compliance with certain other continuing obligations contained in the Gowler Separation Agreement, we paid Mr. Gowler the amounts owed to him pursuant to his employment agreement, as amended, which included (i) cash severance equal to 9 months of his base salary and (ii) 9 months continuation of benefits. In addition, Mr. Gowler was entitled to a delayed forfeiture of unvested time-based equity awards until 3 months after the Gowler Separation Date, or September 29, 2024. Further, the portion of Mr. Gowler’s option awards that were vested as of the Gowler Separation Date remained outstanding for 90 days after the date of the Gowler Separation Date, or September 29, 2024, at which point all of his then-unvested options terminated and were forfeited.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6" w:name="director_compensation"/>
      <w:bookmarkEnd w:id="36"/>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for the fiscal year ended December 31, 2024, certain information with respect to the compensation of our non-employee directors who served for all or a portion of the year: </w:t>
      </w:r>
    </w:p>
    <w:p>
      <w:pPr>
        <w:pStyle w:val="TextBody"/>
        <w:bidi w:val="0"/>
        <w:jc w:val="left"/>
        <w:rPr/>
      </w:pPr>
      <w:r>
        <w:rPr/>
        <w:t> </w:t>
      </w:r>
    </w:p>
    <w:tbl>
      <w:tblPr>
        <w:tblW w:w="7509" w:type="dxa"/>
        <w:jc w:val="left"/>
        <w:tblInd w:w="0" w:type="dxa"/>
        <w:tblLayout w:type="fixed"/>
        <w:tblCellMar>
          <w:top w:w="28" w:type="dxa"/>
          <w:left w:w="28" w:type="dxa"/>
          <w:bottom w:w="28" w:type="dxa"/>
          <w:right w:w="28" w:type="dxa"/>
        </w:tblCellMar>
      </w:tblPr>
      <w:tblGrid>
        <w:gridCol w:w="2311"/>
        <w:gridCol w:w="146"/>
        <w:gridCol w:w="176"/>
        <w:gridCol w:w="814"/>
        <w:gridCol w:w="146"/>
        <w:gridCol w:w="146"/>
        <w:gridCol w:w="338"/>
        <w:gridCol w:w="803"/>
        <w:gridCol w:w="146"/>
        <w:gridCol w:w="146"/>
        <w:gridCol w:w="146"/>
        <w:gridCol w:w="781"/>
        <w:gridCol w:w="146"/>
        <w:gridCol w:w="146"/>
        <w:gridCol w:w="146"/>
        <w:gridCol w:w="7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Name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 Earned</w:t>
              <w:br/>
              <w:t>or Paid in</w:t>
              <w:br/>
              <w:t>Cash</w:t>
              <w:br/>
              <w:t>($)</w:t>
            </w:r>
            <w:r>
              <w:rPr>
                <w:rFonts w:ascii="Times New Roman" w:hAnsi="Times New Roman"/>
                <w:color w:val="000000"/>
                <w:sz w:val="16"/>
              </w:rPr>
              <w:t>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color w:val="000000"/>
                <w:sz w:val="16"/>
              </w:rPr>
              <w:t> </w:t>
            </w:r>
            <w:r>
              <w:rPr>
                <w:rFonts w:ascii="Times New Roman" w:hAnsi="Times New Roman"/>
                <w:b/>
                <w:color w:val="000000"/>
                <w:sz w:val="11"/>
              </w:rPr>
              <w:t>(3)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Sara Cotter</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Srishti Gupta, M.D.</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Tomas Heyman</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Lindenboom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Terrance McGuire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Kevin F. McLaughlin</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Clive A. Meanwell, M.D.</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S. Wyzga</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Mr. Hering, our former Chief Executive Officer, did not earn compensation during 2024 for his service on our Board. Mr. Hering’s compensation is reflected in the “Summary Compensation Table” above.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amounts reported reflect the fees earned or paid in cash pursuant to the Non-Employee Director Compensation Policy, and an additional cash retainer of $5,000 per month payable to Ms. Cotter and Ms. Lindenboom while serving on the executive committee of the Board.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amounts reported do not reflect the amounts actually received by our non-employee directors. Instead, these amounts reflect the aggregate grant date fair value of each stock option granted to our non-employee directors during the fiscal year ended December 31, 2024, as computed in accordance with Financial Accounting Standard Board Accounting Standards Codification Topic 718 for stock-based compensation transactions (ASC 718). Assumptions used in the calculation of these amounts are included in note 11 to our audited financial statements included in our Annual Report on Form 10-K for the year ended December 31, 2024.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the following current and former non-employee directors held options to purchase the following number of shares of our common stock. None of our non-employee directors held any stock awards as of December 31, 2024. </w:t>
      </w:r>
    </w:p>
    <w:p>
      <w:pPr>
        <w:pStyle w:val="TextBody"/>
        <w:bidi w:val="0"/>
        <w:jc w:val="left"/>
        <w:rPr/>
      </w:pPr>
      <w:r>
        <w:rPr/>
        <w:t> </w:t>
      </w:r>
    </w:p>
    <w:tbl>
      <w:tblPr>
        <w:tblW w:w="3410" w:type="dxa"/>
        <w:jc w:val="left"/>
        <w:tblInd w:w="0" w:type="dxa"/>
        <w:tblLayout w:type="fixed"/>
        <w:tblCellMar>
          <w:top w:w="28" w:type="dxa"/>
          <w:left w:w="28" w:type="dxa"/>
          <w:bottom w:w="28" w:type="dxa"/>
          <w:right w:w="28" w:type="dxa"/>
        </w:tblCellMar>
      </w:tblPr>
      <w:tblGrid>
        <w:gridCol w:w="2146"/>
        <w:gridCol w:w="146"/>
        <w:gridCol w:w="146"/>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Sara Cotter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Srishti Gupta,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Tomas Heyman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Lindenboom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Terrance McGuire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F. McLaughlin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A. Meanwell,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 Wyzga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Ms. Cotter resigned from our Board on November 27,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Dr. Gupta was elected to our Board on May 21,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Heyman’s term expired at the 2024 Annual Meeting.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McLaughlin was elected to our Board on May 21,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 Meanwell’s term expired at the 2024 Annual Meeting.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jc w:val="left"/>
        <w:rPr>
          <w:rFonts w:ascii="Times New Roman" w:hAnsi="Times New Roman"/>
          <w:color w:val="000000"/>
          <w:sz w:val="20"/>
        </w:rPr>
      </w:pPr>
      <w:r>
        <w:rPr>
          <w:rFonts w:ascii="Times New Roman" w:hAnsi="Times New Roman"/>
          <w:color w:val="000000"/>
          <w:sz w:val="20"/>
        </w:rPr>
        <w:t>Mr. Wyzga’s term expired at the 2024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37" w:name="narrative_to_director_compensation_table"/>
      <w:bookmarkEnd w:id="37"/>
      <w:r>
        <w:rPr>
          <w:rFonts w:ascii="Times New Roman" w:hAnsi="Times New Roman"/>
          <w:b/>
          <w:color w:val="000000"/>
          <w:sz w:val="20"/>
        </w:rPr>
        <w:t>Narrative to Director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adopted a Non-Employee Director Compensation Policy that became effective in August 2021 in connection with the closing of our initial public offering. In March 2023, our Board approved amendments to the Non-Employee Director Compensation Policy with respect to the initial and annual option awards granted to our directors, as described below. Pursuant to this compensation policy, each of our directors who is not an employee or consultant of our company is eligible to receive compensation for service on our Board and committees of our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Non-Employee Director Compensation Policy, each eligible director receives an annual cash retainer in the amount of $40,000 for serving on our Board. In addition, the Chairperson of our Board receives an annual cash retainer in the amount of $30,000 (in addition to the annual cash retainer given to all eligible directors). The chairperson of the Audit Committee is entitled to receive an additional annual cash retainer in the amount of $15,000, the chairperson of the Compensation Committee is entitled to receive an additional annual cash retainer in the amount of $10,000 and the chairperson of the Nominating and Corporate Governance Committee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 All such annual retainers are payable in equal quarterly installments, payable in arrears on the last day of each fiscal quarter in which the service occurred. If an eligible director joins our Board or a committee of our Board at a time other than effective as of the first day of a fiscal quarter, the annual retainers described above are pro-rated based on days served in the applicable fiscal quarter, with the pro-rated amount paid on the last day of the first fiscal quarter in which such eligible director provides the service and regular full quarterly payments thereafter. </w:t>
      </w:r>
    </w:p>
    <w:p>
      <w:pPr>
        <w:pStyle w:val="TextBody"/>
        <w:bidi w:val="0"/>
        <w:spacing w:before="240" w:after="283"/>
        <w:jc w:val="left"/>
        <w:rPr>
          <w:rFonts w:ascii="Times New Roman" w:hAnsi="Times New Roman"/>
          <w:sz w:val="20"/>
        </w:rPr>
      </w:pPr>
      <w:r>
        <w:rPr>
          <w:rFonts w:ascii="Times New Roman" w:hAnsi="Times New Roman"/>
          <w:color w:val="000000"/>
          <w:sz w:val="20"/>
        </w:rPr>
        <w:t>In addition, each new eligible director who joins our Board is entitled to receive a non-statutory stock option to purchase 100,000 shares of our common stock (prior to the March 2023 amendments noted above, the initial award was structured as an option to purchase shares of our common stock with an aggregate Black-Scholes grant date value of $800,000, up to a maximum of 150,000 shares), with one-third of the shares vesting on the first anniversary of the grant date and 1/36</w:t>
      </w:r>
      <w:r>
        <w:rPr>
          <w:rFonts w:ascii="Times New Roman" w:hAnsi="Times New Roman"/>
          <w:color w:val="000000"/>
          <w:sz w:val="10"/>
        </w:rPr>
        <w:t>th</w:t>
      </w:r>
      <w:r>
        <w:rPr>
          <w:rFonts w:ascii="Times New Roman" w:hAnsi="Times New Roman"/>
          <w:color w:val="000000"/>
          <w:sz w:val="20"/>
        </w:rPr>
        <w:t xml:space="preserve"> of the shares subject to the initial grant vesting in equal monthly installments thereafter, such that the option is fully vested on the third anniversary of the grant date, subject to continued service as a director through the vesting 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the date of each annual meeting of our stockholders, each eligible director who continues to serve as a director of our Company following the meeting is entitled to receive a non-statutory stock option to purchase 50,000 shares of our common stock (prior to the March 2023 amendments noted above, the annual award was structured as an option to purchase shares of our common stock with an aggregate Black-Scholes grant date fair value of $400,000, up to a maximum of 75,000 shares), with the shares vesting on the earlier of the first anniversary of the date of grant or the date of the next annual meeting of our stockholders, subject to continued service as a director though the applicable vesting date. If an eligible director joins our Board upon or after the date of the last preceding annual stockholders meeting, such eligible director’s annual grant will be pro-rated based on days served since joining our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2024, the Board designated an executive committee of the Board, led by Marc Elia, the Chairperson of the Board, with Ms. Lindenboom and Ms. Cotter serving as members of such executive committee, to provide oversight and strategic guidance on the business and affairs of the Company. Each of the committee members was entitled to an additional cash retainer of $5,000 per month, payable in accordance with the terms of the Non-Employee Director Compensation Policy. Mr. Elia waived his right to compensation as a member of the executive committee of the Board. In January 2025, the Board dissolved such executive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8" w:name="securities_authorized_for_issuance"/>
      <w:bookmarkEnd w:id="38"/>
      <w:r>
        <w:rPr>
          <w:rFonts w:ascii="Times New Roman" w:hAnsi="Times New Roman"/>
          <w:b/>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certain information with respect to all of the Company’s equity compensation plans in effect as of December 31, 2024. </w:t>
      </w:r>
    </w:p>
    <w:p>
      <w:pPr>
        <w:pStyle w:val="TextBody"/>
        <w:bidi w:val="0"/>
        <w:jc w:val="left"/>
        <w:rPr/>
      </w:pPr>
      <w:r>
        <w:rPr/>
        <w:t> </w:t>
      </w:r>
    </w:p>
    <w:tbl>
      <w:tblPr>
        <w:tblW w:w="8979" w:type="dxa"/>
        <w:jc w:val="left"/>
        <w:tblInd w:w="0" w:type="dxa"/>
        <w:tblLayout w:type="fixed"/>
        <w:tblCellMar>
          <w:top w:w="28" w:type="dxa"/>
          <w:left w:w="28" w:type="dxa"/>
          <w:bottom w:w="28" w:type="dxa"/>
          <w:right w:w="28" w:type="dxa"/>
        </w:tblCellMar>
      </w:tblPr>
      <w:tblGrid>
        <w:gridCol w:w="2656"/>
        <w:gridCol w:w="146"/>
        <w:gridCol w:w="220"/>
        <w:gridCol w:w="1565"/>
        <w:gridCol w:w="146"/>
        <w:gridCol w:w="271"/>
        <w:gridCol w:w="146"/>
        <w:gridCol w:w="453"/>
        <w:gridCol w:w="1002"/>
        <w:gridCol w:w="146"/>
        <w:gridCol w:w="146"/>
        <w:gridCol w:w="200"/>
        <w:gridCol w:w="1420"/>
        <w:gridCol w:w="146"/>
        <w:gridCol w:w="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 to</w:t>
              <w:br/>
              <w:t>be issued upon exercise of</w:t>
              <w:br/>
              <w:t>outstanding options,</w:t>
              <w:br/>
              <w:t>warrants 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Weighted-average</w:t>
              <w:br/>
              <w:t>exercise price of</w:t>
              <w:br/>
              <w:t>outstanding options,</w:t>
              <w:br/>
              <w:t>warrants and rights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w:t>
              <w:br/>
              <w:t>remaining available for</w:t>
              <w:br/>
              <w:t>issuance under equity</w:t>
              <w:br/>
              <w:t>compensation plans</w:t>
              <w:br/>
              <w:t>(excluding securities</w:t>
              <w:br/>
              <w:t>reflected in column (a))</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w:t>
              <w:br/>
              <w:t>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w:t>
              <w:br/>
              <w: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shares underlying options granted pursuant to our 2020 Equity Incentive Plan and 2021 Equity Incentive Plan.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Includes 21,845,145 shares of common stock reserved for future issuance under our 2021 Equity Incentive Plan and 845,654 shares of common stock reserved for future issuance under our 2021 Employee Stock Purchase Plan. The number of shares of our common stock reserved for issuance under our 2021 Equity Incentive Plan automatically increases on the first day of each calendar year pursuant to the evergreen provision thereof, beginning on January 1, 2022 and continuing through January 1, 2031, in an amount equal to 5.0% of the total number of shares of our common stock outstanding on December 31 of the preceding calendar year or a lesser number of shares determined by our Board. Prior to December 31, 2024, our Board determined that no evergreen increase was necessary to the shares of common stock available for issuance under the 2021 Equity Incentive Plan on January 1, 2025. The number of shares reserved under the 2021 Employee Stock Purchase Plan automatically increases on the first day of each calendar year pursuant to the evergreen provision thereof, beginning on January 1, 2022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2024, our Board determined that no evergreen increase was necessary to the shares of common stock available for issuance under the 2021 Employee Stock Purchase Plan on January 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9" w:name="transactions_with_related_persons"/>
      <w:bookmarkEnd w:id="39"/>
      <w:r>
        <w:rPr>
          <w:rFonts w:ascii="Times New Roman" w:hAnsi="Times New Roman"/>
          <w:b/>
          <w:color w:val="000000"/>
          <w:sz w:val="20"/>
        </w:rPr>
        <w:t>TRANSACTIONS WITH RELATED PERSONS AND INDEMNIFICATION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0" w:name="related_person_transactions_policy"/>
      <w:bookmarkEnd w:id="40"/>
      <w:r>
        <w:rPr>
          <w:rFonts w:ascii="Times New Roman" w:hAnsi="Times New Roman"/>
          <w:b/>
          <w:color w:val="000000"/>
          <w:sz w:val="20"/>
        </w:rPr>
        <w:t>Related Person Transactions Policy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 written Related Person Transactions Policy that sets forth our procedures for the identification, review, consideration and approval or ratification of related person transactions, which policy became effective in connection with our initial public offering in 2021. A related person is any executive officer, director, nominee to become a director, or beneficial owner of more than 5% of any class of our voting securities, including any immediate family members and any entity owned or controlled by such persons.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considering related person transactions, our Audit Committee, or other independent body of our Board, will take into account the relevant available facts and circumstances,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costs and benefits to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on a director’s independence in the event that the related person is a director, immediate family member of a director or an entity with which a director is affiliated;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the transaction;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other sources for comparable services or products;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available to or from, as the case may be, unrelated third parties or to or from employees generally.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 </w:t>
      </w:r>
    </w:p>
    <w:p>
      <w:pPr>
        <w:pStyle w:val="TextBody"/>
        <w:bidi w:val="0"/>
        <w:spacing w:before="360" w:after="283"/>
        <w:jc w:val="left"/>
        <w:rPr>
          <w:rFonts w:ascii="Times New Roman" w:hAnsi="Times New Roman"/>
          <w:sz w:val="20"/>
        </w:rPr>
      </w:pPr>
      <w:bookmarkStart w:id="41" w:name="certain_related_person_transactions"/>
      <w:bookmarkEnd w:id="41"/>
      <w:r>
        <w:rPr>
          <w:rFonts w:ascii="Times New Roman" w:hAnsi="Times New Roman"/>
          <w:b/>
          <w:color w:val="000000"/>
          <w:sz w:val="20"/>
        </w:rPr>
        <w:t>Certain Related Person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includes a summary of transactions since January 1, 2023 to which we have been a party, in which the amount involved in the transaction exceeded the lesser of $120,000 or one percent of the average of our total assets at year-end for the last two completed fiscal years, and in which any of our directors, executive officers or, to our knowledge, beneficial owners of more than 5% of our voting securities or an affiliate or immediate family member thereof,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 </w:t>
      </w:r>
    </w:p>
    <w:p>
      <w:pPr>
        <w:pStyle w:val="TextBody"/>
        <w:bidi w:val="0"/>
        <w:spacing w:before="360" w:after="283"/>
        <w:jc w:val="left"/>
        <w:rPr>
          <w:rFonts w:ascii="Times New Roman" w:hAnsi="Times New Roman"/>
          <w:sz w:val="20"/>
        </w:rPr>
      </w:pPr>
      <w:bookmarkStart w:id="42" w:name="agreements_with_php"/>
      <w:bookmarkEnd w:id="42"/>
      <w:r>
        <w:rPr>
          <w:rFonts w:ascii="Times New Roman" w:hAnsi="Times New Roman"/>
          <w:b/>
          <w:color w:val="000000"/>
          <w:sz w:val="20"/>
        </w:rPr>
        <w:t>Agreements with PHP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Clive Meanwell, M.D., a former member on our Board, and Tamsin Berry, a current member on our Board, are Managing Partner and Limited Partner of PHP,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Master Services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15, 2022 (the “PHP Effective Date”), we entered into a Master Services Agreement with PHP, pursuant to which PHP agreed to provide services and create deliverables for us as agreed between us and PHP and set forth in one or more work orders under such agreement (the “PHP MSA”). The PHP MSA was terminated effective July 2024. On the PHP Effective Date, we and PHP entered into the first work order under the PHP MSA (the “PHP Work Order”), pursuant to which PHP agreed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advise and counsel us regarding clinical development and regulatory matters with respect to our product candidates. The PHP Work Order was effective for six months from the PHP Effective Date and terminated in accordance with its terms in May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compensation for the services and deliverables under the PHP Work Order, we paid PHP a cash fee of $0.5 million per month during the term of the PHP Work Order for an aggregate fee of $3.0 million (the “Aggregate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January 1, 2023 through December 31, 2024, we paid PHP the Aggregate Fee. As of December 31, 2024, no amounts were due to PHP by us.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cash compensation described above, on the PHP Effective Date, we issued a warrant to purchase shares of our common stock to PHP (the “PHP Warrant”). The exercise price of the PHP Warrant is $3.48 per share of our common stock, which was equal to the Nasdaq official closing price (as defined in the PHP Warrant) of a share of our common stock on the trading day immediately prior to the PHP Effective Date. The PHP Warrant is exercisable for up to an aggregate of 6,824,712 shares of common stock, and vests in three separate tranches as follows: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3,591,954 shares of common stock underlying the PHP Warrant vests if our market capitalization (as defined in the PHP Warrant) equals or exceeds $758,517,511 by November 15, 2028;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1,795,977 shares of common stock underlying the PHP Warrant vests if our market capitalization equals or exceeds $1,137,776,266 by November 15, 2029;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1,436,781 shares of common stock underlying the PHP Warrant vests if our market capitalization equals or exceeds $1,517,035,022 by November 15, 2030. </w:t>
      </w:r>
    </w:p>
    <w:p>
      <w:pPr>
        <w:pStyle w:val="TextBody"/>
        <w:bidi w:val="0"/>
        <w:spacing w:before="240" w:after="283"/>
        <w:jc w:val="left"/>
        <w:rPr>
          <w:rFonts w:ascii="Times New Roman" w:hAnsi="Times New Roman"/>
          <w:sz w:val="20"/>
        </w:rPr>
      </w:pPr>
      <w:r>
        <w:rPr>
          <w:rFonts w:ascii="Times New Roman" w:hAnsi="Times New Roman"/>
          <w:color w:val="000000"/>
          <w:sz w:val="20"/>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We also granted PHP certain “piggyback” registration rights requiring us to register any shares of our common stock underlying the PHP Warrant for resale with the SEC, subject to our existing obligations under the amended and restated investors’ rights agreement, which registration rights PHP exercised in January 2024 (see “</w:t>
      </w:r>
      <w:r>
        <w:rPr>
          <w:rFonts w:ascii="Times New Roman" w:hAnsi="Times New Roman"/>
          <w:i/>
          <w:color w:val="000000"/>
          <w:sz w:val="20"/>
        </w:rPr>
        <w:t>Investors’ Rights Agreement</w:t>
      </w:r>
      <w:r>
        <w:rPr>
          <w:rFonts w:ascii="Times New Roman" w:hAnsi="Times New Roman"/>
          <w:color w:val="000000"/>
          <w:sz w:val="20"/>
        </w:rPr>
        <w:t xml:space="preserv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PHP may not exercise any portion of the PHP Warrant to the extent that, after giving effect to such issuance, PHP would beneficially own in excess of 4.99% of the number of shares of our common stock outstanding immediately after giving effect to the issuance of shares of common stock issuable upon exercise of the PHP Warrant (the “Beneficial Ownership Limitation”). PHP has the right to increase or decrease the Beneficial Ownership Limitation, provided that it in no event exceeds 19.99% of the number of shares of our common stock outstanding immediately after giving effect to the issuance of shares of common stock issuable upon exercise of the PHP Warrant, upon not less than 61 days’ prior notice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 </w:t>
      </w:r>
    </w:p>
    <w:p>
      <w:pPr>
        <w:pStyle w:val="TextBody"/>
        <w:bidi w:val="0"/>
        <w:spacing w:before="360" w:after="283"/>
        <w:jc w:val="left"/>
        <w:rPr>
          <w:rFonts w:ascii="Times New Roman" w:hAnsi="Times New Roman"/>
          <w:sz w:val="20"/>
        </w:rPr>
      </w:pPr>
      <w:bookmarkStart w:id="43" w:name="agreements_with_adimab"/>
      <w:bookmarkEnd w:id="43"/>
      <w:r>
        <w:rPr>
          <w:rFonts w:ascii="Times New Roman" w:hAnsi="Times New Roman"/>
          <w:b/>
          <w:color w:val="000000"/>
          <w:sz w:val="20"/>
        </w:rPr>
        <w:t>Agreements with Adimab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Adimab is the beneficial owner of 18.1% of our common stock as of March 22, 2025. Terrance McGuire, who is deemed to be a beneficial owner of 5.8% of our common stock as of March 22, 2025, is a member of our Board and the board of directors of Adimab. Ajay Royan, who is deemed to be a beneficial owner of 9.4% of our common stock as of March 22, 2025, is a member of our Board and the board of directors of Adimab. </w:t>
      </w:r>
    </w:p>
    <w:p>
      <w:pPr>
        <w:pStyle w:val="TextBody"/>
        <w:bidi w:val="0"/>
        <w:spacing w:before="360" w:after="283"/>
        <w:jc w:val="left"/>
        <w:rPr>
          <w:rFonts w:ascii="Times New Roman" w:hAnsi="Times New Roman"/>
          <w:sz w:val="20"/>
        </w:rPr>
      </w:pPr>
      <w:r>
        <w:rPr>
          <w:rFonts w:ascii="Times New Roman" w:hAnsi="Times New Roman"/>
          <w:b/>
          <w:i/>
          <w:color w:val="000000"/>
          <w:sz w:val="20"/>
        </w:rPr>
        <w:t>Assignment and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we entered into an Assignment and License Agreement (the “Adimab Assignment Agreement”) with Adimab with respect to discovery and optimization of coronavirus-specific antibodies, including COVID-19 and SARS. Under the Adimab Assignment Agreement, Adimab assigned to us its rights, title and interest in and to certain of its coronavirus specific antibodies (each, a “CoV Antibody” and together, the “CoV Antibodies”), including modified or derivative forms thereof, and related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intellectual property. Adimab also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in consideration for the rights assigned and license conveyed under the Adimab Assignment Agreement, we issued to Adimab 5,000,000 shares of our Series A preferred stock, then having a fair value of $40.0 million. Concurrently, Adimab relinquished to us 21,250,000 shares of our common stock, then having a fair value of $85,000.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Adimab Assignment Agreement, we are obligated to pay Adimab quarterly for its services performed under the agreement at a specified full-time equivalent rate. Additionally,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We are also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2023, we achieved the first specified milestone for the second Product under the Adimab Assignment Agreement upon dosing of the first subject in a Phase 1 clinical trial evaluating VYD222, which obligated us to make a $0.4 million milestone payment to Adimab, which was paid in May 2023. In September 2023, we achieved specified milestones for the second Product under the Adimab Assignment Agreement upon dosing of the first subject in a pivotal clinical trial evaluating VYD222, which obligated us to make a $3.2 million milestone payment to Adimab, which was paid in October 2023. No milestone payments were triggered under the Adimab Assignment Agreement during the year ended December 31, 2024. While reserving all rights under the Adimab Assignment Agreement and the applicable law, through December 31, 2024, we made aggregate royalty payments of $0.5 million to Adimab.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January 1, 2023 through December 31, 2024, we paid Adimab $4.1 million in connection with the Adimab Assignment Agreement. As of December 31, 2024, $0.5 million was accrued under the Adimab Assignment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Collaboration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to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Adimab Collaboration Agreement, we agreed to pay Adimab a quarterly fee of $1.3 million, which could be cancelled at our option at any time. For so long as we were paying such quarterly fee (or earlier if (i) we experienced a change of control after the third anniversary of the Adimab Collaboration Agreement or (ii) Adimab owned less than a specified percentage of our equity), Adimab and its affiliates agreed not to assist or direct certain third parties to discover or optimize antibodies intended to bind to coronaviruses or influenza viruses. Under the Adimab Collaboration Agreement, we could also elect to decrease the scope of Adimab’s exclusivity obligations and obtain a corresponding decrease in the quarterly fee. In December 2023, we elected to decrease the scope of Adimab’s exclusivity obligations to cover only coronaviruses and obtained a corresponding decrease in the quarterly fee. Effective January 2024, we became obligated to pay Adimab a quarterly fee of $0.6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each agreed upon research program that is commenced under the Adimab Collaboration Agreement,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obligated to pay Adimab up to $18.0 million upon the achievement of specified development and regulatory milestones for each product under the Adimab Collaboration Agreement that achieves such milestones. We are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January 1, 2023 through December 31, 2024, we paid Adimab $8.9 million in connection with the Adimab Collaboration Agreement. As of December 31, 2024, $0.7 million was due to Adimab by us in connection with the Adimab Collaboration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Adimab Platform Transfer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2022 (the “Adimab Platform Transfer Agreement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 In September 2022, we paid $3.0 million to Adimab in connection with the upfront consideration payable for the rights assigned pursuant to the Adimab Platform Transfer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obligated to pay Adimab an annual fee of single digit millions (the “Annual Fee”) on each of the first four anniversaries of the Adimab Platform Transfer Agreement Effective Date, which allows us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Beginning in July 2027 and ending in June 2042, unless terminated earlier, we have the option to receive additional material improvements to the platform technology from Adimab, subject to a commercially reasonable fee to be negotiated by the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obligated to pay Adimab up to $9.5 million upon the achievement of specified development and regulatory milestones for each product under the Adimab Platform Transfer Agreement that achieves such milestones.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January 1, 2023 through December 31, 2024, we paid an aggregate of $4.0 million to Adimab in connection with the Annual Fee on the first and second anniversary of the Adimab Platform Transfer Agreement Effective Date. As of December 31, 2024, no amounts were due to Adimab by us in connection with the Adimab Platform Transfer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Adimab DNA Sequencing Services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as amended in January 2024 and January 2025, we entered into a Services Agreement with Adimab for Adimab to perform DNA sequencing on yeast samples provided by the Company, and the delivery of the resulting data and information to the Company (the “Adimab DNA Sequencing Services Agreement”). In exchange for the services performed, we will pay Adimab a fee for each yeast-derived DNA template sample present in the well within the sequencer plate.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the effective date of the Adimab DNA Sequencing Services Agreement through December 31, 2024, we paid less than $0.1 million to Adimab in connection with the Adimab DNA Sequencing Services Agreement. As of December 31, 2024, less than $0.1 million was due to Adimab by us in connection with the Adimab DNA Sequencing Services Agreement.</w:t>
      </w:r>
    </w:p>
    <w:p>
      <w:pPr>
        <w:pStyle w:val="TextBody"/>
        <w:bidi w:val="0"/>
        <w:spacing w:before="360" w:after="283"/>
        <w:jc w:val="left"/>
        <w:rPr>
          <w:rFonts w:ascii="Times New Roman" w:hAnsi="Times New Roman"/>
          <w:sz w:val="20"/>
        </w:rPr>
      </w:pPr>
      <w:bookmarkStart w:id="44" w:name="investors_rights_voting_and_right"/>
      <w:bookmarkEnd w:id="44"/>
      <w:r>
        <w:rPr>
          <w:rFonts w:ascii="Times New Roman" w:hAnsi="Times New Roman"/>
          <w:b/>
          <w:color w:val="000000"/>
          <w:sz w:val="20"/>
        </w:rPr>
        <w:t>Investors’ Rights</w:t>
      </w:r>
      <w:r>
        <w:rPr>
          <w:rFonts w:ascii="Times New Roman" w:hAnsi="Times New Roman"/>
          <w:color w:val="000000"/>
          <w:sz w:val="20"/>
        </w:rPr>
        <w:t xml:space="preserve"> </w:t>
      </w:r>
      <w:r>
        <w:rPr>
          <w:rFonts w:ascii="Times New Roman" w:hAnsi="Times New Roman"/>
          <w:b/>
          <w:color w:val="000000"/>
          <w:sz w:val="20"/>
        </w:rPr>
        <w:t>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we entered into an amended and restated investors’ rights agreement (the “Investors’ Rights Agreement”) with the holders of our preferred stock prior to our initial public offering in August 2021. The registration rights granted under the Investors’ Rights Agreement continue with respect to each holder until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the Investors’ Rights Agreement provide those holders with demand, piggyback and Form S-3 registration rights with respect to the shares of common stock currently held by them.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2024, we received a demand request from the requisite holders under the Investors’ Rights Agreement to register on Form S-3 then registrable securities under the agreement. Upon such request, all holders of then registrable securities under the Investors’ Rights Agreement became entitled to participate in the registration subject to the terms of the Investors’ Rights Agreement. In February 2024, we filed a registration statement on Form S-3, which became effective in April 2024, to register an aggregate of up to 37,745,998 shares of our common stock held by holders with registration rights, including 30,921,286 issued and outstanding shares of our common stock held by holders of registrable securities under the Investors’ Rights Agreement and 6,824,712 shares of common stock issuable upon exercise of the PHP Warrant. </w:t>
      </w:r>
    </w:p>
    <w:p>
      <w:pPr>
        <w:pStyle w:val="TextBody"/>
        <w:bidi w:val="0"/>
        <w:spacing w:before="360" w:after="283"/>
        <w:jc w:val="left"/>
        <w:rPr>
          <w:rFonts w:ascii="Times New Roman" w:hAnsi="Times New Roman"/>
          <w:sz w:val="20"/>
        </w:rPr>
      </w:pPr>
      <w:bookmarkStart w:id="45" w:name="indemnification"/>
      <w:bookmarkEnd w:id="45"/>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indemnification for its directors, executive officers and key employees so that they will be free from undue concern about personal liability in connection with their service to the Company. Under the Company’s Bylaws, the Company is required to indemnify its directors, and is permitted to indemnify its executive officers, employees and other agents, to the extent not prohibited under Delaware or other applicable law. The Company has also entered into indemnification agreements with each of its directors and executive officers which require the Company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the Company or any of its affiliates, provided such person acted in good faith and in a manner such person reasonably believed to be in, or not opposed to, the best interests of the Company. The indemnification agreements also set forth certain procedures that will apply in the event of a claim for indemnification thereunder.</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6" w:name="deadline_for_submission_of_stockholder"/>
      <w:bookmarkEnd w:id="46"/>
      <w:r>
        <w:rPr>
          <w:rFonts w:ascii="Times New Roman" w:hAnsi="Times New Roman"/>
          <w:b/>
          <w:color w:val="000000"/>
          <w:sz w:val="20"/>
        </w:rPr>
        <w:t>DEADLINE FOR SUBMISSION OF STOCKHOLDER PROPOSALS FOR 2026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wish to propose a matter for consideration at the 2026 Annual Meeting, then the proposal must be received at our registered office at Invivyd, Inc., 1601 Trapelo Road, Suite 178, Waltham, Massachusetts 02451, Attn: Corporate Secretary and in compliance with the requirements set forth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for a stockholder proposal to be eligible under Rule 14a-8 of the Exchange Act for presentation at the 2026 Annual Meeting, such proposal must be received, along with proof of ownership of our common stock, no later than December 8, 2025, the date that is one hundred twenty (120) calendar days prior to the first anniversary of the date this Proxy Statement was first released to stockholders. This date will change if the date of the 2026 Annual Meeting is thirty (30) calendar days earlier or later than May 20,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Bylaws establish an advance notice procedure for nominations for election to our Board and other matters that stockholders wish to present for action at an annual meeting other than those to be included in our proxy statement. In general, notice must be received not later than the close of business on the ninetieth (90th) day nor earlier than the close of business on the one hundred twentieth (120th) day prior to the first anniversary of the 2025 Annual Meeting. Therefore, to be presented at the 2026 Annual Meeting, we must receive such a proposal no earlier than the close of business on January 20, 2026 and no later than the close of business on February 19, 2026. However, if the date of the 2026 Annual Meeting is advanced more than thirty (30) days prior to or delayed by more than thirty (30) days after the anniversary of the 2025 Annual Meeting, notice by the stockholder to be timely must be so received not earlier than the close of business on the one hundred twentieth (120th) day prior to the 2026 Annual Meeting and not later than the close of business on the later of the ninetieth (90th) day prior to the 2026 Annual Meeting or the tenth (10th) day following the day on which public announcement of the date of the 2026 Annual Meeting is first made. Stockholders are advised to review our Bylaws which also specify requirements as to the form and content of a stockholder’s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satisfying the foregoing advanced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March 23, 2026, the date that is the first business day following the sixtieth (60th) calendar day prior to the first anniversary of the 2025 Annual Meeting. This date will change if the date of the 2026 Annual Meeting is thirty (30) calendar days earlier or later than May 20,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7" w:name="delivery_of_documents_to_stockholders"/>
      <w:bookmarkEnd w:id="47"/>
      <w:r>
        <w:rPr>
          <w:rFonts w:ascii="Times New Roman" w:hAnsi="Times New Roman"/>
          <w:b/>
          <w:color w:val="000000"/>
          <w:sz w:val="20"/>
        </w:rPr>
        <w:t>DELIVERY OF DOCUMENTS TO STOCKHOLDERS SHARING AN ADDRESS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a procedure, approved by the SEC, called “householding.” Under this procedure, stockholders of record who have the same address and last name will receive only one copy of the Notice and, if applicable, a printed version of this Proxy Statement and our Annual Report, unless we are notified that one or more of these stockholders wishes to receive individual copies. This procedure reduces our printing costs and postage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eligible for householding, but you and other stockholders of record with whom you share an address currently receive multiple copies of the Notice, or if you hold our stock in more than one account, and in either case you wish to receive only a single copy of the Notice for your household, please contact our Corporate Secretary at Invivyd, Inc., 1601 Trapelo Road, Suite 178, Waltham, Massachusetts 02451, or via telephone at (781)-819-0080. If you participate in householding and wish to receive a separate copy of the Notice, or if you do not wish to continue to participate in householding and prefer to receive separate copies of the Notice in the future, please contact our Corporate Secretary as indicated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your shares are held in street name through a broker, bank or other nominee, please contact your broker, bank or nominee directly if you have questions, require additional copies of our materials or wish to receive a single copy of such materials in the future for all beneficial owners of shares of our common stock sharing an address. </w:t>
      </w:r>
    </w:p>
    <w:p>
      <w:pPr>
        <w:pStyle w:val="TextBody"/>
        <w:bidi w:val="0"/>
        <w:spacing w:before="240" w:after="283"/>
        <w:jc w:val="left"/>
        <w:rPr>
          <w:rFonts w:ascii="Times New Roman" w:hAnsi="Times New Roman"/>
          <w:sz w:val="20"/>
        </w:rPr>
      </w:pPr>
      <w:r>
        <w:rPr>
          <w:rFonts w:ascii="Times New Roman" w:hAnsi="Times New Roman"/>
          <w:b/>
          <w:color w:val="000000"/>
          <w:sz w:val="20"/>
        </w:rPr>
        <w:t>Your vote is important. Even if you plan to attend the Annual Meeting, we urge you to submit your proxy or voting instructions as soon as possible.</w:t>
      </w:r>
      <w:r>
        <w:rPr>
          <w:rFonts w:ascii="Times New Roman" w:hAnsi="Times New Roman"/>
          <w:color w:val="000000"/>
          <w:sz w:val="20"/>
        </w:rPr>
        <w:t xml:space="preserve"> </w:t>
      </w:r>
    </w:p>
    <w:p>
      <w:pPr>
        <w:pStyle w:val="TextBody"/>
        <w:bidi w:val="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bottom w:val="single" w:sz="6" w:space="0" w:color="000000"/>
            </w:tcBorders>
            <w:tcMar>
              <w:top w:w="0" w:type="dxa"/>
              <w:left w:w="0" w:type="dxa"/>
              <w:right w:w="0" w:type="dxa"/>
            </w:tcMar>
            <w:vAlign w:val="center"/>
          </w:tcPr>
          <w:p>
            <w:pPr>
              <w:pStyle w:val="TableContents"/>
              <w:bidi w:val="0"/>
              <w:jc w:val="left"/>
              <w:rPr/>
            </w:pPr>
            <w:r>
              <w:rPr/>
              <w:drawing>
                <wp:inline distT="0" distB="0" distL="0" distR="0">
                  <wp:extent cx="1685925" cy="428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685925" cy="428625"/>
                          </a:xfrm>
                          <a:prstGeom prst="rect">
                            <a:avLst/>
                          </a:prstGeom>
                        </pic:spPr>
                      </pic:pic>
                    </a:graphicData>
                  </a:graphic>
                </wp:inline>
              </w:drawing>
            </w:r>
          </w:p>
          <w:p>
            <w:pPr>
              <w:pStyle w:val="TableContents"/>
              <w:bidi w:val="0"/>
              <w:spacing w:before="0" w:after="20"/>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Legal Officer and Corporate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Waltham, Massachusetts </w:t>
      </w:r>
    </w:p>
    <w:p>
      <w:pPr>
        <w:pStyle w:val="TextBody"/>
        <w:bidi w:val="0"/>
        <w:jc w:val="left"/>
        <w:rPr>
          <w:rFonts w:ascii="Times New Roman" w:hAnsi="Times New Roman"/>
          <w:color w:val="000000"/>
          <w:sz w:val="20"/>
        </w:rPr>
      </w:pPr>
      <w:r>
        <w:rPr>
          <w:rFonts w:ascii="Times New Roman" w:hAnsi="Times New Roman"/>
          <w:color w:val="000000"/>
          <w:sz w:val="20"/>
        </w:rPr>
        <w:t>April 7, 2025</w:t>
      </w:r>
    </w:p>
    <w:p>
      <w:pPr>
        <w:pStyle w:val="TextBody"/>
        <w:bidi w:val="0"/>
        <w:spacing w:before="240" w:after="283"/>
        <w:jc w:val="center"/>
        <w:rPr>
          <w:rFonts w:ascii="Times New Roman" w:hAnsi="Times New Roman"/>
          <w:sz w:val="20"/>
        </w:rPr>
      </w:pPr>
      <w:r>
        <w:rPr>
          <w:rFonts w:ascii="Times New Roman" w:hAnsi="Times New Roman"/>
          <w:b/>
          <w:color w:val="000000"/>
          <w:sz w:val="20"/>
        </w:rPr>
        <w:t>A copy of the Company’s Annual Report to the SEC on Form 10-K for the fiscal year ended December 31, 2024 is available without charge upon written request to: Corporate Secretary, Invivyd, Inc., 1601 Trapelo Road, Suite 178, Waltham, Massachusetts 02451.</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19875" cy="8562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619875" cy="8562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INVIVYD, INC. 1601 TRAPELO ROAD, SUITE 178 WALTHAM, MA 02451 SCAN TO VIEW MATERIALS &amp; VOTE VOTE BY INTERNET Before The Meeting - Go to www.proxyvote.com or scan the QR Barcode above Use the Internet to transmit your voting instructions and for electronic delivery of information up until 11:59 p.m. Eastern Time on May 19, 2025. Have your proxy card in hand when you access the web site and follow the instructions to obtain your records and to create an electronic voting instruction form. During The Meeting - Go to www.virtualshareholdermeeting.com/IVVD2025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May 19, 2025.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V67821-P28326 KEEP THIS PORTION FOR YOUR RECORDS THIS PROXY CARD IS VALID ONLY WHEN SIGNED AND DATED. DETACH AND RETURN THIS PORTION ONLY INVIVYD, INC. The Board of Directors recommends that you vote "FOR ALL" the following nominees for the following proposal: 1. To elect the six nominees for director named in the Proxy Statement for a one-year term expiring at the 2026 Annual Meeting of Stockholders of Invivyd, Inc. (the "Company"). Nominees: 01) Tamsin Berry 02) Marc Elia 03) Christine Lindenboom 04) Terrance McGuire 05) Kevin F. McLaughlin 06) Ajay Royan The Board of Directors recommends you vote "FOR" the following proposal: 2. To ratify the appointment of PricewaterhouseCoopers LLP as the Company’s independent registered public accounting firm for the fiscal year ending December 31, 2025. NOTE: Such other business as may properly come before the meeting or any adjournment or postponement thereof. For Against Abstain For All Withhold All For All Except To withhold authority to vote for any individual nominee(s), mark "For All Except" and write the number(s) of the nominee(s) on the line below.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19875" cy="8562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619875" cy="85629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Important Notice Regarding the Availability of Proxy Materials for the Annual Meeting: The Notice and Proxy Statement and Annual Report on Form 10-K are available at www.proxyvote.com. V67822-P28326 INVIVYD, INC. Annual Meeting of Stockholders May 20, 2025 8:30 a.m. Eastern Time This proxy is solicited on behalf of the Board of Directors The undersigned stockholder(s) hereby appoint(s) William Duke, Jr. and Jill Andersen, or either of them, as proxies, each with the full power to appoint his or her substitute, and hereby authorize(s) them to represent and to vote, as designated on the reverse side of this ballot, all of the shares of common stock of INVIVYD, INC. that the stockholder(s) is/are entitled to vote at the Annual Meeting of Stockholders to be held on May 20, 2025 at 8:30 a.m., Eastern Time, virtually at www.virtualshareholdermeeting.com/IVVD2025, and at any adjournment or postponement thereof. This proxy, when properly executed, will be voted in the manner directed herein. If no such direction is made, this proxy will be voted "FOR ALL" on Proposal No. 1 and "FOR" on Proposal No. 2. Continued and to be signed on reverse side</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3.jpeg"/><Relationship Id="rId11" Type="http://schemas.openxmlformats.org/officeDocument/2006/relationships/image" Target="media/image5.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image" Target="media/image2.jpeg"/><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26506</Words>
  <Characters>142139</Characters>
  <CharactersWithSpaces>168764</CharactersWithSpaces>
  <Paragraphs>2008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