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00534A102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20,372,479.00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20,372,479.00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20,372,479.00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20,372,479.00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20,372,479.00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20,372,479.00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20,372,479.00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20,372,479.00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20,372,479.00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("Shares"), of Invivyd, Inc. held by Point72 Associates, LLC, an investment fund it manages ("Point72 Associates"); (ii) Point72 Capital Advisors, Inc. ("Point72 Capital Advisors Inc.") with respect to the Shares held by Point72 Associates; and (iii) Steven A. Cohen ("Mr. Cohen") with respect to the Shares beneficially owned by Point72 Asset Management and Point72 Capital Advisors Inc. Each of Cubist Systematic Strategies, LLC and Point72 Asia (Singapore) Pte. Ltd. are advisors under common control with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jc w:val="left"/>
              <w:rPr/>
            </w:pPr>
            <w:r>
              <w:rPr/>
              <w:t xml:space="preserve">CUSIP No.: </w:t>
            </w:r>
          </w:p>
          <w:p>
            <w:pPr>
              <w:pStyle w:val="TableContents"/>
              <w:bidi w:val="0"/>
              <w:spacing w:before="0" w:after="0"/>
              <w:jc w:val="left"/>
              <w:rPr/>
            </w:pPr>
            <w:r>
              <w:rPr/>
              <w:t>00534A102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September 30, 2025. 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 The aggregate percentage of Shares reported to be beneficially owned by each Reporting Person is based on 209,377,291 Shares outstanding as of the completion of the Issuer's underwritten public offering that closed on August 22, 2025, as disclosed in the Issuer's Prospectus Supplement filed pursuant to Rule 424(b)(5) with the Securities and Exchange Commission on August 22, 2025, and giving effect to the full exercise of the underwriter's option to purchase additional Shares in the underwritten public offering, as disclosed in the press release issued by the Issuer on August 22, 2025.</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September 30,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8561</Characters>
  <CharactersWithSpaces>10172</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