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163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16356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MCGUIRE TERRANCE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303 WYMAN STREET, 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6"/>
              <w:spacing w:after="0"/>
              <w:rPr>
                <w:sz w:val="20"/>
                <w:szCs w:val="20"/>
                <w:color w:val="auto"/>
              </w:rPr>
            </w:pPr>
            <w:r>
              <w:rPr>
                <w:rFonts w:ascii="Arial" w:cs="Arial" w:eastAsia="Arial" w:hAnsi="Arial"/>
                <w:sz w:val="20"/>
                <w:szCs w:val="20"/>
                <w:color w:val="0000FF"/>
                <w:w w:val="87"/>
              </w:rPr>
              <w:t>1,809,250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6"/>
              <w:spacing w:after="0"/>
              <w:rPr>
                <w:sz w:val="20"/>
                <w:szCs w:val="20"/>
                <w:color w:val="auto"/>
              </w:rPr>
            </w:pPr>
            <w:r>
              <w:rPr>
                <w:rFonts w:ascii="Arial" w:cs="Arial" w:eastAsia="Arial" w:hAnsi="Arial"/>
                <w:sz w:val="20"/>
                <w:szCs w:val="20"/>
                <w:color w:val="0000FF"/>
                <w:w w:val="88"/>
              </w:rPr>
              <w:t>35,260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6"/>
              <w:spacing w:after="0"/>
              <w:rPr>
                <w:sz w:val="20"/>
                <w:szCs w:val="20"/>
                <w:color w:val="auto"/>
              </w:rPr>
            </w:pPr>
            <w:r>
              <w:rPr>
                <w:rFonts w:ascii="Arial" w:cs="Arial" w:eastAsia="Arial" w:hAnsi="Arial"/>
                <w:sz w:val="20"/>
                <w:szCs w:val="20"/>
                <w:color w:val="0000FF"/>
                <w:w w:val="88"/>
              </w:rPr>
              <w:t>12,395</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6"/>
              <w:spacing w:after="0"/>
              <w:rPr>
                <w:sz w:val="20"/>
                <w:szCs w:val="20"/>
                <w:color w:val="auto"/>
              </w:rPr>
            </w:pPr>
            <w:r>
              <w:rPr>
                <w:rFonts w:ascii="Arial" w:cs="Arial" w:eastAsia="Arial" w:hAnsi="Arial"/>
                <w:sz w:val="20"/>
                <w:szCs w:val="20"/>
                <w:color w:val="0000FF"/>
                <w:w w:val="88"/>
              </w:rPr>
              <w:t>18,095</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6"/>
              <w:spacing w:after="0"/>
              <w:rPr>
                <w:sz w:val="20"/>
                <w:szCs w:val="20"/>
                <w:color w:val="auto"/>
              </w:rPr>
            </w:pPr>
            <w:r>
              <w:rPr>
                <w:rFonts w:ascii="Arial" w:cs="Arial" w:eastAsia="Arial" w:hAnsi="Arial"/>
                <w:sz w:val="20"/>
                <w:szCs w:val="20"/>
                <w:color w:val="0000FF"/>
                <w:w w:val="87"/>
              </w:rPr>
              <w:t>4,375,000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425,305</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7"/>
              </w:rPr>
              <w:t>8,290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7"/>
              </w:rPr>
              <w:t>2,915</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7"/>
              </w:rPr>
              <w:t>4,250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220,380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C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617,870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C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6"/>
              <w:spacing w:after="0"/>
              <w:rPr>
                <w:sz w:val="20"/>
                <w:szCs w:val="20"/>
                <w:color w:val="auto"/>
              </w:rPr>
            </w:pPr>
            <w:r>
              <w:rPr>
                <w:rFonts w:ascii="Arial" w:cs="Arial" w:eastAsia="Arial" w:hAnsi="Arial"/>
                <w:sz w:val="20"/>
                <w:szCs w:val="20"/>
                <w:color w:val="0000FF"/>
                <w:w w:val="88"/>
              </w:rPr>
              <w:t>12,045</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C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7"/>
              </w:rPr>
              <w:t>4,230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C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7"/>
              </w:rPr>
              <w:t>6,175</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C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160,080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C Preferred Stock</w:t>
            </w:r>
          </w:p>
        </w:tc>
        <w:tc>
          <w:tcPr>
            <w:tcW w:w="980" w:type="dxa"/>
            <w:vAlign w:val="bottom"/>
            <w:tcBorders>
              <w:bottom w:val="single" w:sz="8" w:color="2C2C2C"/>
            </w:tcBorders>
          </w:tcPr>
          <w:p>
            <w:pPr>
              <w:jc w:val="right"/>
              <w:ind w:right="355"/>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6"/>
              <w:spacing w:after="0"/>
              <w:rPr>
                <w:sz w:val="20"/>
                <w:szCs w:val="20"/>
                <w:color w:val="auto"/>
              </w:rPr>
            </w:pPr>
            <w:r>
              <w:rPr>
                <w:rFonts w:ascii="Arial" w:cs="Arial" w:eastAsia="Arial" w:hAnsi="Arial"/>
                <w:sz w:val="20"/>
                <w:szCs w:val="20"/>
                <w:color w:val="0000FF"/>
                <w:w w:val="88"/>
              </w:rPr>
              <w:t>320,160</w:t>
            </w:r>
          </w:p>
        </w:tc>
        <w:tc>
          <w:tcPr>
            <w:tcW w:w="1000" w:type="dxa"/>
            <w:vAlign w:val="bottom"/>
            <w:tcBorders>
              <w:bottom w:val="single" w:sz="8" w:color="2C2C2C"/>
            </w:tcBorders>
          </w:tcPr>
          <w:p>
            <w:pPr>
              <w:jc w:val="right"/>
              <w:ind w:right="354"/>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both"/>
        <w:ind w:left="40" w:right="4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and Series C Preferred Stock is convertible at any time at the option of the holder, without payment of additional consideration, into 5 shares of Common Stock, has no expiration date and is expected to automatically convert into shares of Common Stock immediately prior to the closing of the Issuer's initial public offering of its Common Stock.</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by Polaris Venture Partners V, L.P. ("PVP V"). The general partner of PVP V is Polaris Venture Management Co. V, L.L.C. ("PVM V") and may</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260" w:lineRule="auto"/>
        <w:rPr>
          <w:sz w:val="20"/>
          <w:szCs w:val="20"/>
          <w:color w:val="auto"/>
        </w:rPr>
      </w:pPr>
      <w:r>
        <w:rPr>
          <w:rFonts w:ascii="Arial" w:cs="Arial" w:eastAsia="Arial" w:hAnsi="Arial"/>
          <w:sz w:val="14"/>
          <w:szCs w:val="14"/>
          <w:color w:val="008000"/>
        </w:rPr>
        <w:t>be deemed to have shared voting and investment power with respect to the shares held by PVP V. The Reporting Person is a Managing Member of PVM V and may be deemed to have shared voting and dispositive power over the shares held by PVP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3" w:lineRule="exact"/>
        <w:rPr>
          <w:sz w:val="20"/>
          <w:szCs w:val="20"/>
          <w:color w:val="auto"/>
        </w:rPr>
      </w:pPr>
    </w:p>
    <w:p>
      <w:pPr>
        <w:ind w:right="40" w:firstLine="5"/>
        <w:spacing w:after="0" w:line="256" w:lineRule="auto"/>
        <w:tabs>
          <w:tab w:leader="none" w:pos="15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held of record by Polaris Venture Partners Entrepreneurs' Fund V, L.P. ("PVPEF V"). The general partner of PVPEF V is PVM V and may be deemed to have shared voting and investment power with respect to the shares held by PVPEF V. The Reporting Person is a Managing Member of PVM V and may be deemed to have shared voting and dispositive power over the shares held by PVPEF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6" w:lineRule="exact"/>
        <w:rPr>
          <w:rFonts w:ascii="Arial" w:cs="Arial" w:eastAsia="Arial" w:hAnsi="Arial"/>
          <w:sz w:val="14"/>
          <w:szCs w:val="14"/>
          <w:color w:val="008000"/>
        </w:rPr>
      </w:pPr>
    </w:p>
    <w:p>
      <w:pPr>
        <w:ind w:right="40" w:firstLine="5"/>
        <w:spacing w:after="0" w:line="256" w:lineRule="auto"/>
        <w:tabs>
          <w:tab w:leader="none" w:pos="15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held of record by Polaris Venture Partners Founders' Fund V, L.P. ("PVPFF V"). The general partner of PVPFF V is PVM V and may be deemed to have shared voting and investment power with respect to the shares held by PVPFF V. The Reporting Person is a Managing Member of PVM V and may be deemed to have shared voting and dispositive power over the shares held by PVPFF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6" w:lineRule="exact"/>
        <w:rPr>
          <w:rFonts w:ascii="Arial" w:cs="Arial" w:eastAsia="Arial" w:hAnsi="Arial"/>
          <w:sz w:val="14"/>
          <w:szCs w:val="14"/>
          <w:color w:val="008000"/>
        </w:rPr>
      </w:pPr>
    </w:p>
    <w:p>
      <w:pPr>
        <w:ind w:right="60" w:firstLine="5"/>
        <w:spacing w:after="0" w:line="256" w:lineRule="auto"/>
        <w:tabs>
          <w:tab w:leader="none" w:pos="15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held of record by Polaris Venture Partners Special Founders' Fund V, L.P. ("PVPSFF V"). The general partner of PVPSFF V is PVM V and may be deemed to have shared voting and investment power with respect to the shares held by PVPSFF V. The Reporting Person is a Managing Member of PVM V and may be deemed to have shared voting and dispositive power over the shares held by PVPSFF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6" w:lineRule="exact"/>
        <w:rPr>
          <w:rFonts w:ascii="Arial" w:cs="Arial" w:eastAsia="Arial" w:hAnsi="Arial"/>
          <w:sz w:val="14"/>
          <w:szCs w:val="14"/>
          <w:color w:val="008000"/>
        </w:rPr>
      </w:pPr>
    </w:p>
    <w:p>
      <w:pPr>
        <w:ind w:right="40" w:firstLine="5"/>
        <w:spacing w:after="0" w:line="256" w:lineRule="auto"/>
        <w:tabs>
          <w:tab w:leader="none" w:pos="15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held of record by Polaris Partners IX, L.P. ("PP IX"). The general partner of PP IX is Polaris Partners GP IX, L.L.C. ("PP GP IX") and may be deemed to have shared voting and investment power with respect to the shares held by PP IX. The Reporting Person holds an interest in PP GP IX and may be deemed to have shared voting and investment power with respect to the shares held by PP IX.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6" w:lineRule="exact"/>
        <w:rPr>
          <w:rFonts w:ascii="Arial" w:cs="Arial" w:eastAsia="Arial" w:hAnsi="Arial"/>
          <w:sz w:val="14"/>
          <w:szCs w:val="14"/>
          <w:color w:val="008000"/>
        </w:rPr>
      </w:pPr>
    </w:p>
    <w:p>
      <w:pPr>
        <w:ind w:right="40" w:firstLine="5"/>
        <w:spacing w:after="0" w:line="281" w:lineRule="auto"/>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Polaris Healthcare Technology Opportunities Fund, L.P. ("PHCT"). The general partner of PHCT is Polaris Healthcare Technology Opportunities Fund GP, L.L.C. ("PHCT GP") and may be deemed to have shared voting and investment power with respect to the shares held by PHCT. The Reporting Person holds an interest in PHCT GP and may be deemed to have shared voting and investment power with respect to the shares held by PHCT.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Exhibit List --24 --Power of Attorney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9" w:right="559" w:bottom="1440" w:gutter="0" w:footer="0" w:header="0"/>
        </w:sectPr>
      </w:pPr>
    </w:p>
    <w:bookmarkStart w:id="2" w:name="page3"/>
    <w:bookmarkEnd w:id="2"/>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ectPr>
          <w:pgSz w:w="11900" w:h="16838" w:orient="portrait"/>
          <w:cols w:equalWidth="0" w:num="1">
            <w:col w:w="9979"/>
          </w:cols>
          <w:pgMar w:left="480" w:top="1440" w:right="1440" w:bottom="0" w:gutter="0" w:footer="0" w:header="0"/>
        </w:sectPr>
      </w:pPr>
    </w:p>
    <w:bookmarkStart w:id="3" w:name="page4"/>
    <w:bookmarkEnd w:id="3"/>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367" w:right="1440" w:bottom="144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14,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Terrance McGuire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Terrance McGuire</w:t>
      </w:r>
    </w:p>
    <w:sectPr>
      <w:pgSz w:w="11900" w:h="16838" w:orient="portrait"/>
      <w:cols w:equalWidth="0" w:num="2">
        <w:col w:w="4900" w:space="720"/>
        <w:col w:w="4359"/>
      </w:cols>
      <w:pgMar w:left="480" w:top="36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2"/>
    </w:lvl>
  </w:abstractNum>
  <w:abstractNum w:abstractNumId="4">
    <w:nsid w:val="3D1B58BA"/>
    <w:multiLevelType w:val="hybridMultilevel"/>
    <w:lvl w:ilvl="0">
      <w:lvlJc w:val="left"/>
      <w:lvlText w:val="%1"/>
      <w:numFmt w:val="decimal"/>
      <w:start w:val="1"/>
    </w:lvl>
    <w:lvl w:ilvl="1">
      <w:lvlJc w:val="left"/>
      <w:lvlText w:val="(%2)"/>
      <w:numFmt w:val="decimal"/>
      <w:start w:val="2"/>
    </w:lvl>
  </w:abstractNum>
  <w:abstractNum w:abstractNumId="5">
    <w:nsid w:val="507ED7AB"/>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17003"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2021-08-05T20:45:45Z</dcterms:created>
  <dcterms:modified xsi:type="dcterms:W3CDTF">2021-08-05T20:45:45Z</dcterms:modified>
</cp:coreProperties>
</file>